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199997pt;margin-top:49.079998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19999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005" w:lineRule="exact"/>
        <w:ind w:left="423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944254" cy="6381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944254" cy="638175"/>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1"/>
        <w:rPr>
          <w:rFonts w:ascii="Times New Roman" w:hAnsi="Times New Roman" w:cs="Times New Roman" w:eastAsia="Times New Roman" w:hint="default"/>
          <w:sz w:val="13"/>
          <w:szCs w:val="13"/>
        </w:rPr>
      </w:pPr>
    </w:p>
    <w:p>
      <w:pPr>
        <w:spacing w:line="460" w:lineRule="exact" w:before="0"/>
        <w:ind w:left="0" w:right="892" w:firstLine="0"/>
        <w:jc w:val="center"/>
        <w:rPr>
          <w:rFonts w:ascii="Tahoma" w:hAnsi="Tahoma" w:cs="Tahoma" w:eastAsia="Tahoma" w:hint="default"/>
          <w:sz w:val="36"/>
          <w:szCs w:val="36"/>
        </w:rPr>
      </w:pPr>
      <w:r>
        <w:rPr>
          <w:rFonts w:ascii="宋体" w:hAnsi="宋体" w:cs="宋体" w:eastAsia="宋体" w:hint="default"/>
          <w:sz w:val="36"/>
          <w:szCs w:val="36"/>
        </w:rPr>
        <w:t>美盈森集团股份有限公司</w:t>
      </w:r>
      <w:r>
        <w:rPr>
          <w:rFonts w:ascii="Tahoma" w:hAnsi="Tahoma" w:cs="Tahoma" w:eastAsia="Tahoma" w:hint="default"/>
          <w:w w:val="80"/>
          <w:sz w:val="36"/>
          <w:szCs w:val="36"/>
        </w:rPr>
        <w:t> </w:t>
      </w:r>
      <w:r>
        <w:rPr>
          <w:rFonts w:ascii="Tahoma" w:hAnsi="Tahoma" w:cs="Tahoma" w:eastAsia="Tahoma" w:hint="default"/>
          <w:sz w:val="36"/>
          <w:szCs w:val="36"/>
        </w:rPr>
      </w:r>
    </w:p>
    <w:p>
      <w:pPr>
        <w:spacing w:line="240" w:lineRule="auto" w:before="3"/>
        <w:rPr>
          <w:rFonts w:ascii="Tahoma" w:hAnsi="Tahoma" w:cs="Tahoma" w:eastAsia="Tahoma" w:hint="default"/>
          <w:sz w:val="33"/>
          <w:szCs w:val="33"/>
        </w:rPr>
      </w:pPr>
    </w:p>
    <w:p>
      <w:pPr>
        <w:spacing w:before="0"/>
        <w:ind w:left="0" w:right="904" w:firstLine="0"/>
        <w:jc w:val="center"/>
        <w:rPr>
          <w:rFonts w:ascii="Tahoma" w:hAnsi="Tahoma" w:cs="Tahoma" w:eastAsia="Tahoma" w:hint="default"/>
          <w:sz w:val="32"/>
          <w:szCs w:val="32"/>
        </w:rPr>
      </w:pPr>
      <w:r>
        <w:rPr>
          <w:rFonts w:ascii="Tahoma" w:hAnsi="Tahoma" w:cs="Tahoma" w:eastAsia="Tahoma" w:hint="default"/>
          <w:w w:val="95"/>
          <w:sz w:val="32"/>
          <w:szCs w:val="32"/>
        </w:rPr>
        <w:t>2018</w:t>
      </w:r>
      <w:r>
        <w:rPr>
          <w:rFonts w:ascii="Tahoma" w:hAnsi="Tahoma" w:cs="Tahoma" w:eastAsia="Tahoma" w:hint="default"/>
          <w:spacing w:val="44"/>
          <w:w w:val="95"/>
          <w:sz w:val="32"/>
          <w:szCs w:val="32"/>
        </w:rPr>
        <w:t> </w:t>
      </w:r>
      <w:r>
        <w:rPr>
          <w:rFonts w:ascii="宋体" w:hAnsi="宋体" w:cs="宋体" w:eastAsia="宋体" w:hint="default"/>
          <w:w w:val="95"/>
          <w:sz w:val="32"/>
          <w:szCs w:val="32"/>
        </w:rPr>
        <w:t>年年度报告</w:t>
      </w:r>
      <w:r>
        <w:rPr>
          <w:rFonts w:ascii="Tahoma" w:hAnsi="Tahoma" w:cs="Tahoma" w:eastAsia="Tahoma" w:hint="default"/>
          <w:w w:val="79"/>
          <w:sz w:val="32"/>
          <w:szCs w:val="32"/>
        </w:rPr>
        <w:t> </w:t>
      </w:r>
      <w:r>
        <w:rPr>
          <w:rFonts w:ascii="Tahoma" w:hAnsi="Tahoma" w:cs="Tahoma" w:eastAsia="Tahoma" w:hint="default"/>
          <w:sz w:val="32"/>
          <w:szCs w:val="32"/>
        </w:rPr>
      </w:r>
    </w:p>
    <w:p>
      <w:pPr>
        <w:spacing w:line="240" w:lineRule="auto" w:before="2"/>
        <w:rPr>
          <w:rFonts w:ascii="Tahoma" w:hAnsi="Tahoma" w:cs="Tahoma" w:eastAsia="Tahoma" w:hint="default"/>
          <w:sz w:val="34"/>
          <w:szCs w:val="34"/>
        </w:rPr>
      </w:pPr>
    </w:p>
    <w:p>
      <w:pPr>
        <w:spacing w:before="0"/>
        <w:ind w:left="0" w:right="926" w:firstLine="0"/>
        <w:jc w:val="center"/>
        <w:rPr>
          <w:rFonts w:ascii="Tahoma" w:hAnsi="Tahoma" w:cs="Tahoma" w:eastAsia="Tahoma" w:hint="default"/>
          <w:sz w:val="22"/>
          <w:szCs w:val="22"/>
        </w:rPr>
      </w:pPr>
      <w:r>
        <w:rPr>
          <w:rFonts w:ascii="Tahoma"/>
          <w:sz w:val="22"/>
        </w:rPr>
        <w:t>2019-025</w:t>
      </w:r>
      <w:r>
        <w:rPr>
          <w:rFonts w:ascii="Tahoma"/>
          <w:w w:val="80"/>
          <w:sz w:val="22"/>
        </w:rPr>
        <w:t> </w:t>
      </w:r>
      <w:r>
        <w:rPr>
          <w:rFonts w:ascii="Tahoma"/>
          <w:sz w:val="22"/>
        </w:rPr>
      </w: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9"/>
        <w:rPr>
          <w:rFonts w:ascii="Tahoma" w:hAnsi="Tahoma" w:cs="Tahoma" w:eastAsia="Tahoma" w:hint="default"/>
          <w:sz w:val="30"/>
          <w:szCs w:val="30"/>
        </w:rPr>
      </w:pPr>
    </w:p>
    <w:p>
      <w:pPr>
        <w:spacing w:before="0"/>
        <w:ind w:left="0" w:right="900" w:firstLine="0"/>
        <w:jc w:val="center"/>
        <w:rPr>
          <w:rFonts w:ascii="Tahoma" w:hAnsi="Tahoma" w:cs="Tahoma" w:eastAsia="Tahoma" w:hint="default"/>
          <w:sz w:val="32"/>
          <w:szCs w:val="32"/>
        </w:rPr>
      </w:pPr>
      <w:r>
        <w:rPr>
          <w:rFonts w:ascii="Tahoma" w:hAnsi="Tahoma" w:cs="Tahoma" w:eastAsia="Tahoma" w:hint="default"/>
          <w:sz w:val="32"/>
          <w:szCs w:val="32"/>
        </w:rPr>
        <w:t>2019</w:t>
      </w:r>
      <w:r>
        <w:rPr>
          <w:rFonts w:ascii="Tahoma" w:hAnsi="Tahoma" w:cs="Tahoma" w:eastAsia="Tahoma" w:hint="default"/>
          <w:spacing w:val="-50"/>
          <w:sz w:val="32"/>
          <w:szCs w:val="32"/>
        </w:rPr>
        <w:t> </w:t>
      </w:r>
      <w:r>
        <w:rPr>
          <w:rFonts w:ascii="宋体" w:hAnsi="宋体" w:cs="宋体" w:eastAsia="宋体" w:hint="default"/>
          <w:sz w:val="32"/>
          <w:szCs w:val="32"/>
        </w:rPr>
        <w:t>年</w:t>
      </w:r>
      <w:r>
        <w:rPr>
          <w:rFonts w:ascii="宋体" w:hAnsi="宋体" w:cs="宋体" w:eastAsia="宋体" w:hint="default"/>
          <w:spacing w:val="-109"/>
          <w:sz w:val="32"/>
          <w:szCs w:val="32"/>
        </w:rPr>
        <w:t> </w:t>
      </w:r>
      <w:r>
        <w:rPr>
          <w:rFonts w:ascii="Tahoma" w:hAnsi="Tahoma" w:cs="Tahoma" w:eastAsia="Tahoma" w:hint="default"/>
          <w:sz w:val="32"/>
          <w:szCs w:val="32"/>
        </w:rPr>
        <w:t>04</w:t>
      </w:r>
      <w:r>
        <w:rPr>
          <w:rFonts w:ascii="Tahoma" w:hAnsi="Tahoma" w:cs="Tahoma" w:eastAsia="Tahoma" w:hint="default"/>
          <w:spacing w:val="-49"/>
          <w:sz w:val="32"/>
          <w:szCs w:val="32"/>
        </w:rPr>
        <w:t> </w:t>
      </w:r>
      <w:r>
        <w:rPr>
          <w:rFonts w:ascii="宋体" w:hAnsi="宋体" w:cs="宋体" w:eastAsia="宋体" w:hint="default"/>
          <w:sz w:val="32"/>
          <w:szCs w:val="32"/>
        </w:rPr>
        <w:t>月</w:t>
      </w:r>
      <w:r>
        <w:rPr>
          <w:rFonts w:ascii="Tahoma" w:hAnsi="Tahoma" w:cs="Tahoma" w:eastAsia="Tahoma" w:hint="default"/>
          <w:w w:val="79"/>
          <w:sz w:val="32"/>
          <w:szCs w:val="32"/>
        </w:rPr>
        <w:t> </w:t>
      </w:r>
      <w:r>
        <w:rPr>
          <w:rFonts w:ascii="Tahoma" w:hAnsi="Tahoma" w:cs="Tahoma" w:eastAsia="Tahoma" w:hint="default"/>
          <w:sz w:val="32"/>
          <w:szCs w:val="32"/>
        </w:rPr>
      </w:r>
    </w:p>
    <w:p>
      <w:pPr>
        <w:spacing w:after="0"/>
        <w:jc w:val="center"/>
        <w:rPr>
          <w:rFonts w:ascii="Tahoma" w:hAnsi="Tahoma" w:cs="Tahoma" w:eastAsia="Tahoma" w:hint="default"/>
          <w:sz w:val="32"/>
          <w:szCs w:val="32"/>
        </w:rPr>
        <w:sectPr>
          <w:headerReference w:type="default" r:id="rId5"/>
          <w:footerReference w:type="default" r:id="rId6"/>
          <w:type w:val="continuous"/>
          <w:pgSz w:w="11910" w:h="16840"/>
          <w:pgMar w:header="753" w:footer="982" w:top="1060" w:bottom="1180" w:left="980" w:right="0"/>
        </w:sectPr>
      </w:pPr>
    </w:p>
    <w:p>
      <w:pPr>
        <w:spacing w:line="240" w:lineRule="auto" w:before="1"/>
        <w:rPr>
          <w:rFonts w:ascii="Tahoma" w:hAnsi="Tahoma" w:cs="Tahoma" w:eastAsia="Tahoma" w:hint="default"/>
          <w:sz w:val="3"/>
          <w:szCs w:val="3"/>
        </w:rPr>
      </w:pPr>
    </w:p>
    <w:p>
      <w:pPr>
        <w:spacing w:line="20" w:lineRule="exact"/>
        <w:ind w:left="116" w:right="0" w:firstLine="0"/>
        <w:rPr>
          <w:rFonts w:ascii="Tahoma" w:hAnsi="Tahoma" w:cs="Tahoma" w:eastAsia="Tahoma" w:hint="default"/>
          <w:sz w:val="2"/>
          <w:szCs w:val="2"/>
        </w:rPr>
      </w:pPr>
      <w:r>
        <w:rPr>
          <w:rFonts w:ascii="Tahoma" w:hAnsi="Tahoma" w:cs="Tahoma" w:eastAsia="Tahoma"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Tahoma" w:hAnsi="Tahoma" w:cs="Tahoma" w:eastAsia="Tahoma" w:hint="default"/>
          <w:sz w:val="2"/>
          <w:szCs w:val="2"/>
        </w:rPr>
      </w: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9"/>
        <w:rPr>
          <w:rFonts w:ascii="Tahoma" w:hAnsi="Tahoma" w:cs="Tahoma" w:eastAsia="Tahoma" w:hint="default"/>
          <w:sz w:val="23"/>
          <w:szCs w:val="23"/>
        </w:rPr>
      </w:pPr>
    </w:p>
    <w:p>
      <w:pPr>
        <w:pStyle w:val="Heading1"/>
        <w:spacing w:line="240" w:lineRule="auto"/>
        <w:ind w:left="2802" w:right="984"/>
        <w:jc w:val="left"/>
        <w:rPr>
          <w:rFonts w:ascii="Tahoma" w:hAnsi="Tahoma" w:cs="Tahoma" w:eastAsia="Tahoma" w:hint="default"/>
        </w:rPr>
      </w:pPr>
      <w:bookmarkStart w:name="_TOC_250012" w:id="1"/>
      <w:r>
        <w:rPr/>
        <w:t>第一节</w:t>
      </w:r>
      <w:r>
        <w:rPr>
          <w:spacing w:val="13"/>
        </w:rPr>
        <w:t> </w:t>
      </w:r>
      <w:r>
        <w:rPr>
          <w:rFonts w:ascii="Tahoma" w:hAnsi="Tahoma" w:cs="Tahoma" w:eastAsia="Tahoma" w:hint="default"/>
          <w:spacing w:val="13"/>
        </w:rPr>
      </w:r>
      <w:r>
        <w:rPr/>
        <w:t>重要提示、目录和释义</w:t>
      </w:r>
      <w:r>
        <w:rPr>
          <w:rFonts w:ascii="Tahoma" w:hAnsi="Tahoma" w:cs="Tahoma" w:eastAsia="Tahoma" w:hint="default"/>
          <w:w w:val="79"/>
        </w:rPr>
        <w:t> </w:t>
      </w:r>
      <w:bookmarkEnd w:id="1"/>
      <w:r>
        <w:rPr>
          <w:rFonts w:ascii="Tahoma" w:hAnsi="Tahoma" w:cs="Tahoma" w:eastAsia="Tahoma" w:hint="default"/>
        </w:rPr>
      </w:r>
    </w:p>
    <w:p>
      <w:pPr>
        <w:spacing w:line="240" w:lineRule="auto" w:before="0"/>
        <w:rPr>
          <w:rFonts w:ascii="Tahoma" w:hAnsi="Tahoma" w:cs="Tahoma" w:eastAsia="Tahoma" w:hint="default"/>
          <w:sz w:val="32"/>
          <w:szCs w:val="32"/>
        </w:rPr>
      </w:pPr>
    </w:p>
    <w:p>
      <w:pPr>
        <w:spacing w:line="408" w:lineRule="auto" w:before="247"/>
        <w:ind w:left="152" w:right="1145" w:firstLine="561"/>
        <w:jc w:val="both"/>
        <w:rPr>
          <w:rFonts w:ascii="Tahoma" w:hAnsi="Tahoma" w:cs="Tahoma" w:eastAsia="Tahoma" w:hint="default"/>
          <w:sz w:val="28"/>
          <w:szCs w:val="28"/>
        </w:rPr>
      </w:pPr>
      <w:r>
        <w:rPr>
          <w:rFonts w:ascii="宋体" w:hAnsi="宋体" w:cs="宋体" w:eastAsia="宋体" w:hint="default"/>
          <w:sz w:val="28"/>
          <w:szCs w:val="28"/>
        </w:rPr>
        <w:t>公司董事会、监事会及董事、监事、高级管理人员保证年度报告内容的真</w:t>
      </w:r>
      <w:r>
        <w:rPr>
          <w:rFonts w:ascii="宋体" w:hAnsi="宋体" w:cs="宋体" w:eastAsia="宋体" w:hint="default"/>
          <w:w w:val="100"/>
          <w:sz w:val="28"/>
          <w:szCs w:val="28"/>
        </w:rPr>
        <w:t> </w:t>
      </w:r>
      <w:r>
        <w:rPr>
          <w:rFonts w:ascii="宋体" w:hAnsi="宋体" w:cs="宋体" w:eastAsia="宋体" w:hint="default"/>
          <w:sz w:val="28"/>
          <w:szCs w:val="28"/>
        </w:rPr>
        <w:t>实、准确、完整，不存在虚假记载、误导性陈述或重大遗漏，并承担个别和连</w:t>
      </w:r>
      <w:r>
        <w:rPr>
          <w:rFonts w:ascii="宋体" w:hAnsi="宋体" w:cs="宋体" w:eastAsia="宋体" w:hint="default"/>
          <w:spacing w:val="-57"/>
          <w:sz w:val="28"/>
          <w:szCs w:val="28"/>
        </w:rPr>
        <w:t> </w:t>
      </w:r>
      <w:r>
        <w:rPr>
          <w:rFonts w:ascii="宋体" w:hAnsi="宋体" w:cs="宋体" w:eastAsia="宋体" w:hint="default"/>
          <w:spacing w:val="-57"/>
          <w:sz w:val="28"/>
          <w:szCs w:val="28"/>
        </w:rPr>
      </w:r>
      <w:r>
        <w:rPr>
          <w:rFonts w:ascii="宋体" w:hAnsi="宋体" w:cs="宋体" w:eastAsia="宋体" w:hint="default"/>
          <w:sz w:val="28"/>
          <w:szCs w:val="28"/>
        </w:rPr>
        <w:t>带的法律责任。</w:t>
      </w:r>
      <w:r>
        <w:rPr>
          <w:rFonts w:ascii="Tahoma" w:hAnsi="Tahoma" w:cs="Tahoma" w:eastAsia="Tahoma" w:hint="default"/>
          <w:w w:val="80"/>
          <w:sz w:val="28"/>
          <w:szCs w:val="28"/>
        </w:rPr>
        <w:t> </w:t>
      </w:r>
      <w:r>
        <w:rPr>
          <w:rFonts w:ascii="Tahoma" w:hAnsi="Tahoma" w:cs="Tahoma" w:eastAsia="Tahoma" w:hint="default"/>
          <w:sz w:val="28"/>
          <w:szCs w:val="28"/>
        </w:rPr>
      </w:r>
    </w:p>
    <w:p>
      <w:pPr>
        <w:spacing w:line="388" w:lineRule="auto" w:before="162"/>
        <w:ind w:left="152" w:right="1133" w:firstLine="561"/>
        <w:jc w:val="both"/>
        <w:rPr>
          <w:rFonts w:ascii="Tahoma" w:hAnsi="Tahoma" w:cs="Tahoma" w:eastAsia="Tahoma" w:hint="default"/>
          <w:sz w:val="28"/>
          <w:szCs w:val="28"/>
        </w:rPr>
      </w:pPr>
      <w:r>
        <w:rPr>
          <w:rFonts w:ascii="宋体" w:hAnsi="宋体" w:cs="宋体" w:eastAsia="宋体" w:hint="default"/>
          <w:sz w:val="28"/>
          <w:szCs w:val="28"/>
        </w:rPr>
        <w:t>公司负责人张珍义、主管会计工作负责人袁宏贵及会计机构负责人</w:t>
      </w:r>
      <w:r>
        <w:rPr>
          <w:rFonts w:ascii="Tahoma" w:hAnsi="Tahoma" w:cs="Tahoma" w:eastAsia="Tahoma" w:hint="default"/>
          <w:sz w:val="28"/>
          <w:szCs w:val="28"/>
        </w:rPr>
        <w:t>(</w:t>
      </w:r>
      <w:r>
        <w:rPr>
          <w:rFonts w:ascii="宋体" w:hAnsi="宋体" w:cs="宋体" w:eastAsia="宋体" w:hint="default"/>
          <w:sz w:val="28"/>
          <w:szCs w:val="28"/>
        </w:rPr>
        <w:t>会计主</w:t>
      </w:r>
      <w:r>
        <w:rPr>
          <w:rFonts w:ascii="宋体" w:hAnsi="宋体" w:cs="宋体" w:eastAsia="宋体" w:hint="default"/>
          <w:w w:val="100"/>
          <w:sz w:val="28"/>
          <w:szCs w:val="28"/>
        </w:rPr>
        <w:t> </w:t>
      </w:r>
      <w:r>
        <w:rPr>
          <w:rFonts w:ascii="宋体" w:hAnsi="宋体" w:cs="宋体" w:eastAsia="宋体" w:hint="default"/>
          <w:sz w:val="28"/>
          <w:szCs w:val="28"/>
        </w:rPr>
        <w:t>管人员</w:t>
      </w:r>
      <w:r>
        <w:rPr>
          <w:rFonts w:ascii="Tahoma" w:hAnsi="Tahoma" w:cs="Tahoma" w:eastAsia="Tahoma" w:hint="default"/>
          <w:sz w:val="28"/>
          <w:szCs w:val="28"/>
        </w:rPr>
        <w:t>)</w:t>
      </w:r>
      <w:r>
        <w:rPr>
          <w:rFonts w:ascii="宋体" w:hAnsi="宋体" w:cs="宋体" w:eastAsia="宋体" w:hint="default"/>
          <w:sz w:val="28"/>
          <w:szCs w:val="28"/>
        </w:rPr>
        <w:t>袁宏贵声明：保证年度报告中财务报告的真实、准确、完整。</w:t>
      </w:r>
      <w:r>
        <w:rPr>
          <w:rFonts w:ascii="Tahoma" w:hAnsi="Tahoma" w:cs="Tahoma" w:eastAsia="Tahoma" w:hint="default"/>
          <w:w w:val="80"/>
          <w:sz w:val="28"/>
          <w:szCs w:val="28"/>
        </w:rPr>
        <w:t> </w:t>
      </w:r>
      <w:r>
        <w:rPr>
          <w:rFonts w:ascii="Tahoma" w:hAnsi="Tahoma" w:cs="Tahoma" w:eastAsia="Tahoma" w:hint="default"/>
          <w:sz w:val="28"/>
          <w:szCs w:val="28"/>
        </w:rPr>
      </w:r>
    </w:p>
    <w:p>
      <w:pPr>
        <w:spacing w:before="130"/>
        <w:ind w:left="714" w:right="984" w:firstLine="0"/>
        <w:jc w:val="left"/>
        <w:rPr>
          <w:rFonts w:ascii="Tahoma" w:hAnsi="Tahoma" w:cs="Tahoma" w:eastAsia="Tahoma" w:hint="default"/>
          <w:sz w:val="28"/>
          <w:szCs w:val="28"/>
        </w:rPr>
      </w:pPr>
      <w:r>
        <w:rPr>
          <w:rFonts w:ascii="宋体" w:hAnsi="宋体" w:cs="宋体" w:eastAsia="宋体" w:hint="default"/>
          <w:sz w:val="28"/>
          <w:szCs w:val="28"/>
        </w:rPr>
        <w:t>除下列董事外，其他董事亲自出席了审议本次年报的董事会会议</w:t>
      </w:r>
      <w:r>
        <w:rPr>
          <w:rFonts w:ascii="Tahoma" w:hAnsi="Tahoma" w:cs="Tahoma" w:eastAsia="Tahoma" w:hint="default"/>
          <w:w w:val="80"/>
          <w:sz w:val="28"/>
          <w:szCs w:val="28"/>
        </w:rPr>
        <w:t> </w:t>
      </w:r>
      <w:r>
        <w:rPr>
          <w:rFonts w:ascii="Tahoma" w:hAnsi="Tahoma" w:cs="Tahoma" w:eastAsia="Tahoma" w:hint="default"/>
          <w:sz w:val="28"/>
          <w:szCs w:val="28"/>
        </w:rPr>
      </w:r>
    </w:p>
    <w:p>
      <w:pPr>
        <w:spacing w:line="240" w:lineRule="auto" w:before="5"/>
        <w:rPr>
          <w:rFonts w:ascii="Tahoma" w:hAnsi="Tahoma" w:cs="Tahoma" w:eastAsia="Tahoma" w:hint="default"/>
          <w:sz w:val="22"/>
          <w:szCs w:val="22"/>
        </w:rPr>
      </w:pPr>
    </w:p>
    <w:tbl>
      <w:tblPr>
        <w:tblW w:w="0" w:type="auto"/>
        <w:jc w:val="left"/>
        <w:tblInd w:w="147" w:type="dxa"/>
        <w:tblLayout w:type="fixed"/>
        <w:tblCellMar>
          <w:top w:w="0" w:type="dxa"/>
          <w:left w:w="0" w:type="dxa"/>
          <w:bottom w:w="0" w:type="dxa"/>
          <w:right w:w="0" w:type="dxa"/>
        </w:tblCellMar>
        <w:tblLook w:val="01E0"/>
      </w:tblPr>
      <w:tblGrid>
        <w:gridCol w:w="2935"/>
        <w:gridCol w:w="2210"/>
        <w:gridCol w:w="2210"/>
        <w:gridCol w:w="2213"/>
      </w:tblGrid>
      <w:tr>
        <w:trPr>
          <w:trHeight w:val="403" w:hRule="exact"/>
        </w:trPr>
        <w:tc>
          <w:tcPr>
            <w:tcW w:w="2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1"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210" w:type="dxa"/>
            <w:tcBorders>
              <w:top w:val="single" w:sz="4" w:space="0" w:color="000000"/>
              <w:left w:val="single" w:sz="4" w:space="0" w:color="000000"/>
              <w:bottom w:val="single" w:sz="4" w:space="0" w:color="000000"/>
              <w:right w:val="single" w:sz="4" w:space="0" w:color="000000"/>
            </w:tcBorders>
          </w:tcPr>
          <w:p>
            <w:pPr/>
          </w:p>
        </w:tc>
        <w:tc>
          <w:tcPr>
            <w:tcW w:w="221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ahoma" w:hAnsi="Tahoma" w:cs="Tahoma" w:eastAsia="Tahoma" w:hint="default"/>
          <w:sz w:val="15"/>
          <w:szCs w:val="15"/>
        </w:rPr>
      </w:pPr>
    </w:p>
    <w:p>
      <w:pPr>
        <w:spacing w:line="408" w:lineRule="auto" w:before="2"/>
        <w:ind w:left="152" w:right="984" w:firstLine="561"/>
        <w:jc w:val="left"/>
        <w:rPr>
          <w:rFonts w:ascii="Tahoma" w:hAnsi="Tahoma" w:cs="Tahoma" w:eastAsia="Tahoma" w:hint="default"/>
          <w:sz w:val="28"/>
          <w:szCs w:val="28"/>
        </w:rPr>
      </w:pPr>
      <w:r>
        <w:rPr>
          <w:rFonts w:ascii="宋体" w:hAnsi="宋体" w:cs="宋体" w:eastAsia="宋体" w:hint="default"/>
          <w:spacing w:val="-2"/>
          <w:sz w:val="28"/>
          <w:szCs w:val="28"/>
        </w:rPr>
        <w:t>本年度报告涉及未来计划等前瞻性陈述，不构成公司对投资者的实质承诺，</w:t>
      </w:r>
      <w:r>
        <w:rPr>
          <w:rFonts w:ascii="宋体" w:hAnsi="宋体" w:cs="宋体" w:eastAsia="宋体" w:hint="default"/>
          <w:w w:val="100"/>
          <w:sz w:val="28"/>
          <w:szCs w:val="28"/>
        </w:rPr>
        <w:t> </w:t>
      </w:r>
      <w:r>
        <w:rPr>
          <w:rFonts w:ascii="宋体" w:hAnsi="宋体" w:cs="宋体" w:eastAsia="宋体" w:hint="default"/>
          <w:sz w:val="28"/>
          <w:szCs w:val="28"/>
        </w:rPr>
        <w:t>请投资者注意投资风险。</w:t>
      </w:r>
      <w:r>
        <w:rPr>
          <w:rFonts w:ascii="Tahoma" w:hAnsi="Tahoma" w:cs="Tahoma" w:eastAsia="Tahoma" w:hint="default"/>
          <w:w w:val="80"/>
          <w:sz w:val="28"/>
          <w:szCs w:val="28"/>
        </w:rPr>
        <w:t> </w:t>
      </w:r>
      <w:r>
        <w:rPr>
          <w:rFonts w:ascii="Tahoma" w:hAnsi="Tahoma" w:cs="Tahoma" w:eastAsia="Tahoma" w:hint="default"/>
          <w:sz w:val="28"/>
          <w:szCs w:val="28"/>
        </w:rPr>
      </w:r>
    </w:p>
    <w:p>
      <w:pPr>
        <w:spacing w:line="398" w:lineRule="auto" w:before="162"/>
        <w:ind w:left="152" w:right="1132" w:firstLine="561"/>
        <w:jc w:val="both"/>
        <w:rPr>
          <w:rFonts w:ascii="Tahoma" w:hAnsi="Tahoma" w:cs="Tahoma" w:eastAsia="Tahoma" w:hint="default"/>
          <w:sz w:val="28"/>
          <w:szCs w:val="28"/>
        </w:rPr>
      </w:pPr>
      <w:r>
        <w:rPr>
          <w:rFonts w:ascii="宋体" w:hAnsi="宋体" w:cs="宋体" w:eastAsia="宋体" w:hint="default"/>
          <w:sz w:val="28"/>
          <w:szCs w:val="28"/>
        </w:rPr>
        <w:t>本公司请投资者认真阅读本年度报告全文，并特别注意公司可能面临的包</w:t>
      </w:r>
      <w:r>
        <w:rPr>
          <w:rFonts w:ascii="宋体" w:hAnsi="宋体" w:cs="宋体" w:eastAsia="宋体" w:hint="default"/>
          <w:w w:val="100"/>
          <w:sz w:val="28"/>
          <w:szCs w:val="28"/>
        </w:rPr>
        <w:t> </w:t>
      </w:r>
      <w:r>
        <w:rPr>
          <w:rFonts w:ascii="宋体" w:hAnsi="宋体" w:cs="宋体" w:eastAsia="宋体" w:hint="default"/>
          <w:spacing w:val="-2"/>
          <w:sz w:val="28"/>
          <w:szCs w:val="28"/>
        </w:rPr>
        <w:t>括行业竞争、市场等风险因素。详细内容见本报告第四节</w:t>
      </w:r>
      <w:r>
        <w:rPr>
          <w:rFonts w:ascii="Tahoma" w:hAnsi="Tahoma" w:cs="Tahoma" w:eastAsia="Tahoma" w:hint="default"/>
          <w:spacing w:val="-2"/>
          <w:sz w:val="28"/>
          <w:szCs w:val="28"/>
        </w:rPr>
        <w:t>“</w:t>
      </w:r>
      <w:r>
        <w:rPr>
          <w:rFonts w:ascii="宋体" w:hAnsi="宋体" w:cs="宋体" w:eastAsia="宋体" w:hint="default"/>
          <w:spacing w:val="-2"/>
          <w:sz w:val="28"/>
          <w:szCs w:val="28"/>
        </w:rPr>
        <w:t>（九）公司未来发展</w:t>
      </w:r>
      <w:r>
        <w:rPr>
          <w:rFonts w:ascii="宋体" w:hAnsi="宋体" w:cs="宋体" w:eastAsia="宋体" w:hint="default"/>
          <w:spacing w:val="-70"/>
          <w:sz w:val="28"/>
          <w:szCs w:val="28"/>
        </w:rPr>
        <w:t> </w:t>
      </w:r>
      <w:r>
        <w:rPr>
          <w:rFonts w:ascii="宋体" w:hAnsi="宋体" w:cs="宋体" w:eastAsia="宋体" w:hint="default"/>
          <w:spacing w:val="-70"/>
          <w:sz w:val="28"/>
          <w:szCs w:val="28"/>
        </w:rPr>
      </w:r>
      <w:r>
        <w:rPr>
          <w:rFonts w:ascii="宋体" w:hAnsi="宋体" w:cs="宋体" w:eastAsia="宋体" w:hint="default"/>
          <w:sz w:val="28"/>
          <w:szCs w:val="28"/>
        </w:rPr>
        <w:t>的展望</w:t>
      </w:r>
      <w:r>
        <w:rPr>
          <w:rFonts w:ascii="Tahoma" w:hAnsi="Tahoma" w:cs="Tahoma" w:eastAsia="Tahoma" w:hint="default"/>
          <w:sz w:val="28"/>
          <w:szCs w:val="28"/>
        </w:rPr>
        <w:t>”</w:t>
      </w:r>
      <w:r>
        <w:rPr>
          <w:rFonts w:ascii="宋体" w:hAnsi="宋体" w:cs="宋体" w:eastAsia="宋体" w:hint="default"/>
          <w:sz w:val="28"/>
          <w:szCs w:val="28"/>
        </w:rPr>
        <w:t>部分。</w:t>
      </w:r>
      <w:r>
        <w:rPr>
          <w:rFonts w:ascii="Tahoma" w:hAnsi="Tahoma" w:cs="Tahoma" w:eastAsia="Tahoma" w:hint="default"/>
          <w:w w:val="80"/>
          <w:sz w:val="28"/>
          <w:szCs w:val="28"/>
        </w:rPr>
        <w:t> </w:t>
      </w:r>
      <w:r>
        <w:rPr>
          <w:rFonts w:ascii="Tahoma" w:hAnsi="Tahoma" w:cs="Tahoma" w:eastAsia="Tahoma" w:hint="default"/>
          <w:sz w:val="28"/>
          <w:szCs w:val="28"/>
        </w:rPr>
      </w:r>
    </w:p>
    <w:p>
      <w:pPr>
        <w:spacing w:line="388" w:lineRule="auto" w:before="114"/>
        <w:ind w:left="152" w:right="984" w:firstLine="561"/>
        <w:jc w:val="left"/>
        <w:rPr>
          <w:rFonts w:ascii="Tahoma" w:hAnsi="Tahoma" w:cs="Tahoma" w:eastAsia="Tahoma" w:hint="default"/>
          <w:sz w:val="28"/>
          <w:szCs w:val="28"/>
        </w:rPr>
      </w:pPr>
      <w:r>
        <w:rPr>
          <w:rFonts w:ascii="宋体" w:hAnsi="宋体" w:cs="宋体" w:eastAsia="宋体" w:hint="default"/>
          <w:spacing w:val="-6"/>
          <w:w w:val="100"/>
          <w:sz w:val="28"/>
          <w:szCs w:val="28"/>
        </w:rPr>
        <w:t>公司经本次董事会审议通过的利润分配预案为：以</w:t>
      </w:r>
      <w:r>
        <w:rPr>
          <w:rFonts w:ascii="宋体" w:hAnsi="宋体" w:cs="宋体" w:eastAsia="宋体" w:hint="default"/>
          <w:w w:val="100"/>
          <w:sz w:val="28"/>
          <w:szCs w:val="28"/>
        </w:rPr>
        <w:t> </w:t>
      </w:r>
      <w:r>
        <w:rPr>
          <w:rFonts w:ascii="Tahoma" w:hAnsi="Tahoma" w:cs="Tahoma" w:eastAsia="Tahoma" w:hint="default"/>
          <w:spacing w:val="-1"/>
          <w:w w:val="89"/>
          <w:sz w:val="28"/>
          <w:szCs w:val="28"/>
        </w:rPr>
        <w:t>1,531,323,685</w:t>
      </w:r>
      <w:r>
        <w:rPr>
          <w:rFonts w:ascii="Tahoma" w:hAnsi="Tahoma" w:cs="Tahoma" w:eastAsia="Tahoma" w:hint="default"/>
          <w:spacing w:val="-47"/>
          <w:w w:val="89"/>
          <w:sz w:val="28"/>
          <w:szCs w:val="28"/>
        </w:rPr>
        <w:t> </w:t>
      </w:r>
      <w:r>
        <w:rPr>
          <w:rFonts w:ascii="宋体" w:hAnsi="宋体" w:cs="宋体" w:eastAsia="宋体" w:hint="default"/>
          <w:w w:val="100"/>
          <w:sz w:val="28"/>
          <w:szCs w:val="28"/>
        </w:rPr>
        <w:t>股为基数， 向全体股东每</w:t>
      </w:r>
      <w:r>
        <w:rPr>
          <w:rFonts w:ascii="宋体" w:hAnsi="宋体" w:cs="宋体" w:eastAsia="宋体" w:hint="default"/>
          <w:spacing w:val="-70"/>
          <w:w w:val="100"/>
          <w:sz w:val="28"/>
          <w:szCs w:val="28"/>
        </w:rPr>
        <w:t> </w:t>
      </w:r>
      <w:r>
        <w:rPr>
          <w:rFonts w:ascii="Tahoma" w:hAnsi="Tahoma" w:cs="Tahoma" w:eastAsia="Tahoma" w:hint="default"/>
          <w:w w:val="91"/>
          <w:sz w:val="28"/>
          <w:szCs w:val="28"/>
        </w:rPr>
        <w:t>10</w:t>
      </w:r>
      <w:r>
        <w:rPr>
          <w:rFonts w:ascii="Tahoma" w:hAnsi="Tahoma" w:cs="Tahoma" w:eastAsia="Tahoma" w:hint="default"/>
          <w:spacing w:val="-9"/>
          <w:w w:val="91"/>
          <w:sz w:val="28"/>
          <w:szCs w:val="28"/>
        </w:rPr>
        <w:t> </w:t>
      </w:r>
      <w:r>
        <w:rPr>
          <w:rFonts w:ascii="宋体" w:hAnsi="宋体" w:cs="宋体" w:eastAsia="宋体" w:hint="default"/>
          <w:w w:val="100"/>
          <w:sz w:val="28"/>
          <w:szCs w:val="28"/>
        </w:rPr>
        <w:t>股派发现金红利</w:t>
      </w:r>
      <w:r>
        <w:rPr>
          <w:rFonts w:ascii="宋体" w:hAnsi="宋体" w:cs="宋体" w:eastAsia="宋体" w:hint="default"/>
          <w:spacing w:val="-70"/>
          <w:w w:val="100"/>
          <w:sz w:val="28"/>
          <w:szCs w:val="28"/>
        </w:rPr>
        <w:t> </w:t>
      </w:r>
      <w:r>
        <w:rPr>
          <w:rFonts w:ascii="Tahoma" w:hAnsi="Tahoma" w:cs="Tahoma" w:eastAsia="Tahoma" w:hint="default"/>
          <w:w w:val="89"/>
          <w:sz w:val="28"/>
          <w:szCs w:val="28"/>
        </w:rPr>
        <w:t>2.00</w:t>
      </w:r>
      <w:r>
        <w:rPr>
          <w:rFonts w:ascii="Tahoma" w:hAnsi="Tahoma" w:cs="Tahoma" w:eastAsia="Tahoma" w:hint="default"/>
          <w:spacing w:val="-10"/>
          <w:w w:val="89"/>
          <w:sz w:val="28"/>
          <w:szCs w:val="28"/>
        </w:rPr>
        <w:t> </w:t>
      </w:r>
      <w:r>
        <w:rPr>
          <w:rFonts w:ascii="宋体" w:hAnsi="宋体" w:cs="宋体" w:eastAsia="宋体" w:hint="default"/>
          <w:spacing w:val="-23"/>
          <w:w w:val="100"/>
          <w:sz w:val="28"/>
          <w:szCs w:val="28"/>
        </w:rPr>
        <w:t>元（含税），送红股</w:t>
      </w:r>
      <w:r>
        <w:rPr>
          <w:rFonts w:ascii="宋体" w:hAnsi="宋体" w:cs="宋体" w:eastAsia="宋体" w:hint="default"/>
          <w:spacing w:val="-70"/>
          <w:w w:val="100"/>
          <w:sz w:val="28"/>
          <w:szCs w:val="28"/>
        </w:rPr>
        <w:t> </w:t>
      </w:r>
      <w:r>
        <w:rPr>
          <w:rFonts w:ascii="Tahoma" w:hAnsi="Tahoma" w:cs="Tahoma" w:eastAsia="Tahoma" w:hint="default"/>
          <w:w w:val="91"/>
          <w:sz w:val="28"/>
          <w:szCs w:val="28"/>
        </w:rPr>
        <w:t>0</w:t>
      </w:r>
      <w:r>
        <w:rPr>
          <w:rFonts w:ascii="Tahoma" w:hAnsi="Tahoma" w:cs="Tahoma" w:eastAsia="Tahoma" w:hint="default"/>
          <w:spacing w:val="-8"/>
          <w:w w:val="91"/>
          <w:sz w:val="28"/>
          <w:szCs w:val="28"/>
        </w:rPr>
        <w:t> </w:t>
      </w:r>
      <w:r>
        <w:rPr>
          <w:rFonts w:ascii="宋体" w:hAnsi="宋体" w:cs="宋体" w:eastAsia="宋体" w:hint="default"/>
          <w:spacing w:val="-23"/>
          <w:w w:val="100"/>
          <w:sz w:val="28"/>
          <w:szCs w:val="28"/>
        </w:rPr>
        <w:t>股（含税），不以公</w:t>
      </w:r>
      <w:r>
        <w:rPr>
          <w:rFonts w:ascii="宋体" w:hAnsi="宋体" w:cs="宋体" w:eastAsia="宋体" w:hint="default"/>
          <w:spacing w:val="-136"/>
          <w:w w:val="100"/>
          <w:sz w:val="28"/>
          <w:szCs w:val="28"/>
        </w:rPr>
        <w:t> </w:t>
      </w:r>
      <w:r>
        <w:rPr>
          <w:rFonts w:ascii="宋体" w:hAnsi="宋体" w:cs="宋体" w:eastAsia="宋体" w:hint="default"/>
          <w:spacing w:val="-136"/>
          <w:w w:val="100"/>
          <w:sz w:val="28"/>
          <w:szCs w:val="28"/>
        </w:rPr>
      </w:r>
      <w:r>
        <w:rPr>
          <w:rFonts w:ascii="宋体" w:hAnsi="宋体" w:cs="宋体" w:eastAsia="宋体" w:hint="default"/>
          <w:sz w:val="28"/>
          <w:szCs w:val="28"/>
        </w:rPr>
        <w:t>积金转增股本。</w:t>
      </w:r>
      <w:r>
        <w:rPr>
          <w:rFonts w:ascii="Tahoma" w:hAnsi="Tahoma" w:cs="Tahoma" w:eastAsia="Tahoma" w:hint="default"/>
          <w:w w:val="80"/>
          <w:sz w:val="28"/>
          <w:szCs w:val="28"/>
        </w:rPr>
        <w:t> </w:t>
      </w:r>
      <w:r>
        <w:rPr>
          <w:rFonts w:ascii="Tahoma" w:hAnsi="Tahoma" w:cs="Tahoma" w:eastAsia="Tahoma" w:hint="default"/>
          <w:sz w:val="28"/>
          <w:szCs w:val="28"/>
        </w:rPr>
      </w:r>
    </w:p>
    <w:p>
      <w:pPr>
        <w:spacing w:after="0" w:line="388" w:lineRule="auto"/>
        <w:jc w:val="left"/>
        <w:rPr>
          <w:rFonts w:ascii="Tahoma" w:hAnsi="Tahoma" w:cs="Tahoma" w:eastAsia="Tahoma" w:hint="default"/>
          <w:sz w:val="28"/>
          <w:szCs w:val="28"/>
        </w:rPr>
        <w:sectPr>
          <w:footerReference w:type="default" r:id="rId8"/>
          <w:pgSz w:w="11910" w:h="16840"/>
          <w:pgMar w:footer="982" w:header="753" w:top="1060" w:bottom="1180" w:left="980" w:right="0"/>
          <w:pgNumType w:start="2"/>
        </w:sectPr>
      </w:pPr>
    </w:p>
    <w:p>
      <w:pPr>
        <w:spacing w:line="240" w:lineRule="auto" w:before="1"/>
        <w:rPr>
          <w:rFonts w:ascii="Tahoma" w:hAnsi="Tahoma" w:cs="Tahoma" w:eastAsia="Tahoma" w:hint="default"/>
          <w:sz w:val="3"/>
          <w:szCs w:val="3"/>
        </w:rPr>
      </w:pPr>
    </w:p>
    <w:p>
      <w:pPr>
        <w:spacing w:line="20" w:lineRule="exact"/>
        <w:ind w:left="116" w:right="0" w:firstLine="0"/>
        <w:rPr>
          <w:rFonts w:ascii="Tahoma" w:hAnsi="Tahoma" w:cs="Tahoma" w:eastAsia="Tahoma" w:hint="default"/>
          <w:sz w:val="2"/>
          <w:szCs w:val="2"/>
        </w:rPr>
      </w:pPr>
      <w:r>
        <w:rPr>
          <w:rFonts w:ascii="Tahoma" w:hAnsi="Tahoma" w:cs="Tahoma" w:eastAsia="Tahoma"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Tahoma" w:hAnsi="Tahoma" w:cs="Tahoma" w:eastAsia="Tahoma" w:hint="default"/>
          <w:sz w:val="2"/>
          <w:szCs w:val="2"/>
        </w:rPr>
      </w: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7"/>
        <w:rPr>
          <w:rFonts w:ascii="Tahoma" w:hAnsi="Tahoma" w:cs="Tahoma" w:eastAsia="Tahoma" w:hint="default"/>
          <w:sz w:val="16"/>
          <w:szCs w:val="16"/>
        </w:rPr>
      </w:pPr>
    </w:p>
    <w:p>
      <w:pPr>
        <w:spacing w:line="460" w:lineRule="exact" w:before="0"/>
        <w:ind w:left="0" w:right="892" w:firstLine="0"/>
        <w:jc w:val="center"/>
        <w:rPr>
          <w:rFonts w:ascii="Tahoma" w:hAnsi="Tahoma" w:cs="Tahoma" w:eastAsia="Tahoma" w:hint="default"/>
          <w:sz w:val="36"/>
          <w:szCs w:val="36"/>
        </w:rPr>
      </w:pPr>
      <w:r>
        <w:rPr>
          <w:rFonts w:ascii="宋体" w:hAnsi="宋体" w:cs="宋体" w:eastAsia="宋体" w:hint="default"/>
          <w:sz w:val="36"/>
          <w:szCs w:val="36"/>
        </w:rPr>
        <w:t>目录</w:t>
      </w:r>
      <w:r>
        <w:rPr>
          <w:rFonts w:ascii="Tahoma" w:hAnsi="Tahoma" w:cs="Tahoma" w:eastAsia="Tahoma" w:hint="default"/>
          <w:w w:val="80"/>
          <w:sz w:val="36"/>
          <w:szCs w:val="36"/>
        </w:rPr>
        <w:t> </w:t>
      </w:r>
      <w:r>
        <w:rPr>
          <w:rFonts w:ascii="Tahoma" w:hAnsi="Tahoma" w:cs="Tahoma" w:eastAsia="Tahoma" w:hint="default"/>
          <w:sz w:val="36"/>
          <w:szCs w:val="36"/>
        </w:rPr>
      </w:r>
    </w:p>
    <w:p>
      <w:pPr>
        <w:spacing w:line="240" w:lineRule="auto" w:before="0"/>
        <w:rPr>
          <w:rFonts w:ascii="Tahoma" w:hAnsi="Tahoma" w:cs="Tahoma" w:eastAsia="Tahoma" w:hint="default"/>
          <w:sz w:val="36"/>
          <w:szCs w:val="36"/>
        </w:rPr>
      </w:pPr>
    </w:p>
    <w:p>
      <w:pPr>
        <w:spacing w:line="240" w:lineRule="auto" w:before="0"/>
        <w:rPr>
          <w:rFonts w:ascii="Tahoma" w:hAnsi="Tahoma" w:cs="Tahoma" w:eastAsia="Tahoma" w:hint="default"/>
          <w:sz w:val="36"/>
          <w:szCs w:val="36"/>
        </w:rPr>
      </w:pPr>
    </w:p>
    <w:p>
      <w:pPr>
        <w:spacing w:line="240" w:lineRule="auto" w:before="0"/>
        <w:rPr>
          <w:rFonts w:ascii="Tahoma" w:hAnsi="Tahoma" w:cs="Tahoma" w:eastAsia="Tahoma" w:hint="default"/>
          <w:sz w:val="36"/>
          <w:szCs w:val="36"/>
        </w:rPr>
      </w:pPr>
    </w:p>
    <w:sdt>
      <w:sdtPr>
        <w:docPartObj>
          <w:docPartGallery w:val="Table of Contents"/>
          <w:docPartUnique/>
        </w:docPartObj>
      </w:sdtPr>
      <w:sdtEndPr/>
      <w:sdtContent>
        <w:p>
          <w:pPr>
            <w:pStyle w:val="TOC1"/>
            <w:tabs>
              <w:tab w:pos="9782" w:val="right" w:leader="dot"/>
            </w:tabs>
            <w:spacing w:line="240" w:lineRule="auto" w:before="313"/>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2">
            <w:r>
              <w:rPr/>
              <w:t>第一节</w:t>
            </w:r>
            <w:r>
              <w:rPr>
                <w:spacing w:val="-1"/>
              </w:rPr>
              <w:t> </w:t>
            </w:r>
            <w:r>
              <w:rPr/>
              <w:t>重要提示、目录和释义</w:t>
            </w:r>
            <w:r>
              <w:rPr>
                <w:rFonts w:ascii="Times New Roman" w:hAnsi="Times New Roman" w:cs="Times New Roman" w:eastAsia="Times New Roman" w:hint="default"/>
              </w:rPr>
              <w:tab/>
            </w:r>
            <w:r>
              <w:rPr>
                <w:rFonts w:ascii="Times New Roman" w:hAnsi="Times New Roman" w:cs="Times New Roman" w:eastAsia="Times New Roman" w:hint="default"/>
              </w:rPr>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11">
            <w:r>
              <w:rPr/>
              <w:t>释义</w:t>
            </w:r>
            <w:r>
              <w:rPr>
                <w:rFonts w:ascii="Times New Roman" w:hAnsi="Times New Roman" w:cs="Times New Roman" w:eastAsia="Times New Roman" w:hint="default"/>
              </w:rPr>
              <w:tab/>
            </w:r>
            <w:r>
              <w:rPr>
                <w:rFonts w:ascii="Times New Roman" w:hAnsi="Times New Roman" w:cs="Times New Roman" w:eastAsia="Times New Roman" w:hint="default"/>
              </w:rPr>
              <w:t>4</w:t>
            </w:r>
          </w:hyperlink>
        </w:p>
        <w:p>
          <w:pPr>
            <w:pStyle w:val="TOC1"/>
            <w:tabs>
              <w:tab w:pos="9781" w:val="right" w:leader="dot"/>
            </w:tabs>
            <w:spacing w:line="240" w:lineRule="auto" w:before="275"/>
            <w:ind w:right="0"/>
            <w:jc w:val="left"/>
            <w:rPr>
              <w:rFonts w:ascii="Times New Roman" w:hAnsi="Times New Roman" w:cs="Times New Roman" w:eastAsia="Times New Roman" w:hint="default"/>
            </w:rPr>
          </w:pPr>
          <w:hyperlink w:history="true" w:anchor="_TOC_250010">
            <w:r>
              <w:rPr/>
              <w:t>第二节</w:t>
            </w:r>
            <w:r>
              <w:rPr>
                <w:spacing w:val="-1"/>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rPr>
              <w:t>6</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TOC_250009">
            <w:r>
              <w:rPr/>
              <w:t>第三节</w:t>
            </w:r>
            <w:r>
              <w:rPr>
                <w:spacing w:val="-1"/>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rPr>
              <w:t>10</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8">
            <w:r>
              <w:rPr/>
              <w:t>第四节</w:t>
            </w:r>
            <w:r>
              <w:rPr>
                <w:spacing w:val="-1"/>
              </w:rPr>
              <w:t> </w:t>
            </w:r>
            <w:r>
              <w:rPr/>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rPr>
              <w:t>14</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TOC_250007">
            <w:r>
              <w:rPr/>
              <w:t>第五节</w:t>
            </w:r>
            <w:r>
              <w:rPr>
                <w:spacing w:val="-1"/>
              </w:rPr>
              <w:t> </w:t>
            </w:r>
            <w:r>
              <w:rPr/>
              <w:t>重要事项</w:t>
            </w:r>
            <w:r>
              <w:rPr>
                <w:rFonts w:ascii="Times New Roman" w:hAnsi="Times New Roman" w:cs="Times New Roman" w:eastAsia="Times New Roman" w:hint="default"/>
              </w:rPr>
              <w:tab/>
            </w:r>
            <w:r>
              <w:rPr>
                <w:rFonts w:ascii="Times New Roman" w:hAnsi="Times New Roman" w:cs="Times New Roman" w:eastAsia="Times New Roman" w:hint="default"/>
              </w:rPr>
              <w:t>42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6">
            <w:r>
              <w:rPr/>
              <w:t>第六节</w:t>
            </w:r>
            <w:r>
              <w:rPr>
                <w:spacing w:val="-1"/>
              </w:rPr>
              <w:t> </w:t>
            </w:r>
            <w:r>
              <w:rPr/>
              <w:t>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65</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5">
            <w:r>
              <w:rPr/>
              <w:t>第七节</w:t>
            </w:r>
            <w:r>
              <w:rPr>
                <w:spacing w:val="-1"/>
              </w:rPr>
              <w:t> </w:t>
            </w:r>
            <w:r>
              <w:rPr/>
              <w:t>优先股相关情况</w:t>
            </w:r>
            <w:r>
              <w:rPr>
                <w:rFonts w:ascii="Times New Roman" w:hAnsi="Times New Roman" w:cs="Times New Roman" w:eastAsia="Times New Roman" w:hint="default"/>
              </w:rPr>
              <w:tab/>
            </w:r>
            <w:r>
              <w:rPr>
                <w:rFonts w:ascii="Times New Roman" w:hAnsi="Times New Roman" w:cs="Times New Roman" w:eastAsia="Times New Roman" w:hint="default"/>
              </w:rPr>
              <w:t>72</w:t>
            </w:r>
          </w:hyperlink>
        </w:p>
        <w:p>
          <w:pPr>
            <w:pStyle w:val="TOC1"/>
            <w:tabs>
              <w:tab w:pos="9782" w:val="right" w:leader="dot"/>
            </w:tabs>
            <w:spacing w:line="240" w:lineRule="auto" w:before="275"/>
            <w:ind w:right="0"/>
            <w:jc w:val="left"/>
            <w:rPr>
              <w:rFonts w:ascii="Times New Roman" w:hAnsi="Times New Roman" w:cs="Times New Roman" w:eastAsia="Times New Roman" w:hint="default"/>
            </w:rPr>
          </w:pPr>
          <w:hyperlink w:history="true" w:anchor="_TOC_250004">
            <w:r>
              <w:rPr/>
              <w:t>第八节</w:t>
            </w:r>
            <w:r>
              <w:rPr>
                <w:spacing w:val="-1"/>
              </w:rPr>
              <w:t> </w:t>
            </w:r>
            <w:r>
              <w:rPr/>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73</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TOC_250003">
            <w:r>
              <w:rPr/>
              <w:t>第九节</w:t>
            </w:r>
            <w:r>
              <w:rPr>
                <w:spacing w:val="-1"/>
              </w:rPr>
              <w:t> </w:t>
            </w:r>
            <w:r>
              <w:rPr/>
              <w:t>公司治理</w:t>
            </w:r>
            <w:r>
              <w:rPr>
                <w:rFonts w:ascii="Times New Roman" w:hAnsi="Times New Roman" w:cs="Times New Roman" w:eastAsia="Times New Roman" w:hint="default"/>
              </w:rPr>
              <w:tab/>
            </w:r>
            <w:r>
              <w:rPr>
                <w:rFonts w:ascii="Times New Roman" w:hAnsi="Times New Roman" w:cs="Times New Roman" w:eastAsia="Times New Roman" w:hint="default"/>
              </w:rPr>
              <w:t>79</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2">
            <w:r>
              <w:rPr/>
              <w:t>第十节</w:t>
            </w:r>
            <w:r>
              <w:rPr>
                <w:spacing w:val="-1"/>
              </w:rPr>
              <w:t> </w:t>
            </w:r>
            <w:r>
              <w:rPr/>
              <w:t>公司债券相关情况</w:t>
            </w:r>
            <w:r>
              <w:rPr>
                <w:rFonts w:ascii="Times New Roman" w:hAnsi="Times New Roman" w:cs="Times New Roman" w:eastAsia="Times New Roman" w:hint="default"/>
              </w:rPr>
              <w:tab/>
            </w:r>
            <w:r>
              <w:rPr>
                <w:rFonts w:ascii="Times New Roman" w:hAnsi="Times New Roman" w:cs="Times New Roman" w:eastAsia="Times New Roman" w:hint="default"/>
              </w:rPr>
              <w:t>87</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TOC_250001">
            <w:r>
              <w:rPr/>
              <w:t>第十一节</w:t>
            </w:r>
            <w:r>
              <w:rPr>
                <w:spacing w:val="-1"/>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rPr>
              <w:t>88</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0">
            <w:r>
              <w:rPr/>
              <w:t>第十二节</w:t>
            </w:r>
            <w:r>
              <w:rPr>
                <w:spacing w:val="-1"/>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rPr>
              <w:t>207</w:t>
            </w:r>
          </w:hyperlink>
        </w:p>
        <w:p>
          <w:pPr/>
          <w:r>
            <w:fldChar w:fldCharType="end"/>
          </w:r>
        </w:p>
      </w:sdtContent>
    </w:sdt>
    <w:p>
      <w:pPr>
        <w:spacing w:after="0"/>
        <w:sectPr>
          <w:pgSz w:w="11910" w:h="16840"/>
          <w:pgMar w:header="753" w:footer="982" w:top="1060" w:bottom="1180" w:left="980" w:right="0"/>
        </w:sectPr>
      </w:pPr>
    </w:p>
    <w:p>
      <w:pPr>
        <w:pStyle w:val="Heading1"/>
        <w:spacing w:line="240" w:lineRule="auto" w:before="647"/>
        <w:ind w:right="900"/>
        <w:jc w:val="center"/>
        <w:rPr>
          <w:rFonts w:ascii="Tahoma" w:hAnsi="Tahoma" w:cs="Tahoma" w:eastAsia="Tahoma" w:hint="default"/>
        </w:rPr>
      </w:pPr>
      <w:bookmarkStart w:name="_TOC_250011" w:id="2"/>
      <w:r>
        <w:rPr/>
        <w:t>释义</w:t>
      </w:r>
      <w:r>
        <w:rPr>
          <w:rFonts w:ascii="Tahoma" w:hAnsi="Tahoma" w:cs="Tahoma" w:eastAsia="Tahoma" w:hint="default"/>
          <w:w w:val="79"/>
        </w:rPr>
        <w:t> </w:t>
      </w:r>
      <w:bookmarkEnd w:id="2"/>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5"/>
        <w:rPr>
          <w:rFonts w:ascii="Tahoma" w:hAnsi="Tahoma" w:cs="Tahoma" w:eastAsia="Tahoma"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3523"/>
        <w:gridCol w:w="622"/>
        <w:gridCol w:w="5424"/>
      </w:tblGrid>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公司、本公司、美盈森、深圳美盈森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美盈森集团股份有限公司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东莞市美盈森环保科技有限公司，系公司全资子公司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苏州美盈森环保科技有限公司，系公司全资子公司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重庆市美盈森环保包装工程有限公司，系公司全资子公司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美盈森（香港）国际控股有限公司，系公司全资子公司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东莞美芯龙</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东莞市美芯龙物联网科技有限公司，系公司全资子公司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郑州市美盈森环保科技有限公司，系公司全资子公司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天津美盈森智谷科技有限公司，系公司全资子公司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佛山市美盈森绿谷科技有限公司，系公司全资子公司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中山市美盈森环保科技有限公司，系公司全资子公司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小美集</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小美集科技有限公司，系公司全资子公司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美莲检测</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美莲检测有限公司，系公司全资子公司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武汉市美盈森环保科技有限公司，系公司全资子公司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成都市美盈森环保科技有限公司，系公司全资子公司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金之彩</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深圳市金之彩文化创意有限公司，系公司控股子公司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泸美、泸美供应链</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四川泸美供应链管理有限公司，系公司全资子公司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宜美、宜美供应链</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四川宜美供应链管理有限公司，系泸美控股子公司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深圳汇天云网</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深圳市汇天云网科技有限公司，系香港美盈森全资子公司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长沙美盈森智谷科技有限公司，系公司控股子公司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中大绿谷</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中大绿谷实业股份有限公司，系公司控股子公司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MYS Global Inc.</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系公司全资子公司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湖南美盈森实业有限公司，系公司控股子公司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安徽美盈森智谷科技有限公司，系公司控股子公司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苏州智谷</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美盈森智谷（苏州）包装技术有限公司，系苏州美盈森控股子公司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美彩供应链</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江苏美彩供应链管理有限公司，系苏州美盈森控股子公司</w:t>
            </w:r>
          </w:p>
        </w:tc>
      </w:tr>
      <w:tr>
        <w:trPr>
          <w:trHeight w:val="715"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越南美盈森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MYS GROUP (VIETNAM) </w:t>
            </w:r>
            <w:r>
              <w:rPr>
                <w:rFonts w:ascii="Times New Roman" w:hAnsi="Times New Roman" w:cs="Times New Roman" w:eastAsia="Times New Roman" w:hint="default"/>
                <w:spacing w:val="-3"/>
                <w:sz w:val="18"/>
                <w:szCs w:val="18"/>
              </w:rPr>
              <w:t>COMPANY</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，系香港美盈森全资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西安美盈森智谷科技有限公司，系公司全资子公司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台湾美盈森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台湾美盈森有限公司，系香港美盈森全资子公司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佳宝隆</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广东佳宝隆科技有限公司，系公司关联方</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524"/>
        <w:gridCol w:w="620"/>
        <w:gridCol w:w="5424"/>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东莞美之兰</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东莞市美之兰环保科技有限公司，系东莞美盈森全资子公司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苏州智谷科技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苏州美盈森智谷科技有限公司，系苏州美盈森全资子公司</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65.004456pt;margin-top:272.760010pt;width:369.85pt;height:19.6pt;mso-position-horizontal-relative:page;mso-position-vertical-relative:page;z-index:-1322056"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171.12001pt;margin-top:272.760010pt;width:363.75pt;height:19.6pt;mso-position-horizontal-relative:page;mso-position-vertical-relative:page;z-index:-1322032" coordorigin="3422,5455" coordsize="7275,392">
            <v:shape style="position:absolute;left:3422;top:5455;width:7275;height:392" coordorigin="3422,5455" coordsize="7275,392" path="m3422,5455l10697,5455,10697,5846,3422,5846,3422,5455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1" w:right="984"/>
        <w:jc w:val="left"/>
        <w:rPr>
          <w:rFonts w:ascii="Tahoma" w:hAnsi="Tahoma" w:cs="Tahoma" w:eastAsia="Tahoma" w:hint="default"/>
        </w:rPr>
      </w:pPr>
      <w:bookmarkStart w:name="_TOC_250010" w:id="3"/>
      <w:r>
        <w:rPr/>
        <w:t>第二节</w:t>
      </w:r>
      <w:r>
        <w:rPr>
          <w:spacing w:val="15"/>
        </w:rPr>
        <w:t> </w:t>
      </w:r>
      <w:r>
        <w:rPr>
          <w:rFonts w:ascii="Tahoma" w:hAnsi="Tahoma" w:cs="Tahoma" w:eastAsia="Tahoma" w:hint="default"/>
          <w:spacing w:val="15"/>
        </w:rPr>
      </w:r>
      <w:r>
        <w:rPr/>
        <w:t>公司简介和主要财务指标</w:t>
      </w:r>
      <w:r>
        <w:rPr>
          <w:rFonts w:ascii="Tahoma" w:hAnsi="Tahoma" w:cs="Tahoma" w:eastAsia="Tahoma" w:hint="default"/>
          <w:w w:val="79"/>
        </w:rPr>
        <w:t> </w:t>
      </w:r>
      <w:bookmarkEnd w:id="3"/>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4"/>
        <w:rPr>
          <w:rFonts w:ascii="Tahoma" w:hAnsi="Tahoma" w:cs="Tahoma" w:eastAsia="Tahoma" w:hint="default"/>
          <w:sz w:val="20"/>
          <w:szCs w:val="20"/>
        </w:rPr>
      </w:pPr>
    </w:p>
    <w:p>
      <w:pPr>
        <w:pStyle w:val="Heading2"/>
        <w:spacing w:line="240" w:lineRule="auto" w:before="26"/>
        <w:ind w:right="984"/>
        <w:jc w:val="left"/>
        <w:rPr>
          <w:rFonts w:ascii="Tahoma" w:hAnsi="Tahoma" w:cs="Tahoma" w:eastAsia="Tahoma" w:hint="default"/>
        </w:rPr>
      </w:pPr>
      <w:r>
        <w:rPr/>
        <w:t>一、公司信息</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2285"/>
        <w:gridCol w:w="2953"/>
        <w:gridCol w:w="2154"/>
        <w:gridCol w:w="2177"/>
      </w:tblGrid>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美盈森</w:t>
            </w:r>
          </w:p>
        </w:tc>
        <w:tc>
          <w:tcPr>
            <w:tcW w:w="2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002303</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美盈森集团股份有限公司</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美盈森</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MYS GROUP</w:t>
            </w:r>
            <w:r>
              <w:rPr>
                <w:rFonts w:ascii="Times New Roman"/>
                <w:spacing w:val="-5"/>
                <w:sz w:val="18"/>
              </w:rPr>
              <w:t> </w:t>
            </w:r>
            <w:r>
              <w:rPr>
                <w:rFonts w:ascii="Times New Roman"/>
                <w:spacing w:val="-3"/>
                <w:sz w:val="18"/>
              </w:rPr>
              <w:t>CO.,LTD.</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MYS</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张珍义</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518107</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518107</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www.szmys.com</w:t>
              </w:r>
            </w:hyperlink>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mys.stock@szmys.com</w:t>
              </w:r>
            </w:hyperlink>
          </w:p>
        </w:tc>
      </w:tr>
    </w:tbl>
    <w:p>
      <w:pPr>
        <w:spacing w:line="240" w:lineRule="auto" w:before="7"/>
        <w:rPr>
          <w:rFonts w:ascii="Tahoma" w:hAnsi="Tahoma" w:cs="Tahoma" w:eastAsia="Tahoma" w:hint="default"/>
          <w:sz w:val="19"/>
          <w:szCs w:val="19"/>
        </w:rPr>
      </w:pPr>
    </w:p>
    <w:p>
      <w:pPr>
        <w:pStyle w:val="Heading2"/>
        <w:spacing w:line="240" w:lineRule="auto" w:before="26"/>
        <w:ind w:right="984"/>
        <w:jc w:val="left"/>
        <w:rPr>
          <w:rFonts w:ascii="Tahoma" w:hAnsi="Tahoma" w:cs="Tahoma" w:eastAsia="Tahoma" w:hint="default"/>
        </w:rPr>
      </w:pPr>
      <w:r>
        <w:rPr/>
        <w:t>二、联系人和联系方式</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刘会丰</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 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 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0755-29751666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0755-29751666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0755-28234302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0755-28234302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mys.stock@szmys.com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mys.stock@szmys.com</w:t>
              </w:r>
            </w:hyperlink>
          </w:p>
        </w:tc>
      </w:tr>
    </w:tbl>
    <w:p>
      <w:pPr>
        <w:spacing w:line="240" w:lineRule="auto" w:before="7"/>
        <w:rPr>
          <w:rFonts w:ascii="Tahoma" w:hAnsi="Tahoma" w:cs="Tahoma" w:eastAsia="Tahoma" w:hint="default"/>
          <w:sz w:val="19"/>
          <w:szCs w:val="19"/>
        </w:rPr>
      </w:pPr>
    </w:p>
    <w:p>
      <w:pPr>
        <w:pStyle w:val="Heading2"/>
        <w:spacing w:line="240" w:lineRule="auto" w:before="26"/>
        <w:ind w:right="984"/>
        <w:jc w:val="left"/>
        <w:rPr>
          <w:rFonts w:ascii="Tahoma" w:hAnsi="Tahoma" w:cs="Tahoma" w:eastAsia="Tahoma" w:hint="default"/>
        </w:rPr>
      </w:pPr>
      <w:r>
        <w:rPr/>
        <w:t>三、信息披露及备置地点</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公司证券部、深交所</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7"/>
        <w:rPr>
          <w:rFonts w:ascii="Tahoma" w:hAnsi="Tahoma" w:cs="Tahoma" w:eastAsia="Tahoma" w:hint="default"/>
          <w:sz w:val="25"/>
          <w:szCs w:val="25"/>
        </w:rPr>
      </w:pPr>
    </w:p>
    <w:p>
      <w:pPr>
        <w:pStyle w:val="Heading2"/>
        <w:spacing w:line="240" w:lineRule="auto" w:before="26"/>
        <w:ind w:right="984"/>
        <w:jc w:val="left"/>
        <w:rPr>
          <w:rFonts w:ascii="Tahoma" w:hAnsi="Tahoma" w:cs="Tahoma" w:eastAsia="Tahoma" w:hint="default"/>
        </w:rPr>
      </w:pPr>
      <w:r>
        <w:rPr/>
        <w:t>四、注册变更情况</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637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91440300723000100A</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93"/>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7"/>
        <w:rPr>
          <w:rFonts w:ascii="Tahoma" w:hAnsi="Tahoma" w:cs="Tahoma" w:eastAsia="Tahoma" w:hint="default"/>
          <w:sz w:val="19"/>
          <w:szCs w:val="19"/>
        </w:rPr>
      </w:pPr>
    </w:p>
    <w:p>
      <w:pPr>
        <w:pStyle w:val="Heading2"/>
        <w:spacing w:line="240" w:lineRule="auto" w:before="26"/>
        <w:ind w:right="984"/>
        <w:jc w:val="left"/>
        <w:rPr>
          <w:rFonts w:ascii="Tahoma" w:hAnsi="Tahoma" w:cs="Tahoma" w:eastAsia="Tahoma" w:hint="default"/>
        </w:rPr>
      </w:pPr>
      <w:r>
        <w:rPr/>
        <w:t>五、其他有关资料</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0"/>
        <w:gridCol w:w="6907"/>
      </w:tblGrid>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北京市海淀区知春路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号学院国际大厦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1504 </w:t>
            </w:r>
            <w:r>
              <w:rPr>
                <w:rFonts w:ascii="宋体" w:hAnsi="宋体" w:cs="宋体" w:eastAsia="宋体" w:hint="default"/>
                <w:sz w:val="18"/>
                <w:szCs w:val="18"/>
              </w:rPr>
              <w:t>室</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陈鹏、胡宜鹏</w:t>
            </w:r>
          </w:p>
        </w:tc>
      </w:tr>
    </w:tbl>
    <w:p>
      <w:pPr>
        <w:pStyle w:val="BodyText"/>
        <w:spacing w:line="240" w:lineRule="auto" w:before="49"/>
        <w:ind w:right="984"/>
        <w:jc w:val="left"/>
      </w:pPr>
      <w:r>
        <w:rPr/>
        <w:t>公司聘请的报告期内履行持续督导职责的保荐机构</w:t>
      </w:r>
    </w:p>
    <w:p>
      <w:pPr>
        <w:pStyle w:val="BodyText"/>
        <w:spacing w:line="240" w:lineRule="auto" w:before="115"/>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中泰证券股份有限公司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北京市西城区太平桥大街丰 盛胡同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号太平洋保险大厦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张学彦、李硕</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984"/>
        <w:jc w:val="left"/>
      </w:pPr>
      <w:r>
        <w:rPr/>
        <w:t>公司聘请的报告期内履行持续督导职责的财务顾问</w:t>
      </w:r>
    </w:p>
    <w:p>
      <w:pPr>
        <w:pStyle w:val="BodyText"/>
        <w:spacing w:line="240" w:lineRule="auto" w:before="117"/>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4"/>
        <w:jc w:val="left"/>
        <w:rPr>
          <w:rFonts w:ascii="Tahoma" w:hAnsi="Tahoma" w:cs="Tahoma" w:eastAsia="Tahoma" w:hint="default"/>
        </w:rPr>
      </w:pPr>
      <w:r>
        <w:rPr/>
        <w:t>六、主要会计数据和财务指标</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公司是否需追溯调整或重述以前年度会计数据</w:t>
      </w:r>
    </w:p>
    <w:p>
      <w:pPr>
        <w:pStyle w:val="BodyText"/>
        <w:spacing w:line="240" w:lineRule="auto" w:before="117"/>
        <w:ind w:right="98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3"/>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3,248,945,549.35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2,857,419,302.97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2,219,276,356.96</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401,205,568.76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348,186,315.19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223,397,139.15</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353,124,133.37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333,505,198.25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151,520,188.96</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273,926,567.38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264,155,317.55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99,651,448.99</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0.2608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0.2258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0.1542</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0.2608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0.2258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0.1542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38"/>
        <w:gridCol w:w="1738"/>
        <w:gridCol w:w="1738"/>
        <w:gridCol w:w="1735"/>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6,369,909,693.04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5,931,219,545.41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4,815,701,612.66</w:t>
            </w:r>
          </w:p>
        </w:tc>
      </w:tr>
      <w:tr>
        <w:trPr>
          <w:trHeight w:val="715"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4,476,485,987.19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4,329,719,804.16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3,959,887,942.95</w:t>
            </w:r>
          </w:p>
        </w:tc>
      </w:tr>
    </w:tbl>
    <w:p>
      <w:pPr>
        <w:spacing w:line="240" w:lineRule="auto" w:before="1"/>
        <w:rPr>
          <w:rFonts w:ascii="宋体" w:hAnsi="宋体" w:cs="宋体" w:eastAsia="宋体" w:hint="default"/>
          <w:sz w:val="18"/>
          <w:szCs w:val="18"/>
        </w:rPr>
      </w:pPr>
    </w:p>
    <w:p>
      <w:pPr>
        <w:pStyle w:val="Heading2"/>
        <w:spacing w:line="240" w:lineRule="auto" w:before="26"/>
        <w:ind w:right="984"/>
        <w:jc w:val="left"/>
        <w:rPr>
          <w:rFonts w:ascii="Tahoma" w:hAnsi="Tahoma" w:cs="Tahoma" w:eastAsia="Tahoma" w:hint="default"/>
        </w:rPr>
      </w:pPr>
      <w:r>
        <w:rPr/>
        <w:t>七、境内外会计准则下会计数据差异</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、同时按照国际会计准则与按照中国会计准则披露的财务报告中净利润和净资产差异情况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40" w:lineRule="auto"/>
        <w:ind w:right="15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w:t>
      </w:r>
      <w:r>
        <w:rPr/>
        <w:t>、同时按照境外会计准则与按照中国会计准则披露的财务报告中净利润和净资产差异情况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984"/>
        <w:jc w:val="left"/>
        <w:rPr>
          <w:rFonts w:ascii="Tahoma" w:hAnsi="Tahoma" w:cs="Tahoma" w:eastAsia="Tahoma" w:hint="default"/>
        </w:rPr>
      </w:pPr>
      <w:r>
        <w:rPr/>
        <w:t>八、分季度主要财务指标</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685,815,000.96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737,374,760.21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905,411,937.63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920,343,850.55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82,476,131.66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91,906,910.30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118,756,585.73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108,065,941.07</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82,954,430.16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90,085,640.90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112,101,981.45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2"/>
                <w:szCs w:val="12"/>
              </w:rPr>
            </w:pPr>
            <w:r>
              <w:rPr>
                <w:rFonts w:ascii="Times New Roman"/>
                <w:spacing w:val="-1"/>
                <w:sz w:val="18"/>
              </w:rPr>
              <w:t>67,982,080.87</w:t>
            </w:r>
            <w:r>
              <w:rPr>
                <w:rFonts w:ascii="Times New Roman"/>
                <w:color w:val="FF0000"/>
                <w:spacing w:val="-1"/>
                <w:position w:val="8"/>
                <w:sz w:val="12"/>
              </w:rPr>
              <w:t>1</w:t>
            </w:r>
            <w:r>
              <w:rPr>
                <w:rFonts w:ascii="Times New Roman"/>
                <w:spacing w:val="-1"/>
                <w:sz w:val="12"/>
              </w:rPr>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46,656,004.62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109,632,161.98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78,076,010.36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39,562,390.42</w:t>
            </w:r>
          </w:p>
        </w:tc>
      </w:tr>
    </w:tbl>
    <w:p>
      <w:pPr>
        <w:pStyle w:val="BodyText"/>
        <w:spacing w:line="240" w:lineRule="auto" w:before="49"/>
        <w:ind w:right="984"/>
        <w:jc w:val="left"/>
      </w:pPr>
      <w:r>
        <w:rPr/>
        <w:t>注</w:t>
      </w:r>
      <w:r>
        <w:rPr>
          <w:spacing w:val="-34"/>
        </w:rPr>
        <w:t>：</w:t>
      </w:r>
      <w:r>
        <w:rPr>
          <w:rFonts w:ascii="Times New Roman" w:hAnsi="Times New Roman" w:cs="Times New Roman" w:eastAsia="Times New Roman" w:hint="default"/>
        </w:rPr>
        <w:t>1 2018</w:t>
      </w:r>
      <w:r>
        <w:rPr>
          <w:rFonts w:ascii="Times New Roman" w:hAnsi="Times New Roman" w:cs="Times New Roman" w:eastAsia="Times New Roman" w:hint="default"/>
          <w:spacing w:val="2"/>
        </w:rPr>
        <w:t> </w:t>
      </w:r>
      <w:r>
        <w:rPr/>
        <w:t>年第四季度扣非</w:t>
      </w:r>
      <w:r>
        <w:rPr>
          <w:spacing w:val="-2"/>
        </w:rPr>
        <w:t>净</w:t>
      </w:r>
      <w:r>
        <w:rPr/>
        <w:t>利润波动的原因主要系</w:t>
      </w:r>
      <w:r>
        <w:rPr>
          <w:spacing w:val="-126"/>
        </w:rPr>
        <w:t>：</w:t>
      </w:r>
      <w:r>
        <w:rPr/>
        <w:t>（</w:t>
      </w:r>
      <w:r>
        <w:rPr>
          <w:rFonts w:ascii="Times New Roman" w:hAnsi="Times New Roman" w:cs="Times New Roman" w:eastAsia="Times New Roman" w:hint="default"/>
          <w:spacing w:val="1"/>
        </w:rPr>
        <w:t>1</w:t>
      </w:r>
      <w:r>
        <w:rPr>
          <w:spacing w:val="-35"/>
        </w:rPr>
        <w:t>）</w:t>
      </w:r>
      <w:r>
        <w:rPr>
          <w:spacing w:val="-2"/>
        </w:rPr>
        <w:t>金</w:t>
      </w:r>
      <w:r>
        <w:rPr/>
        <w:t>之彩公司业绩未达预期</w:t>
      </w:r>
      <w:r>
        <w:rPr>
          <w:spacing w:val="-35"/>
        </w:rPr>
        <w:t>，</w:t>
      </w:r>
      <w:r>
        <w:rPr/>
        <w:t>计提商誉减值准备</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
        </w:rPr>
        <w:t>9</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万元</w:t>
      </w:r>
      <w:r>
        <w:rPr>
          <w:spacing w:val="-125"/>
        </w:rPr>
        <w:t>；</w:t>
      </w:r>
      <w:r>
        <w:rPr>
          <w:spacing w:val="-4"/>
        </w:rPr>
        <w:t>（</w:t>
      </w:r>
      <w:r>
        <w:rPr>
          <w:rFonts w:ascii="Times New Roman" w:hAnsi="Times New Roman" w:cs="Times New Roman" w:eastAsia="Times New Roman" w:hint="default"/>
          <w:spacing w:val="1"/>
        </w:rPr>
        <w:t>2</w:t>
      </w:r>
      <w:r>
        <w:rPr/>
        <w:t>）</w:t>
      </w:r>
    </w:p>
    <w:p>
      <w:pPr>
        <w:pStyle w:val="BodyText"/>
        <w:spacing w:line="240" w:lineRule="auto" w:before="63"/>
        <w:ind w:right="984"/>
        <w:jc w:val="left"/>
      </w:pPr>
      <w:r>
        <w:rPr/>
        <w:t>公司</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年营业收入增加</w:t>
      </w:r>
      <w:r>
        <w:rPr>
          <w:spacing w:val="-22"/>
        </w:rPr>
        <w:t>，</w:t>
      </w:r>
      <w:r>
        <w:rPr>
          <w:spacing w:val="-2"/>
        </w:rPr>
        <w:t>年</w:t>
      </w:r>
      <w:r>
        <w:rPr/>
        <w:t>末应收账款增加</w:t>
      </w:r>
      <w:r>
        <w:rPr>
          <w:spacing w:val="-22"/>
        </w:rPr>
        <w:t>，</w:t>
      </w:r>
      <w:r>
        <w:rPr/>
        <w:t>公司年末</w:t>
      </w:r>
      <w:r>
        <w:rPr>
          <w:spacing w:val="1"/>
        </w:rPr>
        <w:t>坏</w:t>
      </w:r>
      <w:r>
        <w:rPr/>
        <w:t>账准备较</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年半年度计提</w:t>
      </w:r>
      <w:r>
        <w:rPr>
          <w:spacing w:val="-2"/>
        </w:rPr>
        <w:t>增</w:t>
      </w:r>
      <w:r>
        <w:rPr/>
        <w:t>加</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万元</w:t>
      </w:r>
      <w:r>
        <w:rPr>
          <w:spacing w:val="-114"/>
        </w:rPr>
        <w:t>；</w:t>
      </w:r>
      <w:r>
        <w:rPr/>
        <w:t>（</w:t>
      </w:r>
      <w:r>
        <w:rPr>
          <w:rFonts w:ascii="Times New Roman" w:hAnsi="Times New Roman" w:cs="Times New Roman" w:eastAsia="Times New Roman" w:hint="default"/>
          <w:spacing w:val="1"/>
        </w:rPr>
        <w:t>3</w:t>
      </w:r>
      <w:r>
        <w:rPr>
          <w:spacing w:val="-22"/>
        </w:rPr>
        <w:t>）</w:t>
      </w:r>
      <w:r>
        <w:rPr/>
        <w:t>公司四季</w:t>
      </w:r>
    </w:p>
    <w:p>
      <w:pPr>
        <w:pStyle w:val="BodyText"/>
        <w:spacing w:line="240" w:lineRule="auto" w:before="63"/>
        <w:ind w:right="984"/>
        <w:jc w:val="left"/>
      </w:pPr>
      <w:r>
        <w:rPr/>
        <w:t>度净利润与扣非后的净利润相差较大主要公司投资性房地产公允价值变动损益</w:t>
      </w:r>
      <w:r>
        <w:rPr>
          <w:spacing w:val="-45"/>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
        </w:rPr>
        <w:t>2</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2"/>
        </w:rPr>
        <w:t>万</w:t>
      </w:r>
      <w:r>
        <w:rPr/>
        <w:t>元</w:t>
      </w:r>
      <w:r>
        <w:rPr>
          <w:spacing w:val="-83"/>
        </w:rPr>
        <w:t>，</w:t>
      </w:r>
      <w:r>
        <w:rPr/>
        <w:t>利用部分暂时闲置的资金购买</w:t>
      </w:r>
    </w:p>
    <w:p>
      <w:pPr>
        <w:pStyle w:val="BodyText"/>
        <w:spacing w:line="338" w:lineRule="auto" w:before="63"/>
        <w:ind w:right="3374"/>
        <w:jc w:val="left"/>
      </w:pPr>
      <w:r>
        <w:rPr/>
        <w:t>银行理财产品确认的投资收益</w:t>
      </w:r>
      <w:r>
        <w:rPr>
          <w:spacing w:val="-46"/>
        </w:rPr>
        <w:t> </w:t>
      </w:r>
      <w:r>
        <w:rPr>
          <w:rFonts w:ascii="Times New Roman" w:hAnsi="Times New Roman" w:cs="Times New Roman" w:eastAsia="Times New Roman" w:hint="default"/>
        </w:rPr>
        <w:t>1,290.87 </w:t>
      </w:r>
      <w:r>
        <w:rPr/>
        <w:t>万元，全部计入非经常性损益。 上述财务指标或其加总数是否与公司已披露季度报告、半年度报告相关财务指标存在重大差异</w:t>
      </w:r>
    </w:p>
    <w:p>
      <w:pPr>
        <w:pStyle w:val="BodyText"/>
        <w:spacing w:line="240" w:lineRule="auto" w:before="43"/>
        <w:ind w:right="984"/>
        <w:jc w:val="left"/>
      </w:pP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是</w:t>
      </w:r>
      <w:r>
        <w:rPr>
          <w:rFonts w:ascii="Times New Roman" w:hAnsi="Times New Roman" w:cs="Times New Roman" w:eastAsia="Times New Roman" w:hint="default"/>
        </w:rPr>
        <w:t>√</w:t>
      </w:r>
      <w:r>
        <w:rPr/>
        <w:t>否</w:t>
      </w:r>
    </w:p>
    <w:p>
      <w:pPr>
        <w:spacing w:line="240" w:lineRule="auto" w:before="3"/>
        <w:rPr>
          <w:rFonts w:ascii="宋体" w:hAnsi="宋体" w:cs="宋体" w:eastAsia="宋体" w:hint="default"/>
          <w:sz w:val="24"/>
          <w:szCs w:val="24"/>
        </w:rPr>
      </w:pPr>
    </w:p>
    <w:p>
      <w:pPr>
        <w:pStyle w:val="Heading2"/>
        <w:spacing w:line="240" w:lineRule="auto"/>
        <w:ind w:right="984"/>
        <w:jc w:val="left"/>
        <w:rPr>
          <w:rFonts w:ascii="Tahoma" w:hAnsi="Tahoma" w:cs="Tahoma" w:eastAsia="Tahoma" w:hint="default"/>
        </w:rPr>
      </w:pPr>
      <w:r>
        <w:rPr/>
        <w:t>九、非经常性损益项目及金额</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-2,989,803.88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6,519,318.68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-193,465.65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11,596,509.50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8,122,045.65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11,927,823.89</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4"/>
        <w:gridCol w:w="1522"/>
        <w:gridCol w:w="1519"/>
        <w:gridCol w:w="1522"/>
        <w:gridCol w:w="1711"/>
      </w:tblGrid>
      <w:tr>
        <w:trPr>
          <w:trHeight w:val="362"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12,908,667.30</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42,352,887.72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5,094,445.69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74,946,266.99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-3,989,571.38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-2,722,539.07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-1,664,106.36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11,127,378.19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2,616,551.84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12,876,494.36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669,875.68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-284,397.83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263,074.32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48,081,435.39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14,681,116.94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71,876,950.19</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4"/>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22"/>
        <w:jc w:val="left"/>
      </w:pPr>
      <w:r>
        <w:rPr/>
        <w:t>开发行证券的公司信息披露解释性公告第</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300" w:lineRule="auto" w:before="103"/>
        <w:ind w:right="1117"/>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5" w:right="984"/>
        <w:jc w:val="left"/>
        <w:rPr>
          <w:rFonts w:ascii="Tahoma" w:hAnsi="Tahoma" w:cs="Tahoma" w:eastAsia="Tahoma" w:hint="default"/>
        </w:rPr>
      </w:pPr>
      <w:bookmarkStart w:name="_TOC_250009" w:id="4"/>
      <w:r>
        <w:rPr/>
        <w:t>第三节</w:t>
      </w:r>
      <w:r>
        <w:rPr>
          <w:spacing w:val="10"/>
        </w:rPr>
        <w:t> </w:t>
      </w:r>
      <w:r>
        <w:rPr>
          <w:rFonts w:ascii="Tahoma" w:hAnsi="Tahoma" w:cs="Tahoma" w:eastAsia="Tahoma" w:hint="default"/>
          <w:spacing w:val="10"/>
        </w:rPr>
      </w:r>
      <w:r>
        <w:rPr/>
        <w:t>公司业务概要</w:t>
      </w:r>
      <w:r>
        <w:rPr>
          <w:rFonts w:ascii="Tahoma" w:hAnsi="Tahoma" w:cs="Tahoma" w:eastAsia="Tahoma" w:hint="default"/>
          <w:w w:val="79"/>
        </w:rPr>
        <w:t> </w:t>
      </w:r>
      <w:bookmarkEnd w:id="4"/>
      <w:r>
        <w:rPr>
          <w:rFonts w:ascii="Tahoma" w:hAnsi="Tahoma" w:cs="Tahoma" w:eastAsia="Tahoma" w:hint="default"/>
        </w:rPr>
      </w:r>
    </w:p>
    <w:p>
      <w:pPr>
        <w:spacing w:line="240" w:lineRule="auto" w:before="5"/>
        <w:rPr>
          <w:rFonts w:ascii="Tahoma" w:hAnsi="Tahoma" w:cs="Tahoma" w:eastAsia="Tahoma" w:hint="default"/>
          <w:sz w:val="42"/>
          <w:szCs w:val="42"/>
        </w:rPr>
      </w:pPr>
    </w:p>
    <w:p>
      <w:pPr>
        <w:pStyle w:val="Heading2"/>
        <w:spacing w:line="240" w:lineRule="auto"/>
        <w:ind w:right="984"/>
        <w:jc w:val="left"/>
        <w:rPr>
          <w:rFonts w:ascii="Tahoma" w:hAnsi="Tahoma" w:cs="Tahoma" w:eastAsia="Tahoma" w:hint="default"/>
        </w:rPr>
      </w:pPr>
      <w:r>
        <w:rPr/>
        <w:t>一、报告期内公司从事的主要业务</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60" w:lineRule="auto"/>
        <w:ind w:right="7694"/>
        <w:jc w:val="left"/>
      </w:pPr>
      <w:r>
        <w:rPr/>
        <w:t>公司是否需要遵守特殊行业的披露要求 否</w:t>
      </w:r>
    </w:p>
    <w:p>
      <w:pPr>
        <w:pStyle w:val="BodyText"/>
        <w:spacing w:line="240" w:lineRule="auto" w:before="25"/>
        <w:ind w:left="512" w:right="984"/>
        <w:jc w:val="left"/>
        <w:rPr>
          <w:rFonts w:ascii="Tahoma" w:hAnsi="Tahoma" w:cs="Tahoma" w:eastAsia="Tahoma" w:hint="default"/>
        </w:rPr>
      </w:pPr>
      <w:r>
        <w:rPr>
          <w:rFonts w:ascii="Tahoma" w:hAnsi="Tahoma" w:cs="Tahoma" w:eastAsia="Tahoma" w:hint="default"/>
        </w:rPr>
        <w:t>1</w:t>
      </w:r>
      <w:r>
        <w:rPr/>
        <w:t>、公司主要业务、产品及用途</w:t>
      </w:r>
      <w:r>
        <w:rPr>
          <w:rFonts w:ascii="Tahoma" w:hAnsi="Tahoma" w:cs="Tahoma" w:eastAsia="Tahoma" w:hint="default"/>
          <w:w w:val="80"/>
        </w:rPr>
        <w:t> </w:t>
      </w:r>
      <w:r>
        <w:rPr>
          <w:rFonts w:ascii="Tahoma" w:hAnsi="Tahoma" w:cs="Tahoma" w:eastAsia="Tahoma" w:hint="default"/>
        </w:rPr>
      </w:r>
    </w:p>
    <w:p>
      <w:pPr>
        <w:pStyle w:val="BodyText"/>
        <w:spacing w:line="316" w:lineRule="auto" w:before="64"/>
        <w:ind w:right="1130" w:firstLine="360"/>
        <w:jc w:val="both"/>
      </w:pPr>
      <w:r>
        <w:rPr>
          <w:spacing w:val="-2"/>
        </w:rPr>
        <w:t>公司主要从事运输包装产品、精品包装产品、标签产品、电子功能材料模切产品及创意健康纸家具产品的研发、生产与</w:t>
      </w:r>
      <w:r>
        <w:rPr/>
        <w:t> </w:t>
      </w:r>
      <w:r>
        <w:rPr>
          <w:spacing w:val="-2"/>
        </w:rPr>
        <w:t>销售，并为客户提供包装产品设计、包装方案优化、包装材料第三方采购与包装产品物流配送、供应商库存管理以及现场辅</w:t>
      </w:r>
      <w:r>
        <w:rPr>
          <w:spacing w:val="-65"/>
        </w:rPr>
        <w:t> </w:t>
      </w:r>
      <w:r>
        <w:rPr>
          <w:spacing w:val="-65"/>
        </w:rPr>
      </w:r>
      <w:r>
        <w:rPr/>
        <w:t>助包装作业等包装一体化深度服务。</w:t>
      </w:r>
    </w:p>
    <w:p>
      <w:pPr>
        <w:pStyle w:val="BodyText"/>
        <w:spacing w:line="316" w:lineRule="auto" w:before="19"/>
        <w:ind w:right="1034" w:firstLine="360"/>
        <w:jc w:val="left"/>
      </w:pPr>
      <w:r>
        <w:rPr>
          <w:spacing w:val="-2"/>
        </w:rPr>
        <w:t>公司的主要产品为轻型包装产品、重型包装产品、标签产品、电子功能材料模切产品及创意健康纸家具产品，其中轻型</w:t>
      </w:r>
      <w:r>
        <w:rPr/>
        <w:t> </w:t>
      </w:r>
      <w:r>
        <w:rPr>
          <w:spacing w:val="-2"/>
        </w:rPr>
        <w:t>包装产品为轻型瓦楞包装产品和彩印产品，重型包装产品包括重型瓦楞包装产品和重型复合包装产品，电子功能材料模切产</w:t>
      </w:r>
      <w:r>
        <w:rPr>
          <w:spacing w:val="-64"/>
        </w:rPr>
        <w:t> </w:t>
      </w:r>
      <w:r>
        <w:rPr>
          <w:spacing w:val="-64"/>
        </w:rPr>
      </w:r>
      <w:r>
        <w:rPr/>
        <w:t>品是为高端消费类电子客户提供缓冲垫片减震泡棉、粘贴胶带、保护膜、防尘网布、导电绝缘膜等电子功能材料模切产品。 </w:t>
      </w:r>
      <w:r>
        <w:rPr>
          <w:spacing w:val="-2"/>
        </w:rPr>
        <w:t>公司主要客户覆盖电子通讯、智能终端、食品饮料、保健品、家具家居、电商物流、快递速运、新能源汽车产业链等多个行</w:t>
      </w:r>
      <w:r>
        <w:rPr>
          <w:spacing w:val="-69"/>
        </w:rPr>
        <w:t> </w:t>
      </w:r>
      <w:r>
        <w:rPr>
          <w:spacing w:val="-69"/>
        </w:rPr>
      </w:r>
      <w:r>
        <w:rPr/>
        <w:t>业。</w:t>
      </w:r>
    </w:p>
    <w:p>
      <w:pPr>
        <w:pStyle w:val="BodyText"/>
        <w:spacing w:line="240" w:lineRule="auto" w:before="19"/>
        <w:ind w:left="512" w:right="984"/>
        <w:jc w:val="left"/>
        <w:rPr>
          <w:rFonts w:ascii="Tahoma" w:hAnsi="Tahoma" w:cs="Tahoma" w:eastAsia="Tahoma" w:hint="default"/>
        </w:rPr>
      </w:pPr>
      <w:r>
        <w:rPr>
          <w:rFonts w:ascii="Tahoma" w:hAnsi="Tahoma" w:cs="Tahoma" w:eastAsia="Tahoma" w:hint="default"/>
        </w:rPr>
        <w:t>2</w:t>
      </w:r>
      <w:r>
        <w:rPr/>
        <w:t>、公司主要业务模式</w:t>
      </w:r>
      <w:r>
        <w:rPr>
          <w:rFonts w:ascii="Tahoma" w:hAnsi="Tahoma" w:cs="Tahoma" w:eastAsia="Tahoma" w:hint="default"/>
          <w:w w:val="80"/>
        </w:rPr>
        <w:t> </w:t>
      </w:r>
      <w:r>
        <w:rPr>
          <w:rFonts w:ascii="Tahoma" w:hAnsi="Tahoma" w:cs="Tahoma" w:eastAsia="Tahoma" w:hint="default"/>
        </w:rPr>
      </w:r>
    </w:p>
    <w:p>
      <w:pPr>
        <w:pStyle w:val="BodyText"/>
        <w:spacing w:line="316" w:lineRule="auto" w:before="64"/>
        <w:ind w:right="984" w:firstLine="360"/>
        <w:jc w:val="left"/>
      </w:pPr>
      <w:r>
        <w:rPr>
          <w:spacing w:val="-2"/>
        </w:rPr>
        <w:t>公司始终以市场为驱动、以顾客需求为导向，于业内率先提出并构建了包装一体化服务模式，并通过持续的创新、优化</w:t>
      </w:r>
      <w:r>
        <w:rPr/>
        <w:t> </w:t>
      </w:r>
      <w:r>
        <w:rPr>
          <w:spacing w:val="-4"/>
        </w:rPr>
        <w:t>和提升，不断夯实和完善了公司包装一体化服务模式。包装一体化服务是指由包装供应商完成客户产品包装相关的所有环节，</w:t>
      </w:r>
      <w:r>
        <w:rPr>
          <w:spacing w:val="-44"/>
        </w:rPr>
        <w:t> </w:t>
      </w:r>
      <w:r>
        <w:rPr>
          <w:spacing w:val="-44"/>
        </w:rPr>
      </w:r>
      <w:r>
        <w:rPr>
          <w:spacing w:val="-2"/>
        </w:rPr>
        <w:t>即除了提供包装产品，还提供包装产品设计、包装方案优化、包装材料第三方采购与包装产品物流配送、供应商库存管理以</w:t>
      </w:r>
      <w:r>
        <w:rPr>
          <w:spacing w:val="-66"/>
        </w:rPr>
        <w:t> </w:t>
      </w:r>
      <w:r>
        <w:rPr>
          <w:spacing w:val="-66"/>
        </w:rPr>
      </w:r>
      <w:r>
        <w:rPr>
          <w:spacing w:val="-2"/>
        </w:rPr>
        <w:t>及辅助包装作业等服务。作为包装一体化服务供应商，公司兼具传统包装产品生产商、设计服务提供商、采购服务商与物流</w:t>
      </w:r>
      <w:r>
        <w:rPr>
          <w:spacing w:val="-66"/>
        </w:rPr>
        <w:t> </w:t>
      </w:r>
      <w:r>
        <w:rPr>
          <w:spacing w:val="-66"/>
        </w:rPr>
      </w:r>
      <w:r>
        <w:rPr/>
        <w:t>服务商的特点，从降低成本、提高效率、增加价值三方面切入，为客户提供包装产品与服务。</w:t>
      </w:r>
    </w:p>
    <w:p>
      <w:pPr>
        <w:pStyle w:val="BodyText"/>
        <w:spacing w:line="316" w:lineRule="auto" w:before="19"/>
        <w:ind w:right="1130" w:firstLine="360"/>
        <w:jc w:val="both"/>
      </w:pPr>
      <w:r>
        <w:rPr>
          <w:spacing w:val="-2"/>
        </w:rPr>
        <w:t>通过包装一体化服务模式，公司与众多世界知名企业和国内外细分行业龙头企业建立了深度合作关系，相互依存关系不</w:t>
      </w:r>
      <w:r>
        <w:rPr/>
        <w:t> </w:t>
      </w:r>
      <w:r>
        <w:rPr>
          <w:spacing w:val="-2"/>
        </w:rPr>
        <w:t>断增强，形成了覆盖电子通讯、智能终端、食品饮料、保健品、家具家居、家用电器、电商物流、快递速运、新能源汽车产</w:t>
      </w:r>
      <w:r>
        <w:rPr>
          <w:spacing w:val="-65"/>
        </w:rPr>
        <w:t> </w:t>
      </w:r>
      <w:r>
        <w:rPr>
          <w:spacing w:val="-65"/>
        </w:rPr>
      </w:r>
      <w:r>
        <w:rPr>
          <w:spacing w:val="-2"/>
        </w:rPr>
        <w:t>业链等多个行业的优质客户群，既有利于公司现有包装业务规模的成长，同时也为公司深挖客户需求所开拓的新产品、新业</w:t>
      </w:r>
      <w:r>
        <w:rPr>
          <w:spacing w:val="-62"/>
        </w:rPr>
        <w:t> </w:t>
      </w:r>
      <w:r>
        <w:rPr>
          <w:spacing w:val="-62"/>
        </w:rPr>
      </w:r>
      <w:r>
        <w:rPr/>
        <w:t>务的快速发展，奠定了坚实的基础。</w:t>
      </w:r>
    </w:p>
    <w:p>
      <w:pPr>
        <w:pStyle w:val="BodyText"/>
        <w:spacing w:line="240" w:lineRule="auto" w:before="53"/>
        <w:ind w:left="512" w:right="0"/>
        <w:jc w:val="left"/>
        <w:rPr>
          <w:rFonts w:ascii="Tahoma" w:hAnsi="Tahoma" w:cs="Tahoma" w:eastAsia="Tahoma" w:hint="default"/>
        </w:rPr>
      </w:pPr>
      <w:r>
        <w:rPr>
          <w:rFonts w:ascii="Tahoma"/>
          <w:w w:val="80"/>
        </w:rPr>
        <w:t> </w:t>
      </w:r>
      <w:r>
        <w:rPr>
          <w:rFonts w:ascii="Tahoma"/>
        </w:rPr>
      </w:r>
    </w:p>
    <w:p>
      <w:pPr>
        <w:pStyle w:val="BodyText"/>
        <w:spacing w:line="240" w:lineRule="auto" w:before="59"/>
        <w:ind w:left="512" w:right="984"/>
        <w:jc w:val="left"/>
        <w:rPr>
          <w:rFonts w:ascii="Tahoma" w:hAnsi="Tahoma" w:cs="Tahoma" w:eastAsia="Tahoma" w:hint="default"/>
        </w:rPr>
      </w:pPr>
      <w:r>
        <w:rPr>
          <w:rFonts w:ascii="Tahoma" w:hAnsi="Tahoma" w:cs="Tahoma" w:eastAsia="Tahoma" w:hint="default"/>
        </w:rPr>
        <w:t>3</w:t>
      </w:r>
      <w:r>
        <w:rPr/>
        <w:t>、公司所属行业的发展阶段、周期性特点及公司所处的行业地位</w:t>
      </w:r>
      <w:r>
        <w:rPr>
          <w:rFonts w:ascii="Tahoma" w:hAnsi="Tahoma" w:cs="Tahoma" w:eastAsia="Tahoma" w:hint="default"/>
          <w:w w:val="80"/>
        </w:rPr>
        <w:t> </w:t>
      </w:r>
      <w:r>
        <w:rPr>
          <w:rFonts w:ascii="Tahoma" w:hAnsi="Tahoma" w:cs="Tahoma" w:eastAsia="Tahoma" w:hint="default"/>
        </w:rPr>
      </w:r>
    </w:p>
    <w:p>
      <w:pPr>
        <w:pStyle w:val="BodyText"/>
        <w:spacing w:line="307" w:lineRule="auto" w:before="64"/>
        <w:ind w:right="984" w:firstLine="360"/>
        <w:jc w:val="left"/>
      </w:pPr>
      <w:r>
        <w:rPr>
          <w:spacing w:val="-4"/>
        </w:rPr>
        <w:t>公司主营业务属于包装产业五大子行业之一的纸质包装行业。国内包装产业经过</w:t>
      </w:r>
      <w:r>
        <w:rPr>
          <w:rFonts w:ascii="Times New Roman" w:hAnsi="Times New Roman" w:cs="Times New Roman" w:eastAsia="Times New Roman" w:hint="default"/>
          <w:spacing w:val="-4"/>
        </w:rPr>
        <w:t>30</w:t>
      </w:r>
      <w:r>
        <w:rPr>
          <w:spacing w:val="-4"/>
        </w:rPr>
        <w:t>多年的发展，已建成涵盖设计、生产、</w:t>
      </w:r>
      <w:r>
        <w:rPr/>
        <w:t> </w:t>
      </w:r>
      <w:r>
        <w:rPr>
          <w:spacing w:val="-2"/>
        </w:rPr>
        <w:t>检测、流通、回收循环利用等产品全生命周期的较为完善的体系，分为纸质包装、塑料包装、金属包装、玻璃包装、竹木包</w:t>
      </w:r>
      <w:r>
        <w:rPr>
          <w:spacing w:val="-69"/>
        </w:rPr>
        <w:t> </w:t>
      </w:r>
      <w:r>
        <w:rPr>
          <w:spacing w:val="-69"/>
        </w:rPr>
      </w:r>
      <w:r>
        <w:rPr>
          <w:spacing w:val="-5"/>
        </w:rPr>
        <w:t>装五大子行业。包装工业为中国制造体系的重要组成部分。根据中国包装联合会发布的《中国包装行业年度运行报告》，</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年，全国包装行业规模以上企业</w:t>
      </w:r>
      <w:r>
        <w:rPr>
          <w:rFonts w:ascii="Times New Roman" w:hAnsi="Times New Roman" w:cs="Times New Roman" w:eastAsia="Times New Roman" w:hint="default"/>
        </w:rPr>
        <w:t>7650</w:t>
      </w:r>
      <w:r>
        <w:rPr/>
        <w:t>家，累计完成主营业务收入</w:t>
      </w:r>
      <w:r>
        <w:rPr>
          <w:rFonts w:ascii="Times New Roman" w:hAnsi="Times New Roman" w:cs="Times New Roman" w:eastAsia="Times New Roman" w:hint="default"/>
        </w:rPr>
        <w:t>11,719</w:t>
      </w:r>
      <w:r>
        <w:rPr/>
        <w:t>亿元，市场规模巨大。</w:t>
      </w:r>
    </w:p>
    <w:p>
      <w:pPr>
        <w:pStyle w:val="BodyText"/>
        <w:spacing w:line="300" w:lineRule="auto" w:before="7"/>
        <w:ind w:right="1134" w:firstLine="360"/>
        <w:jc w:val="left"/>
      </w:pPr>
      <w:r>
        <w:rPr/>
        <w:t>同时，我国包装印刷市场发展起步较晚，与发达国家成熟包装印刷市场产业高度集中的情况相比，呈现出</w:t>
      </w:r>
      <w:r>
        <w:rPr>
          <w:rFonts w:ascii="Times New Roman" w:hAnsi="Times New Roman" w:cs="Times New Roman" w:eastAsia="Times New Roman" w:hint="default"/>
        </w:rPr>
        <w:t>“</w:t>
      </w:r>
      <w:r>
        <w:rPr/>
        <w:t>大行业、小 公司</w:t>
      </w:r>
      <w:r>
        <w:rPr>
          <w:rFonts w:ascii="Times New Roman" w:hAnsi="Times New Roman" w:cs="Times New Roman" w:eastAsia="Times New Roman" w:hint="default"/>
        </w:rPr>
        <w:t>”</w:t>
      </w:r>
      <w:r>
        <w:rPr/>
        <w:t>的特点。</w:t>
      </w:r>
    </w:p>
    <w:p>
      <w:pPr>
        <w:pStyle w:val="BodyText"/>
        <w:spacing w:line="316" w:lineRule="auto" w:before="13"/>
        <w:ind w:right="1130" w:firstLine="360"/>
        <w:jc w:val="both"/>
      </w:pPr>
      <w:r>
        <w:rPr>
          <w:spacing w:val="-2"/>
        </w:rPr>
        <w:t>报告期内，行业集中度继续呈现不断提升的态势，部分竞争力较弱的中小纸包装企业面临较大的经营压力，具有竞争优</w:t>
      </w:r>
      <w:r>
        <w:rPr/>
        <w:t> </w:t>
      </w:r>
      <w:r>
        <w:rPr>
          <w:spacing w:val="-2"/>
        </w:rPr>
        <w:t>势的包装企业新客户开发及获得优质订单的能力凸显。公司为行业内的领先企业，在服务模式、研发设计、制造平台、经营</w:t>
      </w:r>
      <w:r>
        <w:rPr>
          <w:spacing w:val="-66"/>
        </w:rPr>
        <w:t> </w:t>
      </w:r>
      <w:r>
        <w:rPr>
          <w:spacing w:val="-66"/>
        </w:rPr>
      </w:r>
      <w:r>
        <w:rPr/>
        <w:t>管理及产品品牌等方面已形成自身突出的竞争优势，具有众多优质的世界级知名品牌企业或国内细分行业领先企业客户资</w:t>
      </w:r>
      <w:r>
        <w:rPr>
          <w:spacing w:val="-25"/>
        </w:rPr>
        <w:t> </w:t>
      </w:r>
      <w:r>
        <w:rPr>
          <w:spacing w:val="-25"/>
        </w:rPr>
      </w:r>
      <w:r>
        <w:rPr>
          <w:spacing w:val="-2"/>
        </w:rPr>
        <w:t>源，客户群广泛分布于电子通讯、智能终端、食品饮料、保健品、家具家居、电商物流、快递速运、新能源汽车产业链等优</w:t>
      </w:r>
      <w:r>
        <w:rPr>
          <w:spacing w:val="-64"/>
        </w:rPr>
        <w:t> </w:t>
      </w:r>
      <w:r>
        <w:rPr>
          <w:spacing w:val="-64"/>
        </w:rPr>
      </w:r>
      <w:r>
        <w:rPr/>
        <w:t>势产业，公司主要客户自身业务稳定，使得公司业务稳定，受商业周期变化的影响较小。</w:t>
      </w:r>
    </w:p>
    <w:p>
      <w:pPr>
        <w:spacing w:after="0" w:line="316" w:lineRule="auto"/>
        <w:jc w:val="both"/>
        <w:sectPr>
          <w:footerReference w:type="default" r:id="rId12"/>
          <w:pgSz w:w="11910" w:h="16840"/>
          <w:pgMar w:footer="982" w:header="753" w:top="1060" w:bottom="1180" w:left="980" w:right="0"/>
          <w:pgNumType w:start="10"/>
        </w:sectPr>
      </w:pPr>
    </w:p>
    <w:p>
      <w:pPr>
        <w:spacing w:line="240" w:lineRule="auto" w:before="8"/>
        <w:rPr>
          <w:rFonts w:ascii="宋体" w:hAnsi="宋体" w:cs="宋体" w:eastAsia="宋体" w:hint="default"/>
          <w:sz w:val="23"/>
          <w:szCs w:val="23"/>
        </w:rPr>
      </w:pPr>
    </w:p>
    <w:p>
      <w:pPr>
        <w:pStyle w:val="Heading2"/>
        <w:spacing w:line="240" w:lineRule="auto" w:before="26"/>
        <w:ind w:right="984"/>
        <w:jc w:val="left"/>
        <w:rPr>
          <w:rFonts w:ascii="Tahoma" w:hAnsi="Tahoma" w:cs="Tahoma" w:eastAsia="Tahoma" w:hint="default"/>
        </w:rPr>
      </w:pPr>
      <w:r>
        <w:rPr/>
        <w:t>二、主要资产重大变化情况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、主要资产重大变化情况</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3050"/>
        <w:gridCol w:w="6518"/>
      </w:tblGrid>
      <w:tr>
        <w:trPr>
          <w:trHeight w:val="187" w:hRule="exact"/>
        </w:trPr>
        <w:tc>
          <w:tcPr>
            <w:tcW w:w="305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30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317" w:hRule="exact"/>
        </w:trPr>
        <w:tc>
          <w:tcPr>
            <w:tcW w:w="305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8"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固定资产较</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34,995.62</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万元，增长</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40.26%</w:t>
            </w:r>
            <w:r>
              <w:rPr>
                <w:rFonts w:ascii="宋体" w:hAnsi="宋体" w:cs="宋体" w:eastAsia="宋体" w:hint="default"/>
                <w:spacing w:val="-3"/>
                <w:sz w:val="18"/>
                <w:szCs w:val="18"/>
              </w:rPr>
              <w:t>，主要系本期低碳环保包装</w:t>
            </w:r>
          </w:p>
          <w:p>
            <w:pPr>
              <w:pStyle w:val="TableParagraph"/>
              <w:spacing w:line="300" w:lineRule="auto" w:before="63"/>
              <w:ind w:left="23" w:right="47"/>
              <w:jc w:val="left"/>
              <w:rPr>
                <w:rFonts w:ascii="宋体" w:hAnsi="宋体" w:cs="宋体" w:eastAsia="宋体" w:hint="default"/>
                <w:sz w:val="18"/>
                <w:szCs w:val="18"/>
              </w:rPr>
            </w:pPr>
            <w:r>
              <w:rPr>
                <w:rFonts w:ascii="宋体" w:hAnsi="宋体" w:cs="宋体" w:eastAsia="宋体" w:hint="default"/>
                <w:sz w:val="18"/>
                <w:szCs w:val="18"/>
              </w:rPr>
              <w:t>研发总部基地项目、包装印刷工业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智慧型工厂（苏州）精品盒项目已达到预定 可使用状态的房屋建筑物转入固定资产及购买生产设备所致。</w:t>
            </w:r>
          </w:p>
        </w:tc>
      </w:tr>
      <w:tr>
        <w:trPr>
          <w:trHeight w:val="391" w:hRule="exact"/>
        </w:trPr>
        <w:tc>
          <w:tcPr>
            <w:tcW w:w="30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8" w:type="dxa"/>
            <w:vMerge/>
            <w:tcBorders>
              <w:left w:val="single" w:sz="4" w:space="0" w:color="000000"/>
              <w:right w:val="single" w:sz="4" w:space="0" w:color="000000"/>
            </w:tcBorders>
          </w:tcPr>
          <w:p>
            <w:pPr/>
          </w:p>
        </w:tc>
      </w:tr>
      <w:tr>
        <w:trPr>
          <w:trHeight w:val="317" w:hRule="exact"/>
        </w:trPr>
        <w:tc>
          <w:tcPr>
            <w:tcW w:w="305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8" w:type="dxa"/>
            <w:vMerge/>
            <w:tcBorders>
              <w:left w:val="single" w:sz="4" w:space="0" w:color="000000"/>
              <w:bottom w:val="single" w:sz="4" w:space="0" w:color="000000"/>
              <w:right w:val="single" w:sz="4" w:space="0" w:color="000000"/>
            </w:tcBorders>
          </w:tcPr>
          <w:p>
            <w:pPr/>
          </w:p>
        </w:tc>
      </w:tr>
      <w:tr>
        <w:trPr>
          <w:trHeight w:val="163" w:hRule="exact"/>
        </w:trPr>
        <w:tc>
          <w:tcPr>
            <w:tcW w:w="305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8" w:type="dxa"/>
            <w:vMerge w:val="restart"/>
            <w:tcBorders>
              <w:top w:val="single" w:sz="4" w:space="0" w:color="000000"/>
              <w:left w:val="single" w:sz="4" w:space="0" w:color="000000"/>
              <w:right w:val="single" w:sz="4" w:space="0" w:color="000000"/>
            </w:tcBorders>
          </w:tcPr>
          <w:p>
            <w:pPr>
              <w:pStyle w:val="TableParagraph"/>
              <w:spacing w:line="297"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无形资产较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2,553.30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万元，增长</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6.50%</w:t>
            </w:r>
            <w:r>
              <w:rPr>
                <w:rFonts w:ascii="宋体" w:hAnsi="宋体" w:cs="宋体" w:eastAsia="宋体" w:hint="default"/>
                <w:spacing w:val="-3"/>
                <w:sz w:val="18"/>
                <w:szCs w:val="18"/>
              </w:rPr>
              <w:t>，主要系本期郑州美盈森取得</w:t>
            </w:r>
            <w:r>
              <w:rPr>
                <w:rFonts w:ascii="宋体" w:hAnsi="宋体" w:cs="宋体" w:eastAsia="宋体" w:hint="default"/>
                <w:sz w:val="18"/>
                <w:szCs w:val="18"/>
              </w:rPr>
              <w:t> 土地使用权所致。</w:t>
            </w:r>
          </w:p>
        </w:tc>
      </w:tr>
      <w:tr>
        <w:trPr>
          <w:trHeight w:val="391" w:hRule="exact"/>
        </w:trPr>
        <w:tc>
          <w:tcPr>
            <w:tcW w:w="30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8" w:type="dxa"/>
            <w:vMerge/>
            <w:tcBorders>
              <w:left w:val="single" w:sz="4" w:space="0" w:color="000000"/>
              <w:right w:val="single" w:sz="4" w:space="0" w:color="000000"/>
            </w:tcBorders>
          </w:tcPr>
          <w:p>
            <w:pPr/>
          </w:p>
        </w:tc>
      </w:tr>
      <w:tr>
        <w:trPr>
          <w:trHeight w:val="161" w:hRule="exact"/>
        </w:trPr>
        <w:tc>
          <w:tcPr>
            <w:tcW w:w="305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8" w:type="dxa"/>
            <w:vMerge/>
            <w:tcBorders>
              <w:left w:val="single" w:sz="4" w:space="0" w:color="000000"/>
              <w:bottom w:val="single" w:sz="4" w:space="0" w:color="000000"/>
              <w:right w:val="single" w:sz="4" w:space="0" w:color="000000"/>
            </w:tcBorders>
          </w:tcPr>
          <w:p>
            <w:pPr/>
          </w:p>
        </w:tc>
      </w:tr>
      <w:tr>
        <w:trPr>
          <w:trHeight w:val="473" w:hRule="exact"/>
        </w:trPr>
        <w:tc>
          <w:tcPr>
            <w:tcW w:w="305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8"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在建工程较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7,743.95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32.38%</w:t>
            </w:r>
            <w:r>
              <w:rPr>
                <w:rFonts w:ascii="宋体" w:hAnsi="宋体" w:cs="宋体" w:eastAsia="宋体" w:hint="default"/>
                <w:sz w:val="18"/>
                <w:szCs w:val="18"/>
              </w:rPr>
              <w:t>，主要系本期包装印刷工业</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 </w:t>
            </w:r>
            <w:r>
              <w:rPr>
                <w:rFonts w:ascii="宋体" w:hAnsi="宋体" w:cs="宋体" w:eastAsia="宋体" w:hint="default"/>
                <w:spacing w:val="-3"/>
                <w:sz w:val="18"/>
                <w:szCs w:val="18"/>
              </w:rPr>
              <w:t>智慧型工厂（成都）项目、包装印刷工业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智慧型工厂（长沙）项目、包装印</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刷工业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智慧型工厂（六安）项目、美盈森包装印刷工业进出口贸易及保税加工</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（岳阳）项目工程投入增加所致。</w:t>
            </w:r>
          </w:p>
        </w:tc>
      </w:tr>
      <w:tr>
        <w:trPr>
          <w:trHeight w:val="391" w:hRule="exact"/>
        </w:trPr>
        <w:tc>
          <w:tcPr>
            <w:tcW w:w="30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8" w:type="dxa"/>
            <w:vMerge/>
            <w:tcBorders>
              <w:left w:val="single" w:sz="4" w:space="0" w:color="000000"/>
              <w:right w:val="single" w:sz="4" w:space="0" w:color="000000"/>
            </w:tcBorders>
          </w:tcPr>
          <w:p>
            <w:pPr/>
          </w:p>
        </w:tc>
      </w:tr>
      <w:tr>
        <w:trPr>
          <w:trHeight w:val="473" w:hRule="exact"/>
        </w:trPr>
        <w:tc>
          <w:tcPr>
            <w:tcW w:w="305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8" w:type="dxa"/>
            <w:vMerge/>
            <w:tcBorders>
              <w:left w:val="single" w:sz="4" w:space="0" w:color="000000"/>
              <w:bottom w:val="single" w:sz="4" w:space="0" w:color="000000"/>
              <w:right w:val="single" w:sz="4" w:space="0" w:color="000000"/>
            </w:tcBorders>
          </w:tcPr>
          <w:p>
            <w:pP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投资性房地产较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6,327.35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14.26%</w:t>
            </w:r>
            <w:r>
              <w:rPr>
                <w:rFonts w:ascii="宋体" w:hAnsi="宋体" w:cs="宋体" w:eastAsia="宋体" w:hint="default"/>
                <w:sz w:val="18"/>
                <w:szCs w:val="18"/>
              </w:rPr>
              <w:t>，主要系本期子公司成 都美盈森房产出租增加所致。</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商誉较</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年末减少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2,997.92</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万元，减少</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100.00%</w:t>
            </w:r>
            <w:r>
              <w:rPr>
                <w:rFonts w:ascii="宋体" w:hAnsi="宋体" w:cs="宋体" w:eastAsia="宋体" w:hint="default"/>
                <w:spacing w:val="-3"/>
                <w:sz w:val="18"/>
                <w:szCs w:val="18"/>
              </w:rPr>
              <w:t>，主要系本期计提金之彩商誉减</w:t>
            </w:r>
            <w:r>
              <w:rPr>
                <w:rFonts w:ascii="宋体" w:hAnsi="宋体" w:cs="宋体" w:eastAsia="宋体" w:hint="default"/>
                <w:sz w:val="18"/>
                <w:szCs w:val="18"/>
              </w:rPr>
              <w:t> 值准备所致。</w:t>
            </w:r>
          </w:p>
        </w:tc>
      </w:tr>
    </w:tbl>
    <w:p>
      <w:pPr>
        <w:spacing w:line="240" w:lineRule="auto" w:before="10"/>
        <w:rPr>
          <w:rFonts w:ascii="Tahoma" w:hAnsi="Tahoma" w:cs="Tahoma" w:eastAsia="Tahoma" w:hint="default"/>
          <w:sz w:val="20"/>
          <w:szCs w:val="20"/>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2</w:t>
      </w:r>
      <w:r>
        <w:rPr/>
        <w:t>、主要境外资产情况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1063"/>
        <w:gridCol w:w="1063"/>
        <w:gridCol w:w="1063"/>
        <w:gridCol w:w="1066"/>
        <w:gridCol w:w="1063"/>
        <w:gridCol w:w="1063"/>
        <w:gridCol w:w="1066"/>
        <w:gridCol w:w="1061"/>
        <w:gridCol w:w="1061"/>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8" w:right="74" w:hanging="272"/>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2"/>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美国美盈森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自主投资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5,505,146.07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美国加州森 尼韦尔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全资控股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-1,365,739.11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3"/>
              <w:jc w:val="center"/>
              <w:rPr>
                <w:rFonts w:ascii="宋体" w:hAnsi="宋体" w:cs="宋体" w:eastAsia="宋体" w:hint="default"/>
                <w:sz w:val="18"/>
                <w:szCs w:val="18"/>
              </w:rPr>
            </w:pPr>
            <w:r>
              <w:rPr>
                <w:rFonts w:ascii="宋体" w:hAnsi="宋体" w:cs="宋体" w:eastAsia="宋体" w:hint="default"/>
                <w:sz w:val="18"/>
                <w:szCs w:val="18"/>
              </w:rPr>
              <w:t>越南美盈森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自主投资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44,673,886.8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both"/>
              <w:rPr>
                <w:rFonts w:ascii="宋体" w:hAnsi="宋体" w:cs="宋体" w:eastAsia="宋体" w:hint="default"/>
                <w:sz w:val="18"/>
                <w:szCs w:val="18"/>
              </w:rPr>
            </w:pPr>
            <w:r>
              <w:rPr>
                <w:rFonts w:ascii="宋体" w:hAnsi="宋体" w:cs="宋体" w:eastAsia="宋体" w:hint="default"/>
                <w:sz w:val="18"/>
                <w:szCs w:val="18"/>
              </w:rPr>
              <w:t>北宁省北宁 市南山社桂 武工业区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全资控股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1,687,985.13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0.97%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984"/>
        <w:jc w:val="left"/>
        <w:rPr>
          <w:rFonts w:ascii="Tahoma" w:hAnsi="Tahoma" w:cs="Tahoma" w:eastAsia="Tahoma" w:hint="default"/>
        </w:rPr>
      </w:pPr>
      <w:r>
        <w:rPr/>
        <w:t>三、核心竞争力分析</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60" w:lineRule="auto"/>
        <w:ind w:right="7694"/>
        <w:jc w:val="left"/>
      </w:pPr>
      <w:r>
        <w:rPr/>
        <w:t>公司是否需要遵守特殊行业的披露要求 否</w:t>
      </w:r>
    </w:p>
    <w:p>
      <w:pPr>
        <w:pStyle w:val="BodyText"/>
        <w:spacing w:line="300" w:lineRule="auto" w:before="25"/>
        <w:ind w:left="512" w:right="984"/>
        <w:jc w:val="left"/>
      </w:pPr>
      <w:r>
        <w:rPr>
          <w:rFonts w:ascii="Times New Roman" w:hAnsi="Times New Roman" w:cs="Times New Roman" w:eastAsia="Times New Roman" w:hint="default"/>
        </w:rPr>
        <w:t>1</w:t>
      </w:r>
      <w:r>
        <w:rPr/>
        <w:t>、高端制造及智慧制造平台优势 </w:t>
      </w:r>
      <w:r>
        <w:rPr>
          <w:spacing w:val="-2"/>
        </w:rPr>
        <w:t>面对复杂多变的外部环境，公司坚信，谁掌握智慧制造平台，谁就能把握竞争主动权。公司在深圳、东莞、苏州、重庆</w:t>
      </w:r>
    </w:p>
    <w:p>
      <w:pPr>
        <w:pStyle w:val="BodyText"/>
        <w:spacing w:line="316" w:lineRule="auto" w:before="31"/>
        <w:ind w:left="512" w:right="984" w:hanging="360"/>
        <w:jc w:val="left"/>
      </w:pPr>
      <w:r>
        <w:rPr/>
        <w:t>拥有四个高端包装研发、生产基地，并通过持续投建智慧工厂，扩大公司产能，提升制造水平。 </w:t>
      </w:r>
      <w:r>
        <w:rPr>
          <w:spacing w:val="-2"/>
        </w:rPr>
        <w:t>公司智慧工厂所采用的瓦楞纸板生产线、原纸物流系统、全自动纸板物流系统及印刷联动线均处于行业领先水平，叠加</w:t>
      </w:r>
    </w:p>
    <w:p>
      <w:pPr>
        <w:spacing w:after="0" w:line="316"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16" w:lineRule="auto" w:before="37"/>
        <w:ind w:right="984"/>
        <w:jc w:val="left"/>
      </w:pPr>
      <w:r>
        <w:rPr>
          <w:spacing w:val="-2"/>
        </w:rPr>
        <w:t>上公司在纸包装领域多年的研发、生产技术及经验积累，实现从原材料到产成品的生产过程智能化，能为客户提供优质、高</w:t>
      </w:r>
      <w:r>
        <w:rPr>
          <w:spacing w:val="-66"/>
        </w:rPr>
        <w:t> </w:t>
      </w:r>
      <w:r>
        <w:rPr>
          <w:spacing w:val="-66"/>
        </w:rPr>
      </w:r>
      <w:r>
        <w:rPr/>
        <w:t>效、价优的包装服务。</w:t>
      </w:r>
    </w:p>
    <w:p>
      <w:pPr>
        <w:pStyle w:val="BodyText"/>
        <w:spacing w:line="300" w:lineRule="auto" w:before="19"/>
        <w:ind w:left="512" w:right="984"/>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月逐步投入使用的东莞智慧工厂，生产效率更高，产品品质更稳定，人员投入更少，智慧生产效果初显。 </w:t>
      </w:r>
      <w:r>
        <w:rPr>
          <w:spacing w:val="-2"/>
        </w:rPr>
        <w:t>公司布局于成都、长沙、六安、苏州、佛山等地智慧制造平台正处于建设或筹建之中，其中成都、长沙、六安智慧工厂</w:t>
      </w:r>
    </w:p>
    <w:p>
      <w:pPr>
        <w:pStyle w:val="BodyText"/>
        <w:spacing w:line="300" w:lineRule="auto" w:before="31"/>
        <w:ind w:left="512" w:right="984" w:hanging="360"/>
        <w:jc w:val="left"/>
      </w:pPr>
      <w:r>
        <w:rPr/>
        <w:t>预计将在</w:t>
      </w:r>
      <w:r>
        <w:rPr>
          <w:rFonts w:ascii="Times New Roman" w:hAnsi="Times New Roman" w:cs="Times New Roman" w:eastAsia="Times New Roman" w:hint="default"/>
        </w:rPr>
        <w:t>2019</w:t>
      </w:r>
      <w:r>
        <w:rPr/>
        <w:t>年上半年逐步投入使用。智慧工厂将成为公司在未来竞争中脱颖而出的重要优势之一。 </w:t>
      </w:r>
      <w:r>
        <w:rPr>
          <w:rFonts w:ascii="Times New Roman" w:hAnsi="Times New Roman" w:cs="Times New Roman" w:eastAsia="Times New Roman" w:hint="default"/>
        </w:rPr>
        <w:t>2</w:t>
      </w:r>
      <w:r>
        <w:rPr/>
        <w:t>、持续创新技术研发优势 </w:t>
      </w:r>
      <w:r>
        <w:rPr>
          <w:spacing w:val="-2"/>
        </w:rPr>
        <w:t>公司在深圳、东莞、苏州、重庆、台湾、美国等地设立了专门的研发中心，中心聚集了包装领域资深专家领衔的数百人</w:t>
      </w:r>
    </w:p>
    <w:p>
      <w:pPr>
        <w:pStyle w:val="BodyText"/>
        <w:spacing w:line="309" w:lineRule="auto" w:before="31"/>
        <w:ind w:right="1034"/>
        <w:jc w:val="left"/>
      </w:pPr>
      <w:r>
        <w:rPr>
          <w:spacing w:val="-2"/>
        </w:rPr>
        <w:t>的研发技术队伍，同时与高校建立了长期技术合作关系。公司、苏州美盈森、东莞美盈森、东莞美芯龙等为国家级高新技术</w:t>
      </w:r>
      <w:r>
        <w:rPr>
          <w:spacing w:val="-69"/>
        </w:rPr>
        <w:t> </w:t>
      </w:r>
      <w:r>
        <w:rPr>
          <w:spacing w:val="-69"/>
        </w:rPr>
      </w:r>
      <w:r>
        <w:rPr/>
        <w:t>企业。截至目前，公司及下属子公司共拥有国家专利</w:t>
      </w:r>
      <w:r>
        <w:rPr>
          <w:rFonts w:ascii="Times New Roman" w:hAnsi="Times New Roman" w:cs="Times New Roman" w:eastAsia="Times New Roman" w:hint="default"/>
        </w:rPr>
        <w:t>332</w:t>
      </w:r>
      <w:r>
        <w:rPr/>
        <w:t>项，其中包括</w:t>
      </w:r>
      <w:r>
        <w:rPr>
          <w:rFonts w:ascii="Times New Roman" w:hAnsi="Times New Roman" w:cs="Times New Roman" w:eastAsia="Times New Roman" w:hint="default"/>
        </w:rPr>
        <w:t>75</w:t>
      </w:r>
      <w:r>
        <w:rPr/>
        <w:t>项发明专利、</w:t>
      </w:r>
      <w:r>
        <w:rPr>
          <w:rFonts w:ascii="Times New Roman" w:hAnsi="Times New Roman" w:cs="Times New Roman" w:eastAsia="Times New Roman" w:hint="default"/>
        </w:rPr>
        <w:t>246</w:t>
      </w:r>
      <w:r>
        <w:rPr/>
        <w:t>项实用新型专利和</w:t>
      </w:r>
      <w:r>
        <w:rPr>
          <w:rFonts w:ascii="Times New Roman" w:hAnsi="Times New Roman" w:cs="Times New Roman" w:eastAsia="Times New Roman" w:hint="default"/>
        </w:rPr>
        <w:t>11</w:t>
      </w:r>
      <w:r>
        <w:rPr/>
        <w:t>项外观专利， 是</w:t>
      </w:r>
      <w:r>
        <w:rPr>
          <w:rFonts w:ascii="Times New Roman" w:hAnsi="Times New Roman" w:cs="Times New Roman" w:eastAsia="Times New Roman" w:hint="default"/>
        </w:rPr>
        <w:t>29</w:t>
      </w:r>
      <w:r>
        <w:rPr/>
        <w:t>项国家包装标准的主要起草或参与起草单位，专利和标准数量业内排名前列。</w:t>
      </w:r>
    </w:p>
    <w:p>
      <w:pPr>
        <w:pStyle w:val="BodyText"/>
        <w:spacing w:line="304" w:lineRule="auto" w:before="5"/>
        <w:ind w:right="1130" w:firstLine="360"/>
        <w:jc w:val="both"/>
      </w:pPr>
      <w:r>
        <w:rPr/>
        <w:t>公司深圳研发中心被深圳市人民政府认定为</w:t>
      </w:r>
      <w:r>
        <w:rPr>
          <w:rFonts w:ascii="Times New Roman" w:hAnsi="Times New Roman" w:cs="Times New Roman" w:eastAsia="Times New Roman" w:hint="default"/>
        </w:rPr>
        <w:t>“</w:t>
      </w:r>
      <w:r>
        <w:rPr/>
        <w:t>市级技术中心</w:t>
      </w:r>
      <w:r>
        <w:rPr>
          <w:spacing w:val="5"/>
        </w:rPr>
        <w:t> </w:t>
      </w:r>
      <w:r>
        <w:rPr>
          <w:rFonts w:ascii="Times New Roman" w:hAnsi="Times New Roman" w:cs="Times New Roman" w:eastAsia="Times New Roman" w:hint="default"/>
        </w:rPr>
        <w:t>”</w:t>
      </w:r>
      <w:r>
        <w:rPr/>
        <w:t>，东莞美盈森被认定为第十五批广东省省级企业技术中心 </w:t>
      </w:r>
      <w:r>
        <w:rPr>
          <w:spacing w:val="-1"/>
        </w:rPr>
        <w:t>之一，东莞美盈森检测中心获得了中国合格评定国家认可委员会（</w:t>
      </w:r>
      <w:r>
        <w:rPr>
          <w:rFonts w:ascii="Times New Roman" w:hAnsi="Times New Roman" w:cs="Times New Roman" w:eastAsia="Times New Roman" w:hint="default"/>
          <w:spacing w:val="-1"/>
        </w:rPr>
        <w:t>CNAS</w:t>
      </w:r>
      <w:r>
        <w:rPr>
          <w:spacing w:val="-1"/>
        </w:rPr>
        <w:t>）实验室认可证书。公司实验室获得国际安全运输</w:t>
      </w:r>
      <w:r>
        <w:rPr>
          <w:spacing w:val="-59"/>
        </w:rPr>
        <w:t> </w:t>
      </w:r>
      <w:r>
        <w:rPr>
          <w:spacing w:val="-59"/>
        </w:rPr>
      </w:r>
      <w:r>
        <w:rPr/>
        <w:t>协会（</w:t>
      </w:r>
      <w:r>
        <w:rPr>
          <w:rFonts w:ascii="Times New Roman" w:hAnsi="Times New Roman" w:cs="Times New Roman" w:eastAsia="Times New Roman" w:hint="default"/>
        </w:rPr>
        <w:t>ISTA</w:t>
      </w:r>
      <w:r>
        <w:rPr/>
        <w:t>）实验室认可证书。通过产品外观设计、缓冲设计、一体化设计等措施，在实现客户对于包装基础功能诉求的</w:t>
      </w:r>
      <w:r>
        <w:rPr>
          <w:spacing w:val="-54"/>
        </w:rPr>
        <w:t> </w:t>
      </w:r>
      <w:r>
        <w:rPr>
          <w:spacing w:val="-54"/>
        </w:rPr>
      </w:r>
      <w:r>
        <w:rPr>
          <w:spacing w:val="-2"/>
        </w:rPr>
        <w:t>同时提升了产品的视觉表达效果和艺术水平，并降低了客户的综合包装成本，在为客户创造价值的过程中形成了独特的竞争</w:t>
      </w:r>
      <w:r>
        <w:rPr>
          <w:spacing w:val="-64"/>
        </w:rPr>
        <w:t> </w:t>
      </w:r>
      <w:r>
        <w:rPr>
          <w:spacing w:val="-64"/>
        </w:rPr>
      </w:r>
      <w:r>
        <w:rPr/>
        <w:t>优势。</w:t>
      </w:r>
    </w:p>
    <w:p>
      <w:pPr>
        <w:pStyle w:val="BodyText"/>
        <w:spacing w:line="307" w:lineRule="auto" w:before="28"/>
        <w:ind w:right="984" w:firstLine="360"/>
        <w:jc w:val="left"/>
      </w:pPr>
      <w:r>
        <w:rPr/>
        <w:t>公司历来重视技术研发及科技创新，尤其在新材料研发方面。</w:t>
      </w:r>
      <w:r>
        <w:rPr>
          <w:rFonts w:ascii="Times New Roman" w:hAnsi="Times New Roman" w:cs="Times New Roman" w:eastAsia="Times New Roman" w:hint="default"/>
        </w:rPr>
        <w:t>“</w:t>
      </w:r>
      <w:r>
        <w:rPr/>
        <w:t>零度板</w:t>
      </w:r>
      <w:r>
        <w:rPr>
          <w:rFonts w:ascii="Times New Roman" w:hAnsi="Times New Roman" w:cs="Times New Roman" w:eastAsia="Times New Roman" w:hint="default"/>
        </w:rPr>
        <w:t>”</w:t>
      </w:r>
      <w:r>
        <w:rPr/>
        <w:t>是公司技术人员多年来潜心研发出的一种新型环 保纸制品材料，已经具备甲醛含量趋近于零、超轻安全、防水防潮、低碳环保、可定制化等特点。使用</w:t>
      </w:r>
      <w:r>
        <w:rPr>
          <w:rFonts w:ascii="Times New Roman" w:hAnsi="Times New Roman" w:cs="Times New Roman" w:eastAsia="Times New Roman" w:hint="default"/>
        </w:rPr>
        <w:t>“</w:t>
      </w:r>
      <w:r>
        <w:rPr/>
        <w:t>零度板</w:t>
      </w:r>
      <w:r>
        <w:rPr>
          <w:rFonts w:ascii="Times New Roman" w:hAnsi="Times New Roman" w:cs="Times New Roman" w:eastAsia="Times New Roman" w:hint="default"/>
        </w:rPr>
        <w:t>”</w:t>
      </w:r>
      <w:r>
        <w:rPr/>
        <w:t>制作的创意 </w:t>
      </w:r>
      <w:r>
        <w:rPr>
          <w:spacing w:val="-4"/>
        </w:rPr>
        <w:t>健康纸家具，与板式家具相比具有独特的优势，深受市场用户的好评。创意健康纸家具主要面向包括幼儿园、特色班、学校、</w:t>
      </w:r>
      <w:r>
        <w:rPr>
          <w:spacing w:val="-45"/>
        </w:rPr>
        <w:t> </w:t>
      </w:r>
      <w:r>
        <w:rPr>
          <w:spacing w:val="-45"/>
        </w:rPr>
      </w:r>
      <w:r>
        <w:rPr/>
        <w:t>创业型企业、医院、家庭儿童房、大学毕业租房族等消费市场和场景。</w:t>
      </w:r>
    </w:p>
    <w:p>
      <w:pPr>
        <w:pStyle w:val="BodyText"/>
        <w:spacing w:line="300" w:lineRule="auto" w:before="26"/>
        <w:ind w:left="512" w:right="984"/>
        <w:jc w:val="left"/>
      </w:pPr>
      <w:r>
        <w:rPr>
          <w:rFonts w:ascii="Times New Roman" w:hAnsi="Times New Roman" w:cs="Times New Roman" w:eastAsia="Times New Roman" w:hint="default"/>
        </w:rPr>
        <w:t>3</w:t>
      </w:r>
      <w:r>
        <w:rPr/>
        <w:t>、著名品牌客户资源优势 </w:t>
      </w:r>
      <w:r>
        <w:rPr>
          <w:spacing w:val="-2"/>
        </w:rPr>
        <w:t>客户价值决定了供应商价值，与面向终端零售客户的企业不同，上游供应商的品牌和竞争力更多取决于企业客户的品牌</w:t>
      </w:r>
    </w:p>
    <w:p>
      <w:pPr>
        <w:pStyle w:val="BodyText"/>
        <w:spacing w:line="316" w:lineRule="auto" w:before="31"/>
        <w:ind w:left="512" w:right="984" w:hanging="360"/>
        <w:jc w:val="left"/>
      </w:pPr>
      <w:r>
        <w:rPr/>
        <w:t>知名度和市场地位，拥有一批优质客户是供应商最为重要的优势之一。 </w:t>
      </w:r>
      <w:r>
        <w:rPr>
          <w:w w:val="95"/>
        </w:rPr>
        <w:t>公司以服务著名品牌客户为主，如</w:t>
      </w:r>
      <w:r>
        <w:rPr>
          <w:rFonts w:ascii="Times New Roman" w:hAnsi="Times New Roman" w:cs="Times New Roman" w:eastAsia="Times New Roman" w:hint="default"/>
          <w:w w:val="95"/>
        </w:rPr>
        <w:t>Amazon</w:t>
      </w:r>
      <w:r>
        <w:rPr>
          <w:w w:val="95"/>
        </w:rPr>
        <w:t>、</w:t>
      </w:r>
      <w:r>
        <w:rPr>
          <w:rFonts w:ascii="Times New Roman" w:hAnsi="Times New Roman" w:cs="Times New Roman" w:eastAsia="Times New Roman" w:hint="default"/>
          <w:w w:val="95"/>
        </w:rPr>
        <w:t>Samsung</w:t>
      </w:r>
      <w:r>
        <w:rPr>
          <w:w w:val="95"/>
        </w:rPr>
        <w:t>、</w:t>
      </w:r>
      <w:r>
        <w:rPr>
          <w:rFonts w:ascii="Times New Roman" w:hAnsi="Times New Roman" w:cs="Times New Roman" w:eastAsia="Times New Roman" w:hint="default"/>
          <w:w w:val="95"/>
        </w:rPr>
        <w:t>Cisco</w:t>
      </w:r>
      <w:r>
        <w:rPr>
          <w:w w:val="95"/>
        </w:rPr>
        <w:t>、</w:t>
      </w:r>
      <w:r>
        <w:rPr>
          <w:rFonts w:ascii="Times New Roman" w:hAnsi="Times New Roman" w:cs="Times New Roman" w:eastAsia="Times New Roman" w:hint="default"/>
          <w:w w:val="95"/>
        </w:rPr>
        <w:t>Emerson</w:t>
      </w:r>
      <w:r>
        <w:rPr>
          <w:w w:val="95"/>
        </w:rPr>
        <w:t>、</w:t>
      </w:r>
      <w:r>
        <w:rPr>
          <w:rFonts w:ascii="Times New Roman" w:hAnsi="Times New Roman" w:cs="Times New Roman" w:eastAsia="Times New Roman" w:hint="default"/>
          <w:w w:val="95"/>
        </w:rPr>
        <w:t>HP</w:t>
      </w:r>
      <w:r>
        <w:rPr>
          <w:w w:val="95"/>
        </w:rPr>
        <w:t>、</w:t>
      </w:r>
      <w:r>
        <w:rPr>
          <w:rFonts w:ascii="Times New Roman" w:hAnsi="Times New Roman" w:cs="Times New Roman" w:eastAsia="Times New Roman" w:hint="default"/>
          <w:w w:val="95"/>
        </w:rPr>
        <w:t>DELL</w:t>
      </w:r>
      <w:r>
        <w:rPr>
          <w:w w:val="95"/>
        </w:rPr>
        <w:t>、</w:t>
      </w:r>
      <w:r>
        <w:rPr>
          <w:rFonts w:ascii="Times New Roman" w:hAnsi="Times New Roman" w:cs="Times New Roman" w:eastAsia="Times New Roman" w:hint="default"/>
          <w:w w:val="95"/>
        </w:rPr>
        <w:t>Canon</w:t>
      </w:r>
      <w:r>
        <w:rPr>
          <w:w w:val="95"/>
        </w:rPr>
        <w:t>、</w:t>
      </w:r>
      <w:r>
        <w:rPr>
          <w:rFonts w:ascii="Times New Roman" w:hAnsi="Times New Roman" w:cs="Times New Roman" w:eastAsia="Times New Roman" w:hint="default"/>
          <w:w w:val="95"/>
        </w:rPr>
        <w:t>Bose</w:t>
      </w:r>
      <w:r>
        <w:rPr>
          <w:w w:val="95"/>
        </w:rPr>
        <w:t>、</w:t>
      </w:r>
      <w:r>
        <w:rPr>
          <w:rFonts w:ascii="Times New Roman" w:hAnsi="Times New Roman" w:cs="Times New Roman" w:eastAsia="Times New Roman" w:hint="default"/>
          <w:w w:val="95"/>
        </w:rPr>
        <w:t>Harman</w:t>
      </w:r>
      <w:r>
        <w:rPr>
          <w:w w:val="95"/>
        </w:rPr>
        <w:t>、</w:t>
      </w:r>
      <w:r>
        <w:rPr>
          <w:rFonts w:ascii="Times New Roman" w:hAnsi="Times New Roman" w:cs="Times New Roman" w:eastAsia="Times New Roman" w:hint="default"/>
          <w:w w:val="95"/>
        </w:rPr>
        <w:t>Sonos</w:t>
      </w:r>
      <w:r>
        <w:rPr>
          <w:w w:val="95"/>
        </w:rPr>
        <w:t>、</w:t>
      </w:r>
    </w:p>
    <w:p>
      <w:pPr>
        <w:pStyle w:val="BodyText"/>
        <w:spacing w:line="314" w:lineRule="auto"/>
        <w:ind w:right="1130"/>
        <w:jc w:val="both"/>
      </w:pPr>
      <w:r>
        <w:rPr>
          <w:rFonts w:ascii="Times New Roman" w:hAnsi="Times New Roman" w:cs="Times New Roman" w:eastAsia="Times New Roman" w:hint="default"/>
        </w:rPr>
        <w:t>Shell</w:t>
      </w:r>
      <w:r>
        <w:rPr/>
        <w:t>、</w:t>
      </w:r>
      <w:r>
        <w:rPr>
          <w:rFonts w:ascii="Times New Roman" w:hAnsi="Times New Roman" w:cs="Times New Roman" w:eastAsia="Times New Roman" w:hint="default"/>
        </w:rPr>
        <w:t>IKEA</w:t>
      </w:r>
      <w:r>
        <w:rPr/>
        <w:t>、</w:t>
      </w:r>
      <w:r>
        <w:rPr>
          <w:rFonts w:ascii="Times New Roman" w:hAnsi="Times New Roman" w:cs="Times New Roman" w:eastAsia="Times New Roman" w:hint="default"/>
        </w:rPr>
        <w:t>Amway</w:t>
      </w:r>
      <w:r>
        <w:rPr/>
        <w:t>、</w:t>
      </w:r>
      <w:r>
        <w:rPr>
          <w:rFonts w:ascii="Times New Roman" w:hAnsi="Times New Roman" w:cs="Times New Roman" w:eastAsia="Times New Roman" w:hint="default"/>
        </w:rPr>
        <w:t>McQuay</w:t>
      </w:r>
      <w:r>
        <w:rPr/>
        <w:t>、</w:t>
      </w:r>
      <w:r>
        <w:rPr>
          <w:rFonts w:ascii="Times New Roman" w:hAnsi="Times New Roman" w:cs="Times New Roman" w:eastAsia="Times New Roman" w:hint="default"/>
        </w:rPr>
        <w:t>HomeDepot</w:t>
      </w:r>
      <w:r>
        <w:rPr/>
        <w:t>、</w:t>
      </w:r>
      <w:r>
        <w:rPr>
          <w:rFonts w:ascii="Times New Roman" w:hAnsi="Times New Roman" w:cs="Times New Roman" w:eastAsia="Times New Roman" w:hint="default"/>
        </w:rPr>
        <w:t>A.O.Smith</w:t>
      </w:r>
      <w:r>
        <w:rPr/>
        <w:t>、小米、富士康、纬创、佳世达、联想、京东方、海康威视、美</w:t>
      </w:r>
      <w:r>
        <w:rPr>
          <w:spacing w:val="-71"/>
        </w:rPr>
        <w:t> </w:t>
      </w:r>
      <w:r>
        <w:rPr>
          <w:spacing w:val="-71"/>
        </w:rPr>
      </w:r>
      <w:r>
        <w:rPr>
          <w:spacing w:val="-2"/>
        </w:rPr>
        <w:t>的集团、泸州老窖、洋河、剑南春、华润怡宝、顺丰速运、福耀玻璃、网易严选、蒙牛乳业等国内外知名品牌企业。上述客</w:t>
      </w:r>
      <w:r>
        <w:rPr>
          <w:spacing w:val="-65"/>
        </w:rPr>
        <w:t> </w:t>
      </w:r>
      <w:r>
        <w:rPr>
          <w:spacing w:val="-65"/>
        </w:rPr>
      </w:r>
      <w:r>
        <w:rPr>
          <w:spacing w:val="-2"/>
        </w:rPr>
        <w:t>户涵盖电子通讯、智能终端、食品饮料、保健品、家具家居、电商物流、快递速运及新能源汽车产业链等多个领域，信誉良</w:t>
      </w:r>
      <w:r>
        <w:rPr>
          <w:spacing w:val="-69"/>
        </w:rPr>
        <w:t> </w:t>
      </w:r>
      <w:r>
        <w:rPr>
          <w:spacing w:val="-69"/>
        </w:rPr>
      </w:r>
      <w:r>
        <w:rPr>
          <w:spacing w:val="-2"/>
        </w:rPr>
        <w:t>好，资金实力雄厚，本身发展迅速，业务不断增长，对其产品配套的包装产品需求在持续、稳定的增长，同时还具有巨大的</w:t>
      </w:r>
      <w:r>
        <w:rPr>
          <w:spacing w:val="-67"/>
        </w:rPr>
        <w:t> </w:t>
      </w:r>
      <w:r>
        <w:rPr>
          <w:spacing w:val="-67"/>
        </w:rPr>
      </w:r>
      <w:r>
        <w:rPr/>
        <w:t>其他配套产品需求，同时保障了公司经营性现金流的稳健。</w:t>
      </w:r>
    </w:p>
    <w:p>
      <w:pPr>
        <w:pStyle w:val="BodyText"/>
        <w:spacing w:line="316" w:lineRule="auto" w:before="20"/>
        <w:ind w:right="1132" w:firstLine="360"/>
        <w:jc w:val="both"/>
      </w:pPr>
      <w:r>
        <w:rPr>
          <w:spacing w:val="-2"/>
        </w:rPr>
        <w:t>公司的品牌客户资源优势为公司不断开发新客户以及公司销售规模的持续增加提供了保障。一方面，公司能借助品牌客</w:t>
      </w:r>
      <w:r>
        <w:rPr/>
        <w:t> </w:t>
      </w:r>
      <w:r>
        <w:rPr>
          <w:spacing w:val="-2"/>
        </w:rPr>
        <w:t>户在各行业的影响力，进一步扩大和强化公司的品牌优势，开拓更多优质客户。凭借公司在研发、品质、服务等全方位的竞</w:t>
      </w:r>
      <w:r>
        <w:rPr>
          <w:spacing w:val="-69"/>
        </w:rPr>
        <w:t> </w:t>
      </w:r>
      <w:r>
        <w:rPr>
          <w:spacing w:val="-69"/>
        </w:rPr>
      </w:r>
      <w:r>
        <w:rPr>
          <w:spacing w:val="-2"/>
        </w:rPr>
        <w:t>争优势以及良好的口碑，公司正在不断获得世界知名客户以及细分行业龙头企业的供应资质，使得公司的客户资源优势得到</w:t>
      </w:r>
      <w:r>
        <w:rPr>
          <w:spacing w:val="-64"/>
        </w:rPr>
        <w:t> </w:t>
      </w:r>
      <w:r>
        <w:rPr>
          <w:spacing w:val="-64"/>
        </w:rPr>
      </w:r>
      <w:r>
        <w:rPr>
          <w:spacing w:val="-2"/>
        </w:rPr>
        <w:t>持续增强。另一方面，公司新开发知名品牌客户大都包装需求较大，公司为其提供包装服务订单有望持续增加并达到一定规</w:t>
      </w:r>
      <w:r>
        <w:rPr>
          <w:spacing w:val="-65"/>
        </w:rPr>
        <w:t> </w:t>
      </w:r>
      <w:r>
        <w:rPr>
          <w:spacing w:val="-65"/>
        </w:rPr>
      </w:r>
      <w:r>
        <w:rPr/>
        <w:t>模，从而为公司销售规模的持续增加提供保障。</w:t>
      </w:r>
    </w:p>
    <w:p>
      <w:pPr>
        <w:pStyle w:val="BodyText"/>
        <w:spacing w:line="312" w:lineRule="auto" w:before="19"/>
        <w:ind w:right="1130" w:firstLine="360"/>
        <w:jc w:val="both"/>
      </w:pPr>
      <w:r>
        <w:rPr/>
        <w:t>公司与众多世界级品牌客户建立深度合作关系，而公司前五名直接客户销售金额占比仅为</w:t>
      </w:r>
      <w:r>
        <w:rPr>
          <w:rFonts w:ascii="Times New Roman" w:hAnsi="Times New Roman" w:cs="Times New Roman" w:eastAsia="Times New Roman" w:hint="default"/>
        </w:rPr>
        <w:t>23.37%</w:t>
      </w:r>
      <w:r>
        <w:rPr/>
        <w:t>，公司客户集中度较 </w:t>
      </w:r>
      <w:r>
        <w:rPr>
          <w:spacing w:val="-2"/>
        </w:rPr>
        <w:t>低，不会造成公司对战略性或重点客户产生依赖，受单一客户的订单变动影响较小；另一方面，公司众多战略性或重点客户</w:t>
      </w:r>
      <w:r>
        <w:rPr>
          <w:spacing w:val="-66"/>
        </w:rPr>
        <w:t> </w:t>
      </w:r>
      <w:r>
        <w:rPr>
          <w:spacing w:val="-66"/>
        </w:rPr>
      </w:r>
      <w:r>
        <w:rPr>
          <w:spacing w:val="-2"/>
        </w:rPr>
        <w:t>自身包装需求量大，公司目前获得的包装服务订单逐步进入加速释放期，现有客户订单释放以及深度挖掘客户新产品业务需</w:t>
      </w:r>
      <w:r>
        <w:rPr>
          <w:spacing w:val="-64"/>
        </w:rPr>
        <w:t> </w:t>
      </w:r>
      <w:r>
        <w:rPr>
          <w:spacing w:val="-64"/>
        </w:rPr>
      </w:r>
      <w:r>
        <w:rPr/>
        <w:t>求的空间较大。</w:t>
      </w:r>
    </w:p>
    <w:p>
      <w:pPr>
        <w:pStyle w:val="BodyText"/>
        <w:spacing w:line="300" w:lineRule="auto" w:before="22"/>
        <w:ind w:left="512" w:right="1034"/>
        <w:jc w:val="left"/>
      </w:pPr>
      <w:r>
        <w:rPr>
          <w:rFonts w:ascii="Times New Roman" w:hAnsi="Times New Roman" w:cs="Times New Roman" w:eastAsia="Times New Roman" w:hint="default"/>
        </w:rPr>
        <w:t>4</w:t>
      </w:r>
      <w:r>
        <w:rPr/>
        <w:t>、先进的管理优势 公司建立了基于优化财务表现和追求客户服务水平的精细化管理体系，主要包括订单管理、产品品质管理、设计管理、</w:t>
      </w:r>
    </w:p>
    <w:p>
      <w:pPr>
        <w:pStyle w:val="BodyText"/>
        <w:spacing w:line="316" w:lineRule="auto" w:before="31"/>
        <w:ind w:right="1034"/>
        <w:jc w:val="left"/>
      </w:pPr>
      <w:r>
        <w:rPr/>
        <w:t>生产管理、采购管理、成本和费用管控、信息化管理、流程管理和优化等。公司通过涵盖营销、采购、研发、生产、仓储、 </w:t>
      </w:r>
      <w:r>
        <w:rPr>
          <w:spacing w:val="-2"/>
        </w:rPr>
        <w:t>物流等各个环节的精细化管理体系，为公司实现较强的盈利能力、成本和费用的有效管控以及较高的人均产值奠定良好的基</w:t>
      </w:r>
      <w:r>
        <w:rPr>
          <w:spacing w:val="-64"/>
        </w:rPr>
        <w:t> </w:t>
      </w:r>
      <w:r>
        <w:rPr>
          <w:spacing w:val="-64"/>
        </w:rPr>
      </w:r>
      <w:r>
        <w:rPr/>
        <w:t>础。</w:t>
      </w:r>
    </w:p>
    <w:p>
      <w:pPr>
        <w:pStyle w:val="BodyText"/>
        <w:spacing w:line="240" w:lineRule="auto" w:before="19"/>
        <w:ind w:left="512" w:right="984"/>
        <w:jc w:val="left"/>
      </w:pPr>
      <w:r>
        <w:rPr>
          <w:spacing w:val="-3"/>
        </w:rPr>
        <w:t>截至目前，公司先后建立了</w:t>
      </w:r>
      <w:r>
        <w:rPr>
          <w:rFonts w:ascii="Times New Roman" w:hAnsi="Times New Roman" w:cs="Times New Roman" w:eastAsia="Times New Roman" w:hint="default"/>
          <w:spacing w:val="-3"/>
        </w:rPr>
        <w:t>GBT 29490</w:t>
      </w:r>
      <w:r>
        <w:rPr>
          <w:spacing w:val="-3"/>
        </w:rPr>
        <w:t>企业知识产权管理体系、</w:t>
      </w:r>
      <w:r>
        <w:rPr>
          <w:rFonts w:ascii="Times New Roman" w:hAnsi="Times New Roman" w:cs="Times New Roman" w:eastAsia="Times New Roman" w:hint="default"/>
          <w:spacing w:val="-3"/>
        </w:rPr>
        <w:t>GJB </w:t>
      </w:r>
      <w:r>
        <w:rPr>
          <w:rFonts w:ascii="Times New Roman" w:hAnsi="Times New Roman" w:cs="Times New Roman" w:eastAsia="Times New Roman" w:hint="default"/>
        </w:rPr>
        <w:t>9001B</w:t>
      </w:r>
      <w:r>
        <w:rPr/>
        <w:t>武器装备质量管理体系、</w:t>
      </w:r>
      <w:r>
        <w:rPr>
          <w:rFonts w:ascii="Times New Roman" w:hAnsi="Times New Roman" w:cs="Times New Roman" w:eastAsia="Times New Roman" w:hint="default"/>
        </w:rPr>
        <w:t>FSC-CoC</w:t>
      </w:r>
      <w:r>
        <w:rPr/>
        <w:t>管理体系</w:t>
      </w:r>
      <w:r>
        <w:rPr>
          <w:spacing w:val="-57"/>
        </w:rPr>
        <w:t> </w:t>
      </w:r>
      <w:r>
        <w:rPr/>
        <w:t>、</w:t>
      </w:r>
    </w:p>
    <w:p>
      <w:pPr>
        <w:pStyle w:val="BodyText"/>
        <w:spacing w:line="240" w:lineRule="auto" w:before="63"/>
        <w:ind w:right="984"/>
        <w:jc w:val="left"/>
      </w:pPr>
      <w:r>
        <w:rPr>
          <w:rFonts w:ascii="Times New Roman" w:hAnsi="Times New Roman" w:cs="Times New Roman" w:eastAsia="Times New Roman" w:hint="default"/>
        </w:rPr>
        <w:t>G7</w:t>
      </w:r>
      <w:r>
        <w:rPr/>
        <w:t>和</w:t>
      </w:r>
      <w:r>
        <w:rPr>
          <w:rFonts w:ascii="Times New Roman" w:hAnsi="Times New Roman" w:cs="Times New Roman" w:eastAsia="Times New Roman" w:hint="default"/>
        </w:rPr>
        <w:t>GMI</w:t>
      </w:r>
      <w:r>
        <w:rPr/>
        <w:t>标准化印刷管理体系等十数项并获得多家客户的</w:t>
      </w:r>
      <w:r>
        <w:rPr>
          <w:rFonts w:ascii="Times New Roman" w:hAnsi="Times New Roman" w:cs="Times New Roman" w:eastAsia="Times New Roman" w:hint="default"/>
        </w:rPr>
        <w:t>CSR</w:t>
      </w:r>
      <w:r>
        <w:rPr/>
        <w:t>社会责任管理认证，认证体系数量业内排名前列，体现了公</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right="984"/>
        <w:jc w:val="left"/>
      </w:pPr>
      <w:r>
        <w:rPr/>
        <w:t>司领先的管理水平。</w:t>
      </w:r>
    </w:p>
    <w:p>
      <w:pPr>
        <w:pStyle w:val="BodyText"/>
        <w:spacing w:line="300" w:lineRule="auto" w:before="76"/>
        <w:ind w:left="512" w:right="984"/>
        <w:jc w:val="left"/>
      </w:pPr>
      <w:r>
        <w:rPr>
          <w:rFonts w:ascii="Times New Roman" w:hAnsi="Times New Roman" w:cs="Times New Roman" w:eastAsia="Times New Roman" w:hint="default"/>
        </w:rPr>
        <w:t>5</w:t>
      </w:r>
      <w:r>
        <w:rPr/>
        <w:t>、优质产品及知名品牌优势 </w:t>
      </w:r>
      <w:r>
        <w:rPr>
          <w:spacing w:val="-2"/>
        </w:rPr>
        <w:t>公司自成立以来，凭借领先的包装一体化服务理念以及优质的产品及服务质量，形成了良好的品牌效应。公司先后获得</w:t>
      </w:r>
    </w:p>
    <w:p>
      <w:pPr>
        <w:pStyle w:val="BodyText"/>
        <w:spacing w:line="300" w:lineRule="auto" w:before="31"/>
        <w:ind w:right="984"/>
        <w:jc w:val="left"/>
      </w:pPr>
      <w:r>
        <w:rPr>
          <w:rFonts w:ascii="Times New Roman" w:hAnsi="Times New Roman" w:cs="Times New Roman" w:eastAsia="Times New Roman" w:hint="default"/>
          <w:spacing w:val="-2"/>
        </w:rPr>
        <w:t>“</w:t>
      </w:r>
      <w:r>
        <w:rPr>
          <w:spacing w:val="-2"/>
        </w:rPr>
        <w:t>自主创新百强中小企业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知识产权优势企业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行业自主创新领军企业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广东省百强民营企业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深圳市市长质量奖</w:t>
      </w:r>
      <w:r>
        <w:rPr>
          <w:rFonts w:ascii="Times New Roman" w:hAnsi="Times New Roman" w:cs="Times New Roman" w:eastAsia="Times New Roman" w:hint="default"/>
          <w:spacing w:val="-2"/>
        </w:rPr>
        <w:t>”</w:t>
      </w:r>
      <w:r>
        <w:rPr>
          <w:spacing w:val="-2"/>
        </w:rPr>
        <w:t>、</w:t>
      </w:r>
      <w:r>
        <w:rPr>
          <w:spacing w:val="-53"/>
        </w:rPr>
        <w:t> </w:t>
      </w:r>
      <w:r>
        <w:rPr>
          <w:rFonts w:ascii="Times New Roman" w:hAnsi="Times New Roman" w:cs="Times New Roman" w:eastAsia="Times New Roman" w:hint="default"/>
        </w:rPr>
        <w:t>“</w:t>
      </w:r>
      <w:r>
        <w:rPr/>
        <w:t>中国环保产品质量信得过重点品牌</w:t>
      </w:r>
      <w:r>
        <w:rPr>
          <w:rFonts w:ascii="Times New Roman" w:hAnsi="Times New Roman" w:cs="Times New Roman" w:eastAsia="Times New Roman" w:hint="default"/>
        </w:rPr>
        <w:t>”</w:t>
      </w:r>
      <w:r>
        <w:rPr/>
        <w:t>等荣誉，并先后获得多家世界级客户的优秀供应商奖。良好的品牌效应及市场口碑有利 于公司业务规模持续增加。</w:t>
      </w:r>
    </w:p>
    <w:p>
      <w:pPr>
        <w:pStyle w:val="BodyText"/>
        <w:spacing w:line="300" w:lineRule="auto" w:before="31"/>
        <w:ind w:right="1132" w:firstLine="360"/>
        <w:jc w:val="both"/>
      </w:pPr>
      <w:r>
        <w:rPr>
          <w:rFonts w:ascii="Times New Roman" w:hAnsi="Times New Roman" w:cs="Times New Roman" w:eastAsia="Times New Roman" w:hint="default"/>
        </w:rPr>
        <w:t>6</w:t>
      </w:r>
      <w:r>
        <w:rPr/>
        <w:t>、公司已实现在国内主要经济活跃区域的投资布局，形成了服务具有多地交货需求的集团性企业客户的显著优势。且 公司战略布局区位优势明显，市场前景好，资产质地优</w:t>
      </w:r>
    </w:p>
    <w:p>
      <w:pPr>
        <w:pStyle w:val="BodyText"/>
        <w:spacing w:line="307" w:lineRule="auto" w:before="31"/>
        <w:ind w:right="1132" w:firstLine="420"/>
        <w:jc w:val="both"/>
      </w:pPr>
      <w:r>
        <w:rPr/>
        <w:t>目前，公司在国内已拥有</w:t>
      </w:r>
      <w:r>
        <w:rPr>
          <w:rFonts w:ascii="Times New Roman" w:hAnsi="Times New Roman" w:cs="Times New Roman" w:eastAsia="Times New Roman" w:hint="default"/>
        </w:rPr>
        <w:t>30</w:t>
      </w:r>
      <w:r>
        <w:rPr/>
        <w:t>多家子公司，主要研发制造平台均位于经济活跃区域，已初步形成了覆盖粤港澳大湾区、 </w:t>
      </w:r>
      <w:r>
        <w:rPr>
          <w:spacing w:val="-2"/>
        </w:rPr>
        <w:t>长三角经济圈、成渝经济区、长株潭经济圈、中原经济区、一带一路</w:t>
      </w:r>
      <w:r>
        <w:rPr>
          <w:rFonts w:ascii="Times New Roman" w:hAnsi="Times New Roman" w:cs="Times New Roman" w:eastAsia="Times New Roman" w:hint="default"/>
          <w:spacing w:val="-2"/>
        </w:rPr>
        <w:t>—</w:t>
      </w:r>
      <w:r>
        <w:rPr>
          <w:spacing w:val="-2"/>
        </w:rPr>
        <w:t>西安、越南等经济活跃区域的战略布局。公司已形成</w:t>
      </w:r>
      <w:r>
        <w:rPr>
          <w:spacing w:val="-67"/>
        </w:rPr>
        <w:t> </w:t>
      </w:r>
      <w:r>
        <w:rPr>
          <w:spacing w:val="-67"/>
        </w:rPr>
      </w:r>
      <w:r>
        <w:rPr>
          <w:spacing w:val="-2"/>
        </w:rPr>
        <w:t>了服务具有多地交货需求的集团性企业客户的显著优势，有助于集团性企业客户的开发合作及订单释放。同时，公司投资布</w:t>
      </w:r>
      <w:r>
        <w:rPr>
          <w:spacing w:val="-64"/>
        </w:rPr>
        <w:t> </w:t>
      </w:r>
      <w:r>
        <w:rPr>
          <w:spacing w:val="-64"/>
        </w:rPr>
      </w:r>
      <w:r>
        <w:rPr/>
        <w:t>局区域内包装市场需求旺盛，大型客户较多，市场前景较好，为公司实现业务拓展奠定坚实的市场基础。</w:t>
      </w:r>
    </w:p>
    <w:p>
      <w:pPr>
        <w:pStyle w:val="BodyText"/>
        <w:spacing w:line="240" w:lineRule="auto" w:before="26"/>
        <w:ind w:left="572" w:right="984"/>
        <w:jc w:val="left"/>
      </w:pPr>
      <w:r>
        <w:rPr/>
        <w:t>另一方面，公司在核心区域的投资布局亦能够实现资产的价值增值，有利于增强公司综合竞争实力。</w:t>
      </w:r>
    </w:p>
    <w:p>
      <w:pPr>
        <w:pStyle w:val="BodyText"/>
        <w:spacing w:line="300" w:lineRule="auto" w:before="76"/>
        <w:ind w:left="572" w:right="984"/>
        <w:jc w:val="left"/>
      </w:pPr>
      <w:r>
        <w:rPr/>
        <w:t>（</w:t>
      </w:r>
      <w:r>
        <w:rPr>
          <w:rFonts w:ascii="Times New Roman" w:hAnsi="Times New Roman" w:cs="Times New Roman" w:eastAsia="Times New Roman" w:hint="default"/>
        </w:rPr>
        <w:t>1</w:t>
      </w:r>
      <w:r>
        <w:rPr/>
        <w:t>）公司深圳总部及制造基地、中大绿谷</w:t>
      </w:r>
      <w:r>
        <w:rPr>
          <w:rFonts w:ascii="Times New Roman" w:hAnsi="Times New Roman" w:cs="Times New Roman" w:eastAsia="Times New Roman" w:hint="default"/>
        </w:rPr>
        <w:t>“</w:t>
      </w:r>
      <w:r>
        <w:rPr/>
        <w:t>深圳智慧农谷</w:t>
      </w:r>
      <w:r>
        <w:rPr>
          <w:rFonts w:ascii="Times New Roman" w:hAnsi="Times New Roman" w:cs="Times New Roman" w:eastAsia="Times New Roman" w:hint="default"/>
        </w:rPr>
        <w:t>”</w:t>
      </w:r>
      <w:r>
        <w:rPr/>
        <w:t>项目地块毗邻光明科学城，区位优势明显 据公开信息，光明科学城将打造世界级大型开放创新网络枢纽、粤港澳大湾区国际科技创新中心战略支撑、综合性国</w:t>
      </w:r>
    </w:p>
    <w:p>
      <w:pPr>
        <w:pStyle w:val="BodyText"/>
        <w:spacing w:line="316" w:lineRule="auto" w:before="31"/>
        <w:ind w:right="1051"/>
        <w:jc w:val="both"/>
      </w:pPr>
      <w:r>
        <w:rPr/>
        <w:t>家科学中心集中承载区、原始创新和未来产业策源地、深化科技创新体制机制改革前沿阵地。建设光明科学城是广东省委、 深圳市委落实《粤港澳大湾区发展规划纲要》、引领科技源头创新、抢占科技制高点的前瞻布局。光明区明确发展新蓝图： 加快建设</w:t>
      </w:r>
      <w:r>
        <w:rPr>
          <w:rFonts w:ascii="Times New Roman" w:hAnsi="Times New Roman" w:cs="Times New Roman" w:eastAsia="Times New Roman" w:hint="default"/>
        </w:rPr>
        <w:t>“</w:t>
      </w:r>
      <w:r>
        <w:rPr/>
        <w:t>四城两区</w:t>
      </w:r>
      <w:r>
        <w:rPr>
          <w:rFonts w:ascii="Times New Roman" w:hAnsi="Times New Roman" w:cs="Times New Roman" w:eastAsia="Times New Roman" w:hint="default"/>
        </w:rPr>
        <w:t>”</w:t>
      </w:r>
      <w:r>
        <w:rPr/>
        <w:t>，打造竞争力影响力卓著的世界一流科学城和深圳北部中心。</w:t>
      </w:r>
    </w:p>
    <w:p>
      <w:pPr>
        <w:pStyle w:val="BodyText"/>
        <w:spacing w:line="300" w:lineRule="auto"/>
        <w:ind w:right="1133" w:firstLine="420"/>
        <w:jc w:val="both"/>
      </w:pPr>
      <w:r>
        <w:rPr>
          <w:spacing w:val="-1"/>
        </w:rPr>
        <w:t>光明科学城是粤港澳大湾区和广深港澳科技创新走廊的战略节点，处于深港莞惠</w:t>
      </w:r>
      <w:r>
        <w:rPr>
          <w:rFonts w:ascii="Times New Roman" w:hAnsi="Times New Roman" w:cs="Times New Roman" w:eastAsia="Times New Roman" w:hint="default"/>
          <w:spacing w:val="-1"/>
        </w:rPr>
        <w:t>1</w:t>
      </w:r>
      <w:r>
        <w:rPr>
          <w:spacing w:val="-1"/>
        </w:rPr>
        <w:t>小时生活圈内，可依托粤港澳大湾区</w:t>
      </w:r>
      <w:r>
        <w:rPr/>
        <w:t> 和广深港澳科技创新走廊的核心创新平台、创新资源集聚区、大学等创新要素，加强基础研究和技术创新的协同发展。</w:t>
      </w:r>
    </w:p>
    <w:p>
      <w:pPr>
        <w:pStyle w:val="BodyText"/>
        <w:spacing w:line="300" w:lineRule="auto" w:before="31"/>
        <w:ind w:right="1136" w:firstLine="420"/>
        <w:jc w:val="both"/>
      </w:pPr>
      <w:r>
        <w:rPr>
          <w:spacing w:val="-1"/>
        </w:rPr>
        <w:t>公司深圳制造基地及中大绿谷</w:t>
      </w:r>
      <w:r>
        <w:rPr>
          <w:rFonts w:ascii="Times New Roman" w:hAnsi="Times New Roman" w:cs="Times New Roman" w:eastAsia="Times New Roman" w:hint="default"/>
          <w:spacing w:val="-1"/>
        </w:rPr>
        <w:t>“</w:t>
      </w:r>
      <w:r>
        <w:rPr>
          <w:spacing w:val="-1"/>
        </w:rPr>
        <w:t>深圳智慧农谷</w:t>
      </w:r>
      <w:r>
        <w:rPr>
          <w:rFonts w:ascii="Times New Roman" w:hAnsi="Times New Roman" w:cs="Times New Roman" w:eastAsia="Times New Roman" w:hint="default"/>
          <w:spacing w:val="-1"/>
        </w:rPr>
        <w:t>”</w:t>
      </w:r>
      <w:r>
        <w:rPr>
          <w:spacing w:val="-1"/>
        </w:rPr>
        <w:t>项目距离光明科学城启动区距离约</w:t>
      </w:r>
      <w:r>
        <w:rPr>
          <w:rFonts w:ascii="Times New Roman" w:hAnsi="Times New Roman" w:cs="Times New Roman" w:eastAsia="Times New Roman" w:hint="default"/>
          <w:spacing w:val="-1"/>
        </w:rPr>
        <w:t>1</w:t>
      </w:r>
      <w:r>
        <w:rPr>
          <w:spacing w:val="-1"/>
        </w:rPr>
        <w:t>公里左右，预计随着光明科学城的建</w:t>
      </w:r>
      <w:r>
        <w:rPr/>
        <w:t> 设发展和中山大学深圳校区的建成投入使用，公司现有深圳制造基地产业转型升级以及土地利用新业态价值将凸显。</w:t>
      </w:r>
    </w:p>
    <w:p>
      <w:pPr>
        <w:pStyle w:val="BodyText"/>
        <w:spacing w:line="312" w:lineRule="auto" w:before="31"/>
        <w:ind w:right="1130" w:firstLine="420"/>
        <w:jc w:val="both"/>
      </w:pPr>
      <w:r>
        <w:rPr>
          <w:spacing w:val="-1"/>
        </w:rPr>
        <w:t>公司低碳环保包装研发总部基地项目工程暨美盈森大厦建筑面积约</w:t>
      </w:r>
      <w:r>
        <w:rPr>
          <w:rFonts w:ascii="Times New Roman" w:hAnsi="Times New Roman" w:cs="Times New Roman" w:eastAsia="Times New Roman" w:hint="default"/>
          <w:spacing w:val="-1"/>
        </w:rPr>
        <w:t>7.6</w:t>
      </w:r>
      <w:r>
        <w:rPr>
          <w:spacing w:val="-1"/>
        </w:rPr>
        <w:t>万平米，大厦位于深圳市光明区行政、文化和商</w:t>
      </w:r>
      <w:r>
        <w:rPr/>
        <w:t> </w:t>
      </w:r>
      <w:r>
        <w:rPr>
          <w:spacing w:val="-2"/>
        </w:rPr>
        <w:t>业中心位置，与光明区公共服务平台即光明区政府新办公大楼仅一路之隔。美盈森大厦的建成及投入使用将大幅提高公司的</w:t>
      </w:r>
      <w:r>
        <w:rPr>
          <w:spacing w:val="-64"/>
        </w:rPr>
        <w:t> </w:t>
      </w:r>
      <w:r>
        <w:rPr>
          <w:spacing w:val="-64"/>
        </w:rPr>
      </w:r>
      <w:r>
        <w:rPr>
          <w:spacing w:val="-2"/>
        </w:rPr>
        <w:t>资信能力，有效提升公司的抗风险能力和盈利能力；与此同时，优越的地理位置及现代化的办公环境也将有利于各类优秀人</w:t>
      </w:r>
      <w:r>
        <w:rPr>
          <w:spacing w:val="-62"/>
        </w:rPr>
        <w:t> </w:t>
      </w:r>
      <w:r>
        <w:rPr>
          <w:spacing w:val="-62"/>
        </w:rPr>
      </w:r>
      <w:r>
        <w:rPr/>
        <w:t>才的引进和公司外部形象的提升，从而促进公司研发能力提升、促进市场拓展、提升综合管理水平。</w:t>
      </w:r>
    </w:p>
    <w:p>
      <w:pPr>
        <w:pStyle w:val="BodyText"/>
        <w:spacing w:line="300" w:lineRule="auto" w:before="22"/>
        <w:ind w:left="572" w:right="984"/>
        <w:jc w:val="left"/>
      </w:pPr>
      <w:r>
        <w:rPr/>
        <w:t>（</w:t>
      </w:r>
      <w:r>
        <w:rPr>
          <w:rFonts w:ascii="Times New Roman" w:hAnsi="Times New Roman" w:cs="Times New Roman" w:eastAsia="Times New Roman" w:hint="default"/>
        </w:rPr>
        <w:t>2</w:t>
      </w:r>
      <w:r>
        <w:rPr/>
        <w:t>）公司重庆制造基地位于重庆国际物流枢纽园区，毗邻重庆科学城，区位价值将凸显 </w:t>
      </w:r>
      <w:r>
        <w:rPr>
          <w:spacing w:val="-5"/>
        </w:rPr>
        <w:t>据公开信息，重庆国际物流枢纽园区，立足重庆在国家内陆开放格局中的区位优势、资源优势和发展优势，着力打造</w:t>
      </w:r>
      <w:r>
        <w:rPr>
          <w:rFonts w:ascii="Times New Roman" w:hAnsi="Times New Roman" w:cs="Times New Roman" w:eastAsia="Times New Roman" w:hint="default"/>
          <w:spacing w:val="-5"/>
        </w:rPr>
        <w:t>“</w:t>
      </w:r>
      <w:r>
        <w:rPr>
          <w:spacing w:val="-5"/>
        </w:rPr>
        <w:t>国</w:t>
      </w:r>
    </w:p>
    <w:p>
      <w:pPr>
        <w:pStyle w:val="BodyText"/>
        <w:spacing w:line="314" w:lineRule="auto" w:before="13"/>
        <w:ind w:right="1034"/>
        <w:jc w:val="left"/>
      </w:pPr>
      <w:r>
        <w:rPr/>
        <w:t>际铁路多式联运枢纽，铁路物流中心、国际贸易中心和物流供应链金融中心</w:t>
      </w:r>
      <w:r>
        <w:rPr>
          <w:rFonts w:ascii="Times New Roman" w:hAnsi="Times New Roman" w:cs="Times New Roman" w:eastAsia="Times New Roman" w:hint="default"/>
        </w:rPr>
        <w:t>”</w:t>
      </w:r>
      <w:r>
        <w:rPr/>
        <w:t>，为重庆建设内陆国际物流枢纽、口岸高地和</w:t>
      </w:r>
      <w:r>
        <w:rPr>
          <w:spacing w:val="-79"/>
        </w:rPr>
        <w:t> </w:t>
      </w:r>
      <w:r>
        <w:rPr>
          <w:spacing w:val="-79"/>
        </w:rPr>
      </w:r>
      <w:r>
        <w:rPr/>
        <w:t>开放高地，在国家区域开放和对外开放格局中发挥独特而重要的作用提供强力支撑。同时，重庆正高标准规划建设科学城， </w:t>
      </w:r>
      <w:r>
        <w:rPr>
          <w:spacing w:val="-2"/>
        </w:rPr>
        <w:t>联动重庆国家自主创新示范区、两江协同创新区，打造西部创新资源集聚地。重庆科学城已落户沙坪坝。公司作为园区内企</w:t>
      </w:r>
      <w:r>
        <w:rPr>
          <w:spacing w:val="-65"/>
        </w:rPr>
        <w:t> </w:t>
      </w:r>
      <w:r>
        <w:rPr>
          <w:spacing w:val="-65"/>
        </w:rPr>
      </w:r>
      <w:r>
        <w:rPr>
          <w:spacing w:val="-2"/>
        </w:rPr>
        <w:t>业，又逢毗邻重庆科学城，有利于公司积极把握重庆国际物流枢纽及重庆科学城建设发展所带来的重大契机，从而实现快速</w:t>
      </w:r>
      <w:r>
        <w:rPr>
          <w:spacing w:val="-65"/>
        </w:rPr>
        <w:t> </w:t>
      </w:r>
      <w:r>
        <w:rPr>
          <w:spacing w:val="-65"/>
        </w:rPr>
      </w:r>
      <w:r>
        <w:rPr/>
        <w:t>发展，并将享有地块及厂区使用价值增值带来的收益。</w:t>
      </w:r>
    </w:p>
    <w:p>
      <w:pPr>
        <w:spacing w:after="0" w:line="314"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3" w:right="984"/>
        <w:jc w:val="left"/>
        <w:rPr>
          <w:rFonts w:ascii="Tahoma" w:hAnsi="Tahoma" w:cs="Tahoma" w:eastAsia="Tahoma" w:hint="default"/>
        </w:rPr>
      </w:pPr>
      <w:bookmarkStart w:name="_TOC_250008" w:id="5"/>
      <w:r>
        <w:rPr/>
        <w:t>第四节</w:t>
      </w:r>
      <w:r>
        <w:rPr>
          <w:spacing w:val="12"/>
        </w:rPr>
        <w:t> </w:t>
      </w:r>
      <w:r>
        <w:rPr>
          <w:rFonts w:ascii="Tahoma" w:hAnsi="Tahoma" w:cs="Tahoma" w:eastAsia="Tahoma" w:hint="default"/>
          <w:spacing w:val="12"/>
        </w:rPr>
      </w:r>
      <w:r>
        <w:rPr/>
        <w:t>经营情况讨论与分析</w:t>
      </w:r>
      <w:r>
        <w:rPr>
          <w:rFonts w:ascii="Tahoma" w:hAnsi="Tahoma" w:cs="Tahoma" w:eastAsia="Tahoma" w:hint="default"/>
          <w:w w:val="79"/>
        </w:rPr>
        <w:t> </w:t>
      </w:r>
      <w:bookmarkEnd w:id="5"/>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1"/>
        <w:rPr>
          <w:rFonts w:ascii="Tahoma" w:hAnsi="Tahoma" w:cs="Tahoma" w:eastAsia="Tahoma" w:hint="default"/>
          <w:sz w:val="20"/>
          <w:szCs w:val="20"/>
        </w:rPr>
      </w:pPr>
    </w:p>
    <w:p>
      <w:pPr>
        <w:pStyle w:val="Heading2"/>
        <w:spacing w:line="240" w:lineRule="auto" w:before="26"/>
        <w:ind w:right="0"/>
        <w:jc w:val="both"/>
        <w:rPr>
          <w:rFonts w:ascii="Tahoma" w:hAnsi="Tahoma" w:cs="Tahoma" w:eastAsia="Tahoma" w:hint="default"/>
        </w:rPr>
      </w:pPr>
      <w:r>
        <w:rPr/>
        <w:t>一、概述</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07" w:lineRule="auto"/>
        <w:ind w:right="1130" w:firstLine="360"/>
        <w:jc w:val="both"/>
      </w:pPr>
      <w:r>
        <w:rPr>
          <w:rFonts w:ascii="Times New Roman" w:hAnsi="Times New Roman" w:cs="Times New Roman" w:eastAsia="Times New Roman" w:hint="default"/>
          <w:spacing w:val="-2"/>
        </w:rPr>
        <w:t>2018</w:t>
      </w:r>
      <w:r>
        <w:rPr>
          <w:spacing w:val="-2"/>
        </w:rPr>
        <w:t>年，公司经营层在董事会的领导下，按照既定的战略规划，秉持稳中求进，锐意进取经营思想，砥砺奋进，着力进</w:t>
      </w:r>
      <w:r>
        <w:rPr/>
        <w:t> </w:t>
      </w:r>
      <w:r>
        <w:rPr>
          <w:spacing w:val="-2"/>
        </w:rPr>
        <w:t>行公司新客户开发、业务拓展，稳步有序推进前瞻性新产能战略布局工作，积极推进技术创新及包装新材料研发，并推动以</w:t>
      </w:r>
      <w:r>
        <w:rPr>
          <w:spacing w:val="-66"/>
        </w:rPr>
        <w:t> </w:t>
      </w:r>
      <w:r>
        <w:rPr>
          <w:spacing w:val="-66"/>
        </w:rPr>
      </w:r>
      <w:r>
        <w:rPr>
          <w:rFonts w:ascii="Times New Roman" w:hAnsi="Times New Roman" w:cs="Times New Roman" w:eastAsia="Times New Roman" w:hint="default"/>
          <w:spacing w:val="-2"/>
        </w:rPr>
        <w:t>“</w:t>
      </w:r>
      <w:r>
        <w:rPr>
          <w:spacing w:val="-2"/>
        </w:rPr>
        <w:t>提升客户满意度</w:t>
      </w:r>
      <w:r>
        <w:rPr>
          <w:rFonts w:ascii="Times New Roman" w:hAnsi="Times New Roman" w:cs="Times New Roman" w:eastAsia="Times New Roman" w:hint="default"/>
          <w:spacing w:val="-2"/>
        </w:rPr>
        <w:t>”</w:t>
      </w:r>
      <w:r>
        <w:rPr>
          <w:spacing w:val="-2"/>
        </w:rPr>
        <w:t>为核心的管理提升项目，优化工作流程，对外以业务部门主导，全面满足客户需求，推动公司业绩实现稳</w:t>
      </w:r>
      <w:r>
        <w:rPr>
          <w:spacing w:val="-45"/>
        </w:rPr>
        <w:t> </w:t>
      </w:r>
      <w:r>
        <w:rPr>
          <w:spacing w:val="-45"/>
        </w:rPr>
      </w:r>
      <w:r>
        <w:rPr/>
        <w:t>健增长。</w:t>
      </w:r>
    </w:p>
    <w:p>
      <w:pPr>
        <w:pStyle w:val="BodyText"/>
        <w:spacing w:line="300" w:lineRule="auto" w:before="146"/>
        <w:ind w:right="1130" w:firstLine="360"/>
        <w:jc w:val="both"/>
      </w:pPr>
      <w:r>
        <w:rPr>
          <w:rFonts w:ascii="Times New Roman" w:hAnsi="Times New Roman" w:cs="Times New Roman" w:eastAsia="Times New Roman" w:hint="default"/>
        </w:rPr>
        <w:t>2018</w:t>
      </w:r>
      <w:r>
        <w:rPr/>
        <w:t>年，公司实现营业收入</w:t>
      </w:r>
      <w:r>
        <w:rPr>
          <w:rFonts w:ascii="Times New Roman" w:hAnsi="Times New Roman" w:cs="Times New Roman" w:eastAsia="Times New Roman" w:hint="default"/>
        </w:rPr>
        <w:t>324,894.55</w:t>
      </w:r>
      <w:r>
        <w:rPr/>
        <w:t>万元，同比增长</w:t>
      </w:r>
      <w:r>
        <w:rPr>
          <w:rFonts w:ascii="Times New Roman" w:hAnsi="Times New Roman" w:cs="Times New Roman" w:eastAsia="Times New Roman" w:hint="default"/>
        </w:rPr>
        <w:t>13.70%</w:t>
      </w:r>
      <w:r>
        <w:rPr/>
        <w:t>；营业成本</w:t>
      </w:r>
      <w:r>
        <w:rPr>
          <w:spacing w:val="-31"/>
        </w:rPr>
        <w:t> </w:t>
      </w:r>
      <w:r>
        <w:rPr>
          <w:rFonts w:ascii="Times New Roman" w:hAnsi="Times New Roman" w:cs="Times New Roman" w:eastAsia="Times New Roman" w:hint="default"/>
        </w:rPr>
        <w:t>219,621.01</w:t>
      </w:r>
      <w:r>
        <w:rPr/>
        <w:t>万元，同比增长</w:t>
      </w:r>
      <w:r>
        <w:rPr>
          <w:rFonts w:ascii="Times New Roman" w:hAnsi="Times New Roman" w:cs="Times New Roman" w:eastAsia="Times New Roman" w:hint="default"/>
        </w:rPr>
        <w:t>17.32%</w:t>
      </w:r>
      <w:r>
        <w:rPr/>
        <w:t>；归属于上 市公司股东的净利润</w:t>
      </w:r>
      <w:r>
        <w:rPr>
          <w:rFonts w:ascii="Times New Roman" w:hAnsi="Times New Roman" w:cs="Times New Roman" w:eastAsia="Times New Roman" w:hint="default"/>
        </w:rPr>
        <w:t>40,120.56</w:t>
      </w:r>
      <w:r>
        <w:rPr/>
        <w:t>万元，同比增长</w:t>
      </w:r>
      <w:r>
        <w:rPr>
          <w:rFonts w:ascii="Times New Roman" w:hAnsi="Times New Roman" w:cs="Times New Roman" w:eastAsia="Times New Roman" w:hint="default"/>
        </w:rPr>
        <w:t>15.23%</w:t>
      </w:r>
      <w:r>
        <w:rPr/>
        <w:t>。</w:t>
      </w:r>
    </w:p>
    <w:p>
      <w:pPr>
        <w:pStyle w:val="BodyText"/>
        <w:spacing w:line="240" w:lineRule="auto" w:before="133"/>
        <w:ind w:left="512" w:right="984"/>
        <w:jc w:val="left"/>
      </w:pPr>
      <w:r>
        <w:rPr>
          <w:rFonts w:ascii="Times New Roman" w:hAnsi="Times New Roman" w:cs="Times New Roman" w:eastAsia="Times New Roman" w:hint="default"/>
        </w:rPr>
        <w:t>2018</w:t>
      </w:r>
      <w:r>
        <w:rPr/>
        <w:t>年度主要工作情况：</w:t>
      </w:r>
    </w:p>
    <w:p>
      <w:pPr>
        <w:pStyle w:val="BodyText"/>
        <w:spacing w:line="432" w:lineRule="exact" w:before="47"/>
        <w:ind w:left="512" w:right="984"/>
        <w:jc w:val="left"/>
      </w:pPr>
      <w:r>
        <w:rPr/>
        <w:t>（一）积极应对外部形势的复杂变化，战略性重点客户订单持续放量，新客户开发成效明显 </w:t>
      </w:r>
      <w:r>
        <w:rPr>
          <w:spacing w:val="-2"/>
        </w:rPr>
        <w:t>报告期内，公司积极应对外部形势变化，凭借公司在研发、制造、品质、服务、管理等全方位的竞争优势，公司实现与</w:t>
      </w:r>
    </w:p>
    <w:p>
      <w:pPr>
        <w:pStyle w:val="BodyText"/>
        <w:spacing w:line="240" w:lineRule="auto" w:before="15"/>
        <w:ind w:right="0"/>
        <w:jc w:val="both"/>
      </w:pPr>
      <w:r>
        <w:rPr/>
        <w:t>战略性重点客户合作关系进一步深化，服务产品品类更加丰富，订单量不断增加，推动公司业绩实现增长。</w:t>
      </w:r>
    </w:p>
    <w:p>
      <w:pPr>
        <w:spacing w:line="240" w:lineRule="auto" w:before="0"/>
        <w:rPr>
          <w:rFonts w:ascii="宋体" w:hAnsi="宋体" w:cs="宋体" w:eastAsia="宋体" w:hint="default"/>
          <w:sz w:val="15"/>
          <w:szCs w:val="15"/>
        </w:rPr>
      </w:pPr>
    </w:p>
    <w:p>
      <w:pPr>
        <w:pStyle w:val="BodyText"/>
        <w:spacing w:line="309" w:lineRule="auto"/>
        <w:ind w:right="1135" w:firstLine="360"/>
        <w:jc w:val="both"/>
      </w:pPr>
      <w:r>
        <w:rPr/>
        <w:t>同时，</w:t>
      </w:r>
      <w:r>
        <w:rPr>
          <w:rFonts w:ascii="Times New Roman" w:hAnsi="Times New Roman" w:cs="Times New Roman" w:eastAsia="Times New Roman" w:hint="default"/>
        </w:rPr>
        <w:t>2018</w:t>
      </w:r>
      <w:r>
        <w:rPr/>
        <w:t>年以来，公司新开发了包括谷歌、</w:t>
      </w:r>
      <w:r>
        <w:rPr>
          <w:rFonts w:ascii="Times New Roman" w:hAnsi="Times New Roman" w:cs="Times New Roman" w:eastAsia="Times New Roman" w:hint="default"/>
        </w:rPr>
        <w:t>A.O.Smith</w:t>
      </w:r>
      <w:r>
        <w:rPr/>
        <w:t>、蒙牛乳业、步步高教育电子等在内的一批新客户。优质新客 </w:t>
      </w:r>
      <w:r>
        <w:rPr>
          <w:spacing w:val="-2"/>
        </w:rPr>
        <w:t>户的开发成果，一方面，在复杂的外部经济环境下，突显了公司的竞争实力和强大的新客户开发能力；另一方面，新开发客</w:t>
      </w:r>
      <w:r>
        <w:rPr>
          <w:spacing w:val="-69"/>
        </w:rPr>
        <w:t> </w:t>
      </w:r>
      <w:r>
        <w:rPr>
          <w:spacing w:val="-69"/>
        </w:rPr>
      </w:r>
      <w:r>
        <w:rPr/>
        <w:t>户经过小批量合作后将陆续进入大批量及深度合作阶段，为公司未来业绩的持续增长奠定坚实的订单基础。</w:t>
      </w:r>
    </w:p>
    <w:p>
      <w:pPr>
        <w:pStyle w:val="BodyText"/>
        <w:spacing w:line="432" w:lineRule="exact" w:before="9"/>
        <w:ind w:left="512" w:right="984"/>
        <w:jc w:val="left"/>
      </w:pPr>
      <w:r>
        <w:rPr/>
        <w:t>（二）稳步有序推进公司新产能战略布局，部分新建产能已逐步投入使用 </w:t>
      </w:r>
      <w:r>
        <w:rPr>
          <w:spacing w:val="-2"/>
        </w:rPr>
        <w:t>近年来，公司产能利用率呈现持续提升的良好势头，在行业集中度加速提升的态势下，产能释放将成为公司未来发展中</w:t>
      </w:r>
    </w:p>
    <w:p>
      <w:pPr>
        <w:pStyle w:val="BodyText"/>
        <w:spacing w:line="309" w:lineRule="auto" w:before="15"/>
        <w:ind w:right="1132"/>
        <w:jc w:val="both"/>
      </w:pPr>
      <w:r>
        <w:rPr>
          <w:spacing w:val="-2"/>
        </w:rPr>
        <w:t>的一项重要工作。报告期内，按照既定的战略，公司已初步形成了覆盖粤港澳大湾区、长三角经济圈、成渝经济区、长株潭</w:t>
      </w:r>
      <w:r>
        <w:rPr>
          <w:spacing w:val="-67"/>
        </w:rPr>
        <w:t> </w:t>
      </w:r>
      <w:r>
        <w:rPr>
          <w:spacing w:val="-67"/>
        </w:rPr>
      </w:r>
      <w:r>
        <w:rPr>
          <w:spacing w:val="-2"/>
        </w:rPr>
        <w:t>经济圈、中原经济区、一带一路</w:t>
      </w:r>
      <w:r>
        <w:rPr>
          <w:rFonts w:ascii="Times New Roman" w:hAnsi="Times New Roman" w:cs="Times New Roman" w:eastAsia="Times New Roman" w:hint="default"/>
          <w:spacing w:val="-2"/>
        </w:rPr>
        <w:t>—</w:t>
      </w:r>
      <w:r>
        <w:rPr>
          <w:spacing w:val="-2"/>
        </w:rPr>
        <w:t>西安、越南等经济活跃区域的战略布局；在现有深圳、东莞、苏州、重庆四大制造平台的</w:t>
      </w:r>
      <w:r>
        <w:rPr>
          <w:spacing w:val="-68"/>
        </w:rPr>
        <w:t> </w:t>
      </w:r>
      <w:r>
        <w:rPr>
          <w:spacing w:val="-68"/>
        </w:rPr>
      </w:r>
      <w:r>
        <w:rPr>
          <w:spacing w:val="-1"/>
        </w:rPr>
        <w:t>基础上，包装印刷工业</w:t>
      </w:r>
      <w:r>
        <w:rPr>
          <w:rFonts w:ascii="Times New Roman" w:hAnsi="Times New Roman" w:cs="Times New Roman" w:eastAsia="Times New Roman" w:hint="default"/>
          <w:spacing w:val="-1"/>
        </w:rPr>
        <w:t>4.0</w:t>
      </w:r>
      <w:r>
        <w:rPr>
          <w:spacing w:val="-1"/>
        </w:rPr>
        <w:t>智慧型工厂（东莞）项目已于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月逐步投入使用，东莞智慧工厂凭借行业领先的设备及公司</w:t>
      </w:r>
      <w:r>
        <w:rPr>
          <w:spacing w:val="-72"/>
        </w:rPr>
        <w:t> </w:t>
      </w:r>
      <w:r>
        <w:rPr>
          <w:spacing w:val="-72"/>
        </w:rPr>
      </w:r>
      <w:r>
        <w:rPr>
          <w:spacing w:val="-2"/>
        </w:rPr>
        <w:t>在包装领域多年的研发、生产技术及经验的积累，能为客户提供优质、高效、价优的包装服务。公司在成都、长沙、六安等</w:t>
      </w:r>
      <w:r>
        <w:rPr>
          <w:spacing w:val="-69"/>
        </w:rPr>
        <w:t> </w:t>
      </w:r>
      <w:r>
        <w:rPr>
          <w:spacing w:val="-69"/>
        </w:rPr>
      </w:r>
      <w:r>
        <w:rPr/>
        <w:t>地新建的智慧制造工厂，预计在</w:t>
      </w:r>
      <w:r>
        <w:rPr>
          <w:rFonts w:ascii="Times New Roman" w:hAnsi="Times New Roman" w:cs="Times New Roman" w:eastAsia="Times New Roman" w:hint="default"/>
        </w:rPr>
        <w:t>2019</w:t>
      </w:r>
      <w:r>
        <w:rPr/>
        <w:t>年上半年逐步投入使用。</w:t>
      </w:r>
    </w:p>
    <w:p>
      <w:pPr>
        <w:pStyle w:val="BodyText"/>
        <w:spacing w:line="316" w:lineRule="auto" w:before="125"/>
        <w:ind w:right="1132" w:firstLine="360"/>
        <w:jc w:val="both"/>
      </w:pPr>
      <w:r>
        <w:rPr>
          <w:spacing w:val="-2"/>
        </w:rPr>
        <w:t>一方面，公司需要根据战略布局计划稳步推进新产能建设；另一方面，公司根据预计的产能利用率提升计划，对各新建</w:t>
      </w:r>
      <w:r>
        <w:rPr/>
        <w:t> 项目进行分期有序建设，主动减小固定资产投资折旧可能对短期经营业绩产生的影响。</w:t>
      </w:r>
    </w:p>
    <w:p>
      <w:pPr>
        <w:pStyle w:val="BodyText"/>
        <w:spacing w:line="432" w:lineRule="exact" w:before="3"/>
        <w:ind w:left="512" w:right="984"/>
        <w:jc w:val="left"/>
      </w:pPr>
      <w:r>
        <w:rPr/>
        <w:t>（三）技术研发水平不断增强，公司服务能力持续提升 </w:t>
      </w:r>
      <w:r>
        <w:rPr>
          <w:spacing w:val="-2"/>
        </w:rPr>
        <w:t>研发设计能力和工艺技术水平的不断增强，在公司新客户开发及服务、增强公司核心竞争力等方面显得至关重要。报告</w:t>
      </w:r>
    </w:p>
    <w:p>
      <w:pPr>
        <w:pStyle w:val="BodyText"/>
        <w:spacing w:line="307" w:lineRule="auto" w:before="15"/>
        <w:ind w:right="1129"/>
        <w:jc w:val="both"/>
      </w:pPr>
      <w:r>
        <w:rPr>
          <w:spacing w:val="-2"/>
        </w:rPr>
        <w:t>期内，公司高度重视研发设计和工艺技术水平的提升，通过增加研发投入，完善了公司现有技术人才体系建设。报告期内公</w:t>
      </w:r>
      <w:r>
        <w:rPr>
          <w:spacing w:val="-66"/>
        </w:rPr>
        <w:t> </w:t>
      </w:r>
      <w:r>
        <w:rPr>
          <w:spacing w:val="-66"/>
        </w:rPr>
      </w:r>
      <w:r>
        <w:rPr>
          <w:spacing w:val="-2"/>
        </w:rPr>
        <w:t>司及下属子公司共申报专利</w:t>
      </w:r>
      <w:r>
        <w:rPr>
          <w:rFonts w:ascii="Times New Roman" w:hAnsi="Times New Roman" w:cs="Times New Roman" w:eastAsia="Times New Roman" w:hint="default"/>
          <w:spacing w:val="-2"/>
        </w:rPr>
        <w:t>149</w:t>
      </w:r>
      <w:r>
        <w:rPr>
          <w:spacing w:val="-2"/>
        </w:rPr>
        <w:t>项，获得专利授权</w:t>
      </w:r>
      <w:r>
        <w:rPr>
          <w:rFonts w:ascii="Times New Roman" w:hAnsi="Times New Roman" w:cs="Times New Roman" w:eastAsia="Times New Roman" w:hint="default"/>
          <w:spacing w:val="-2"/>
        </w:rPr>
        <w:t>75</w:t>
      </w:r>
      <w:r>
        <w:rPr>
          <w:spacing w:val="-2"/>
        </w:rPr>
        <w:t>项。截至本报告披露日，公司及下属子公司共拥有专利</w:t>
      </w:r>
      <w:r>
        <w:rPr>
          <w:rFonts w:ascii="Times New Roman" w:hAnsi="Times New Roman" w:cs="Times New Roman" w:eastAsia="Times New Roman" w:hint="default"/>
          <w:spacing w:val="-2"/>
        </w:rPr>
        <w:t>332</w:t>
      </w:r>
      <w:r>
        <w:rPr>
          <w:spacing w:val="-2"/>
        </w:rPr>
        <w:t>项，其中发明</w:t>
      </w:r>
      <w:r>
        <w:rPr>
          <w:spacing w:val="-62"/>
        </w:rPr>
        <w:t> </w:t>
      </w:r>
      <w:r>
        <w:rPr>
          <w:spacing w:val="-62"/>
        </w:rPr>
      </w:r>
      <w:r>
        <w:rPr>
          <w:spacing w:val="-2"/>
        </w:rPr>
        <w:t>专利</w:t>
      </w:r>
      <w:r>
        <w:rPr>
          <w:rFonts w:ascii="Times New Roman" w:hAnsi="Times New Roman" w:cs="Times New Roman" w:eastAsia="Times New Roman" w:hint="default"/>
          <w:spacing w:val="-2"/>
        </w:rPr>
        <w:t>75</w:t>
      </w:r>
      <w:r>
        <w:rPr>
          <w:spacing w:val="-2"/>
        </w:rPr>
        <w:t>项。公司在为高端优质客户提供服务及合作过程中，管理水平进一步提升，高端制造平台生产工艺进一步改善，对生</w:t>
      </w:r>
      <w:r>
        <w:rPr>
          <w:spacing w:val="-62"/>
        </w:rPr>
        <w:t> </w:t>
      </w:r>
      <w:r>
        <w:rPr>
          <w:spacing w:val="-62"/>
        </w:rPr>
      </w:r>
      <w:r>
        <w:rPr/>
        <w:t>产各个环节效率提升作用明显，服务能力持续提升。</w:t>
      </w:r>
    </w:p>
    <w:p>
      <w:pPr>
        <w:pStyle w:val="BodyText"/>
        <w:spacing w:line="309" w:lineRule="auto" w:before="146"/>
        <w:ind w:right="1132" w:firstLine="360"/>
        <w:jc w:val="both"/>
      </w:pPr>
      <w:r>
        <w:rPr>
          <w:spacing w:val="-2"/>
        </w:rPr>
        <w:t>报告期内，公司潜心研究，创新性的研发出一种新型包装缓冲板，该缓冲板既保留了瓦楞纸板边压强度高的优点，又克</w:t>
      </w:r>
      <w:r>
        <w:rPr/>
        <w:t> 服了瓦楞纸板平压强度低的缺点，其性能相比普通的同等厚度的蜂窝纸板材料的平压强度提升了</w:t>
      </w:r>
      <w:r>
        <w:rPr>
          <w:rFonts w:ascii="Times New Roman" w:hAnsi="Times New Roman" w:cs="Times New Roman" w:eastAsia="Times New Roman" w:hint="default"/>
        </w:rPr>
        <w:t>43%</w:t>
      </w:r>
      <w:r>
        <w:rPr/>
        <w:t>，而且具有</w:t>
      </w:r>
      <w:r>
        <w:rPr>
          <w:rFonts w:ascii="Times New Roman" w:hAnsi="Times New Roman" w:cs="Times New Roman" w:eastAsia="Times New Roman" w:hint="default"/>
        </w:rPr>
        <w:t>100%</w:t>
      </w:r>
      <w:r>
        <w:rPr/>
        <w:t>可降</w:t>
      </w:r>
      <w:r>
        <w:rPr>
          <w:spacing w:val="-49"/>
        </w:rPr>
        <w:t> </w:t>
      </w:r>
      <w:r>
        <w:rPr/>
        <w:t>解、超强吸能、良好的回弹性等特点，可替代非环保的包装缓冲材料，具备广阔的市场前景。</w:t>
      </w:r>
    </w:p>
    <w:p>
      <w:pPr>
        <w:pStyle w:val="BodyText"/>
        <w:spacing w:line="316" w:lineRule="auto" w:before="24"/>
        <w:ind w:right="1130" w:firstLine="360"/>
        <w:jc w:val="both"/>
      </w:pPr>
      <w:r>
        <w:rPr>
          <w:spacing w:val="-2"/>
        </w:rPr>
        <w:t>报告期内，公司研发的一种新型纸浆托获得了发明专利授权，该新型纸浆托产品具有耐磨防掉色、防掉尘等特性，产品</w:t>
      </w:r>
      <w:r>
        <w:rPr/>
        <w:t> </w:t>
      </w:r>
      <w:r>
        <w:rPr>
          <w:spacing w:val="-2"/>
        </w:rPr>
        <w:t>在运输过程中不会出现产品与纸浆托擦花、纸浆托掉色、掉尘及植物纤维脱离纸浆托主体等情况，可以避免电子产品因粉尘</w:t>
      </w:r>
      <w:r>
        <w:rPr>
          <w:spacing w:val="-65"/>
        </w:rPr>
        <w:t> </w:t>
      </w:r>
      <w:r>
        <w:rPr>
          <w:spacing w:val="-65"/>
        </w:rPr>
      </w:r>
      <w:r>
        <w:rPr>
          <w:spacing w:val="-2"/>
        </w:rPr>
        <w:t>与植物纤维掉入造成的故障、损坏或报废的风险。公司新型纸浆托产品可满足产品防尘，防磨擦的功能要求，同时提升客户</w:t>
      </w:r>
    </w:p>
    <w:p>
      <w:pPr>
        <w:spacing w:after="0" w:line="316" w:lineRule="auto"/>
        <w:jc w:val="both"/>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right="984"/>
        <w:jc w:val="left"/>
      </w:pPr>
      <w:r>
        <w:rPr/>
        <w:t>产品环保标准，降低客户包装成本。</w:t>
      </w:r>
    </w:p>
    <w:p>
      <w:pPr>
        <w:pStyle w:val="BodyText"/>
        <w:spacing w:line="432" w:lineRule="exact" w:before="61"/>
        <w:ind w:left="512" w:right="984"/>
        <w:jc w:val="left"/>
      </w:pPr>
      <w:r>
        <w:rPr/>
        <w:t>（四）全面推进管理优化，运营效率进一步提升 </w:t>
      </w:r>
      <w:r>
        <w:rPr>
          <w:spacing w:val="-2"/>
        </w:rPr>
        <w:t>随着以</w:t>
      </w:r>
      <w:r>
        <w:rPr>
          <w:rFonts w:ascii="Times New Roman" w:hAnsi="Times New Roman" w:cs="Times New Roman" w:eastAsia="Times New Roman" w:hint="default"/>
          <w:spacing w:val="-2"/>
        </w:rPr>
        <w:t>“</w:t>
      </w:r>
      <w:r>
        <w:rPr>
          <w:spacing w:val="-2"/>
        </w:rPr>
        <w:t>提升客户满意度</w:t>
      </w:r>
      <w:r>
        <w:rPr>
          <w:rFonts w:ascii="Times New Roman" w:hAnsi="Times New Roman" w:cs="Times New Roman" w:eastAsia="Times New Roman" w:hint="default"/>
          <w:spacing w:val="-2"/>
        </w:rPr>
        <w:t>”</w:t>
      </w:r>
      <w:r>
        <w:rPr>
          <w:spacing w:val="-2"/>
        </w:rPr>
        <w:t>为核心的管理优化项目的推进，公司客户满意度持续提升，内部工作流程不断得到优化，运营</w:t>
      </w:r>
    </w:p>
    <w:p>
      <w:pPr>
        <w:pStyle w:val="BodyText"/>
        <w:spacing w:line="240" w:lineRule="auto" w:before="15"/>
        <w:ind w:right="984"/>
        <w:jc w:val="left"/>
      </w:pPr>
      <w:r>
        <w:rPr/>
        <w:t>效率进一步提升。报告期内，公司人均产值较上年同期取得较大增长。</w:t>
      </w:r>
    </w:p>
    <w:p>
      <w:pPr>
        <w:pStyle w:val="BodyText"/>
        <w:spacing w:line="432" w:lineRule="exact" w:before="61"/>
        <w:ind w:left="512" w:right="1121"/>
        <w:jc w:val="left"/>
        <w:rPr>
          <w:rFonts w:ascii="Times New Roman" w:hAnsi="Times New Roman" w:cs="Times New Roman" w:eastAsia="Times New Roman" w:hint="default"/>
        </w:rPr>
      </w:pPr>
      <w:r>
        <w:rPr/>
        <w:t>（五）积极回馈全体股东 </w:t>
      </w:r>
      <w:r>
        <w:rPr>
          <w:spacing w:val="-3"/>
        </w:rPr>
        <w:t>公司本着积极回馈全体股东的原则，根据</w:t>
      </w:r>
      <w:r>
        <w:rPr>
          <w:rFonts w:ascii="Times New Roman" w:hAnsi="Times New Roman" w:cs="Times New Roman" w:eastAsia="Times New Roman" w:hint="default"/>
          <w:spacing w:val="-3"/>
        </w:rPr>
        <w:t>2017</w:t>
      </w:r>
      <w:r>
        <w:rPr>
          <w:spacing w:val="-3"/>
        </w:rPr>
        <w:t>年度经营业绩情况，制定了积极的分红方案。公司于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月实施了</w:t>
      </w:r>
      <w:r>
        <w:rPr>
          <w:rFonts w:ascii="Times New Roman" w:hAnsi="Times New Roman" w:cs="Times New Roman" w:eastAsia="Times New Roman" w:hint="default"/>
          <w:spacing w:val="-3"/>
        </w:rPr>
        <w:t>2017</w:t>
      </w:r>
    </w:p>
    <w:p>
      <w:pPr>
        <w:pStyle w:val="BodyText"/>
        <w:spacing w:line="300" w:lineRule="auto" w:before="15"/>
        <w:ind w:right="1169"/>
        <w:jc w:val="left"/>
      </w:pPr>
      <w:r>
        <w:rPr/>
        <w:t>年度利润分配方案，向全体股东每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1.3</w:t>
      </w:r>
      <w:r>
        <w:rPr/>
        <w:t>元，共计派发现金</w:t>
      </w:r>
      <w:r>
        <w:rPr>
          <w:rFonts w:ascii="Times New Roman" w:hAnsi="Times New Roman" w:cs="Times New Roman" w:eastAsia="Times New Roman" w:hint="default"/>
        </w:rPr>
        <w:t>20,050.21</w:t>
      </w:r>
      <w:r>
        <w:rPr/>
        <w:t>万元。为有效维护广大股东利益，增强 投资者信心，促进公司的长远发展，报告期内，公司使用现金</w:t>
      </w:r>
      <w:r>
        <w:rPr>
          <w:rFonts w:ascii="Times New Roman" w:hAnsi="Times New Roman" w:cs="Times New Roman" w:eastAsia="Times New Roman" w:hint="default"/>
        </w:rPr>
        <w:t>6,100.84</w:t>
      </w:r>
      <w:r>
        <w:rPr/>
        <w:t>万元回购公司股份</w:t>
      </w:r>
      <w:r>
        <w:rPr>
          <w:rFonts w:ascii="Times New Roman" w:hAnsi="Times New Roman" w:cs="Times New Roman" w:eastAsia="Times New Roman" w:hint="default"/>
        </w:rPr>
        <w:t>1100</w:t>
      </w:r>
      <w:r>
        <w:rPr/>
        <w:t>万股，并全部注销。</w:t>
      </w:r>
    </w:p>
    <w:p>
      <w:pPr>
        <w:pStyle w:val="BodyText"/>
        <w:spacing w:line="300" w:lineRule="auto" w:before="133"/>
        <w:ind w:right="984" w:firstLine="360"/>
        <w:jc w:val="left"/>
      </w:pPr>
      <w:r>
        <w:rPr>
          <w:spacing w:val="-2"/>
        </w:rPr>
        <w:t>公司董事会已审议通过了公司</w:t>
      </w:r>
      <w:r>
        <w:rPr>
          <w:rFonts w:ascii="Times New Roman" w:hAnsi="Times New Roman" w:cs="Times New Roman" w:eastAsia="Times New Roman" w:hint="default"/>
          <w:spacing w:val="-2"/>
        </w:rPr>
        <w:t>2018</w:t>
      </w:r>
      <w:r>
        <w:rPr>
          <w:spacing w:val="-2"/>
        </w:rPr>
        <w:t>年度利润分配预案，向全体股东每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2</w:t>
      </w:r>
      <w:r>
        <w:rPr>
          <w:spacing w:val="-2"/>
        </w:rPr>
        <w:t>元，按照公司目前总股本测算，</w:t>
      </w:r>
      <w:r>
        <w:rPr/>
        <w:t> 预计将派发现金</w:t>
      </w:r>
      <w:r>
        <w:rPr>
          <w:rFonts w:ascii="Times New Roman" w:hAnsi="Times New Roman" w:cs="Times New Roman" w:eastAsia="Times New Roman" w:hint="default"/>
        </w:rPr>
        <w:t>30,626.47</w:t>
      </w:r>
      <w:r>
        <w:rPr/>
        <w:t>万元。</w:t>
      </w:r>
    </w:p>
    <w:p>
      <w:pPr>
        <w:pStyle w:val="BodyText"/>
        <w:spacing w:line="240" w:lineRule="auto" w:before="133"/>
        <w:ind w:left="512" w:right="984"/>
        <w:jc w:val="left"/>
      </w:pPr>
      <w:r>
        <w:rPr/>
        <w:t>未来，公司董事会将持续提出积极的分红方案，经股东大会审议批准后实施。</w:t>
      </w:r>
    </w:p>
    <w:p>
      <w:pPr>
        <w:pStyle w:val="BodyText"/>
        <w:spacing w:line="430" w:lineRule="atLeast" w:before="2"/>
        <w:ind w:left="512" w:right="984"/>
        <w:jc w:val="left"/>
      </w:pPr>
      <w:r>
        <w:rPr/>
        <w:t>（六）积极推动处理金之彩收购纠纷的解决 </w:t>
      </w:r>
      <w:r>
        <w:rPr>
          <w:spacing w:val="-2"/>
        </w:rPr>
        <w:t>报告期内，公司继续高度重视金之彩收购纠纷问题，积极向仲裁庭提交对方违约证据，以期望金之彩纠纷问题得以妥善</w:t>
      </w:r>
    </w:p>
    <w:p>
      <w:pPr>
        <w:pStyle w:val="BodyText"/>
        <w:spacing w:line="300" w:lineRule="auto" w:before="76"/>
        <w:ind w:right="984"/>
        <w:jc w:val="left"/>
      </w:pPr>
      <w:r>
        <w:rPr>
          <w:spacing w:val="-2"/>
        </w:rPr>
        <w:t>解决，尽最大努力维护公司及广大投资者利益。</w:t>
      </w:r>
      <w:r>
        <w:rPr>
          <w:rFonts w:ascii="Times New Roman" w:hAnsi="Times New Roman" w:cs="Times New Roman" w:eastAsia="Times New Roman" w:hint="default"/>
          <w:spacing w:val="-2"/>
        </w:rPr>
        <w:t>2018</w:t>
      </w:r>
      <w:r>
        <w:rPr>
          <w:spacing w:val="-2"/>
        </w:rPr>
        <w:t>年度，因收购纠纷及原股东的阻挠等原因导致金之彩亏损，一定程度拖</w:t>
      </w:r>
      <w:r>
        <w:rPr>
          <w:spacing w:val="-63"/>
        </w:rPr>
        <w:t> </w:t>
      </w:r>
      <w:r>
        <w:rPr>
          <w:spacing w:val="-63"/>
        </w:rPr>
      </w:r>
      <w:r>
        <w:rPr/>
        <w:t>累公司经营业绩。</w:t>
      </w:r>
    </w:p>
    <w:p>
      <w:pPr>
        <w:pStyle w:val="BodyText"/>
        <w:spacing w:line="300" w:lineRule="auto" w:before="151"/>
        <w:ind w:right="1124" w:firstLine="360"/>
        <w:jc w:val="left"/>
      </w:pPr>
      <w:r>
        <w:rPr/>
        <w:t>报告期内，公司通过诉讼方式，完成了深圳金之彩下属</w:t>
      </w:r>
      <w:r>
        <w:rPr>
          <w:rFonts w:ascii="Times New Roman" w:hAnsi="Times New Roman" w:cs="Times New Roman" w:eastAsia="Times New Roman" w:hint="default"/>
        </w:rPr>
        <w:t>2</w:t>
      </w:r>
      <w:r>
        <w:rPr/>
        <w:t>家主要子公司的法定代表人变更工作。公司期待收购纠纷等问 题得以妥善解决后尽快消除有关负面影响。</w:t>
      </w:r>
    </w:p>
    <w:p>
      <w:pPr>
        <w:spacing w:line="240" w:lineRule="auto" w:before="11"/>
        <w:rPr>
          <w:rFonts w:ascii="宋体" w:hAnsi="宋体" w:cs="宋体" w:eastAsia="宋体" w:hint="default"/>
          <w:sz w:val="21"/>
          <w:szCs w:val="21"/>
        </w:rPr>
      </w:pPr>
    </w:p>
    <w:p>
      <w:pPr>
        <w:pStyle w:val="Heading2"/>
        <w:spacing w:line="240" w:lineRule="auto"/>
        <w:ind w:right="984"/>
        <w:jc w:val="left"/>
        <w:rPr>
          <w:rFonts w:ascii="Tahoma" w:hAnsi="Tahoma" w:cs="Tahoma" w:eastAsia="Tahoma" w:hint="default"/>
        </w:rPr>
      </w:pPr>
      <w:r>
        <w:rPr/>
        <w:t>二、主营业务分析</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line="547" w:lineRule="auto" w:before="0"/>
        <w:ind w:left="152" w:right="6474" w:firstLine="0"/>
        <w:jc w:val="left"/>
        <w:rPr>
          <w:rFonts w:ascii="Tahoma" w:hAnsi="Tahoma" w:cs="Tahoma" w:eastAsia="Tahoma" w:hint="default"/>
          <w:sz w:val="21"/>
          <w:szCs w:val="21"/>
        </w:rPr>
      </w:pPr>
      <w:r>
        <w:rPr>
          <w:rFonts w:ascii="Tahoma" w:hAnsi="Tahoma" w:cs="Tahoma" w:eastAsia="Tahoma" w:hint="default"/>
          <w:sz w:val="21"/>
          <w:szCs w:val="21"/>
        </w:rPr>
        <w:t>1</w:t>
      </w:r>
      <w:r>
        <w:rPr>
          <w:rFonts w:ascii="宋体" w:hAnsi="宋体" w:cs="宋体" w:eastAsia="宋体" w:hint="default"/>
          <w:sz w:val="21"/>
          <w:szCs w:val="21"/>
        </w:rPr>
        <w:t>、概述</w:t>
      </w:r>
      <w:r>
        <w:rPr>
          <w:rFonts w:ascii="Tahoma" w:hAnsi="Tahoma" w:cs="Tahoma" w:eastAsia="Tahoma" w:hint="default"/>
          <w:w w:val="8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ahoma" w:hAnsi="Tahoma" w:cs="Tahoma" w:eastAsia="Tahoma" w:hint="default"/>
          <w:sz w:val="21"/>
          <w:szCs w:val="21"/>
        </w:rPr>
        <w:t>2</w:t>
      </w:r>
      <w:r>
        <w:rPr>
          <w:rFonts w:ascii="宋体" w:hAnsi="宋体" w:cs="宋体" w:eastAsia="宋体" w:hint="default"/>
          <w:sz w:val="21"/>
          <w:szCs w:val="21"/>
        </w:rPr>
        <w:t>、收入与成本</w:t>
      </w:r>
      <w:r>
        <w:rPr>
          <w:rFonts w:ascii="Tahoma" w:hAnsi="Tahoma" w:cs="Tahoma" w:eastAsia="Tahoma" w:hint="default"/>
          <w:w w:val="80"/>
          <w:sz w:val="21"/>
          <w:szCs w:val="21"/>
        </w:rPr>
        <w:t> </w:t>
      </w:r>
      <w:r>
        <w:rPr>
          <w:rFonts w:ascii="Tahoma" w:hAnsi="Tahoma" w:cs="Tahoma" w:eastAsia="Tahoma" w:hint="default"/>
          <w:sz w:val="21"/>
          <w:szCs w:val="21"/>
        </w:rPr>
      </w:r>
    </w:p>
    <w:p>
      <w:pPr>
        <w:pStyle w:val="Heading3"/>
        <w:spacing w:line="240" w:lineRule="auto" w:before="1"/>
        <w:ind w:right="984"/>
        <w:jc w:val="left"/>
        <w:rPr>
          <w:rFonts w:ascii="Tahoma" w:hAnsi="Tahoma" w:cs="Tahoma" w:eastAsia="Tahoma" w:hint="default"/>
        </w:rPr>
      </w:pPr>
      <w:r>
        <w:rPr/>
        <w:t>（</w:t>
      </w:r>
      <w:r>
        <w:rPr>
          <w:rFonts w:ascii="Tahoma" w:hAnsi="Tahoma" w:cs="Tahoma" w:eastAsia="Tahoma" w:hint="default"/>
        </w:rPr>
        <w:t>1</w:t>
      </w:r>
      <w:r>
        <w:rPr/>
        <w:t>）营业收入构成</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3,248,945,549.35</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2,857,419,302.97</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13.70%</w:t>
            </w:r>
          </w:p>
        </w:tc>
      </w:tr>
      <w:tr>
        <w:trPr>
          <w:trHeight w:val="403"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纸制品行业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3,125,396,512.31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96.20%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2,768,627,947.74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12.89%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123,549,037.04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88,791,355.23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39.15%</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轻型包装产品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2,285,030,667.17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70.34%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2,104,779,191.22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重型包装产品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144,691,313.89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133,248,384.80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8.59%</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第三方采购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695,674,531.25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21.41%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530,600,371.72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w w:val="95"/>
                <w:sz w:val="18"/>
              </w:rPr>
              <w:t>31.11%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123,549,037.04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88,791,355.23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39.15%</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2,285,315,638.99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70.34%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1,999,736,570.15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69.98%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14.28%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963,629,910.36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29.66%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857,682,732.82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12.35%</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）占公司营业收入或营业利润</w:t>
      </w:r>
      <w:r>
        <w:rPr>
          <w:spacing w:val="-58"/>
        </w:rPr>
        <w:t> </w:t>
      </w:r>
      <w:r>
        <w:rPr>
          <w:rFonts w:ascii="Tahoma" w:hAnsi="Tahoma" w:cs="Tahoma" w:eastAsia="Tahoma" w:hint="default"/>
        </w:rPr>
        <w:t>10%</w:t>
      </w:r>
      <w:r>
        <w:rPr/>
        <w:t>以上的行业、产品或地区情况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spacing w:after="0" w:line="240" w:lineRule="auto"/>
        <w:rPr>
          <w:rFonts w:ascii="Tahoma" w:hAnsi="Tahoma" w:cs="Tahoma" w:eastAsia="Tahoma" w:hint="default"/>
          <w:sz w:val="25"/>
          <w:szCs w:val="25"/>
        </w:rPr>
        <w:sectPr>
          <w:pgSz w:w="11910" w:h="16840"/>
          <w:pgMar w:header="753" w:footer="982" w:top="1060" w:bottom="1180" w:left="980" w:right="0"/>
        </w:sectPr>
      </w:pPr>
    </w:p>
    <w:p>
      <w:pPr>
        <w:pStyle w:val="BodyText"/>
        <w:spacing w:line="350" w:lineRule="auto" w:before="3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1"/>
        <w:ind w:right="0"/>
        <w:jc w:val="left"/>
      </w:pPr>
      <w:r>
        <w:rPr/>
        <w:t>单位：元</w:t>
      </w:r>
    </w:p>
    <w:p>
      <w:pPr>
        <w:spacing w:after="0" w:line="240" w:lineRule="auto"/>
        <w:jc w:val="left"/>
        <w:sectPr>
          <w:type w:val="continuous"/>
          <w:pgSz w:w="11910" w:h="16840"/>
          <w:pgMar w:top="1060" w:bottom="1180" w:left="980" w:right="0"/>
          <w:cols w:num="2" w:equalWidth="0">
            <w:col w:w="3213" w:space="5705"/>
            <w:col w:w="2012"/>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19" w:right="45"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纸制品行业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3,125,396,512.31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2,186,861,518.27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-2.69%</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轻型包装产品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2,285,030,667.17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1,548,979,612.95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重型包装产品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144,691,313.89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98,564,658.33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-6.73%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第三方采购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695,674,531.25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539,317,246.99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w w:val="95"/>
                <w:sz w:val="18"/>
              </w:rPr>
              <w:t>31.11%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2,161,766,601.95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1,508,698,796.27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21.43%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963,629,910.36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678,162,722.00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1.93%</w:t>
            </w:r>
          </w:p>
        </w:tc>
      </w:tr>
    </w:tbl>
    <w:p>
      <w:pPr>
        <w:pStyle w:val="BodyText"/>
        <w:spacing w:line="240" w:lineRule="auto" w:before="49"/>
        <w:ind w:right="984"/>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1"/>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3</w:t>
      </w:r>
      <w:r>
        <w:rPr/>
        <w:t>）公司实物销售收入是否大于劳务收入</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纸制品行业</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1,647,544,271.28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1,458,543,658.85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12.96%</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1,667,713,229.41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1,553,454,862.97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7.36%</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265,950,842.25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245,781,884.12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8.21%</w:t>
            </w:r>
          </w:p>
        </w:tc>
      </w:tr>
    </w:tbl>
    <w:p>
      <w:pPr>
        <w:pStyle w:val="BodyText"/>
        <w:spacing w:line="240" w:lineRule="auto" w:before="49"/>
        <w:ind w:right="984"/>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type w:val="continuous"/>
          <w:pgSz w:w="11910" w:h="16840"/>
          <w:pgMar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4</w:t>
      </w:r>
      <w:r>
        <w:rPr/>
        <w:t>）公司已签订的重大销售合同截至本报告期的履行情况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5</w:t>
      </w:r>
      <w:r>
        <w:rPr/>
        <w:t>）营业成本构成</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t>行业和产品分类</w:t>
      </w:r>
    </w:p>
    <w:p>
      <w:pPr>
        <w:pStyle w:val="BodyText"/>
        <w:spacing w:line="240" w:lineRule="auto" w:before="117"/>
        <w:ind w:left="0" w:right="1133"/>
        <w:jc w:val="right"/>
      </w:pPr>
      <w:r>
        <w:rPr/>
        <w:t>单位：元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纸制品行业</w:t>
            </w:r>
            <w:r>
              <w:rPr>
                <w:rFonts w:ascii="Times New Roman" w:hAnsi="Times New Roman" w:cs="Times New Roman" w:eastAsia="Times New Roman" w:hint="default"/>
                <w:sz w:val="18"/>
                <w:szCs w:val="18"/>
              </w:rPr>
              <w:t>-</w:t>
            </w:r>
            <w:r>
              <w:rPr>
                <w:rFonts w:ascii="宋体" w:hAnsi="宋体" w:cs="宋体" w:eastAsia="宋体" w:hint="default"/>
                <w:sz w:val="18"/>
                <w:szCs w:val="18"/>
              </w:rPr>
              <w:t>自 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1,251,754,606.97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75.98%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1,109,432,770.95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12.83%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纸制品行业</w:t>
            </w:r>
            <w:r>
              <w:rPr>
                <w:rFonts w:ascii="Times New Roman" w:hAnsi="Times New Roman" w:cs="Times New Roman" w:eastAsia="Times New Roman" w:hint="default"/>
                <w:sz w:val="18"/>
                <w:szCs w:val="18"/>
              </w:rPr>
              <w:t>-</w:t>
            </w:r>
            <w:r>
              <w:rPr>
                <w:rFonts w:ascii="宋体" w:hAnsi="宋体" w:cs="宋体" w:eastAsia="宋体" w:hint="default"/>
                <w:sz w:val="18"/>
                <w:szCs w:val="18"/>
              </w:rPr>
              <w:t>自 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224,923,022.66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189,101,999.25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18.94%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纸制品行业</w:t>
            </w:r>
            <w:r>
              <w:rPr>
                <w:rFonts w:ascii="Times New Roman" w:hAnsi="Times New Roman" w:cs="Times New Roman" w:eastAsia="Times New Roman" w:hint="default"/>
                <w:sz w:val="18"/>
                <w:szCs w:val="18"/>
              </w:rPr>
              <w:t>-</w:t>
            </w:r>
            <w:r>
              <w:rPr>
                <w:rFonts w:ascii="宋体" w:hAnsi="宋体" w:cs="宋体" w:eastAsia="宋体" w:hint="default"/>
                <w:sz w:val="18"/>
                <w:szCs w:val="18"/>
              </w:rPr>
              <w:t>自 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170,866,641.65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160,008,888.65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w:t>
            </w:r>
          </w:p>
        </w:tc>
      </w:tr>
    </w:tbl>
    <w:p>
      <w:pPr>
        <w:pStyle w:val="BodyText"/>
        <w:spacing w:line="240" w:lineRule="auto" w:before="49"/>
        <w:ind w:left="0" w:right="1133"/>
        <w:jc w:val="right"/>
      </w:pPr>
      <w:r>
        <w:rPr/>
        <w:t>单位：元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轻型包装产品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1,548,979,612.95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70.83%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1,376,747,355.66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73.91%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12.51%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重型包装产品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98,564,658.33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81,796,303.19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20.50%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第三方采购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539,317,246.99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24.66%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404,120,849.90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21.70%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33.45%</w:t>
            </w:r>
          </w:p>
        </w:tc>
      </w:tr>
    </w:tbl>
    <w:p>
      <w:pPr>
        <w:pStyle w:val="BodyText"/>
        <w:spacing w:line="357" w:lineRule="auto" w:before="49"/>
        <w:ind w:right="10394"/>
        <w:jc w:val="left"/>
      </w:pPr>
      <w:r>
        <w:rPr/>
        <w:t>说明 无</w:t>
      </w:r>
    </w:p>
    <w:p>
      <w:pPr>
        <w:spacing w:line="240" w:lineRule="auto" w:before="6"/>
        <w:rPr>
          <w:rFonts w:ascii="宋体" w:hAnsi="宋体" w:cs="宋体" w:eastAsia="宋体" w:hint="default"/>
          <w:sz w:val="20"/>
          <w:szCs w:val="20"/>
        </w:rPr>
      </w:pPr>
    </w:p>
    <w:p>
      <w:pPr>
        <w:pStyle w:val="Heading3"/>
        <w:spacing w:line="240" w:lineRule="auto"/>
        <w:ind w:right="0"/>
        <w:jc w:val="both"/>
        <w:rPr>
          <w:rFonts w:ascii="Tahoma" w:hAnsi="Tahoma" w:cs="Tahoma" w:eastAsia="Tahoma" w:hint="default"/>
        </w:rPr>
      </w:pPr>
      <w:r>
        <w:rPr/>
        <w:t>（</w:t>
      </w:r>
      <w:r>
        <w:rPr>
          <w:rFonts w:ascii="Tahoma" w:hAnsi="Tahoma" w:cs="Tahoma" w:eastAsia="Tahoma" w:hint="default"/>
        </w:rPr>
        <w:t>6</w:t>
      </w:r>
      <w:r>
        <w:rPr/>
        <w:t>）报告期内合并范围是否发生变动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40" w:lineRule="auto"/>
        <w:ind w:right="31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否 在上年度财务报告编制的基础上，公司本年度将西安美盈森、苏州智谷科技纳入合并报表范围。</w:t>
      </w:r>
    </w:p>
    <w:p>
      <w:pPr>
        <w:pStyle w:val="BodyText"/>
        <w:spacing w:line="300" w:lineRule="auto" w:before="1"/>
        <w:ind w:right="984"/>
        <w:jc w:val="left"/>
      </w:pPr>
      <w:r>
        <w:rPr>
          <w:spacing w:val="-2"/>
        </w:rPr>
        <w:t>（</w:t>
      </w:r>
      <w:r>
        <w:rPr>
          <w:rFonts w:ascii="Times New Roman" w:hAnsi="Times New Roman" w:cs="Times New Roman" w:eastAsia="Times New Roman" w:hint="default"/>
          <w:spacing w:val="-2"/>
        </w:rPr>
        <w:t>1</w:t>
      </w:r>
      <w:r>
        <w:rPr>
          <w:spacing w:val="-2"/>
        </w:rPr>
        <w:t>）本期公司设立西安美盈森智谷科技有限公司，于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日完成办理工商设立登记手续，并取得统一社会信用代码</w:t>
      </w:r>
      <w:r>
        <w:rPr>
          <w:spacing w:val="-62"/>
        </w:rPr>
        <w:t> </w:t>
      </w:r>
      <w:r>
        <w:rPr>
          <w:spacing w:val="-62"/>
        </w:rPr>
      </w:r>
      <w:r>
        <w:rPr/>
        <w:t>为</w:t>
      </w:r>
      <w:r>
        <w:rPr>
          <w:rFonts w:ascii="Times New Roman" w:hAnsi="Times New Roman" w:cs="Times New Roman" w:eastAsia="Times New Roman" w:hint="default"/>
        </w:rPr>
        <w:t>91610132MA6UR5P56E</w:t>
      </w:r>
      <w:r>
        <w:rPr/>
        <w:t>的企业法人营业执照；按照相应的会计编制规则，公司本期将西安美盈森纳入合并报表范围。</w:t>
      </w:r>
    </w:p>
    <w:p>
      <w:pPr>
        <w:pStyle w:val="BodyText"/>
        <w:spacing w:line="300" w:lineRule="auto" w:before="13"/>
        <w:ind w:right="1140"/>
        <w:jc w:val="both"/>
      </w:pPr>
      <w:r>
        <w:rPr/>
        <w:t>（</w:t>
      </w:r>
      <w:r>
        <w:rPr>
          <w:rFonts w:ascii="Times New Roman" w:hAnsi="Times New Roman" w:cs="Times New Roman" w:eastAsia="Times New Roman" w:hint="default"/>
        </w:rPr>
        <w:t>2</w:t>
      </w:r>
      <w:r>
        <w:rPr/>
        <w:t>）本期由公司全资子公司苏州美盈森设立苏州美盈森智谷科技有限公司，于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日完成办理工商设立登记手续， 并取得统一社会信用代码为</w:t>
      </w:r>
      <w:r>
        <w:rPr>
          <w:rFonts w:ascii="Times New Roman" w:hAnsi="Times New Roman" w:cs="Times New Roman" w:eastAsia="Times New Roman" w:hint="default"/>
        </w:rPr>
        <w:t>91320509MA1WH85UXW</w:t>
      </w:r>
      <w:r>
        <w:rPr/>
        <w:t>的企业法人营业执照；按照相应的会计编制规则，公司本期将苏州智 谷科技纳入合并报表范围。</w:t>
      </w:r>
    </w:p>
    <w:p>
      <w:pPr>
        <w:spacing w:line="240" w:lineRule="auto" w:before="10"/>
        <w:rPr>
          <w:rFonts w:ascii="宋体" w:hAnsi="宋体" w:cs="宋体" w:eastAsia="宋体" w:hint="default"/>
          <w:sz w:val="23"/>
          <w:szCs w:val="23"/>
        </w:rPr>
      </w:pPr>
    </w:p>
    <w:p>
      <w:pPr>
        <w:pStyle w:val="Heading3"/>
        <w:spacing w:line="240" w:lineRule="auto"/>
        <w:ind w:right="0"/>
        <w:jc w:val="both"/>
        <w:rPr>
          <w:rFonts w:ascii="Tahoma" w:hAnsi="Tahoma" w:cs="Tahoma" w:eastAsia="Tahoma" w:hint="default"/>
        </w:rPr>
      </w:pPr>
      <w:r>
        <w:rPr/>
        <w:t>（</w:t>
      </w:r>
      <w:r>
        <w:rPr>
          <w:rFonts w:ascii="Tahoma" w:hAnsi="Tahoma" w:cs="Tahoma" w:eastAsia="Tahoma" w:hint="default"/>
        </w:rPr>
        <w:t>7</w:t>
      </w:r>
      <w:r>
        <w:rPr/>
        <w:t>）公司报告期内业务、产品或服务发生重大变化或调整有关情况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both"/>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8</w:t>
      </w:r>
      <w:r>
        <w:rPr/>
        <w:t>）主要销售客户和主要供应商情况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759,581,613.91</w:t>
            </w:r>
          </w:p>
        </w:tc>
      </w:tr>
      <w:tr>
        <w:trPr>
          <w:trHeight w:val="401"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23.37%</w:t>
            </w:r>
          </w:p>
        </w:tc>
      </w:tr>
      <w:tr>
        <w:trPr>
          <w:trHeight w:val="715"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84"/>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802"/>
        <w:gridCol w:w="3302"/>
        <w:gridCol w:w="2321"/>
        <w:gridCol w:w="3144"/>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241,349,741.08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216,541,324.46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127,058,706.36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91,361,812.01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83,270,030.00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759,581,613.91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23.37%</w:t>
            </w:r>
          </w:p>
        </w:tc>
      </w:tr>
    </w:tbl>
    <w:p>
      <w:pPr>
        <w:pStyle w:val="BodyText"/>
        <w:spacing w:line="240" w:lineRule="auto" w:before="49"/>
        <w:ind w:right="984"/>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401"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746,519,333.96</w:t>
            </w:r>
          </w:p>
        </w:tc>
      </w:tr>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31.94%</w:t>
            </w:r>
          </w:p>
        </w:tc>
      </w:tr>
      <w:tr>
        <w:trPr>
          <w:trHeight w:val="713"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84"/>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936"/>
        <w:gridCol w:w="3168"/>
        <w:gridCol w:w="2321"/>
        <w:gridCol w:w="3144"/>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360,691,057.82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15.43%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126,419,034.45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105,617,419.82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80,299,091.90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73,492,729.97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746,519,333.96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31.94%</w:t>
            </w:r>
          </w:p>
        </w:tc>
      </w:tr>
    </w:tbl>
    <w:p>
      <w:pPr>
        <w:pStyle w:val="BodyText"/>
        <w:spacing w:line="240" w:lineRule="auto" w:before="49"/>
        <w:ind w:right="984"/>
        <w:jc w:val="left"/>
      </w:pPr>
      <w:r>
        <w:rPr/>
        <w:t>主要供应商其他情况说明</w:t>
      </w:r>
    </w:p>
    <w:p>
      <w:pPr>
        <w:pStyle w:val="BodyText"/>
        <w:spacing w:line="240" w:lineRule="auto" w:before="117"/>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w:t>
      </w:r>
      <w:r>
        <w:rPr/>
        <w:t>、费用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8"/>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8"/>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238,380,120.95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221,410,455.45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204,079,870.59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208,094,696.05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-19,246,519.93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-2,055,215.49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主要系本期汇兑收益增加所致。</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127,081,637.14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113,109,419.74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4</w:t>
      </w:r>
      <w:r>
        <w:rPr/>
        <w:t>、研发投入</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38"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 </w:t>
      </w:r>
      <w:r>
        <w:rPr>
          <w:spacing w:val="-4"/>
        </w:rPr>
        <w:t>公司研发投入目的是进一步提升公司在主营业务上的竞争优势，更好地满足客户和市场的需求，对公司未来发展有积极影响。</w:t>
      </w:r>
    </w:p>
    <w:p>
      <w:pPr>
        <w:spacing w:line="240" w:lineRule="auto" w:before="0"/>
        <w:rPr>
          <w:rFonts w:ascii="宋体" w:hAnsi="宋体" w:cs="宋体" w:eastAsia="宋体" w:hint="default"/>
          <w:sz w:val="18"/>
          <w:szCs w:val="18"/>
        </w:rPr>
      </w:pPr>
    </w:p>
    <w:p>
      <w:pPr>
        <w:pStyle w:val="BodyText"/>
        <w:spacing w:line="240" w:lineRule="auto" w:before="120"/>
        <w:ind w:right="984"/>
        <w:jc w:val="left"/>
      </w:pPr>
      <w:r>
        <w:rPr/>
        <w:t>公司研发投入情况</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127,081,637.14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113,109,419.74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12.35%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84"/>
        <w:jc w:val="left"/>
      </w:pPr>
      <w:r>
        <w:rPr/>
        <w:t>研发投入总额占营业收入的比重较上年发生显著变化的原因</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研发投入资本化率大幅变动的原因及其合理性说明</w:t>
      </w:r>
    </w:p>
    <w:p>
      <w:pPr>
        <w:pStyle w:val="BodyText"/>
        <w:spacing w:line="240" w:lineRule="auto" w:before="43"/>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5</w:t>
      </w:r>
      <w:r>
        <w:rPr/>
        <w:t>、现金流</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3,378,152,737.81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2,843,002,041.45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18.82%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3,104,226,170.43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2,578,846,723.90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20.37%</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273,926,567.38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264,155,317.55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864,742,324.33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-4,338,294.12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20,032.77%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2,153,251,592.38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562,540,699.29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282.77%</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-1,288,509,268.05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-566,878,993.41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127.30%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480,158,060.93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447,933,483.99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636,938,697.48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49,115,803.60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1,196.81%</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-156,780,636.55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398,817,680.39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-139.31%</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-1,163,785,709.13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76,769,617.72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-1,615.95%</w:t>
            </w:r>
          </w:p>
        </w:tc>
      </w:tr>
    </w:tbl>
    <w:p>
      <w:pPr>
        <w:pStyle w:val="BodyText"/>
        <w:spacing w:line="240" w:lineRule="auto" w:before="49"/>
        <w:ind w:right="984"/>
        <w:jc w:val="left"/>
      </w:pPr>
      <w:r>
        <w:rPr/>
        <w:t>相关数据同比发生重大变动的主要影响因素说明</w:t>
      </w:r>
    </w:p>
    <w:p>
      <w:pPr>
        <w:pStyle w:val="BodyText"/>
        <w:spacing w:line="319" w:lineRule="auto" w:before="115"/>
        <w:ind w:right="11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 </w:t>
      </w:r>
      <w:r>
        <w:rPr>
          <w:rFonts w:ascii="Times New Roman" w:hAnsi="Times New Roman" w:cs="Times New Roman" w:eastAsia="Times New Roman" w:hint="default"/>
        </w:rPr>
        <w:t>1</w:t>
      </w:r>
      <w:r>
        <w:rPr/>
        <w:t>、报告期公司投资活动现金流入金额比去年同期增加</w:t>
      </w:r>
      <w:r>
        <w:rPr>
          <w:rFonts w:ascii="Times New Roman" w:hAnsi="Times New Roman" w:cs="Times New Roman" w:eastAsia="Times New Roman" w:hint="default"/>
        </w:rPr>
        <w:t>20032.77%</w:t>
      </w:r>
      <w:r>
        <w:rPr/>
        <w:t>，主要系本期利用部分暂时闲置的资金购买银行理财产品 到期赎回所致。</w:t>
      </w:r>
    </w:p>
    <w:p>
      <w:pPr>
        <w:pStyle w:val="BodyText"/>
        <w:spacing w:line="300" w:lineRule="auto" w:before="55"/>
        <w:ind w:right="1199"/>
        <w:jc w:val="left"/>
      </w:pPr>
      <w:r>
        <w:rPr>
          <w:rFonts w:ascii="Times New Roman" w:hAnsi="Times New Roman" w:cs="Times New Roman" w:eastAsia="Times New Roman" w:hint="default"/>
        </w:rPr>
        <w:t>2</w:t>
      </w:r>
      <w:r>
        <w:rPr/>
        <w:t>、报告期公司投资活动现金流出金额比去年同期增加</w:t>
      </w:r>
      <w:r>
        <w:rPr>
          <w:rFonts w:ascii="Times New Roman" w:hAnsi="Times New Roman" w:cs="Times New Roman" w:eastAsia="Times New Roman" w:hint="default"/>
        </w:rPr>
        <w:t>282.77%</w:t>
      </w:r>
      <w:r>
        <w:rPr/>
        <w:t>，主要系本期利用部分暂时闲置的资金购买银行理财产品所 致。</w:t>
      </w:r>
    </w:p>
    <w:p>
      <w:pPr>
        <w:pStyle w:val="BodyText"/>
        <w:spacing w:line="300" w:lineRule="auto" w:before="72"/>
        <w:ind w:right="984"/>
        <w:jc w:val="left"/>
      </w:pPr>
      <w:r>
        <w:rPr>
          <w:rFonts w:ascii="Times New Roman" w:hAnsi="Times New Roman" w:cs="Times New Roman" w:eastAsia="Times New Roman" w:hint="default"/>
        </w:rPr>
        <w:t>3</w:t>
      </w:r>
      <w:r>
        <w:rPr/>
        <w:t>、报告期公司投资活动产生的现金流量净额比去年同期增加</w:t>
      </w:r>
      <w:r>
        <w:rPr>
          <w:rFonts w:ascii="Times New Roman" w:hAnsi="Times New Roman" w:cs="Times New Roman" w:eastAsia="Times New Roman" w:hint="default"/>
        </w:rPr>
        <w:t>127.30%</w:t>
      </w:r>
      <w:r>
        <w:rPr/>
        <w:t>，主要系本期利用部分暂时闲置的资金购买银行理财 产品所致。</w:t>
      </w:r>
    </w:p>
    <w:p>
      <w:pPr>
        <w:pStyle w:val="BodyText"/>
        <w:spacing w:line="300" w:lineRule="auto" w:before="72"/>
        <w:ind w:right="984"/>
        <w:jc w:val="left"/>
      </w:pPr>
      <w:r>
        <w:rPr>
          <w:rFonts w:ascii="Times New Roman" w:hAnsi="Times New Roman" w:cs="Times New Roman" w:eastAsia="Times New Roman" w:hint="default"/>
          <w:spacing w:val="-1"/>
        </w:rPr>
        <w:t>4</w:t>
      </w:r>
      <w:r>
        <w:rPr>
          <w:spacing w:val="-1"/>
        </w:rPr>
        <w:t>、报告期公司筹资活动现金流出金额比去年同期增加</w:t>
      </w:r>
      <w:r>
        <w:rPr>
          <w:rFonts w:ascii="Times New Roman" w:hAnsi="Times New Roman" w:cs="Times New Roman" w:eastAsia="Times New Roman" w:hint="default"/>
          <w:spacing w:val="-1"/>
        </w:rPr>
        <w:t>1196.81%</w:t>
      </w:r>
      <w:r>
        <w:rPr>
          <w:spacing w:val="-1"/>
        </w:rPr>
        <w:t>，主要系本期归还银行短期借款及公司实施了</w:t>
      </w:r>
      <w:r>
        <w:rPr>
          <w:rFonts w:ascii="Times New Roman" w:hAnsi="Times New Roman" w:cs="Times New Roman" w:eastAsia="Times New Roman" w:hint="default"/>
          <w:spacing w:val="-1"/>
        </w:rPr>
        <w:t>2017</w:t>
      </w:r>
      <w:r>
        <w:rPr>
          <w:spacing w:val="-1"/>
        </w:rPr>
        <w:t>年度利润</w:t>
      </w:r>
      <w:r>
        <w:rPr>
          <w:spacing w:val="-42"/>
        </w:rPr>
        <w:t> </w:t>
      </w:r>
      <w:r>
        <w:rPr>
          <w:spacing w:val="-42"/>
        </w:rPr>
      </w:r>
      <w:r>
        <w:rPr/>
        <w:t>分配所致。</w:t>
      </w:r>
    </w:p>
    <w:p>
      <w:pPr>
        <w:pStyle w:val="BodyText"/>
        <w:spacing w:line="300" w:lineRule="auto" w:before="70"/>
        <w:ind w:right="1199"/>
        <w:jc w:val="left"/>
      </w:pPr>
      <w:r>
        <w:rPr>
          <w:rFonts w:ascii="Times New Roman" w:hAnsi="Times New Roman" w:cs="Times New Roman" w:eastAsia="Times New Roman" w:hint="default"/>
        </w:rPr>
        <w:t>5</w:t>
      </w:r>
      <w:r>
        <w:rPr/>
        <w:t>、报告期公司筹资活动产生的现金流量净额比去年同期减少</w:t>
      </w:r>
      <w:r>
        <w:rPr>
          <w:rFonts w:ascii="Times New Roman" w:hAnsi="Times New Roman" w:cs="Times New Roman" w:eastAsia="Times New Roman" w:hint="default"/>
        </w:rPr>
        <w:t>139.31%</w:t>
      </w:r>
      <w:r>
        <w:rPr/>
        <w:t>，主要系本期归还银行短期借款及公司实施了</w:t>
      </w:r>
      <w:r>
        <w:rPr>
          <w:rFonts w:ascii="Times New Roman" w:hAnsi="Times New Roman" w:cs="Times New Roman" w:eastAsia="Times New Roman" w:hint="default"/>
        </w:rPr>
        <w:t>2017</w:t>
      </w:r>
      <w:r>
        <w:rPr/>
        <w:t>年 度利润分配所致。</w:t>
      </w:r>
    </w:p>
    <w:p>
      <w:pPr>
        <w:pStyle w:val="BodyText"/>
        <w:spacing w:line="240" w:lineRule="auto" w:before="72"/>
        <w:ind w:right="984"/>
        <w:jc w:val="left"/>
      </w:pPr>
      <w:r>
        <w:rPr/>
        <w:t>报告期内公司经营活动产生的现金净流量与本年度净利润存在重大差异的原因说明</w:t>
      </w:r>
    </w:p>
    <w:p>
      <w:pPr>
        <w:pStyle w:val="BodyText"/>
        <w:spacing w:line="240" w:lineRule="auto" w:before="117"/>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984"/>
        <w:jc w:val="left"/>
      </w:pPr>
      <w:r>
        <w:rPr/>
        <w:t>主要系公司</w:t>
      </w:r>
      <w:r>
        <w:rPr>
          <w:spacing w:val="-46"/>
        </w:rPr>
        <w:t> </w:t>
      </w:r>
      <w:r>
        <w:rPr/>
        <w:t>2018</w:t>
      </w:r>
      <w:r>
        <w:rPr>
          <w:spacing w:val="-45"/>
        </w:rPr>
        <w:t> </w:t>
      </w:r>
      <w:r>
        <w:rPr/>
        <w:t>年下半年销售增量较多，信用期内应收账款增加较大所致。</w:t>
      </w:r>
    </w:p>
    <w:p>
      <w:pPr>
        <w:spacing w:line="240" w:lineRule="auto" w:before="3"/>
        <w:rPr>
          <w:rFonts w:ascii="宋体" w:hAnsi="宋体" w:cs="宋体" w:eastAsia="宋体" w:hint="default"/>
          <w:sz w:val="25"/>
          <w:szCs w:val="25"/>
        </w:rPr>
      </w:pPr>
    </w:p>
    <w:p>
      <w:pPr>
        <w:pStyle w:val="Heading2"/>
        <w:spacing w:line="240" w:lineRule="auto"/>
        <w:ind w:right="984"/>
        <w:jc w:val="left"/>
        <w:rPr>
          <w:rFonts w:ascii="Tahoma" w:hAnsi="Tahoma" w:cs="Tahoma" w:eastAsia="Tahoma" w:hint="default"/>
        </w:rPr>
      </w:pPr>
      <w:r>
        <w:rPr/>
        <w:t>三、非主营业务分析</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24"/>
        <w:gridCol w:w="1915"/>
        <w:gridCol w:w="1622"/>
        <w:gridCol w:w="2254"/>
        <w:gridCol w:w="2254"/>
      </w:tblGrid>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025"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12,908,667.30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both"/>
              <w:rPr>
                <w:rFonts w:ascii="宋体" w:hAnsi="宋体" w:cs="宋体" w:eastAsia="宋体" w:hint="default"/>
                <w:sz w:val="18"/>
                <w:szCs w:val="18"/>
              </w:rPr>
            </w:pPr>
            <w:r>
              <w:rPr>
                <w:rFonts w:ascii="宋体" w:hAnsi="宋体" w:cs="宋体" w:eastAsia="宋体" w:hint="default"/>
                <w:sz w:val="18"/>
                <w:szCs w:val="18"/>
              </w:rPr>
              <w:t>公司利用部分暂时闲置的资 金购买银行理财产品取得收 益所致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42,352,887.72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both"/>
              <w:rPr>
                <w:rFonts w:ascii="宋体" w:hAnsi="宋体" w:cs="宋体" w:eastAsia="宋体" w:hint="default"/>
                <w:sz w:val="18"/>
                <w:szCs w:val="18"/>
              </w:rPr>
            </w:pPr>
            <w:r>
              <w:rPr>
                <w:rFonts w:ascii="宋体" w:hAnsi="宋体" w:cs="宋体" w:eastAsia="宋体" w:hint="default"/>
                <w:sz w:val="18"/>
                <w:szCs w:val="18"/>
              </w:rPr>
              <w:t>公司、重庆美盈森及成都美 盈森投资性房地产公允价值 变动损益形成</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57,640,422.15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12.31%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金之彩商誉减值及计提坏账 准备、存货跌价准备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748,528.51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收到政府奖励款</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6,484,189.09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固定资产报废增加所致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11,322,409.50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收到政府补助款</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13"/>
          <w:pgSz w:w="11910" w:h="16840"/>
          <w:pgMar w:footer="982" w:header="753" w:top="1060" w:bottom="1180" w:left="980" w:right="0"/>
          <w:pgNumType w:start="20"/>
        </w:sectPr>
      </w:pPr>
    </w:p>
    <w:p>
      <w:pPr>
        <w:spacing w:line="240" w:lineRule="auto" w:before="8"/>
        <w:rPr>
          <w:rFonts w:ascii="宋体" w:hAnsi="宋体" w:cs="宋体" w:eastAsia="宋体" w:hint="default"/>
          <w:sz w:val="23"/>
          <w:szCs w:val="23"/>
        </w:rPr>
      </w:pPr>
    </w:p>
    <w:p>
      <w:pPr>
        <w:pStyle w:val="Heading2"/>
        <w:spacing w:line="240" w:lineRule="auto" w:before="26"/>
        <w:ind w:right="984"/>
        <w:jc w:val="left"/>
        <w:rPr>
          <w:rFonts w:ascii="Tahoma" w:hAnsi="Tahoma" w:cs="Tahoma" w:eastAsia="Tahoma" w:hint="default"/>
        </w:rPr>
      </w:pPr>
      <w:r>
        <w:rPr/>
        <w:t>四、资产及负债状况分析</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、资产构成重大变动情况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258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989,511,500.8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2,153,297,209.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-20.77%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left"/>
              <w:rPr>
                <w:rFonts w:ascii="宋体" w:hAnsi="宋体" w:cs="宋体" w:eastAsia="宋体" w:hint="default"/>
                <w:sz w:val="18"/>
                <w:szCs w:val="18"/>
              </w:rPr>
            </w:pPr>
            <w:r>
              <w:rPr>
                <w:rFonts w:ascii="宋体" w:hAnsi="宋体" w:cs="宋体" w:eastAsia="宋体" w:hint="default"/>
                <w:sz w:val="18"/>
                <w:szCs w:val="18"/>
              </w:rPr>
              <w:t>主要系本期公司利用部分暂时闲置 </w:t>
            </w:r>
            <w:r>
              <w:rPr>
                <w:rFonts w:ascii="宋体" w:hAnsi="宋体" w:cs="宋体" w:eastAsia="宋体" w:hint="default"/>
                <w:spacing w:val="-2"/>
                <w:sz w:val="18"/>
                <w:szCs w:val="18"/>
              </w:rPr>
              <w:t>的资金购买银行理财产品、低碳环保</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包装研发总部基地项目、包装印刷工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智慧型工厂（六安）项目、包</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装印刷工业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智慧型工厂（成都）</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项目、包装印刷工业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智慧型工厂</w:t>
            </w:r>
          </w:p>
          <w:p>
            <w:pPr>
              <w:pStyle w:val="TableParagraph"/>
              <w:spacing w:line="316" w:lineRule="auto" w:before="63"/>
              <w:ind w:left="23" w:right="18"/>
              <w:jc w:val="left"/>
              <w:rPr>
                <w:rFonts w:ascii="宋体" w:hAnsi="宋体" w:cs="宋体" w:eastAsia="宋体" w:hint="default"/>
                <w:sz w:val="18"/>
                <w:szCs w:val="18"/>
              </w:rPr>
            </w:pPr>
            <w:r>
              <w:rPr>
                <w:rFonts w:ascii="宋体" w:hAnsi="宋体" w:cs="宋体" w:eastAsia="宋体" w:hint="default"/>
                <w:spacing w:val="-2"/>
                <w:sz w:val="18"/>
                <w:szCs w:val="18"/>
              </w:rPr>
              <w:t>（长沙）项目等投入增加及公司实施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998,117,661.5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862,931,335.28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667,198,889.5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654,017,797.83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w w:val="95"/>
                <w:sz w:val="18"/>
              </w:rPr>
              <w:t>11.03%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506,898,981.8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443,625,472.96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0.48%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1,219,297,623.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19.14%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869,341,393.02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
              <w:jc w:val="left"/>
              <w:rPr>
                <w:rFonts w:ascii="宋体" w:hAnsi="宋体" w:cs="宋体" w:eastAsia="宋体" w:hint="default"/>
                <w:sz w:val="18"/>
                <w:szCs w:val="18"/>
              </w:rPr>
            </w:pPr>
            <w:r>
              <w:rPr>
                <w:rFonts w:ascii="宋体" w:hAnsi="宋体" w:cs="宋体" w:eastAsia="宋体" w:hint="default"/>
                <w:sz w:val="18"/>
                <w:szCs w:val="18"/>
              </w:rPr>
              <w:t>主要系本期低碳环保包装研发总部 基地项目、包装印刷工业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智慧型 </w:t>
            </w:r>
            <w:r>
              <w:rPr>
                <w:rFonts w:ascii="宋体" w:hAnsi="宋体" w:cs="宋体" w:eastAsia="宋体" w:hint="default"/>
                <w:spacing w:val="-2"/>
                <w:sz w:val="18"/>
                <w:szCs w:val="18"/>
              </w:rPr>
              <w:t>工厂（苏州）精品盒项目已达到预定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可使用状态的房屋建筑物转入固定 资产及购买生产设备所致。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316,579,242.2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239,139,776.49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0.94%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399,000,000.0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353,833,483.99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418,615,032.9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393,082,038.34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应付票据及应付 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1,146,930,079.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925,035,843.83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36,901,696.03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33,791,110.57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18,868,068.27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35,532,061.41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2</w:t>
      </w:r>
      <w:r>
        <w:rPr/>
        <w:t>、以公允价值计量的资产和负债</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219"/>
        <w:gridCol w:w="1212"/>
        <w:gridCol w:w="1214"/>
        <w:gridCol w:w="1212"/>
        <w:gridCol w:w="1214"/>
        <w:gridCol w:w="1212"/>
        <w:gridCol w:w="1212"/>
        <w:gridCol w:w="1075"/>
      </w:tblGrid>
      <w:tr>
        <w:trPr>
          <w:trHeight w:val="1025" w:hRule="exact"/>
        </w:trPr>
        <w:tc>
          <w:tcPr>
            <w:tcW w:w="1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2" w:right="57"/>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11" w:right="60" w:hanging="449"/>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52"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3" w:hRule="exact"/>
        </w:trPr>
        <w:tc>
          <w:tcPr>
            <w:tcW w:w="1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443,625,472.96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42,352,887.72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187,254,177.26</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506,898,981.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88</w:t>
            </w:r>
          </w:p>
        </w:tc>
      </w:tr>
      <w:tr>
        <w:trPr>
          <w:trHeight w:val="715" w:hRule="exact"/>
        </w:trPr>
        <w:tc>
          <w:tcPr>
            <w:tcW w:w="1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443,625,472.96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42,352,887.72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187,254,177.26</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506,898,981.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r>
      <w:tr>
        <w:trPr>
          <w:trHeight w:val="401" w:hRule="exact"/>
        </w:trPr>
        <w:tc>
          <w:tcPr>
            <w:tcW w:w="1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984"/>
        <w:jc w:val="left"/>
      </w:pPr>
      <w:r>
        <w:rPr/>
        <w:t>报告期内公司主要资产计量属性是否发生重大变化</w:t>
      </w:r>
    </w:p>
    <w:p>
      <w:pPr>
        <w:spacing w:line="547" w:lineRule="auto" w:before="117"/>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Tahoma" w:hAnsi="Tahoma" w:cs="Tahoma" w:eastAsia="Tahoma" w:hint="default"/>
          <w:sz w:val="21"/>
          <w:szCs w:val="21"/>
        </w:rPr>
        <w:t>3</w:t>
      </w:r>
      <w:r>
        <w:rPr>
          <w:rFonts w:ascii="宋体" w:hAnsi="宋体" w:cs="宋体" w:eastAsia="宋体" w:hint="default"/>
          <w:sz w:val="21"/>
          <w:szCs w:val="21"/>
        </w:rPr>
        <w:t>、截至报告期末的资产权利受限情况</w:t>
      </w:r>
      <w:r>
        <w:rPr>
          <w:rFonts w:ascii="Tahoma" w:hAnsi="Tahoma" w:cs="Tahoma" w:eastAsia="Tahoma" w:hint="default"/>
          <w:w w:val="80"/>
          <w:sz w:val="21"/>
          <w:szCs w:val="21"/>
        </w:rPr>
        <w:t> </w:t>
      </w:r>
      <w:r>
        <w:rPr>
          <w:rFonts w:ascii="宋体" w:hAnsi="宋体" w:cs="宋体" w:eastAsia="宋体" w:hint="default"/>
          <w:sz w:val="18"/>
          <w:szCs w:val="18"/>
        </w:rPr>
        <w:t>无</w:t>
      </w:r>
    </w:p>
    <w:p>
      <w:pPr>
        <w:pStyle w:val="Heading2"/>
        <w:spacing w:line="240" w:lineRule="auto" w:before="100"/>
        <w:ind w:right="984"/>
        <w:jc w:val="left"/>
        <w:rPr>
          <w:rFonts w:ascii="Tahoma" w:hAnsi="Tahoma" w:cs="Tahoma" w:eastAsia="Tahoma" w:hint="default"/>
        </w:rPr>
      </w:pPr>
      <w:r>
        <w:rPr/>
        <w:t>五、投资状况分析</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、总体情况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6" w:right="0"/>
              <w:jc w:val="left"/>
              <w:rPr>
                <w:rFonts w:ascii="Times New Roman" w:hAnsi="Times New Roman" w:cs="Times New Roman" w:eastAsia="Times New Roman" w:hint="default"/>
                <w:sz w:val="18"/>
                <w:szCs w:val="18"/>
              </w:rPr>
            </w:pPr>
            <w:r>
              <w:rPr>
                <w:rFonts w:ascii="Times New Roman"/>
                <w:sz w:val="18"/>
              </w:rPr>
              <w:t>1,233,469,404.35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2" w:right="0"/>
              <w:jc w:val="left"/>
              <w:rPr>
                <w:rFonts w:ascii="Times New Roman" w:hAnsi="Times New Roman" w:cs="Times New Roman" w:eastAsia="Times New Roman" w:hint="default"/>
                <w:sz w:val="18"/>
                <w:szCs w:val="18"/>
              </w:rPr>
            </w:pPr>
            <w:r>
              <w:rPr>
                <w:rFonts w:ascii="Times New Roman"/>
                <w:sz w:val="18"/>
              </w:rPr>
              <w:t>517,305,300.00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138.44%</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2</w:t>
      </w:r>
      <w:r>
        <w:rPr/>
        <w:t>、报告期内获取的重大的股权投资情况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w:t>
      </w:r>
      <w:r>
        <w:rPr/>
        <w:t>、报告期内正在进行的重大的非股权投资情况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362" w:hRule="exact"/>
        </w:trPr>
        <w:tc>
          <w:tcPr>
            <w:tcW w:w="731"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截至报</w:t>
            </w: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截止报</w:t>
            </w: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未达到</w:t>
            </w: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935" w:hRule="exact"/>
        </w:trPr>
        <w:tc>
          <w:tcPr>
            <w:tcW w:w="7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160"/>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160"/>
              <w:ind w:left="273"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
              <w:ind w:left="93" w:right="89"/>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
              <w:ind w:left="93"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
              <w:ind w:left="93"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
              <w:ind w:left="93" w:right="89"/>
              <w:jc w:val="both"/>
              <w:rPr>
                <w:rFonts w:ascii="宋体" w:hAnsi="宋体" w:cs="宋体" w:eastAsia="宋体" w:hint="default"/>
                <w:sz w:val="18"/>
                <w:szCs w:val="18"/>
              </w:rPr>
            </w:pPr>
            <w:r>
              <w:rPr>
                <w:rFonts w:ascii="宋体" w:hAnsi="宋体" w:cs="宋体" w:eastAsia="宋体" w:hint="default"/>
                <w:sz w:val="18"/>
                <w:szCs w:val="18"/>
              </w:rPr>
              <w:t>告期末 累计实 际投入</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160"/>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160"/>
              <w:ind w:left="273"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160"/>
              <w:ind w:left="273" w:right="8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
              <w:ind w:left="93" w:right="91"/>
              <w:jc w:val="both"/>
              <w:rPr>
                <w:rFonts w:ascii="宋体" w:hAnsi="宋体" w:cs="宋体" w:eastAsia="宋体" w:hint="default"/>
                <w:sz w:val="18"/>
                <w:szCs w:val="18"/>
              </w:rPr>
            </w:pPr>
            <w:r>
              <w:rPr>
                <w:rFonts w:ascii="宋体" w:hAnsi="宋体" w:cs="宋体" w:eastAsia="宋体" w:hint="default"/>
                <w:sz w:val="18"/>
                <w:szCs w:val="18"/>
              </w:rPr>
              <w:t>告期末 累计实 现的收</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
              <w:ind w:left="93" w:right="91"/>
              <w:jc w:val="both"/>
              <w:rPr>
                <w:rFonts w:ascii="宋体" w:hAnsi="宋体" w:cs="宋体" w:eastAsia="宋体" w:hint="default"/>
                <w:sz w:val="18"/>
                <w:szCs w:val="18"/>
              </w:rPr>
            </w:pPr>
            <w:r>
              <w:rPr>
                <w:rFonts w:ascii="宋体" w:hAnsi="宋体" w:cs="宋体" w:eastAsia="宋体" w:hint="default"/>
                <w:sz w:val="18"/>
                <w:szCs w:val="18"/>
              </w:rPr>
              <w:t>计划进 度和预 计收益</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
              <w:ind w:left="93" w:right="8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
              <w:ind w:left="93"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2" w:hRule="exact"/>
        </w:trPr>
        <w:tc>
          <w:tcPr>
            <w:tcW w:w="731"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的原因</w:t>
            </w: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7" w:hRule="exact"/>
        </w:trPr>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2" w:right="19"/>
              <w:jc w:val="left"/>
              <w:rPr>
                <w:rFonts w:ascii="宋体" w:hAnsi="宋体" w:cs="宋体" w:eastAsia="宋体" w:hint="default"/>
                <w:sz w:val="18"/>
                <w:szCs w:val="18"/>
              </w:rPr>
            </w:pPr>
            <w:r>
              <w:rPr>
                <w:rFonts w:ascii="宋体" w:hAnsi="宋体" w:cs="宋体" w:eastAsia="宋体" w:hint="default"/>
                <w:sz w:val="18"/>
                <w:szCs w:val="18"/>
              </w:rPr>
              <w:t>战略性 包装工 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23,408,3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36,092,9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7.22%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项目尚 在筹建 过程中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61"/>
              <w:jc w:val="both"/>
              <w:rPr>
                <w:rFonts w:ascii="宋体" w:hAnsi="宋体" w:cs="宋体" w:eastAsia="宋体" w:hint="default"/>
                <w:sz w:val="18"/>
                <w:szCs w:val="18"/>
              </w:rPr>
            </w:pPr>
            <w:r>
              <w:rPr>
                <w:rFonts w:ascii="宋体" w:hAnsi="宋体" w:cs="宋体" w:eastAsia="宋体" w:hint="default"/>
                <w:sz w:val="18"/>
                <w:szCs w:val="18"/>
              </w:rPr>
              <w:t>详见公 司于巨 潮资讯</w:t>
            </w:r>
          </w:p>
        </w:tc>
      </w:tr>
    </w:tbl>
    <w:p>
      <w:pPr>
        <w:spacing w:after="0" w:line="316" w:lineRule="auto"/>
        <w:jc w:val="both"/>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322"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4"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cninfo.co</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pacing w:val="-11"/>
                <w:sz w:val="18"/>
                <w:szCs w:val="18"/>
              </w:rPr>
              <w:t>露的《关</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于公司</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于郑州</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市投资</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建设战</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略性包</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装工业</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暨签署</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投资协</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议的公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（公</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17"/>
              <w:jc w:val="left"/>
              <w:rPr>
                <w:rFonts w:ascii="宋体" w:hAnsi="宋体" w:cs="宋体" w:eastAsia="宋体" w:hint="default"/>
                <w:sz w:val="18"/>
                <w:szCs w:val="18"/>
              </w:rPr>
            </w:pPr>
            <w:r>
              <w:rPr>
                <w:rFonts w:ascii="宋体" w:hAnsi="宋体" w:cs="宋体" w:eastAsia="宋体" w:hint="default"/>
                <w:sz w:val="18"/>
                <w:szCs w:val="18"/>
              </w:rPr>
              <w:t>告编号：</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2016-00</w:t>
            </w:r>
          </w:p>
        </w:tc>
      </w:tr>
      <w:tr>
        <w:trPr>
          <w:trHeight w:val="351"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63" w:hRule="exact"/>
        </w:trPr>
        <w:tc>
          <w:tcPr>
            <w:tcW w:w="732"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司于巨</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潮资讯</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包装印</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cninfo.co</w:t>
            </w:r>
          </w:p>
        </w:tc>
      </w:tr>
      <w:tr>
        <w:trPr>
          <w:trHeight w:val="1247"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09" w:lineRule="auto" w:before="2"/>
              <w:ind w:left="24" w:right="62"/>
              <w:jc w:val="left"/>
              <w:rPr>
                <w:rFonts w:ascii="宋体" w:hAnsi="宋体" w:cs="宋体" w:eastAsia="宋体" w:hint="default"/>
                <w:sz w:val="18"/>
                <w:szCs w:val="18"/>
              </w:rPr>
            </w:pPr>
            <w:r>
              <w:rPr>
                <w:rFonts w:ascii="宋体" w:hAnsi="宋体" w:cs="宋体" w:eastAsia="宋体" w:hint="default"/>
                <w:sz w:val="18"/>
                <w:szCs w:val="18"/>
              </w:rPr>
              <w:t>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 型工厂</w:t>
            </w:r>
          </w:p>
          <w:p>
            <w:pPr>
              <w:pStyle w:val="TableParagraph"/>
              <w:spacing w:line="240" w:lineRule="auto" w:before="24"/>
              <w:ind w:left="24" w:right="-22"/>
              <w:jc w:val="left"/>
              <w:rPr>
                <w:rFonts w:ascii="宋体" w:hAnsi="宋体" w:cs="宋体" w:eastAsia="宋体" w:hint="default"/>
                <w:sz w:val="18"/>
                <w:szCs w:val="18"/>
              </w:rPr>
            </w:pPr>
            <w:r>
              <w:rPr>
                <w:rFonts w:ascii="宋体" w:hAnsi="宋体" w:cs="宋体" w:eastAsia="宋体" w:hint="default"/>
                <w:sz w:val="18"/>
                <w:szCs w:val="18"/>
              </w:rPr>
              <w:t>（长沙）</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72" w:right="0"/>
              <w:jc w:val="left"/>
              <w:rPr>
                <w:rFonts w:ascii="Times New Roman" w:hAnsi="Times New Roman" w:cs="Times New Roman" w:eastAsia="Times New Roman" w:hint="default"/>
                <w:sz w:val="18"/>
                <w:szCs w:val="18"/>
              </w:rPr>
            </w:pPr>
            <w:r>
              <w:rPr>
                <w:rFonts w:ascii="Times New Roman"/>
                <w:sz w:val="18"/>
              </w:rPr>
              <w:t>73,131,6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31.26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60" w:right="0"/>
              <w:jc w:val="center"/>
              <w:rPr>
                <w:rFonts w:ascii="Times New Roman" w:hAnsi="Times New Roman" w:cs="Times New Roman" w:eastAsia="Times New Roman" w:hint="default"/>
                <w:sz w:val="18"/>
                <w:szCs w:val="18"/>
              </w:rPr>
            </w:pPr>
            <w:r>
              <w:rPr>
                <w:rFonts w:ascii="Times New Roman"/>
                <w:sz w:val="18"/>
              </w:rPr>
              <w:t>115,937,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232.07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58"/>
              <w:ind w:left="23" w:right="161"/>
              <w:jc w:val="both"/>
              <w:rPr>
                <w:rFonts w:ascii="宋体" w:hAnsi="宋体" w:cs="宋体" w:eastAsia="宋体" w:hint="default"/>
                <w:sz w:val="18"/>
                <w:szCs w:val="18"/>
              </w:rPr>
            </w:pPr>
            <w:r>
              <w:rPr>
                <w:rFonts w:ascii="宋体" w:hAnsi="宋体" w:cs="宋体" w:eastAsia="宋体" w:hint="default"/>
                <w:sz w:val="18"/>
                <w:szCs w:val="18"/>
              </w:rPr>
              <w:t>募集资 金及自 筹资金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23.19%</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58"/>
              <w:ind w:left="24" w:right="161"/>
              <w:jc w:val="both"/>
              <w:rPr>
                <w:rFonts w:ascii="宋体" w:hAnsi="宋体" w:cs="宋体" w:eastAsia="宋体" w:hint="default"/>
                <w:sz w:val="18"/>
                <w:szCs w:val="18"/>
              </w:rPr>
            </w:pPr>
            <w:r>
              <w:rPr>
                <w:rFonts w:ascii="宋体" w:hAnsi="宋体" w:cs="宋体" w:eastAsia="宋体" w:hint="default"/>
                <w:sz w:val="18"/>
                <w:szCs w:val="18"/>
              </w:rPr>
              <w:t>项目尚 在建设 过程中</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2" w:lineRule="auto" w:before="2"/>
              <w:ind w:left="23" w:right="2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露的《关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于签订 投资落</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户合同</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书的公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（公</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17"/>
              <w:jc w:val="left"/>
              <w:rPr>
                <w:rFonts w:ascii="宋体" w:hAnsi="宋体" w:cs="宋体" w:eastAsia="宋体" w:hint="default"/>
                <w:sz w:val="18"/>
                <w:szCs w:val="18"/>
              </w:rPr>
            </w:pPr>
            <w:r>
              <w:rPr>
                <w:rFonts w:ascii="宋体" w:hAnsi="宋体" w:cs="宋体" w:eastAsia="宋体" w:hint="default"/>
                <w:sz w:val="18"/>
                <w:szCs w:val="18"/>
              </w:rPr>
              <w:t>告编号：</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2016-06</w:t>
            </w:r>
          </w:p>
        </w:tc>
      </w:tr>
      <w:tr>
        <w:trPr>
          <w:trHeight w:val="349"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363" w:hRule="exact"/>
        </w:trPr>
        <w:tc>
          <w:tcPr>
            <w:tcW w:w="732"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详见公</w:t>
            </w:r>
          </w:p>
        </w:tc>
      </w:tr>
      <w:tr>
        <w:trPr>
          <w:trHeight w:val="2184"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2" w:lineRule="auto" w:before="140"/>
              <w:ind w:left="24" w:right="62"/>
              <w:jc w:val="left"/>
              <w:rPr>
                <w:rFonts w:ascii="宋体" w:hAnsi="宋体" w:cs="宋体" w:eastAsia="宋体" w:hint="default"/>
                <w:sz w:val="18"/>
                <w:szCs w:val="18"/>
              </w:rPr>
            </w:pPr>
            <w:r>
              <w:rPr>
                <w:rFonts w:ascii="宋体" w:hAnsi="宋体" w:cs="宋体" w:eastAsia="宋体" w:hint="default"/>
                <w:sz w:val="18"/>
                <w:szCs w:val="18"/>
              </w:rPr>
              <w:t>包装印 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 型工厂</w:t>
            </w:r>
          </w:p>
          <w:p>
            <w:pPr>
              <w:pStyle w:val="TableParagraph"/>
              <w:spacing w:line="316" w:lineRule="auto" w:before="22"/>
              <w:ind w:left="24" w:right="-22"/>
              <w:jc w:val="left"/>
              <w:rPr>
                <w:rFonts w:ascii="宋体" w:hAnsi="宋体" w:cs="宋体" w:eastAsia="宋体" w:hint="default"/>
                <w:sz w:val="18"/>
                <w:szCs w:val="18"/>
              </w:rPr>
            </w:pPr>
            <w:r>
              <w:rPr>
                <w:rFonts w:ascii="宋体" w:hAnsi="宋体" w:cs="宋体" w:eastAsia="宋体" w:hint="default"/>
                <w:sz w:val="18"/>
                <w:szCs w:val="18"/>
              </w:rPr>
              <w:t>（成都） 项目</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39,668,6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14.58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86,462,9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92.12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募集资 金及自 筹资金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28" w:right="0"/>
              <w:jc w:val="center"/>
              <w:rPr>
                <w:rFonts w:ascii="Times New Roman" w:hAnsi="Times New Roman" w:cs="Times New Roman" w:eastAsia="Times New Roman" w:hint="default"/>
                <w:sz w:val="18"/>
                <w:szCs w:val="18"/>
              </w:rPr>
            </w:pPr>
            <w:r>
              <w:rPr>
                <w:rFonts w:ascii="Times New Roman"/>
                <w:sz w:val="18"/>
              </w:rPr>
              <w:t>14.39%</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项目尚 在建设 过程中</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161"/>
              <w:jc w:val="both"/>
              <w:rPr>
                <w:rFonts w:ascii="宋体" w:hAnsi="宋体" w:cs="宋体" w:eastAsia="宋体" w:hint="default"/>
                <w:sz w:val="18"/>
                <w:szCs w:val="18"/>
              </w:rPr>
            </w:pPr>
            <w:r>
              <w:rPr>
                <w:rFonts w:ascii="宋体" w:hAnsi="宋体" w:cs="宋体" w:eastAsia="宋体" w:hint="default"/>
                <w:sz w:val="18"/>
                <w:szCs w:val="18"/>
              </w:rPr>
              <w:t>司于巨 潮资讯 网</w:t>
            </w:r>
          </w:p>
          <w:p>
            <w:pPr>
              <w:pStyle w:val="TableParagraph"/>
              <w:spacing w:line="319" w:lineRule="auto" w:before="19"/>
              <w:ind w:left="23" w:right="22"/>
              <w:jc w:val="left"/>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cninfo.co </w:t>
            </w: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露的《关</w:t>
            </w:r>
          </w:p>
        </w:tc>
      </w:tr>
      <w:tr>
        <w:trPr>
          <w:trHeight w:val="312"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于使用</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322" w:hRule="exact"/>
        </w:trPr>
        <w:tc>
          <w:tcPr>
            <w:tcW w:w="732"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非公开</w:t>
            </w:r>
          </w:p>
        </w:tc>
      </w:tr>
      <w:tr>
        <w:trPr>
          <w:trHeight w:val="312" w:hRule="exact"/>
        </w:trPr>
        <w:tc>
          <w:tcPr>
            <w:tcW w:w="732"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发行股</w:t>
            </w:r>
          </w:p>
        </w:tc>
      </w:tr>
      <w:tr>
        <w:trPr>
          <w:trHeight w:val="312" w:hRule="exact"/>
        </w:trPr>
        <w:tc>
          <w:tcPr>
            <w:tcW w:w="732"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票募集</w:t>
            </w:r>
          </w:p>
        </w:tc>
      </w:tr>
      <w:tr>
        <w:trPr>
          <w:trHeight w:val="312" w:hRule="exact"/>
        </w:trPr>
        <w:tc>
          <w:tcPr>
            <w:tcW w:w="732"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资金向</w:t>
            </w:r>
          </w:p>
        </w:tc>
      </w:tr>
      <w:tr>
        <w:trPr>
          <w:trHeight w:val="312" w:hRule="exact"/>
        </w:trPr>
        <w:tc>
          <w:tcPr>
            <w:tcW w:w="732"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全资子</w:t>
            </w:r>
          </w:p>
        </w:tc>
      </w:tr>
      <w:tr>
        <w:trPr>
          <w:trHeight w:val="312" w:hRule="exact"/>
        </w:trPr>
        <w:tc>
          <w:tcPr>
            <w:tcW w:w="732"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公司增</w:t>
            </w:r>
          </w:p>
        </w:tc>
      </w:tr>
      <w:tr>
        <w:trPr>
          <w:trHeight w:val="312" w:hRule="exact"/>
        </w:trPr>
        <w:tc>
          <w:tcPr>
            <w:tcW w:w="732"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资以实</w:t>
            </w:r>
          </w:p>
        </w:tc>
      </w:tr>
      <w:tr>
        <w:trPr>
          <w:trHeight w:val="312" w:hRule="exact"/>
        </w:trPr>
        <w:tc>
          <w:tcPr>
            <w:tcW w:w="732"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施募投</w:t>
            </w:r>
          </w:p>
        </w:tc>
      </w:tr>
      <w:tr>
        <w:trPr>
          <w:trHeight w:val="312" w:hRule="exact"/>
        </w:trPr>
        <w:tc>
          <w:tcPr>
            <w:tcW w:w="732"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项目的</w:t>
            </w:r>
          </w:p>
        </w:tc>
      </w:tr>
      <w:tr>
        <w:trPr>
          <w:trHeight w:val="312" w:hRule="exact"/>
        </w:trPr>
        <w:tc>
          <w:tcPr>
            <w:tcW w:w="732"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2" w:hRule="exact"/>
        </w:trPr>
        <w:tc>
          <w:tcPr>
            <w:tcW w:w="732"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3" w:hRule="exact"/>
        </w:trPr>
        <w:tc>
          <w:tcPr>
            <w:tcW w:w="732"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12" w:hRule="exact"/>
        </w:trPr>
        <w:tc>
          <w:tcPr>
            <w:tcW w:w="732"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2016-08</w:t>
            </w:r>
          </w:p>
        </w:tc>
      </w:tr>
      <w:tr>
        <w:trPr>
          <w:trHeight w:val="351" w:hRule="exact"/>
        </w:trPr>
        <w:tc>
          <w:tcPr>
            <w:tcW w:w="732"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r>
      <w:tr>
        <w:trPr>
          <w:trHeight w:val="363" w:hRule="exact"/>
        </w:trPr>
        <w:tc>
          <w:tcPr>
            <w:tcW w:w="732"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司于巨</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潮资讯</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4"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cninfo.co</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pacing w:val="-11"/>
                <w:sz w:val="18"/>
                <w:szCs w:val="18"/>
              </w:rPr>
              <w:t>露的《关</w:t>
            </w:r>
          </w:p>
        </w:tc>
      </w:tr>
      <w:tr>
        <w:trPr>
          <w:trHeight w:val="2184"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2" w:lineRule="auto" w:before="159"/>
              <w:ind w:left="24" w:right="62"/>
              <w:jc w:val="left"/>
              <w:rPr>
                <w:rFonts w:ascii="宋体" w:hAnsi="宋体" w:cs="宋体" w:eastAsia="宋体" w:hint="default"/>
                <w:sz w:val="18"/>
                <w:szCs w:val="18"/>
              </w:rPr>
            </w:pPr>
            <w:r>
              <w:rPr>
                <w:rFonts w:ascii="宋体" w:hAnsi="宋体" w:cs="宋体" w:eastAsia="宋体" w:hint="default"/>
                <w:sz w:val="18"/>
                <w:szCs w:val="18"/>
              </w:rPr>
              <w:t>包装印 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 型工厂</w:t>
            </w:r>
          </w:p>
          <w:p>
            <w:pPr>
              <w:pStyle w:val="TableParagraph"/>
              <w:spacing w:line="316" w:lineRule="auto" w:before="22"/>
              <w:ind w:left="24" w:right="-22"/>
              <w:jc w:val="left"/>
              <w:rPr>
                <w:rFonts w:ascii="宋体" w:hAnsi="宋体" w:cs="宋体" w:eastAsia="宋体" w:hint="default"/>
                <w:sz w:val="18"/>
                <w:szCs w:val="18"/>
              </w:rPr>
            </w:pPr>
            <w:r>
              <w:rPr>
                <w:rFonts w:ascii="宋体" w:hAnsi="宋体" w:cs="宋体" w:eastAsia="宋体" w:hint="default"/>
                <w:sz w:val="18"/>
                <w:szCs w:val="18"/>
              </w:rPr>
              <w:t>（东莞） 项目</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120,592,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411.99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257,575,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964.06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募集资 金及自 筹资金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28" w:right="0"/>
              <w:jc w:val="center"/>
              <w:rPr>
                <w:rFonts w:ascii="Times New Roman" w:hAnsi="Times New Roman" w:cs="Times New Roman" w:eastAsia="Times New Roman" w:hint="default"/>
                <w:sz w:val="18"/>
                <w:szCs w:val="18"/>
              </w:rPr>
            </w:pPr>
            <w:r>
              <w:rPr>
                <w:rFonts w:ascii="Times New Roman"/>
                <w:sz w:val="18"/>
              </w:rPr>
              <w:t>39.00%</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12,509,2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02.23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项目已 开始逐 步投入 使用</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161"/>
              <w:jc w:val="both"/>
              <w:rPr>
                <w:rFonts w:ascii="宋体" w:hAnsi="宋体" w:cs="宋体" w:eastAsia="宋体" w:hint="default"/>
                <w:sz w:val="18"/>
                <w:szCs w:val="18"/>
              </w:rPr>
            </w:pPr>
            <w:r>
              <w:rPr>
                <w:rFonts w:ascii="宋体" w:hAnsi="宋体" w:cs="宋体" w:eastAsia="宋体" w:hint="default"/>
                <w:sz w:val="18"/>
                <w:szCs w:val="18"/>
              </w:rPr>
              <w:t>于使用 非公开 发行股 票募集 资金向 全资子 公司增</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资以实</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施募投</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项目的</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2016-08</w:t>
            </w:r>
          </w:p>
        </w:tc>
      </w:tr>
      <w:tr>
        <w:trPr>
          <w:trHeight w:val="349"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r>
      <w:tr>
        <w:trPr>
          <w:trHeight w:val="223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z w:val="18"/>
                <w:szCs w:val="18"/>
              </w:rPr>
              <w:t>基于装 备制造 的智慧 包装工 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产 业园项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102,193,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970.00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102,195,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658.12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募集资 金及自 筹资金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11.61%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项目尚 在筹建 过程中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详见公 司于巨 潮资讯 网</w:t>
            </w:r>
          </w:p>
          <w:p>
            <w:pPr>
              <w:pStyle w:val="TableParagraph"/>
              <w:spacing w:line="326" w:lineRule="auto" w:before="19"/>
              <w:ind w:left="23" w:right="24"/>
              <w:jc w:val="left"/>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cninfo.co </w:t>
            </w: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w:t>
            </w:r>
          </w:p>
        </w:tc>
      </w:tr>
    </w:tbl>
    <w:p>
      <w:pPr>
        <w:spacing w:after="0" w:line="326"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322"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11"/>
                <w:sz w:val="18"/>
                <w:szCs w:val="18"/>
              </w:rPr>
              <w:t>露的《关</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于签订</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重大投</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资协议</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暨股票</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复牌的</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2016-07</w:t>
            </w:r>
          </w:p>
        </w:tc>
      </w:tr>
      <w:tr>
        <w:trPr>
          <w:trHeight w:val="351"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63" w:hRule="exact"/>
        </w:trPr>
        <w:tc>
          <w:tcPr>
            <w:tcW w:w="732"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司于巨</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潮资讯</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4"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cninfo.co</w:t>
            </w:r>
          </w:p>
        </w:tc>
      </w:tr>
      <w:tr>
        <w:trPr>
          <w:trHeight w:val="1559"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7"/>
              <w:ind w:left="24" w:right="82"/>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深圳智 慧农谷</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项目</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1"/>
                <w:sz w:val="18"/>
                <w:szCs w:val="18"/>
              </w:rPr>
              <w:t>农业、旅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游</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7,386,47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0.12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12,658,8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98.03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0.84%</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58"/>
              <w:ind w:left="24" w:right="161"/>
              <w:jc w:val="both"/>
              <w:rPr>
                <w:rFonts w:ascii="宋体" w:hAnsi="宋体" w:cs="宋体" w:eastAsia="宋体" w:hint="default"/>
                <w:sz w:val="18"/>
                <w:szCs w:val="18"/>
              </w:rPr>
            </w:pPr>
            <w:r>
              <w:rPr>
                <w:rFonts w:ascii="宋体" w:hAnsi="宋体" w:cs="宋体" w:eastAsia="宋体" w:hint="default"/>
                <w:sz w:val="18"/>
                <w:szCs w:val="18"/>
              </w:rPr>
              <w:t>项目已 开始逐 步投入 使用</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4" w:lineRule="auto" w:before="2"/>
              <w:ind w:left="23" w:right="2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露的《关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于签订 农地开 发合作</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合同的</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2016-07</w:t>
            </w:r>
          </w:p>
        </w:tc>
      </w:tr>
      <w:tr>
        <w:trPr>
          <w:trHeight w:val="349"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63" w:hRule="exact"/>
        </w:trPr>
        <w:tc>
          <w:tcPr>
            <w:tcW w:w="732"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司于巨</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潮资讯</w:t>
            </w:r>
          </w:p>
        </w:tc>
      </w:tr>
      <w:tr>
        <w:trPr>
          <w:trHeight w:val="30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包装印</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刷工业</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cninfo.co</w:t>
            </w:r>
          </w:p>
        </w:tc>
      </w:tr>
      <w:tr>
        <w:trPr>
          <w:trHeight w:val="935"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156"/>
              <w:jc w:val="both"/>
              <w:rPr>
                <w:rFonts w:ascii="宋体" w:hAnsi="宋体" w:cs="宋体" w:eastAsia="宋体" w:hint="default"/>
                <w:sz w:val="18"/>
                <w:szCs w:val="18"/>
              </w:rPr>
            </w:pPr>
            <w:r>
              <w:rPr>
                <w:rFonts w:ascii="宋体" w:hAnsi="宋体" w:cs="宋体" w:eastAsia="宋体" w:hint="default"/>
                <w:sz w:val="18"/>
                <w:szCs w:val="18"/>
              </w:rPr>
              <w:t>进出口 贸易及 保税加</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12,093,7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93.47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56,618,3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17.67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募集资 金及自 筹资金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7"/>
              <w:jc w:val="right"/>
              <w:rPr>
                <w:rFonts w:ascii="Times New Roman" w:hAnsi="Times New Roman" w:cs="Times New Roman" w:eastAsia="Times New Roman" w:hint="default"/>
                <w:sz w:val="18"/>
                <w:szCs w:val="18"/>
              </w:rPr>
            </w:pPr>
            <w:r>
              <w:rPr>
                <w:rFonts w:ascii="Times New Roman"/>
                <w:spacing w:val="-1"/>
                <w:w w:val="95"/>
                <w:sz w:val="18"/>
              </w:rPr>
              <w:t>11.32%</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项目尚 在建设 过程中</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09" w:lineRule="auto" w:before="11"/>
              <w:ind w:left="23" w:right="22"/>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露的《关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于签订</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4" w:right="0"/>
              <w:jc w:val="left"/>
              <w:rPr>
                <w:rFonts w:ascii="宋体" w:hAnsi="宋体" w:cs="宋体" w:eastAsia="宋体" w:hint="default"/>
                <w:sz w:val="18"/>
                <w:szCs w:val="18"/>
              </w:rPr>
            </w:pPr>
            <w:r>
              <w:rPr>
                <w:rFonts w:ascii="宋体" w:hAnsi="宋体" w:cs="宋体" w:eastAsia="宋体" w:hint="default"/>
                <w:sz w:val="18"/>
                <w:szCs w:val="18"/>
              </w:rPr>
              <w:t>工</w:t>
            </w:r>
            <w:r>
              <w:rPr>
                <w:rFonts w:ascii="Times New Roman" w:hAnsi="Times New Roman" w:cs="Times New Roman" w:eastAsia="Times New Roman" w:hint="default"/>
                <w:sz w:val="18"/>
                <w:szCs w:val="18"/>
              </w:rPr>
              <w:t>(</w:t>
            </w:r>
            <w:r>
              <w:rPr>
                <w:rFonts w:ascii="宋体" w:hAnsi="宋体" w:cs="宋体" w:eastAsia="宋体" w:hint="default"/>
                <w:sz w:val="18"/>
                <w:szCs w:val="18"/>
              </w:rPr>
              <w:t>岳</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招商合</w:t>
            </w:r>
          </w:p>
        </w:tc>
      </w:tr>
      <w:tr>
        <w:trPr>
          <w:trHeight w:val="32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pacing w:val="-11"/>
                <w:sz w:val="18"/>
                <w:szCs w:val="18"/>
              </w:rPr>
              <w:t>阳）项目</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作协议</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书的公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（公</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17"/>
              <w:jc w:val="left"/>
              <w:rPr>
                <w:rFonts w:ascii="宋体" w:hAnsi="宋体" w:cs="宋体" w:eastAsia="宋体" w:hint="default"/>
                <w:sz w:val="18"/>
                <w:szCs w:val="18"/>
              </w:rPr>
            </w:pPr>
            <w:r>
              <w:rPr>
                <w:rFonts w:ascii="宋体" w:hAnsi="宋体" w:cs="宋体" w:eastAsia="宋体" w:hint="default"/>
                <w:sz w:val="18"/>
                <w:szCs w:val="18"/>
              </w:rPr>
              <w:t>告编号：</w:t>
            </w:r>
          </w:p>
        </w:tc>
      </w:tr>
      <w:tr>
        <w:trPr>
          <w:trHeight w:val="310"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2017-01</w:t>
            </w:r>
          </w:p>
        </w:tc>
      </w:tr>
    </w:tbl>
    <w:p>
      <w:pPr>
        <w:spacing w:after="0" w:line="240" w:lineRule="auto"/>
        <w:jc w:val="lef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63" w:hRule="exact"/>
        </w:trPr>
        <w:tc>
          <w:tcPr>
            <w:tcW w:w="732"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司于巨</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潮资讯</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4"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cninfo.co</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pacing w:val="-11"/>
                <w:sz w:val="18"/>
                <w:szCs w:val="18"/>
              </w:rPr>
              <w:t>露的《关</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于全资</w:t>
            </w:r>
          </w:p>
        </w:tc>
      </w:tr>
      <w:tr>
        <w:trPr>
          <w:trHeight w:val="124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56"/>
              <w:jc w:val="both"/>
              <w:rPr>
                <w:rFonts w:ascii="宋体" w:hAnsi="宋体" w:cs="宋体" w:eastAsia="宋体" w:hint="default"/>
                <w:sz w:val="18"/>
                <w:szCs w:val="18"/>
              </w:rPr>
            </w:pPr>
            <w:r>
              <w:rPr>
                <w:rFonts w:ascii="宋体" w:hAnsi="宋体" w:cs="宋体" w:eastAsia="宋体" w:hint="default"/>
                <w:sz w:val="18"/>
                <w:szCs w:val="18"/>
              </w:rPr>
              <w:t>高端环 保包装 生产基 地项目</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72" w:right="0"/>
              <w:jc w:val="left"/>
              <w:rPr>
                <w:rFonts w:ascii="Times New Roman" w:hAnsi="Times New Roman" w:cs="Times New Roman" w:eastAsia="Times New Roman" w:hint="default"/>
                <w:sz w:val="18"/>
                <w:szCs w:val="18"/>
              </w:rPr>
            </w:pPr>
            <w:r>
              <w:rPr>
                <w:rFonts w:ascii="Times New Roman"/>
                <w:sz w:val="18"/>
              </w:rPr>
              <w:t>1,096,29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1.38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72" w:right="0"/>
              <w:jc w:val="left"/>
              <w:rPr>
                <w:rFonts w:ascii="Times New Roman" w:hAnsi="Times New Roman" w:cs="Times New Roman" w:eastAsia="Times New Roman" w:hint="default"/>
                <w:sz w:val="18"/>
                <w:szCs w:val="18"/>
              </w:rPr>
            </w:pPr>
            <w:r>
              <w:rPr>
                <w:rFonts w:ascii="Times New Roman"/>
                <w:sz w:val="18"/>
              </w:rPr>
              <w:t>19,931,0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75.38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3" w:right="161"/>
              <w:jc w:val="both"/>
              <w:rPr>
                <w:rFonts w:ascii="宋体" w:hAnsi="宋体" w:cs="宋体" w:eastAsia="宋体" w:hint="default"/>
                <w:sz w:val="18"/>
                <w:szCs w:val="18"/>
              </w:rPr>
            </w:pPr>
            <w:r>
              <w:rPr>
                <w:rFonts w:ascii="宋体" w:hAnsi="宋体" w:cs="宋体" w:eastAsia="宋体" w:hint="default"/>
                <w:sz w:val="18"/>
                <w:szCs w:val="18"/>
              </w:rPr>
              <w:t>募集资 金及自 筹资金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6.64%</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4" w:right="161"/>
              <w:jc w:val="both"/>
              <w:rPr>
                <w:rFonts w:ascii="宋体" w:hAnsi="宋体" w:cs="宋体" w:eastAsia="宋体" w:hint="default"/>
                <w:sz w:val="18"/>
                <w:szCs w:val="18"/>
              </w:rPr>
            </w:pPr>
            <w:r>
              <w:rPr>
                <w:rFonts w:ascii="宋体" w:hAnsi="宋体" w:cs="宋体" w:eastAsia="宋体" w:hint="default"/>
                <w:sz w:val="18"/>
                <w:szCs w:val="18"/>
              </w:rPr>
              <w:t>项目尚 在筹建 过程中</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161"/>
              <w:jc w:val="both"/>
              <w:rPr>
                <w:rFonts w:ascii="宋体" w:hAnsi="宋体" w:cs="宋体" w:eastAsia="宋体" w:hint="default"/>
                <w:sz w:val="18"/>
                <w:szCs w:val="18"/>
              </w:rPr>
            </w:pPr>
            <w:r>
              <w:rPr>
                <w:rFonts w:ascii="宋体" w:hAnsi="宋体" w:cs="宋体" w:eastAsia="宋体" w:hint="default"/>
                <w:sz w:val="18"/>
                <w:szCs w:val="18"/>
              </w:rPr>
              <w:t>子公司 苏州美 盈森环 保科技</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有限公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司签订</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投资协</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议书的</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2017-01</w:t>
            </w:r>
          </w:p>
        </w:tc>
      </w:tr>
      <w:tr>
        <w:trPr>
          <w:trHeight w:val="349"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363" w:hRule="exact"/>
        </w:trPr>
        <w:tc>
          <w:tcPr>
            <w:tcW w:w="732"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司于巨</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潮资讯</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包装印</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cninfo.co</w:t>
            </w:r>
          </w:p>
        </w:tc>
      </w:tr>
      <w:tr>
        <w:trPr>
          <w:trHeight w:val="124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2" w:lineRule="auto" w:before="2"/>
              <w:ind w:left="24" w:right="36"/>
              <w:jc w:val="left"/>
              <w:rPr>
                <w:rFonts w:ascii="宋体" w:hAnsi="宋体" w:cs="宋体" w:eastAsia="宋体" w:hint="default"/>
                <w:sz w:val="18"/>
                <w:szCs w:val="18"/>
              </w:rPr>
            </w:pPr>
            <w:r>
              <w:rPr>
                <w:rFonts w:ascii="宋体" w:hAnsi="宋体" w:cs="宋体" w:eastAsia="宋体" w:hint="default"/>
                <w:sz w:val="18"/>
                <w:szCs w:val="18"/>
              </w:rPr>
              <w:t>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 型工厂 </w:t>
            </w:r>
            <w:r>
              <w:rPr>
                <w:rFonts w:ascii="Times New Roman" w:hAnsi="Times New Roman" w:cs="Times New Roman" w:eastAsia="Times New Roman" w:hint="default"/>
                <w:sz w:val="18"/>
                <w:szCs w:val="18"/>
              </w:rPr>
              <w:t>(</w:t>
            </w:r>
            <w:r>
              <w:rPr>
                <w:rFonts w:ascii="宋体" w:hAnsi="宋体" w:cs="宋体" w:eastAsia="宋体" w:hint="default"/>
                <w:sz w:val="18"/>
                <w:szCs w:val="18"/>
              </w:rPr>
              <w:t>六安</w:t>
            </w:r>
            <w:r>
              <w:rPr>
                <w:rFonts w:ascii="Times New Roman" w:hAnsi="Times New Roman" w:cs="Times New Roman" w:eastAsia="Times New Roman" w:hint="default"/>
                <w:sz w:val="18"/>
                <w:szCs w:val="18"/>
              </w:rPr>
              <w:t>)</w:t>
            </w:r>
            <w:r>
              <w:rPr>
                <w:rFonts w:ascii="宋体" w:hAnsi="宋体" w:cs="宋体" w:eastAsia="宋体" w:hint="default"/>
                <w:sz w:val="18"/>
                <w:szCs w:val="18"/>
              </w:rPr>
              <w:t>项</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72" w:right="0"/>
              <w:jc w:val="left"/>
              <w:rPr>
                <w:rFonts w:ascii="Times New Roman" w:hAnsi="Times New Roman" w:cs="Times New Roman" w:eastAsia="Times New Roman" w:hint="default"/>
                <w:sz w:val="18"/>
                <w:szCs w:val="18"/>
              </w:rPr>
            </w:pPr>
            <w:r>
              <w:rPr>
                <w:rFonts w:ascii="Times New Roman"/>
                <w:sz w:val="18"/>
              </w:rPr>
              <w:t>54,487,0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26.08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52" w:right="0"/>
              <w:jc w:val="center"/>
              <w:rPr>
                <w:rFonts w:ascii="Times New Roman" w:hAnsi="Times New Roman" w:cs="Times New Roman" w:eastAsia="Times New Roman" w:hint="default"/>
                <w:sz w:val="18"/>
                <w:szCs w:val="18"/>
              </w:rPr>
            </w:pPr>
            <w:r>
              <w:rPr>
                <w:rFonts w:ascii="Times New Roman"/>
                <w:sz w:val="18"/>
              </w:rPr>
              <w:t>104,757,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112.83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58"/>
              <w:ind w:left="23" w:right="161"/>
              <w:jc w:val="both"/>
              <w:rPr>
                <w:rFonts w:ascii="宋体" w:hAnsi="宋体" w:cs="宋体" w:eastAsia="宋体" w:hint="default"/>
                <w:sz w:val="18"/>
                <w:szCs w:val="18"/>
              </w:rPr>
            </w:pPr>
            <w:r>
              <w:rPr>
                <w:rFonts w:ascii="宋体" w:hAnsi="宋体" w:cs="宋体" w:eastAsia="宋体" w:hint="default"/>
                <w:sz w:val="18"/>
                <w:szCs w:val="18"/>
              </w:rPr>
              <w:t>募集资 金及自 筹资金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13.09%</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58"/>
              <w:ind w:left="24" w:right="161"/>
              <w:jc w:val="both"/>
              <w:rPr>
                <w:rFonts w:ascii="宋体" w:hAnsi="宋体" w:cs="宋体" w:eastAsia="宋体" w:hint="default"/>
                <w:sz w:val="18"/>
                <w:szCs w:val="18"/>
              </w:rPr>
            </w:pPr>
            <w:r>
              <w:rPr>
                <w:rFonts w:ascii="宋体" w:hAnsi="宋体" w:cs="宋体" w:eastAsia="宋体" w:hint="default"/>
                <w:sz w:val="18"/>
                <w:szCs w:val="18"/>
              </w:rPr>
              <w:t>项目尚 在建设 过程中</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2" w:lineRule="auto" w:before="2"/>
              <w:ind w:left="23" w:right="2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露的《关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于签订 投资协</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议书的</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2017-05</w:t>
            </w:r>
          </w:p>
        </w:tc>
      </w:tr>
      <w:tr>
        <w:trPr>
          <w:trHeight w:val="351"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智能包 装研发 生产基 地项目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23,314,3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75.00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23,314,3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14" w:right="0"/>
              <w:jc w:val="center"/>
              <w:rPr>
                <w:rFonts w:ascii="Times New Roman" w:hAnsi="Times New Roman" w:cs="Times New Roman" w:eastAsia="Times New Roman" w:hint="default"/>
                <w:sz w:val="18"/>
                <w:szCs w:val="18"/>
              </w:rPr>
            </w:pPr>
            <w:r>
              <w:rPr>
                <w:rFonts w:ascii="Times New Roman"/>
                <w:sz w:val="18"/>
              </w:rPr>
              <w:t>5.42%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项目尚 在筹建 过程中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61"/>
              <w:jc w:val="both"/>
              <w:rPr>
                <w:rFonts w:ascii="宋体" w:hAnsi="宋体" w:cs="宋体" w:eastAsia="宋体" w:hint="default"/>
                <w:sz w:val="18"/>
                <w:szCs w:val="18"/>
              </w:rPr>
            </w:pPr>
            <w:r>
              <w:rPr>
                <w:rFonts w:ascii="宋体" w:hAnsi="宋体" w:cs="宋体" w:eastAsia="宋体" w:hint="default"/>
                <w:sz w:val="18"/>
                <w:szCs w:val="18"/>
              </w:rPr>
              <w:t>详见公 司于巨 潮资讯 网</w:t>
            </w:r>
          </w:p>
        </w:tc>
      </w:tr>
    </w:tbl>
    <w:p>
      <w:pPr>
        <w:spacing w:after="0" w:line="316" w:lineRule="auto"/>
        <w:jc w:val="both"/>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4418" w:hRule="exact"/>
        </w:trPr>
        <w:tc>
          <w:tcPr>
            <w:tcW w:w="73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cninfo.co </w:t>
            </w: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露的《关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于实施 智能包 装研发 生产基 地项目 的公告》</w:t>
            </w:r>
          </w:p>
          <w:p>
            <w:pPr>
              <w:pStyle w:val="TableParagraph"/>
              <w:spacing w:line="338" w:lineRule="auto" w:before="19"/>
              <w:ind w:left="23" w:right="99"/>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2018-01</w:t>
            </w:r>
          </w:p>
          <w:p>
            <w:pPr>
              <w:pStyle w:val="TableParagraph"/>
              <w:spacing w:line="23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457,372,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973.88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815,544,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567.06</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12,509,2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02.23</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4</w:t>
      </w:r>
      <w:r>
        <w:rPr/>
        <w:t>、以公允价值计量的金融资产</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5</w:t>
      </w:r>
      <w:r>
        <w:rPr/>
        <w:t>、募集资金使用情况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）募集资金总体使用情况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3"/>
        <w:jc w:val="right"/>
      </w:pPr>
      <w:r>
        <w:rPr/>
        <w:t>单位：万元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866"/>
        <w:gridCol w:w="862"/>
        <w:gridCol w:w="878"/>
        <w:gridCol w:w="869"/>
        <w:gridCol w:w="871"/>
        <w:gridCol w:w="869"/>
        <w:gridCol w:w="869"/>
        <w:gridCol w:w="871"/>
        <w:gridCol w:w="869"/>
        <w:gridCol w:w="871"/>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6" w:right="69"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1"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211"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05"/>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109,812.94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679.52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115,021.45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14,731.52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13.42%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300.78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8"/>
                <w:sz w:val="18"/>
                <w:szCs w:val="18"/>
              </w:rPr>
              <w:t>期末，尚未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使用的募 集资金存 放于募集 资金专户 </w:t>
            </w:r>
            <w:r>
              <w:rPr>
                <w:rFonts w:ascii="宋体" w:hAnsi="宋体" w:cs="宋体" w:eastAsia="宋体" w:hint="default"/>
                <w:spacing w:val="-18"/>
                <w:sz w:val="18"/>
                <w:szCs w:val="18"/>
              </w:rPr>
              <w:t>当中，将用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于超募资 金投资项 目的投资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866"/>
        <w:gridCol w:w="862"/>
        <w:gridCol w:w="878"/>
        <w:gridCol w:w="869"/>
        <w:gridCol w:w="871"/>
        <w:gridCol w:w="869"/>
        <w:gridCol w:w="869"/>
        <w:gridCol w:w="871"/>
        <w:gridCol w:w="869"/>
        <w:gridCol w:w="871"/>
        <w:gridCol w:w="869"/>
      </w:tblGrid>
      <w:tr>
        <w:trPr>
          <w:trHeight w:val="3209"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05"/>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138,811.2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27,864.56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46,023.15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93,811.09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67.58%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98,435.92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8"/>
                <w:sz w:val="18"/>
                <w:szCs w:val="18"/>
              </w:rPr>
              <w:t>期末，尚未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使用的募 集资金存 放于募集 资金专户 </w:t>
            </w:r>
            <w:r>
              <w:rPr>
                <w:rFonts w:ascii="宋体" w:hAnsi="宋体" w:cs="宋体" w:eastAsia="宋体" w:hint="default"/>
                <w:spacing w:val="-18"/>
                <w:sz w:val="18"/>
                <w:szCs w:val="18"/>
              </w:rPr>
              <w:t>当中，将用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于募集资 金投资项 目的投资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248,624.14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7" w:right="0"/>
              <w:jc w:val="center"/>
              <w:rPr>
                <w:rFonts w:ascii="Times New Roman" w:hAnsi="Times New Roman" w:cs="Times New Roman" w:eastAsia="Times New Roman" w:hint="default"/>
                <w:sz w:val="18"/>
                <w:szCs w:val="18"/>
              </w:rPr>
            </w:pPr>
            <w:r>
              <w:rPr>
                <w:rFonts w:ascii="Times New Roman"/>
                <w:sz w:val="18"/>
              </w:rPr>
              <w:t>28,544.08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161,044.6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108,542.61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43.66%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98,736.71</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835"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[2009]1013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号文《关于核准深圳市美盈森环保科技股份有限公司首次公开发行 </w:t>
            </w:r>
            <w:r>
              <w:rPr>
                <w:rFonts w:ascii="宋体" w:hAnsi="宋体" w:cs="宋体" w:eastAsia="宋体" w:hint="default"/>
                <w:spacing w:val="-1"/>
                <w:sz w:val="18"/>
                <w:szCs w:val="18"/>
              </w:rPr>
              <w:t>股票的批复》核准，公司采用网下向询价对象询价配售和网上资金申购定价发行相结合的方式，向社会公众公开发行了普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股）股票 </w:t>
            </w:r>
            <w:r>
              <w:rPr>
                <w:rFonts w:ascii="Times New Roman" w:hAnsi="Times New Roman" w:cs="Times New Roman" w:eastAsia="Times New Roman" w:hint="default"/>
                <w:sz w:val="18"/>
                <w:szCs w:val="18"/>
              </w:rPr>
              <w:t>4500  </w:t>
            </w:r>
            <w:r>
              <w:rPr>
                <w:rFonts w:ascii="宋体" w:hAnsi="宋体" w:cs="宋体" w:eastAsia="宋体" w:hint="default"/>
                <w:sz w:val="18"/>
                <w:szCs w:val="18"/>
              </w:rPr>
              <w:t>万股，每股发行价格为人民币 </w:t>
            </w:r>
            <w:r>
              <w:rPr>
                <w:rFonts w:ascii="Times New Roman" w:hAnsi="Times New Roman" w:cs="Times New Roman" w:eastAsia="Times New Roman" w:hint="default"/>
                <w:sz w:val="18"/>
                <w:szCs w:val="18"/>
              </w:rPr>
              <w:t>25.36  </w:t>
            </w:r>
            <w:r>
              <w:rPr>
                <w:rFonts w:ascii="宋体" w:hAnsi="宋体" w:cs="宋体" w:eastAsia="宋体" w:hint="default"/>
                <w:sz w:val="18"/>
                <w:szCs w:val="18"/>
              </w:rPr>
              <w:t>元。公司共募集资金 </w:t>
            </w:r>
            <w:r>
              <w:rPr>
                <w:rFonts w:ascii="Times New Roman" w:hAnsi="Times New Roman" w:cs="Times New Roman" w:eastAsia="Times New Roman" w:hint="default"/>
                <w:sz w:val="18"/>
                <w:szCs w:val="18"/>
              </w:rPr>
              <w:t>1,141,200,000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元，扣除发行费用</w:t>
            </w:r>
          </w:p>
          <w:p>
            <w:pPr>
              <w:pStyle w:val="TableParagraph"/>
              <w:spacing w:line="300" w:lineRule="auto" w:before="7"/>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43,070,599 </w:t>
            </w:r>
            <w:r>
              <w:rPr>
                <w:rFonts w:ascii="宋体" w:hAnsi="宋体" w:cs="宋体" w:eastAsia="宋体" w:hint="default"/>
                <w:sz w:val="18"/>
                <w:szCs w:val="18"/>
              </w:rPr>
              <w:t>元后，募集资金净额为 </w:t>
            </w:r>
            <w:r>
              <w:rPr>
                <w:rFonts w:ascii="Times New Roman" w:hAnsi="Times New Roman" w:cs="Times New Roman" w:eastAsia="Times New Roman" w:hint="default"/>
                <w:sz w:val="18"/>
                <w:szCs w:val="18"/>
              </w:rPr>
              <w:t>1,098,129,401 </w:t>
            </w:r>
            <w:r>
              <w:rPr>
                <w:rFonts w:ascii="宋体" w:hAnsi="宋体" w:cs="宋体" w:eastAsia="宋体" w:hint="default"/>
                <w:sz w:val="18"/>
                <w:szCs w:val="18"/>
              </w:rPr>
              <w:t>元。该募集资金已于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日全部到位，并经大信会计师 事务有限公司大信验字 </w:t>
            </w:r>
            <w:r>
              <w:rPr>
                <w:rFonts w:ascii="Times New Roman" w:hAnsi="Times New Roman" w:cs="Times New Roman" w:eastAsia="Times New Roman" w:hint="default"/>
                <w:spacing w:val="-1"/>
                <w:sz w:val="18"/>
                <w:szCs w:val="18"/>
              </w:rPr>
              <w:t>[2009]</w:t>
            </w:r>
            <w:r>
              <w:rPr>
                <w:rFonts w:ascii="宋体" w:hAnsi="宋体" w:cs="宋体" w:eastAsia="宋体" w:hint="default"/>
                <w:spacing w:val="-1"/>
                <w:sz w:val="18"/>
                <w:szCs w:val="18"/>
              </w:rPr>
              <w:t>第</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4-0019</w:t>
            </w:r>
            <w:r>
              <w:rPr>
                <w:rFonts w:ascii="Times New Roman" w:hAnsi="Times New Roman" w:cs="Times New Roman" w:eastAsia="Times New Roman" w:hint="default"/>
                <w:spacing w:val="23"/>
                <w:sz w:val="18"/>
                <w:szCs w:val="18"/>
              </w:rPr>
              <w:t> </w:t>
            </w:r>
            <w:r>
              <w:rPr>
                <w:rFonts w:ascii="宋体" w:hAnsi="宋体" w:cs="宋体" w:eastAsia="宋体" w:hint="default"/>
                <w:spacing w:val="-4"/>
                <w:sz w:val="18"/>
                <w:szCs w:val="18"/>
              </w:rPr>
              <w:t>号《验资报告》审验确认。（</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）经中国证券监督管理委员会《关于核准美盈森集</w:t>
            </w:r>
            <w:r>
              <w:rPr>
                <w:rFonts w:ascii="宋体" w:hAnsi="宋体" w:cs="宋体" w:eastAsia="宋体" w:hint="default"/>
                <w:sz w:val="18"/>
                <w:szCs w:val="18"/>
              </w:rPr>
              <w:t> </w:t>
            </w:r>
            <w:r>
              <w:rPr>
                <w:rFonts w:ascii="宋体" w:hAnsi="宋体" w:cs="宋体" w:eastAsia="宋体" w:hint="default"/>
                <w:spacing w:val="-3"/>
                <w:sz w:val="18"/>
                <w:szCs w:val="18"/>
              </w:rPr>
              <w:t>团股份有限公司非公开发行股票的批复》（证监许可</w:t>
            </w:r>
            <w:r>
              <w:rPr>
                <w:rFonts w:ascii="Times New Roman" w:hAnsi="Times New Roman" w:cs="Times New Roman" w:eastAsia="Times New Roman" w:hint="default"/>
                <w:spacing w:val="-3"/>
                <w:sz w:val="18"/>
                <w:szCs w:val="18"/>
              </w:rPr>
              <w:t>[2016]1225</w:t>
            </w:r>
            <w:r>
              <w:rPr>
                <w:rFonts w:ascii="Times New Roman" w:hAnsi="Times New Roman" w:cs="Times New Roman" w:eastAsia="Times New Roman" w:hint="default"/>
                <w:spacing w:val="26"/>
                <w:sz w:val="18"/>
                <w:szCs w:val="18"/>
              </w:rPr>
              <w:t> </w:t>
            </w:r>
            <w:r>
              <w:rPr>
                <w:rFonts w:ascii="宋体" w:hAnsi="宋体" w:cs="宋体" w:eastAsia="宋体" w:hint="default"/>
                <w:spacing w:val="-1"/>
                <w:sz w:val="18"/>
                <w:szCs w:val="18"/>
              </w:rPr>
              <w:t>号）文核准，以非公开发行股票方式向特定投资者发行了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pacing w:val="-2"/>
                <w:sz w:val="18"/>
                <w:szCs w:val="18"/>
              </w:rPr>
              <w:t>111,923,685</w:t>
            </w:r>
            <w:r>
              <w:rPr>
                <w:rFonts w:ascii="Times New Roman" w:hAnsi="Times New Roman" w:cs="Times New Roman" w:eastAsia="Times New Roman" w:hint="default"/>
                <w:sz w:val="18"/>
                <w:szCs w:val="18"/>
              </w:rPr>
              <w:t>  </w:t>
            </w:r>
            <w:r>
              <w:rPr>
                <w:rFonts w:ascii="宋体" w:hAnsi="宋体" w:cs="宋体" w:eastAsia="宋体" w:hint="default"/>
                <w:spacing w:val="-1"/>
                <w:w w:val="99"/>
                <w:sz w:val="18"/>
                <w:szCs w:val="18"/>
              </w:rPr>
              <w:t>股人民币普通股（</w:t>
            </w:r>
            <w:r>
              <w:rPr>
                <w:rFonts w:ascii="Times New Roman" w:hAnsi="Times New Roman" w:cs="Times New Roman" w:eastAsia="Times New Roman" w:hint="default"/>
                <w:spacing w:val="-1"/>
                <w:w w:val="99"/>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pacing w:val="-14"/>
                <w:sz w:val="18"/>
                <w:szCs w:val="18"/>
              </w:rPr>
              <w:t>股），发行价格</w:t>
            </w:r>
            <w:r>
              <w:rPr>
                <w:rFonts w:ascii="宋体" w:hAnsi="宋体" w:cs="宋体" w:eastAsia="宋体" w:hint="default"/>
                <w:sz w:val="18"/>
                <w:szCs w:val="18"/>
              </w:rPr>
              <w:t> </w:t>
            </w:r>
            <w:r>
              <w:rPr>
                <w:rFonts w:ascii="Times New Roman" w:hAnsi="Times New Roman" w:cs="Times New Roman" w:eastAsia="Times New Roman" w:hint="default"/>
                <w:sz w:val="18"/>
                <w:szCs w:val="18"/>
              </w:rPr>
              <w:t>12.58  </w:t>
            </w:r>
            <w:r>
              <w:rPr>
                <w:rFonts w:ascii="宋体" w:hAnsi="宋体" w:cs="宋体" w:eastAsia="宋体" w:hint="default"/>
                <w:spacing w:val="-1"/>
                <w:w w:val="99"/>
                <w:sz w:val="18"/>
                <w:szCs w:val="18"/>
              </w:rPr>
              <w:t>元</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股，本次募集资金总额为人民币</w:t>
            </w:r>
            <w:r>
              <w:rPr>
                <w:rFonts w:ascii="宋体" w:hAnsi="宋体" w:cs="宋体" w:eastAsia="宋体" w:hint="default"/>
                <w:w w:val="99"/>
                <w:sz w:val="18"/>
                <w:szCs w:val="18"/>
              </w:rPr>
              <w:t> </w:t>
            </w:r>
            <w:r>
              <w:rPr>
                <w:rFonts w:ascii="Times New Roman" w:hAnsi="Times New Roman" w:cs="Times New Roman" w:eastAsia="Times New Roman" w:hint="default"/>
                <w:spacing w:val="-1"/>
                <w:sz w:val="18"/>
                <w:szCs w:val="18"/>
              </w:rPr>
              <w:t>1,407,999,957.30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元，扣除发</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行费用 </w:t>
            </w:r>
            <w:r>
              <w:rPr>
                <w:rFonts w:ascii="Times New Roman" w:hAnsi="Times New Roman" w:cs="Times New Roman" w:eastAsia="Times New Roman" w:hint="default"/>
                <w:sz w:val="18"/>
                <w:szCs w:val="18"/>
              </w:rPr>
              <w:t>19,887,923.18  </w:t>
            </w:r>
            <w:r>
              <w:rPr>
                <w:rFonts w:ascii="宋体" w:hAnsi="宋体" w:cs="宋体" w:eastAsia="宋体" w:hint="default"/>
                <w:sz w:val="18"/>
                <w:szCs w:val="18"/>
              </w:rPr>
              <w:t>元，本次募集资金净额为 </w:t>
            </w:r>
            <w:r>
              <w:rPr>
                <w:rFonts w:ascii="Times New Roman" w:hAnsi="Times New Roman" w:cs="Times New Roman" w:eastAsia="Times New Roman" w:hint="default"/>
                <w:sz w:val="18"/>
                <w:szCs w:val="18"/>
              </w:rPr>
              <w:t>1,388,112,034.12  </w:t>
            </w:r>
            <w:r>
              <w:rPr>
                <w:rFonts w:ascii="宋体" w:hAnsi="宋体" w:cs="宋体" w:eastAsia="宋体" w:hint="default"/>
                <w:sz w:val="18"/>
                <w:szCs w:val="18"/>
              </w:rPr>
              <w:t>元。该项募集资金已于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日到账，并</w:t>
            </w:r>
          </w:p>
          <w:p>
            <w:pPr>
              <w:pStyle w:val="TableParagraph"/>
              <w:spacing w:line="312" w:lineRule="auto" w:before="63"/>
              <w:ind w:left="24" w:right="16"/>
              <w:jc w:val="both"/>
              <w:rPr>
                <w:rFonts w:ascii="宋体" w:hAnsi="宋体" w:cs="宋体" w:eastAsia="宋体" w:hint="default"/>
                <w:sz w:val="18"/>
                <w:szCs w:val="18"/>
              </w:rPr>
            </w:pPr>
            <w:r>
              <w:rPr>
                <w:rFonts w:ascii="宋体" w:hAnsi="宋体" w:cs="宋体" w:eastAsia="宋体" w:hint="default"/>
                <w:spacing w:val="-3"/>
                <w:sz w:val="18"/>
                <w:szCs w:val="18"/>
              </w:rPr>
              <w:t>经大信会计师事务所（特殊普通合伙）审验，出具了《验资报告》（大信验字</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第</w:t>
            </w:r>
            <w:r>
              <w:rPr>
                <w:rFonts w:ascii="宋体" w:hAnsi="宋体" w:cs="宋体" w:eastAsia="宋体" w:hint="default"/>
                <w:sz w:val="18"/>
                <w:szCs w:val="18"/>
              </w:rPr>
              <w:t> </w:t>
            </w:r>
            <w:r>
              <w:rPr>
                <w:rFonts w:ascii="Times New Roman" w:hAnsi="Times New Roman" w:cs="Times New Roman" w:eastAsia="Times New Roman" w:hint="default"/>
                <w:sz w:val="18"/>
                <w:szCs w:val="18"/>
              </w:rPr>
              <w:t>5-00045 </w:t>
            </w:r>
            <w:r>
              <w:rPr>
                <w:rFonts w:ascii="宋体" w:hAnsi="宋体" w:cs="宋体" w:eastAsia="宋体" w:hint="default"/>
                <w:spacing w:val="-8"/>
                <w:sz w:val="18"/>
                <w:szCs w:val="18"/>
              </w:rPr>
              <w:t>号）。公司按照中国证券监</w:t>
            </w:r>
            <w:r>
              <w:rPr>
                <w:rFonts w:ascii="宋体" w:hAnsi="宋体" w:cs="宋体" w:eastAsia="宋体" w:hint="default"/>
                <w:sz w:val="18"/>
                <w:szCs w:val="18"/>
              </w:rPr>
              <w:t> </w:t>
            </w:r>
            <w:r>
              <w:rPr>
                <w:rFonts w:ascii="宋体" w:hAnsi="宋体" w:cs="宋体" w:eastAsia="宋体" w:hint="default"/>
                <w:spacing w:val="-1"/>
                <w:sz w:val="18"/>
                <w:szCs w:val="18"/>
              </w:rPr>
              <w:t>督管理委员会和深圳证券交易所关于募集资金存储和使用的相关规定和要求存储和使用募集资金。公司募集资金实行专户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存储，并与银行及保荐机构签订了募集资金三方监管协议。募集资金使用过程中严格履行相应的申请和审批程序，充分接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受保荐机构、独立董事以及公司监事会的监督。</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）募集资金承诺项目情况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0" w:right="1133"/>
        <w:jc w:val="right"/>
      </w:pPr>
      <w:r>
        <w:rPr/>
        <w:t>单位：万元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771"/>
        <w:gridCol w:w="778"/>
        <w:gridCol w:w="780"/>
        <w:gridCol w:w="780"/>
        <w:gridCol w:w="780"/>
        <w:gridCol w:w="780"/>
        <w:gridCol w:w="780"/>
        <w:gridCol w:w="780"/>
        <w:gridCol w:w="780"/>
        <w:gridCol w:w="780"/>
        <w:gridCol w:w="780"/>
      </w:tblGrid>
      <w:tr>
        <w:trPr>
          <w:trHeight w:val="1339"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69"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49"/>
              <w:ind w:left="24"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1"/>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49"/>
              <w:ind w:left="26"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6" w:right="21"/>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1"/>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1"/>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6" w:right="21"/>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64" w:hRule="exact"/>
        </w:trPr>
        <w:tc>
          <w:tcPr>
            <w:tcW w:w="17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东莞市美盈森环保科</w:t>
            </w:r>
          </w:p>
        </w:tc>
        <w:tc>
          <w:tcPr>
            <w:tcW w:w="778"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技有限公司环保包装</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18"/>
                <w:szCs w:val="18"/>
              </w:rPr>
            </w:pPr>
            <w:r>
              <w:rPr>
                <w:rFonts w:ascii="Times New Roman"/>
                <w:spacing w:val="-1"/>
                <w:sz w:val="18"/>
              </w:rPr>
              <w:t>42,059.37</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18"/>
                <w:szCs w:val="18"/>
              </w:rPr>
            </w:pPr>
            <w:r>
              <w:rPr>
                <w:rFonts w:ascii="Times New Roman"/>
                <w:spacing w:val="-1"/>
                <w:sz w:val="18"/>
              </w:rPr>
              <w:t>40,095.66</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18"/>
                <w:szCs w:val="18"/>
              </w:rPr>
            </w:pPr>
            <w:r>
              <w:rPr>
                <w:rFonts w:ascii="Times New Roman"/>
                <w:spacing w:val="-1"/>
                <w:sz w:val="18"/>
              </w:rPr>
              <w:t>40,095.66</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8"/>
              <w:jc w:val="right"/>
              <w:rPr>
                <w:rFonts w:ascii="Times New Roman" w:hAnsi="Times New Roman" w:cs="Times New Roman" w:eastAsia="Times New Roman" w:hint="default"/>
                <w:sz w:val="18"/>
                <w:szCs w:val="18"/>
              </w:rPr>
            </w:pPr>
            <w:r>
              <w:rPr>
                <w:rFonts w:ascii="Times New Roman"/>
                <w:spacing w:val="-2"/>
                <w:sz w:val="18"/>
              </w:rPr>
              <w:t>7,249.11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17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生产建设项目</w:t>
            </w:r>
          </w:p>
        </w:tc>
        <w:tc>
          <w:tcPr>
            <w:tcW w:w="778"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环保轻型包装生产线 技术改造项目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2,992.93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2,604.04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2,604.04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包装物流一体化项目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6,706.48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2,335.35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2,335.35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宋体" w:hAnsi="宋体" w:cs="宋体" w:eastAsia="宋体" w:hint="default"/>
          <w:sz w:val="20"/>
          <w:szCs w:val="20"/>
        </w:rPr>
      </w:pPr>
      <w:r>
        <w:rPr/>
        <w:pict>
          <v:shape style="position:absolute;margin-left:56.399998pt;margin-top:72pt;width:479.2pt;height:685.4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1"/>
                    <w:gridCol w:w="778"/>
                    <w:gridCol w:w="780"/>
                    <w:gridCol w:w="780"/>
                    <w:gridCol w:w="780"/>
                    <w:gridCol w:w="780"/>
                    <w:gridCol w:w="780"/>
                    <w:gridCol w:w="780"/>
                    <w:gridCol w:w="780"/>
                    <w:gridCol w:w="780"/>
                    <w:gridCol w:w="780"/>
                  </w:tblGrid>
                  <w:tr>
                    <w:trPr>
                      <w:trHeight w:val="71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项目结余募集资金永 久补充流动资金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3,654.75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3,654.75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51,758.78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48,689.8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48,689.8</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7,249.11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苏州美盈森现代化环 保包装生产基地项目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27,878.38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27,878.38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10,837.17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4" w:hRule="exact"/>
                    </w:trPr>
                    <w:tc>
                      <w:tcPr>
                        <w:tcW w:w="17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重庆美盈森现代化环</w:t>
                        </w:r>
                      </w:p>
                    </w:tc>
                    <w:tc>
                      <w:tcPr>
                        <w:tcW w:w="778"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保包装物流综合基地</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18"/>
                            <w:szCs w:val="18"/>
                          </w:rPr>
                        </w:pPr>
                        <w:r>
                          <w:rPr>
                            <w:rFonts w:ascii="Times New Roman"/>
                            <w:spacing w:val="-1"/>
                            <w:sz w:val="18"/>
                          </w:rPr>
                          <w:t>27,085.97</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18"/>
                            <w:szCs w:val="18"/>
                          </w:rPr>
                        </w:pPr>
                        <w:r>
                          <w:rPr>
                            <w:rFonts w:ascii="Times New Roman"/>
                            <w:spacing w:val="-1"/>
                            <w:sz w:val="18"/>
                          </w:rPr>
                          <w:t>27,085.97</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8"/>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18"/>
                            <w:szCs w:val="18"/>
                          </w:rPr>
                        </w:pPr>
                        <w:r>
                          <w:rPr>
                            <w:rFonts w:ascii="Times New Roman"/>
                            <w:spacing w:val="-1"/>
                            <w:sz w:val="18"/>
                          </w:rPr>
                          <w:t>7,315.4</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17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78"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低碳环保包装研发总 部基地项目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2,705.34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108.20%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3" w:hRule="exact"/>
                    </w:trPr>
                    <w:tc>
                      <w:tcPr>
                        <w:tcW w:w="17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
                            <w:sz w:val="18"/>
                            <w:szCs w:val="18"/>
                          </w:rPr>
                          <w:t>美盈森（成都）现代化</w:t>
                        </w:r>
                      </w:p>
                    </w:tc>
                    <w:tc>
                      <w:tcPr>
                        <w:tcW w:w="778"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环保包装生产基地项</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679.52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1,956.31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5"/>
                          <w:jc w:val="right"/>
                          <w:rPr>
                            <w:rFonts w:ascii="Times New Roman" w:hAnsi="Times New Roman" w:cs="Times New Roman" w:eastAsia="Times New Roman" w:hint="default"/>
                            <w:sz w:val="18"/>
                            <w:szCs w:val="18"/>
                          </w:rPr>
                        </w:pPr>
                        <w:r>
                          <w:rPr>
                            <w:rFonts w:ascii="Times New Roman"/>
                            <w:sz w:val="18"/>
                          </w:rPr>
                          <w:t>97.82%</w:t>
                        </w: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17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78"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6,705.65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6,705.65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66,170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66,331.65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18,152.57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101,258.7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114,859.8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679.52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115,021.4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25,401.68</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r>
                  <w:tr>
                    <w:trPr>
                      <w:trHeight w:val="364" w:hRule="exact"/>
                    </w:trPr>
                    <w:tc>
                      <w:tcPr>
                        <w:tcW w:w="177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）包装物流一体化项目，因项目实施的可行性发生变化，公司已履行必要审批程序终止该项目</w:t>
                        </w:r>
                      </w:p>
                    </w:tc>
                  </w:tr>
                  <w:tr>
                    <w:trPr>
                      <w:trHeight w:val="312"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）低碳环保包装研发总部基地项目目前处于施工建设阶段；美盈森（成都）现代化环保包装生产</w:t>
                        </w:r>
                      </w:p>
                    </w:tc>
                  </w:tr>
                  <w:tr>
                    <w:trPr>
                      <w:trHeight w:val="312"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基地项目部分基建工程处于建设阶段。注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：东莞市美盈森环保科技有限公司环保包装生产建设项</w:t>
                        </w:r>
                      </w:p>
                    </w:tc>
                  </w:tr>
                  <w:tr>
                    <w:trPr>
                      <w:trHeight w:val="312"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目实际投资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40,095.66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月底投产试运行，逐步达到预定可使用状态，产量逐年释</w:t>
                        </w:r>
                      </w:p>
                    </w:tc>
                  </w:tr>
                  <w:tr>
                    <w:trPr>
                      <w:trHeight w:val="1248"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8"/>
                          <w:ind w:left="24"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307" w:lineRule="auto" w:before="2"/>
                          <w:ind w:left="24" w:right="21"/>
                          <w:jc w:val="left"/>
                          <w:rPr>
                            <w:rFonts w:ascii="宋体" w:hAnsi="宋体" w:cs="宋体" w:eastAsia="宋体" w:hint="default"/>
                            <w:sz w:val="18"/>
                            <w:szCs w:val="18"/>
                          </w:rPr>
                        </w:pPr>
                        <w:r>
                          <w:rPr>
                            <w:rFonts w:ascii="宋体" w:hAnsi="宋体" w:cs="宋体" w:eastAsia="宋体" w:hint="default"/>
                            <w:sz w:val="18"/>
                            <w:szCs w:val="18"/>
                          </w:rPr>
                          <w:t>放，新客户开发卓有成效，有效提升了公司的市场知名度和综合竞争力。注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：环保轻型包装生产 线技术改造项目无法单独计算效益，主要系技改设备产出的产品类别原因无法单独计算收益所致。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：苏州美盈森现代化环保包装生产基地项目系公司超募资金投资建设项目，该项目实际投资 </w:t>
                        </w:r>
                        <w:r>
                          <w:rPr>
                            <w:rFonts w:ascii="Times New Roman" w:hAnsi="Times New Roman" w:cs="Times New Roman" w:eastAsia="Times New Roman" w:hint="default"/>
                            <w:sz w:val="18"/>
                            <w:szCs w:val="18"/>
                          </w:rPr>
                          <w:t>27,878.38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月投产试运行，逐步达到预定可使用状态，产量逐年释放，新客户开</w:t>
                        </w:r>
                      </w:p>
                    </w:tc>
                  </w:tr>
                  <w:tr>
                    <w:trPr>
                      <w:trHeight w:val="312"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发卓有成效，实现利润快速增长，有效提升了公司的市场知名度和综合竞争力。注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：重庆美盈森</w:t>
                        </w:r>
                      </w:p>
                    </w:tc>
                  </w:tr>
                  <w:tr>
                    <w:trPr>
                      <w:trHeight w:val="312"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现代化环保包装物流综合基地项目系公司超募资金投资建设项目，该项目实际投资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27,085.97 </w:t>
                        </w:r>
                        <w:r>
                          <w:rPr>
                            <w:rFonts w:ascii="宋体" w:hAnsi="宋体" w:cs="宋体" w:eastAsia="宋体" w:hint="default"/>
                            <w:sz w:val="18"/>
                            <w:szCs w:val="18"/>
                          </w:rPr>
                          <w:t>万元</w:t>
                        </w:r>
                      </w:p>
                    </w:tc>
                  </w:tr>
                  <w:tr>
                    <w:trPr>
                      <w:trHeight w:val="312"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月投产试运行，逐步达到预定可使用状态，产能陆续释放，实现利润增长，取得良好经</w:t>
                        </w:r>
                      </w:p>
                    </w:tc>
                  </w:tr>
                  <w:tr>
                    <w:trPr>
                      <w:trHeight w:val="349" w:hRule="exact"/>
                    </w:trPr>
                    <w:tc>
                      <w:tcPr>
                        <w:tcW w:w="177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济效益，有效提升了公司的综合竞争力。</w:t>
                        </w:r>
                      </w:p>
                    </w:tc>
                  </w:tr>
                  <w:tr>
                    <w:trPr>
                      <w:trHeight w:val="365" w:hRule="exact"/>
                    </w:trPr>
                    <w:tc>
                      <w:tcPr>
                        <w:tcW w:w="177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因</w:t>
                        </w:r>
                        <w:r>
                          <w:rPr>
                            <w:rFonts w:ascii="Times New Roman" w:hAnsi="Times New Roman" w:cs="Times New Roman" w:eastAsia="Times New Roman" w:hint="default"/>
                            <w:sz w:val="18"/>
                            <w:szCs w:val="18"/>
                          </w:rPr>
                          <w:t>“</w:t>
                        </w:r>
                        <w:r>
                          <w:rPr>
                            <w:rFonts w:ascii="宋体" w:hAnsi="宋体" w:cs="宋体" w:eastAsia="宋体" w:hint="default"/>
                            <w:sz w:val="18"/>
                            <w:szCs w:val="18"/>
                          </w:rPr>
                          <w:t>包装物流一体化项目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继续实施的可行性发生变化，经过</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年度第一次临时股东大会批准，公</w:t>
                        </w:r>
                      </w:p>
                    </w:tc>
                  </w:tr>
                  <w:tr>
                    <w:trPr>
                      <w:trHeight w:val="311"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司已决定终止</w:t>
                        </w:r>
                        <w:r>
                          <w:rPr>
                            <w:rFonts w:ascii="Times New Roman" w:hAnsi="Times New Roman" w:cs="Times New Roman" w:eastAsia="Times New Roman" w:hint="default"/>
                            <w:sz w:val="18"/>
                            <w:szCs w:val="18"/>
                          </w:rPr>
                          <w:t>“</w:t>
                        </w:r>
                        <w:r>
                          <w:rPr>
                            <w:rFonts w:ascii="宋体" w:hAnsi="宋体" w:cs="宋体" w:eastAsia="宋体" w:hint="default"/>
                            <w:sz w:val="18"/>
                            <w:szCs w:val="18"/>
                          </w:rPr>
                          <w:t>包装物流一体化项目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的继续实施，对该募投项目进行变更。项目继续实施的可行性</w:t>
                        </w:r>
                      </w:p>
                    </w:tc>
                  </w:tr>
                  <w:tr>
                    <w:trPr>
                      <w:trHeight w:val="936"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160"/>
                          <w:ind w:left="24"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309" w:lineRule="auto" w:before="2"/>
                          <w:ind w:left="24" w:right="19"/>
                          <w:jc w:val="both"/>
                          <w:rPr>
                            <w:rFonts w:ascii="宋体" w:hAnsi="宋体" w:cs="宋体" w:eastAsia="宋体" w:hint="default"/>
                            <w:sz w:val="18"/>
                            <w:szCs w:val="18"/>
                          </w:rPr>
                        </w:pPr>
                        <w:r>
                          <w:rPr>
                            <w:rFonts w:ascii="宋体" w:hAnsi="宋体" w:cs="宋体" w:eastAsia="宋体" w:hint="default"/>
                            <w:spacing w:val="-3"/>
                            <w:sz w:val="18"/>
                            <w:szCs w:val="18"/>
                          </w:rPr>
                          <w:t>发生变化原因如下：（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）上市以来，公司通过增加物流运输设备、优化物流配送调度、精确掌握客</w:t>
                        </w:r>
                        <w:r>
                          <w:rPr>
                            <w:rFonts w:ascii="宋体" w:hAnsi="宋体" w:cs="宋体" w:eastAsia="宋体" w:hint="default"/>
                            <w:spacing w:val="-49"/>
                            <w:sz w:val="18"/>
                            <w:szCs w:val="18"/>
                          </w:rPr>
                          <w:t> </w:t>
                        </w:r>
                        <w:r>
                          <w:rPr>
                            <w:rFonts w:ascii="宋体" w:hAnsi="宋体" w:cs="宋体" w:eastAsia="宋体" w:hint="default"/>
                            <w:sz w:val="18"/>
                            <w:szCs w:val="18"/>
                          </w:rPr>
                          <w:t>户下单计划等，较大程度上提升物流配送体系的效能，更好的实现及时响应能力。鉴于此，并依据 </w:t>
                        </w:r>
                        <w:r>
                          <w:rPr>
                            <w:rFonts w:ascii="宋体" w:hAnsi="宋体" w:cs="宋体" w:eastAsia="宋体" w:hint="default"/>
                            <w:spacing w:val="-3"/>
                            <w:sz w:val="18"/>
                            <w:szCs w:val="18"/>
                          </w:rPr>
                          <w:t>客户布局调整、产品所需包材种类以及充分考虑包装一体化成本结构，公司原计划设置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座仓库的</w:t>
                        </w:r>
                      </w:p>
                    </w:tc>
                  </w:tr>
                  <w:tr>
                    <w:trPr>
                      <w:trHeight w:val="312"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方案需要调整</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）减少仓库配置同时，相应的流动资金需求减少。鉴于上述原因，公司决定调整</w:t>
                        </w:r>
                      </w:p>
                    </w:tc>
                  </w:tr>
                  <w:tr>
                    <w:trPr>
                      <w:trHeight w:val="351" w:hRule="exact"/>
                    </w:trPr>
                    <w:tc>
                      <w:tcPr>
                        <w:tcW w:w="177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包装一体化项目原有投资计划，以更好的适应公司发展需要，并提高募集资金使用效率。</w:t>
                        </w:r>
                      </w:p>
                    </w:tc>
                  </w:tr>
                  <w:tr>
                    <w:trPr>
                      <w:trHeight w:val="401" w:hRule="exact"/>
                    </w:trPr>
                    <w:tc>
                      <w:tcPr>
                        <w:tcW w:w="177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超募资金的金额</w:t>
                        </w:r>
                        <w:r>
                          <w:rPr>
                            <w:rFonts w:ascii="宋体" w:hAnsi="宋体" w:cs="宋体" w:eastAsia="宋体" w:hint="default"/>
                            <w:spacing w:val="-87"/>
                            <w:sz w:val="18"/>
                            <w:szCs w:val="18"/>
                          </w:rPr>
                          <w:t>、</w:t>
                        </w:r>
                        <w:r>
                          <w:rPr>
                            <w:rFonts w:ascii="宋体" w:hAnsi="宋体" w:cs="宋体" w:eastAsia="宋体" w:hint="default"/>
                            <w:sz w:val="18"/>
                            <w:szCs w:val="18"/>
                          </w:rPr>
                          <w:t>用途</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2" w:hRule="exact"/>
                    </w:trPr>
                    <w:tc>
                      <w:tcPr>
                        <w:tcW w:w="17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公司首次公开发行股票共超募资金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2"/>
                            <w:sz w:val="18"/>
                            <w:szCs w:val="18"/>
                          </w:rPr>
                          <w:t>元</w:t>
                        </w:r>
                        <w:r>
                          <w:rPr>
                            <w:rFonts w:ascii="宋体" w:hAnsi="宋体" w:cs="宋体" w:eastAsia="宋体" w:hint="default"/>
                            <w:spacing w:val="-44"/>
                            <w:sz w:val="18"/>
                            <w:szCs w:val="18"/>
                          </w:rPr>
                          <w:t>。</w:t>
                        </w:r>
                        <w:r>
                          <w:rPr>
                            <w:rFonts w:ascii="宋体" w:hAnsi="宋体" w:cs="宋体" w:eastAsia="宋体" w:hint="default"/>
                            <w:sz w:val="18"/>
                            <w:szCs w:val="18"/>
                          </w:rPr>
                          <w:t>具体投</w:t>
                        </w:r>
                        <w:r>
                          <w:rPr>
                            <w:rFonts w:ascii="宋体" w:hAnsi="宋体" w:cs="宋体" w:eastAsia="宋体" w:hint="default"/>
                            <w:spacing w:val="-4"/>
                            <w:sz w:val="18"/>
                            <w:szCs w:val="18"/>
                          </w:rPr>
                          <w:t>资</w:t>
                        </w:r>
                        <w:r>
                          <w:rPr>
                            <w:rFonts w:ascii="宋体" w:hAnsi="宋体" w:cs="宋体" w:eastAsia="宋体" w:hint="default"/>
                            <w:sz w:val="18"/>
                            <w:szCs w:val="18"/>
                          </w:rPr>
                          <w:t>情况如下</w:t>
                        </w:r>
                        <w:r>
                          <w:rPr>
                            <w:rFonts w:ascii="宋体" w:hAnsi="宋体" w:cs="宋体" w:eastAsia="宋体" w:hint="default"/>
                            <w:spacing w:val="-134"/>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44"/>
                            <w:sz w:val="18"/>
                            <w:szCs w:val="18"/>
                          </w:rPr>
                          <w:t>）</w:t>
                        </w:r>
                        <w:r>
                          <w:rPr>
                            <w:rFonts w:ascii="宋体" w:hAnsi="宋体" w:cs="宋体" w:eastAsia="宋体" w:hint="default"/>
                            <w:sz w:val="18"/>
                            <w:szCs w:val="18"/>
                          </w:rPr>
                          <w:t>公司共计投资</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0" w:right="1140"/>
        <w:jc w:val="right"/>
      </w:pPr>
      <w:r>
        <w:rPr/>
        <w:pict>
          <v:shape style="position:absolute;margin-left:139.083374pt;margin-top:-78.288277pt;width:44.8pt;height:19.6pt;mso-position-horizontal-relative:page;mso-position-vertical-relative:paragraph;z-index:-1322008" type="#_x0000_t202" filled="false" stroked="false">
            <v:textbox inset="0,0,0,0">
              <w:txbxContent>
                <w:p>
                  <w:pPr>
                    <w:pStyle w:val="BodyText"/>
                    <w:spacing w:line="240" w:lineRule="auto" w:before="49"/>
                    <w:ind w:left="0" w:right="0"/>
                    <w:jc w:val="left"/>
                  </w:pPr>
                  <w:r>
                    <w:rPr/>
                    <w:t>）</w:t>
                  </w: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1137"/>
        <w:jc w:val="right"/>
      </w:pPr>
      <w:r>
        <w:rPr/>
        <w:t>，</w:t>
      </w:r>
    </w:p>
    <w:p>
      <w:pPr>
        <w:spacing w:after="0" w:line="240" w:lineRule="auto"/>
        <w:jc w:val="right"/>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323" w:hRule="exact"/>
        </w:trPr>
        <w:tc>
          <w:tcPr>
            <w:tcW w:w="1770" w:type="dxa"/>
            <w:vMerge w:val="restart"/>
            <w:tcBorders>
              <w:top w:val="single" w:sz="4" w:space="0" w:color="000000"/>
              <w:left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万元募集资金（其中超募资金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年度第一次临时股东大会批准）用于全资子</w:t>
            </w:r>
          </w:p>
        </w:tc>
      </w:tr>
      <w:tr>
        <w:trPr>
          <w:trHeight w:val="312" w:hRule="exact"/>
        </w:trPr>
        <w:tc>
          <w:tcPr>
            <w:tcW w:w="1770"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公司苏州美盈森环保科技有限公司实施</w:t>
            </w:r>
            <w:r>
              <w:rPr>
                <w:rFonts w:ascii="宋体" w:hAnsi="宋体" w:cs="宋体" w:eastAsia="宋体" w:hint="default"/>
                <w:spacing w:val="-1"/>
                <w:sz w:val="18"/>
                <w:szCs w:val="18"/>
              </w:rPr>
              <w:t>的</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现代化环保包装生产基地项</w:t>
            </w:r>
            <w:r>
              <w:rPr>
                <w:rFonts w:ascii="宋体" w:hAnsi="宋体" w:cs="宋体" w:eastAsia="宋体" w:hint="default"/>
                <w:spacing w:val="-1"/>
                <w:sz w:val="18"/>
                <w:szCs w:val="18"/>
              </w:rPr>
              <w:t>目</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25"/>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5"/>
                <w:sz w:val="18"/>
                <w:szCs w:val="18"/>
              </w:rPr>
              <w:t>）</w:t>
            </w:r>
            <w:r>
              <w:rPr>
                <w:rFonts w:ascii="宋体" w:hAnsi="宋体" w:cs="宋体" w:eastAsia="宋体" w:hint="default"/>
                <w:sz w:val="18"/>
                <w:szCs w:val="18"/>
              </w:rPr>
              <w:t>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度</w:t>
            </w:r>
            <w:r>
              <w:rPr>
                <w:rFonts w:ascii="宋体" w:hAnsi="宋体" w:cs="宋体" w:eastAsia="宋体" w:hint="default"/>
                <w:sz w:val="18"/>
                <w:szCs w:val="18"/>
              </w:rPr>
              <w:t>第二次</w:t>
            </w:r>
          </w:p>
        </w:tc>
      </w:tr>
      <w:tr>
        <w:trPr>
          <w:trHeight w:val="312" w:hRule="exact"/>
        </w:trPr>
        <w:tc>
          <w:tcPr>
            <w:tcW w:w="1770"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临时股东大会和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年度第一次临时股东大会批准，公司共计投资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万元超募资金用于全</w:t>
            </w:r>
          </w:p>
        </w:tc>
      </w:tr>
      <w:tr>
        <w:trPr>
          <w:trHeight w:val="312" w:hRule="exact"/>
        </w:trPr>
        <w:tc>
          <w:tcPr>
            <w:tcW w:w="1770"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资子公司重庆市美盈森环保包装工程有限公司实施</w:t>
            </w:r>
            <w:r>
              <w:rPr>
                <w:rFonts w:ascii="宋体" w:hAnsi="宋体" w:cs="宋体" w:eastAsia="宋体" w:hint="default"/>
                <w:spacing w:val="-1"/>
                <w:sz w:val="18"/>
                <w:szCs w:val="18"/>
              </w:rPr>
              <w:t>的</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现代化环保包装物流综合基地项</w:t>
            </w:r>
            <w:r>
              <w:rPr>
                <w:rFonts w:ascii="宋体" w:hAnsi="宋体" w:cs="宋体" w:eastAsia="宋体" w:hint="default"/>
                <w:spacing w:val="-1"/>
                <w:sz w:val="18"/>
                <w:szCs w:val="18"/>
              </w:rPr>
              <w:t>目</w:t>
            </w:r>
            <w:r>
              <w:rPr>
                <w:rFonts w:ascii="Times New Roman" w:hAnsi="Times New Roman" w:cs="Times New Roman" w:eastAsia="Times New Roman" w:hint="default"/>
                <w:spacing w:val="-1"/>
                <w:w w:val="99"/>
                <w:sz w:val="18"/>
                <w:szCs w:val="18"/>
              </w:rPr>
              <w:t>”</w:t>
            </w:r>
            <w:r>
              <w:rPr>
                <w:rFonts w:ascii="宋体" w:hAnsi="宋体" w:cs="宋体" w:eastAsia="宋体" w:hint="default"/>
                <w:spacing w:val="-89"/>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）经</w:t>
            </w:r>
          </w:p>
        </w:tc>
      </w:tr>
      <w:tr>
        <w:trPr>
          <w:trHeight w:val="312" w:hRule="exact"/>
        </w:trPr>
        <w:tc>
          <w:tcPr>
            <w:tcW w:w="1770"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第一届董事会第十九次临时会议批准</w:t>
            </w:r>
            <w:r>
              <w:rPr>
                <w:rFonts w:ascii="宋体" w:hAnsi="宋体" w:cs="宋体" w:eastAsia="宋体" w:hint="default"/>
                <w:spacing w:val="-78"/>
                <w:sz w:val="18"/>
                <w:szCs w:val="18"/>
              </w:rPr>
              <w:t>，</w:t>
            </w:r>
            <w:r>
              <w:rPr>
                <w:rFonts w:ascii="宋体" w:hAnsi="宋体" w:cs="宋体" w:eastAsia="宋体" w:hint="default"/>
                <w:sz w:val="18"/>
                <w:szCs w:val="18"/>
              </w:rPr>
              <w:t>公司投资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2"/>
                <w:sz w:val="18"/>
                <w:szCs w:val="18"/>
              </w:rPr>
              <w:t>元</w:t>
            </w:r>
            <w:r>
              <w:rPr>
                <w:rFonts w:ascii="宋体" w:hAnsi="宋体" w:cs="宋体" w:eastAsia="宋体" w:hint="default"/>
                <w:sz w:val="18"/>
                <w:szCs w:val="18"/>
              </w:rPr>
              <w:t>超募资金用于投资新</w:t>
            </w:r>
            <w:r>
              <w:rPr>
                <w:rFonts w:ascii="宋体" w:hAnsi="宋体" w:cs="宋体" w:eastAsia="宋体" w:hint="default"/>
                <w:spacing w:val="-1"/>
                <w:sz w:val="18"/>
                <w:szCs w:val="18"/>
              </w:rPr>
              <w:t>建</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低碳环保包装</w:t>
            </w:r>
          </w:p>
        </w:tc>
      </w:tr>
      <w:tr>
        <w:trPr>
          <w:trHeight w:val="312" w:hRule="exact"/>
        </w:trPr>
        <w:tc>
          <w:tcPr>
            <w:tcW w:w="1770"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研发总部基地项</w:t>
            </w:r>
            <w:r>
              <w:rPr>
                <w:rFonts w:ascii="宋体" w:hAnsi="宋体" w:cs="宋体" w:eastAsia="宋体" w:hint="default"/>
                <w:spacing w:val="-1"/>
                <w:sz w:val="18"/>
                <w:szCs w:val="18"/>
              </w:rPr>
              <w:t>目</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17"/>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27"/>
                <w:sz w:val="18"/>
                <w:szCs w:val="18"/>
              </w:rPr>
              <w:t>）</w:t>
            </w:r>
            <w:r>
              <w:rPr>
                <w:rFonts w:ascii="宋体" w:hAnsi="宋体" w:cs="宋体" w:eastAsia="宋体" w:hint="default"/>
                <w:sz w:val="18"/>
                <w:szCs w:val="18"/>
              </w:rPr>
              <w:t>经</w:t>
            </w:r>
            <w:r>
              <w:rPr>
                <w:rFonts w:ascii="宋体" w:hAnsi="宋体" w:cs="宋体" w:eastAsia="宋体" w:hint="default"/>
                <w:spacing w:val="3"/>
                <w:sz w:val="18"/>
                <w:szCs w:val="18"/>
              </w:rPr>
              <w:t>第</w:t>
            </w:r>
            <w:r>
              <w:rPr>
                <w:rFonts w:ascii="宋体" w:hAnsi="宋体" w:cs="宋体" w:eastAsia="宋体" w:hint="default"/>
                <w:sz w:val="18"/>
                <w:szCs w:val="18"/>
              </w:rPr>
              <w:t>二届董事会第七次会议批准</w:t>
            </w:r>
            <w:r>
              <w:rPr>
                <w:rFonts w:ascii="宋体" w:hAnsi="宋体" w:cs="宋体" w:eastAsia="宋体" w:hint="default"/>
                <w:spacing w:val="-27"/>
                <w:sz w:val="18"/>
                <w:szCs w:val="18"/>
              </w:rPr>
              <w:t>，</w:t>
            </w:r>
            <w:r>
              <w:rPr>
                <w:rFonts w:ascii="宋体" w:hAnsi="宋体" w:cs="宋体" w:eastAsia="宋体" w:hint="default"/>
                <w:sz w:val="18"/>
                <w:szCs w:val="18"/>
              </w:rPr>
              <w:t>公司投资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w:t>
            </w:r>
            <w:r>
              <w:rPr>
                <w:rFonts w:ascii="宋体" w:hAnsi="宋体" w:cs="宋体" w:eastAsia="宋体" w:hint="default"/>
                <w:spacing w:val="-2"/>
                <w:sz w:val="18"/>
                <w:szCs w:val="18"/>
              </w:rPr>
              <w:t>资</w:t>
            </w:r>
            <w:r>
              <w:rPr>
                <w:rFonts w:ascii="宋体" w:hAnsi="宋体" w:cs="宋体" w:eastAsia="宋体" w:hint="default"/>
                <w:sz w:val="18"/>
                <w:szCs w:val="18"/>
              </w:rPr>
              <w:t>金用于设</w:t>
            </w:r>
          </w:p>
        </w:tc>
      </w:tr>
      <w:tr>
        <w:trPr>
          <w:trHeight w:val="312" w:hRule="exact"/>
        </w:trPr>
        <w:tc>
          <w:tcPr>
            <w:tcW w:w="1770"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立成都市美盈森环保科技有限公司以实</w:t>
            </w:r>
            <w:r>
              <w:rPr>
                <w:rFonts w:ascii="宋体" w:hAnsi="宋体" w:cs="宋体" w:eastAsia="宋体" w:hint="default"/>
                <w:spacing w:val="-1"/>
                <w:sz w:val="18"/>
                <w:szCs w:val="18"/>
              </w:rPr>
              <w:t>施</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美盈森（成都）现代化环保包装生产基地项</w:t>
            </w:r>
            <w:r>
              <w:rPr>
                <w:rFonts w:ascii="宋体" w:hAnsi="宋体" w:cs="宋体" w:eastAsia="宋体" w:hint="default"/>
                <w:spacing w:val="-1"/>
                <w:sz w:val="18"/>
                <w:szCs w:val="18"/>
              </w:rPr>
              <w:t>目</w:t>
            </w:r>
            <w:r>
              <w:rPr>
                <w:rFonts w:ascii="Times New Roman" w:hAnsi="Times New Roman" w:cs="Times New Roman" w:eastAsia="Times New Roman" w:hint="default"/>
                <w:spacing w:val="-1"/>
                <w:w w:val="99"/>
                <w:sz w:val="18"/>
                <w:szCs w:val="18"/>
              </w:rPr>
              <w:t>”</w:t>
            </w:r>
            <w:r>
              <w:rPr>
                <w:rFonts w:ascii="宋体" w:hAnsi="宋体" w:cs="宋体" w:eastAsia="宋体" w:hint="default"/>
                <w:spacing w:val="-89"/>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）经</w:t>
            </w:r>
          </w:p>
        </w:tc>
      </w:tr>
      <w:tr>
        <w:trPr>
          <w:trHeight w:val="312" w:hRule="exact"/>
        </w:trPr>
        <w:tc>
          <w:tcPr>
            <w:tcW w:w="1770"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4"/>
                <w:sz w:val="18"/>
                <w:szCs w:val="18"/>
              </w:rPr>
              <w:t>第三届董事会第二十次（临时）会议审议和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年第三次临时股东大会批准，公司将募集资金账户</w:t>
            </w:r>
          </w:p>
        </w:tc>
      </w:tr>
      <w:tr>
        <w:trPr>
          <w:trHeight w:val="351"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尚未有明确使用用途的超募资金余额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3,066.02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万元永久补充流动资金。</w:t>
            </w:r>
          </w:p>
        </w:tc>
      </w:tr>
      <w:tr>
        <w:trPr>
          <w:trHeight w:val="329"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2" w:hRule="exact"/>
        </w:trPr>
        <w:tc>
          <w:tcPr>
            <w:tcW w:w="1770" w:type="dxa"/>
            <w:vMerge w:val="restart"/>
            <w:tcBorders>
              <w:top w:val="nil" w:sz="6" w:space="0" w:color="auto"/>
              <w:left w:val="single" w:sz="4" w:space="0" w:color="000000"/>
              <w:right w:val="single" w:sz="4" w:space="0" w:color="000000"/>
            </w:tcBorders>
            <w:shd w:val="clear" w:color="auto" w:fill="D3D3D3"/>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tcBorders>
              <w:top w:val="nil" w:sz="6" w:space="0" w:color="auto"/>
              <w:left w:val="single" w:sz="4" w:space="0" w:color="000000"/>
              <w:bottom w:val="single" w:sz="4" w:space="0" w:color="000000"/>
              <w:right w:val="single" w:sz="4" w:space="0" w:color="000000"/>
            </w:tcBorders>
          </w:tcPr>
          <w:p>
            <w:pPr/>
          </w:p>
        </w:tc>
      </w:tr>
      <w:tr>
        <w:trPr>
          <w:trHeight w:val="207" w:hRule="exact"/>
        </w:trPr>
        <w:tc>
          <w:tcPr>
            <w:tcW w:w="1770" w:type="dxa"/>
            <w:vMerge/>
            <w:tcBorders>
              <w:left w:val="single" w:sz="4" w:space="0" w:color="000000"/>
              <w:bottom w:val="nil" w:sz="6" w:space="0" w:color="auto"/>
              <w:right w:val="single" w:sz="4" w:space="0" w:color="000000"/>
            </w:tcBorders>
            <w:shd w:val="clear" w:color="auto" w:fill="D3D3D3"/>
          </w:tcPr>
          <w:p>
            <w:pPr/>
          </w:p>
        </w:tc>
        <w:tc>
          <w:tcPr>
            <w:tcW w:w="7798" w:type="dxa"/>
            <w:vMerge w:val="restart"/>
            <w:tcBorders>
              <w:top w:val="single" w:sz="4" w:space="0" w:color="000000"/>
              <w:left w:val="single" w:sz="4" w:space="0" w:color="000000"/>
              <w:right w:val="single" w:sz="4" w:space="0" w:color="000000"/>
            </w:tcBorders>
          </w:tcPr>
          <w:p>
            <w:pPr/>
          </w:p>
        </w:tc>
      </w:tr>
      <w:tr>
        <w:trPr>
          <w:trHeight w:val="196" w:hRule="exact"/>
        </w:trPr>
        <w:tc>
          <w:tcPr>
            <w:tcW w:w="177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施地点变更情况</w:t>
            </w:r>
          </w:p>
        </w:tc>
        <w:tc>
          <w:tcPr>
            <w:tcW w:w="7798" w:type="dxa"/>
            <w:vMerge/>
            <w:tcBorders>
              <w:left w:val="single" w:sz="4" w:space="0" w:color="000000"/>
              <w:bottom w:val="single" w:sz="4" w:space="0" w:color="000000"/>
              <w:right w:val="single" w:sz="4" w:space="0" w:color="000000"/>
            </w:tcBorders>
          </w:tcPr>
          <w:p>
            <w:pP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18" w:hRule="exact"/>
        </w:trPr>
        <w:tc>
          <w:tcPr>
            <w:tcW w:w="1770" w:type="dxa"/>
            <w:vMerge/>
            <w:tcBorders>
              <w:left w:val="single" w:sz="4" w:space="0" w:color="000000"/>
              <w:bottom w:val="nil" w:sz="6" w:space="0" w:color="auto"/>
              <w:right w:val="single" w:sz="4" w:space="0" w:color="000000"/>
            </w:tcBorders>
            <w:shd w:val="clear" w:color="auto" w:fill="D3D3D3"/>
          </w:tcPr>
          <w:p>
            <w:pPr/>
          </w:p>
        </w:tc>
        <w:tc>
          <w:tcPr>
            <w:tcW w:w="7798" w:type="dxa"/>
            <w:vMerge w:val="restart"/>
            <w:tcBorders>
              <w:top w:val="single" w:sz="4" w:space="0" w:color="000000"/>
              <w:left w:val="single" w:sz="4" w:space="0" w:color="000000"/>
              <w:right w:val="single" w:sz="4" w:space="0" w:color="000000"/>
            </w:tcBorders>
          </w:tcPr>
          <w:p>
            <w:pPr>
              <w:pStyle w:val="TableParagraph"/>
              <w:spacing w:line="300"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公司已终止</w:t>
            </w:r>
            <w:r>
              <w:rPr>
                <w:rFonts w:ascii="Times New Roman" w:hAnsi="Times New Roman" w:cs="Times New Roman" w:eastAsia="Times New Roman" w:hint="default"/>
                <w:sz w:val="18"/>
                <w:szCs w:val="18"/>
              </w:rPr>
              <w:t>“</w:t>
            </w:r>
            <w:r>
              <w:rPr>
                <w:rFonts w:ascii="宋体" w:hAnsi="宋体" w:cs="宋体" w:eastAsia="宋体" w:hint="default"/>
                <w:sz w:val="18"/>
                <w:szCs w:val="18"/>
              </w:rPr>
              <w:t>包装一体化项目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的继续实施，并将剩余资金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4,371.13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万元增资全资子公司苏州美盈森 环保科技有限公司用于其实施的</w:t>
            </w:r>
            <w:r>
              <w:rPr>
                <w:rFonts w:ascii="Times New Roman" w:hAnsi="Times New Roman" w:cs="Times New Roman" w:eastAsia="Times New Roman" w:hint="default"/>
                <w:sz w:val="18"/>
                <w:szCs w:val="18"/>
              </w:rPr>
              <w:t>“</w:t>
            </w:r>
            <w:r>
              <w:rPr>
                <w:rFonts w:ascii="宋体" w:hAnsi="宋体" w:cs="宋体" w:eastAsia="宋体" w:hint="default"/>
                <w:sz w:val="18"/>
                <w:szCs w:val="18"/>
              </w:rPr>
              <w:t>现代化环保包装生产基地项目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以弥补苏州一期项目设备款、工程 款、运营资金等的不足。</w:t>
            </w:r>
          </w:p>
        </w:tc>
      </w:tr>
      <w:tr>
        <w:trPr>
          <w:trHeight w:val="909"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施方式调整情况</w:t>
            </w:r>
          </w:p>
        </w:tc>
        <w:tc>
          <w:tcPr>
            <w:tcW w:w="7798" w:type="dxa"/>
            <w:vMerge/>
            <w:tcBorders>
              <w:left w:val="single" w:sz="4" w:space="0" w:color="000000"/>
              <w:bottom w:val="single" w:sz="4" w:space="0" w:color="000000"/>
              <w:right w:val="single" w:sz="4" w:space="0" w:color="000000"/>
            </w:tcBorders>
          </w:tcPr>
          <w:p>
            <w:pPr/>
          </w:p>
        </w:tc>
      </w:tr>
      <w:tr>
        <w:trPr>
          <w:trHeight w:val="401"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86"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798" w:type="dxa"/>
            <w:vMerge w:val="restart"/>
            <w:tcBorders>
              <w:top w:val="single" w:sz="4" w:space="0" w:color="000000"/>
              <w:left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在首次公开发行股票募集资金到位前，公司根据生产经营的需要，利用自有资金先期投入募集资金 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7,417.50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万元。募集资金到位后，公司第一届董事会第十二次会议审议通过了《关于使用募集 </w:t>
            </w:r>
            <w:r>
              <w:rPr>
                <w:rFonts w:ascii="宋体" w:hAnsi="宋体" w:cs="宋体" w:eastAsia="宋体" w:hint="default"/>
                <w:spacing w:val="-5"/>
                <w:sz w:val="18"/>
                <w:szCs w:val="18"/>
              </w:rPr>
              <w:t>资金置换预先已投入募集资金项目的自筹资金的议案》，并由保荐机构国信证券股份有限公司出具了</w:t>
            </w:r>
          </w:p>
          <w:p>
            <w:pPr>
              <w:pStyle w:val="TableParagraph"/>
              <w:spacing w:line="316" w:lineRule="auto" w:before="24"/>
              <w:ind w:left="24" w:right="21"/>
              <w:jc w:val="both"/>
              <w:rPr>
                <w:rFonts w:ascii="宋体" w:hAnsi="宋体" w:cs="宋体" w:eastAsia="宋体" w:hint="default"/>
                <w:sz w:val="18"/>
                <w:szCs w:val="18"/>
              </w:rPr>
            </w:pPr>
            <w:r>
              <w:rPr>
                <w:rFonts w:ascii="宋体" w:hAnsi="宋体" w:cs="宋体" w:eastAsia="宋体" w:hint="default"/>
                <w:sz w:val="18"/>
                <w:szCs w:val="18"/>
              </w:rPr>
              <w:t>《关于深圳市美盈森环保科技股份有限公司首次公开发行股票募集资金使用情况的专项意见</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大信</w:t>
            </w:r>
            <w:r>
              <w:rPr>
                <w:rFonts w:ascii="宋体" w:hAnsi="宋体" w:cs="宋体" w:eastAsia="宋体" w:hint="default"/>
                <w:sz w:val="18"/>
                <w:szCs w:val="18"/>
              </w:rPr>
              <w:t> 会计师事务有限公司出具</w:t>
            </w:r>
            <w:r>
              <w:rPr>
                <w:rFonts w:ascii="宋体" w:hAnsi="宋体" w:cs="宋体" w:eastAsia="宋体" w:hint="default"/>
                <w:spacing w:val="-1"/>
                <w:sz w:val="18"/>
                <w:szCs w:val="18"/>
              </w:rPr>
              <w:t>了</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大信专审</w:t>
            </w:r>
            <w:r>
              <w:rPr>
                <w:rFonts w:ascii="宋体" w:hAnsi="宋体" w:cs="宋体" w:eastAsia="宋体" w:hint="default"/>
                <w:spacing w:val="-1"/>
                <w:sz w:val="18"/>
                <w:szCs w:val="18"/>
              </w:rPr>
              <w:t>字</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09</w:t>
            </w:r>
            <w:r>
              <w:rPr>
                <w:rFonts w:ascii="Times New Roman" w:hAnsi="Times New Roman" w:cs="Times New Roman" w:eastAsia="Times New Roman" w:hint="default"/>
                <w:spacing w:val="3"/>
                <w:sz w:val="18"/>
                <w:szCs w:val="18"/>
              </w:rPr>
              <w:t>]</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35"/>
                <w:w w:val="99"/>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专项审核报告</w:t>
            </w:r>
            <w:r>
              <w:rPr>
                <w:rFonts w:ascii="宋体" w:hAnsi="宋体" w:cs="宋体" w:eastAsia="宋体" w:hint="default"/>
                <w:spacing w:val="-92"/>
                <w:sz w:val="18"/>
                <w:szCs w:val="18"/>
              </w:rPr>
              <w:t>》</w:t>
            </w:r>
            <w:r>
              <w:rPr>
                <w:rFonts w:ascii="宋体" w:hAnsi="宋体" w:cs="宋体" w:eastAsia="宋体" w:hint="default"/>
                <w:spacing w:val="-35"/>
                <w:sz w:val="18"/>
                <w:szCs w:val="18"/>
              </w:rPr>
              <w:t>，</w:t>
            </w:r>
            <w:r>
              <w:rPr>
                <w:rFonts w:ascii="宋体" w:hAnsi="宋体" w:cs="宋体" w:eastAsia="宋体" w:hint="default"/>
                <w:sz w:val="18"/>
                <w:szCs w:val="18"/>
              </w:rPr>
              <w:t>报告期内公司以募集</w:t>
            </w:r>
          </w:p>
          <w:p>
            <w:pPr>
              <w:pStyle w:val="TableParagraph"/>
              <w:spacing w:line="248" w:lineRule="exact"/>
              <w:ind w:left="24" w:right="0"/>
              <w:jc w:val="both"/>
              <w:rPr>
                <w:rFonts w:ascii="宋体" w:hAnsi="宋体" w:cs="宋体" w:eastAsia="宋体" w:hint="default"/>
                <w:sz w:val="18"/>
                <w:szCs w:val="18"/>
              </w:rPr>
            </w:pPr>
            <w:r>
              <w:rPr>
                <w:rFonts w:ascii="宋体" w:hAnsi="宋体" w:cs="宋体" w:eastAsia="宋体" w:hint="default"/>
                <w:sz w:val="18"/>
                <w:szCs w:val="18"/>
              </w:rPr>
              <w:t>资金置换先期投入募集资金金额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7,417.50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177"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7798" w:type="dxa"/>
            <w:vMerge/>
            <w:tcBorders>
              <w:left w:val="single" w:sz="4" w:space="0" w:color="000000"/>
              <w:bottom w:val="single" w:sz="4" w:space="0" w:color="000000"/>
              <w:right w:val="single" w:sz="4" w:space="0" w:color="000000"/>
            </w:tcBorders>
          </w:tcPr>
          <w:p>
            <w:pPr/>
          </w:p>
        </w:tc>
      </w:tr>
      <w:tr>
        <w:trPr>
          <w:trHeight w:val="401"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034"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798" w:type="dxa"/>
            <w:vMerge w:val="restart"/>
            <w:tcBorders>
              <w:top w:val="single" w:sz="4" w:space="0" w:color="000000"/>
              <w:left w:val="single" w:sz="4" w:space="0" w:color="000000"/>
              <w:right w:val="single" w:sz="4" w:space="0" w:color="000000"/>
            </w:tcBorders>
          </w:tcPr>
          <w:p>
            <w:pPr>
              <w:pStyle w:val="TableParagraph"/>
              <w:spacing w:line="300" w:lineRule="auto" w:before="49"/>
              <w:ind w:left="24" w:right="2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）公司募集资金投资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环保轻型包装生产线技术改造项目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已实施完毕，公司通过规模集约化采购</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有效控制成本，截至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日，尚结余募集资金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410.01 </w:t>
            </w:r>
            <w:r>
              <w:rPr>
                <w:rFonts w:ascii="宋体" w:hAnsi="宋体" w:cs="宋体" w:eastAsia="宋体" w:hint="default"/>
                <w:sz w:val="18"/>
                <w:szCs w:val="18"/>
              </w:rPr>
              <w:t>万元。公司第二届董事会第十三</w:t>
            </w:r>
          </w:p>
          <w:p>
            <w:pPr>
              <w:pStyle w:val="TableParagraph"/>
              <w:spacing w:line="300" w:lineRule="auto" w:before="13"/>
              <w:ind w:left="24" w:right="18"/>
              <w:jc w:val="both"/>
              <w:rPr>
                <w:rFonts w:ascii="宋体" w:hAnsi="宋体" w:cs="宋体" w:eastAsia="宋体" w:hint="default"/>
                <w:sz w:val="18"/>
                <w:szCs w:val="18"/>
              </w:rPr>
            </w:pPr>
            <w:r>
              <w:rPr>
                <w:rFonts w:ascii="宋体" w:hAnsi="宋体" w:cs="宋体" w:eastAsia="宋体" w:hint="default"/>
                <w:spacing w:val="-11"/>
                <w:sz w:val="18"/>
                <w:szCs w:val="18"/>
              </w:rPr>
              <w:t>次（临时）会议和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年第一次临时股东大会已决议将该部分剩余资金增资苏州美盈森环保科技有 </w:t>
            </w:r>
            <w:r>
              <w:rPr>
                <w:rFonts w:ascii="宋体" w:hAnsi="宋体" w:cs="宋体" w:eastAsia="宋体" w:hint="default"/>
                <w:spacing w:val="-3"/>
                <w:w w:val="99"/>
                <w:sz w:val="18"/>
                <w:szCs w:val="18"/>
              </w:rPr>
              <w:t>限公司用于其实施的</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现代化环保生产基地项目</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w:t>
            </w:r>
            <w:r>
              <w:rPr>
                <w:rFonts w:ascii="Times New Roman" w:hAnsi="Times New Roman" w:cs="Times New Roman" w:eastAsia="Times New Roman" w:hint="default"/>
                <w:spacing w:val="-3"/>
                <w:w w:val="99"/>
                <w:sz w:val="18"/>
                <w:szCs w:val="18"/>
              </w:rPr>
              <w:t>2</w:t>
            </w:r>
            <w:r>
              <w:rPr>
                <w:rFonts w:ascii="宋体" w:hAnsi="宋体" w:cs="宋体" w:eastAsia="宋体" w:hint="default"/>
                <w:spacing w:val="-3"/>
                <w:w w:val="99"/>
                <w:sz w:val="18"/>
                <w:szCs w:val="18"/>
              </w:rPr>
              <w:t>）公司募投项目</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东莞市美盈森环保科技有</w:t>
            </w:r>
            <w:r>
              <w:rPr>
                <w:rFonts w:ascii="宋体" w:hAnsi="宋体" w:cs="宋体" w:eastAsia="宋体" w:hint="default"/>
                <w:spacing w:val="-51"/>
                <w:w w:val="99"/>
                <w:sz w:val="18"/>
                <w:szCs w:val="18"/>
              </w:rPr>
              <w:t> </w:t>
            </w:r>
            <w:r>
              <w:rPr>
                <w:rFonts w:ascii="宋体" w:hAnsi="宋体" w:cs="宋体" w:eastAsia="宋体" w:hint="default"/>
                <w:sz w:val="18"/>
                <w:szCs w:val="18"/>
              </w:rPr>
              <w:t>限公司环保包装生产建设项目已实施完毕，该项目计划总投资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42,059.37</w:t>
            </w:r>
            <w:r>
              <w:rPr>
                <w:rFonts w:ascii="Times New Roman" w:hAnsi="Times New Roman" w:cs="Times New Roman" w:eastAsia="Times New Roman" w:hint="default"/>
                <w:spacing w:val="-18"/>
                <w:sz w:val="18"/>
                <w:szCs w:val="18"/>
              </w:rPr>
              <w:t> </w:t>
            </w:r>
            <w:r>
              <w:rPr>
                <w:rFonts w:ascii="宋体" w:hAnsi="宋体" w:cs="宋体" w:eastAsia="宋体" w:hint="default"/>
                <w:spacing w:val="-5"/>
                <w:sz w:val="18"/>
                <w:szCs w:val="18"/>
              </w:rPr>
              <w:t>万元，公司通过规模集约化</w:t>
            </w:r>
          </w:p>
          <w:p>
            <w:pPr>
              <w:pStyle w:val="TableParagraph"/>
              <w:spacing w:line="300" w:lineRule="auto" w:before="13"/>
              <w:ind w:left="24" w:right="18"/>
              <w:jc w:val="both"/>
              <w:rPr>
                <w:rFonts w:ascii="宋体" w:hAnsi="宋体" w:cs="宋体" w:eastAsia="宋体" w:hint="default"/>
                <w:sz w:val="18"/>
                <w:szCs w:val="18"/>
              </w:rPr>
            </w:pPr>
            <w:r>
              <w:rPr>
                <w:rFonts w:ascii="宋体" w:hAnsi="宋体" w:cs="宋体" w:eastAsia="宋体" w:hint="default"/>
                <w:spacing w:val="-9"/>
                <w:sz w:val="18"/>
                <w:szCs w:val="18"/>
              </w:rPr>
              <w:t>采购有效控制成本，截至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pacing w:val="-10"/>
                <w:sz w:val="18"/>
                <w:szCs w:val="18"/>
              </w:rPr>
              <w:t>日，该项目已累计投入</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40,095.66</w:t>
            </w:r>
            <w:r>
              <w:rPr>
                <w:rFonts w:ascii="Times New Roman" w:hAnsi="Times New Roman" w:cs="Times New Roman" w:eastAsia="Times New Roman" w:hint="default"/>
                <w:spacing w:val="-10"/>
                <w:sz w:val="18"/>
                <w:szCs w:val="18"/>
              </w:rPr>
              <w:t> </w:t>
            </w:r>
            <w:r>
              <w:rPr>
                <w:rFonts w:ascii="宋体" w:hAnsi="宋体" w:cs="宋体" w:eastAsia="宋体" w:hint="default"/>
                <w:spacing w:val="-11"/>
                <w:sz w:val="18"/>
                <w:szCs w:val="18"/>
              </w:rPr>
              <w:t>万元，节余募集资金</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3,654.75</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）公司超募项目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苏州美盈森现代化环保包装生产基地项目已实施完毕，该项目计划总</w:t>
            </w:r>
            <w:r>
              <w:rPr>
                <w:rFonts w:ascii="宋体" w:hAnsi="宋体" w:cs="宋体" w:eastAsia="宋体" w:hint="default"/>
                <w:spacing w:val="-50"/>
                <w:sz w:val="18"/>
                <w:szCs w:val="18"/>
              </w:rPr>
              <w:t> </w:t>
            </w:r>
            <w:r>
              <w:rPr>
                <w:rFonts w:ascii="宋体" w:hAnsi="宋体" w:cs="宋体" w:eastAsia="宋体" w:hint="default"/>
                <w:sz w:val="18"/>
                <w:szCs w:val="18"/>
              </w:rPr>
              <w:t>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29,781.14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万元，公司通过规模集约化采购有效控制成本，截至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日，该项目已投</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2"/>
                <w:sz w:val="18"/>
                <w:szCs w:val="18"/>
              </w:rPr>
              <w:t>元</w:t>
            </w:r>
            <w:r>
              <w:rPr>
                <w:rFonts w:ascii="宋体" w:hAnsi="宋体" w:cs="宋体" w:eastAsia="宋体" w:hint="default"/>
                <w:spacing w:val="-29"/>
                <w:sz w:val="18"/>
                <w:szCs w:val="18"/>
              </w:rPr>
              <w:t>，</w:t>
            </w:r>
            <w:r>
              <w:rPr>
                <w:rFonts w:ascii="宋体" w:hAnsi="宋体" w:cs="宋体" w:eastAsia="宋体" w:hint="default"/>
                <w:sz w:val="18"/>
                <w:szCs w:val="18"/>
              </w:rPr>
              <w:t>节余募集</w:t>
            </w:r>
            <w:r>
              <w:rPr>
                <w:rFonts w:ascii="宋体" w:hAnsi="宋体" w:cs="宋体" w:eastAsia="宋体" w:hint="default"/>
                <w:spacing w:val="-4"/>
                <w:sz w:val="18"/>
                <w:szCs w:val="18"/>
              </w:rPr>
              <w:t>资</w:t>
            </w:r>
            <w:r>
              <w:rPr>
                <w:rFonts w:ascii="宋体" w:hAnsi="宋体" w:cs="宋体" w:eastAsia="宋体" w:hint="default"/>
                <w:sz w:val="18"/>
                <w:szCs w:val="18"/>
              </w:rPr>
              <w:t>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29"/>
                <w:sz w:val="18"/>
                <w:szCs w:val="18"/>
              </w:rPr>
              <w:t>）</w:t>
            </w:r>
            <w:r>
              <w:rPr>
                <w:rFonts w:ascii="宋体" w:hAnsi="宋体" w:cs="宋体" w:eastAsia="宋体" w:hint="default"/>
                <w:sz w:val="18"/>
                <w:szCs w:val="18"/>
              </w:rPr>
              <w:t>公司</w:t>
            </w:r>
            <w:r>
              <w:rPr>
                <w:rFonts w:ascii="宋体" w:hAnsi="宋体" w:cs="宋体" w:eastAsia="宋体" w:hint="default"/>
                <w:spacing w:val="-2"/>
                <w:sz w:val="18"/>
                <w:szCs w:val="18"/>
              </w:rPr>
              <w:t>超</w:t>
            </w:r>
            <w:r>
              <w:rPr>
                <w:rFonts w:ascii="宋体" w:hAnsi="宋体" w:cs="宋体" w:eastAsia="宋体" w:hint="default"/>
                <w:sz w:val="18"/>
                <w:szCs w:val="18"/>
              </w:rPr>
              <w:t>募项</w:t>
            </w:r>
            <w:r>
              <w:rPr>
                <w:rFonts w:ascii="宋体" w:hAnsi="宋体" w:cs="宋体" w:eastAsia="宋体" w:hint="default"/>
                <w:spacing w:val="-1"/>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重庆美盈森现代化环保包装</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物流综合基地项目已实施完毕，该项目计划总投资</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28,000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万元，公司通过规模集约化采购有效控制</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pacing w:val="-5"/>
                <w:sz w:val="18"/>
                <w:szCs w:val="18"/>
              </w:rPr>
              <w:t>成本，截至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日，该项目已投入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27,085.97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万元，节余募集资金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1,298.26 </w:t>
            </w:r>
            <w:r>
              <w:rPr>
                <w:rFonts w:ascii="宋体" w:hAnsi="宋体" w:cs="宋体" w:eastAsia="宋体" w:hint="default"/>
                <w:spacing w:val="-4"/>
                <w:sz w:val="18"/>
                <w:szCs w:val="18"/>
              </w:rPr>
              <w:t>万元。公司第</w:t>
            </w:r>
          </w:p>
          <w:p>
            <w:pPr>
              <w:pStyle w:val="TableParagraph"/>
              <w:spacing w:line="309" w:lineRule="auto" w:before="63"/>
              <w:ind w:left="24" w:right="18"/>
              <w:jc w:val="both"/>
              <w:rPr>
                <w:rFonts w:ascii="宋体" w:hAnsi="宋体" w:cs="宋体" w:eastAsia="宋体" w:hint="default"/>
                <w:sz w:val="18"/>
                <w:szCs w:val="18"/>
              </w:rPr>
            </w:pPr>
            <w:r>
              <w:rPr>
                <w:rFonts w:ascii="宋体" w:hAnsi="宋体" w:cs="宋体" w:eastAsia="宋体" w:hint="default"/>
                <w:sz w:val="18"/>
                <w:szCs w:val="18"/>
              </w:rPr>
              <w:t>三届董事会第四次会议和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年度股东大会审议通过了《关于部分募集资金项目完成后节余资金变</w:t>
            </w:r>
            <w:r>
              <w:rPr>
                <w:rFonts w:ascii="宋体" w:hAnsi="宋体" w:cs="宋体" w:eastAsia="宋体" w:hint="default"/>
                <w:sz w:val="18"/>
                <w:szCs w:val="18"/>
              </w:rPr>
              <w:t> </w:t>
            </w:r>
            <w:r>
              <w:rPr>
                <w:rFonts w:ascii="宋体" w:hAnsi="宋体" w:cs="宋体" w:eastAsia="宋体" w:hint="default"/>
                <w:spacing w:val="-5"/>
                <w:sz w:val="18"/>
                <w:szCs w:val="18"/>
              </w:rPr>
              <w:t>更为永久补充流动资金的议案》，决议将上述东莞、苏州及重庆项目节余募集资金变更为永久补充流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动资金。考虑利息因素，实际变更为永久补充流动资金金额以转入自有资金账户当日金额为准。</w:t>
            </w:r>
          </w:p>
        </w:tc>
      </w:tr>
      <w:tr>
        <w:trPr>
          <w:trHeight w:val="2425"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7798" w:type="dxa"/>
            <w:vMerge/>
            <w:tcBorders>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82" w:header="753" w:top="1060" w:bottom="1180" w:left="980" w:right="0"/>
          <w:pgNumType w:start="3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509" w:type="dxa"/>
        <w:tblLayout w:type="fixed"/>
        <w:tblCellMar>
          <w:top w:w="0" w:type="dxa"/>
          <w:left w:w="0" w:type="dxa"/>
          <w:bottom w:w="0" w:type="dxa"/>
          <w:right w:w="0" w:type="dxa"/>
        </w:tblCellMar>
        <w:tblLook w:val="01E0"/>
      </w:tblPr>
      <w:tblGrid>
        <w:gridCol w:w="1770"/>
        <w:gridCol w:w="7798"/>
      </w:tblGrid>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日，尚未使用的募集资金存放在募集资金专户中，将用于超募资金投资项目的</w:t>
            </w:r>
            <w:r>
              <w:rPr>
                <w:rFonts w:ascii="宋体" w:hAnsi="宋体" w:cs="宋体" w:eastAsia="宋体" w:hint="default"/>
                <w:sz w:val="18"/>
                <w:szCs w:val="18"/>
              </w:rPr>
              <w:t> 投资。</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512" w:right="0"/>
        <w:jc w:val="left"/>
        <w:rPr>
          <w:rFonts w:ascii="Tahoma" w:hAnsi="Tahoma" w:cs="Tahoma" w:eastAsia="Tahoma" w:hint="default"/>
        </w:rPr>
      </w:pPr>
      <w:r>
        <w:rPr/>
        <w:t>（</w:t>
      </w:r>
      <w:r>
        <w:rPr>
          <w:rFonts w:ascii="Tahoma" w:hAnsi="Tahoma" w:cs="Tahoma" w:eastAsia="Tahoma" w:hint="default"/>
        </w:rPr>
        <w:t>3</w:t>
      </w:r>
      <w:r>
        <w:rPr/>
        <w:t>）</w:t>
      </w:r>
      <w:r>
        <w:rPr>
          <w:spacing w:val="1"/>
        </w:rPr>
        <w:t> </w:t>
      </w:r>
      <w:r>
        <w:rPr>
          <w:rFonts w:ascii="Tahoma" w:hAnsi="Tahoma" w:cs="Tahoma" w:eastAsia="Tahoma" w:hint="default"/>
          <w:spacing w:val="1"/>
        </w:rPr>
      </w:r>
      <w:r>
        <w:rPr/>
        <w:t>非公开发行募集资金承诺项目情况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553"/>
        <w:jc w:val="right"/>
      </w:pPr>
      <w:r>
        <w:rPr/>
        <w:t>单位：人民币万元</w:t>
      </w:r>
    </w:p>
    <w:p>
      <w:pPr>
        <w:spacing w:line="240" w:lineRule="auto" w:before="3"/>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428"/>
        <w:gridCol w:w="768"/>
        <w:gridCol w:w="605"/>
        <w:gridCol w:w="386"/>
        <w:gridCol w:w="850"/>
        <w:gridCol w:w="852"/>
        <w:gridCol w:w="850"/>
        <w:gridCol w:w="110"/>
        <w:gridCol w:w="742"/>
        <w:gridCol w:w="658"/>
        <w:gridCol w:w="192"/>
        <w:gridCol w:w="708"/>
        <w:gridCol w:w="852"/>
        <w:gridCol w:w="1049"/>
      </w:tblGrid>
      <w:tr>
        <w:trPr>
          <w:trHeight w:val="658" w:hRule="exact"/>
        </w:trPr>
        <w:tc>
          <w:tcPr>
            <w:tcW w:w="2801" w:type="dxa"/>
            <w:gridSpan w:val="3"/>
            <w:tcBorders>
              <w:top w:val="single" w:sz="10" w:space="0" w:color="000000"/>
              <w:left w:val="single" w:sz="6" w:space="0" w:color="000000"/>
              <w:bottom w:val="single" w:sz="10" w:space="0" w:color="000000"/>
              <w:right w:val="single" w:sz="6" w:space="0" w:color="000000"/>
            </w:tcBorders>
            <w:shd w:val="clear" w:color="auto" w:fill="DBDBDB"/>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304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138,811.20</w:t>
            </w:r>
          </w:p>
        </w:tc>
        <w:tc>
          <w:tcPr>
            <w:tcW w:w="1399" w:type="dxa"/>
            <w:gridSpan w:val="2"/>
            <w:tcBorders>
              <w:top w:val="single" w:sz="10" w:space="0" w:color="000000"/>
              <w:left w:val="single" w:sz="6" w:space="0" w:color="000000"/>
              <w:bottom w:val="single" w:sz="10" w:space="0" w:color="000000"/>
              <w:right w:val="single" w:sz="6" w:space="0" w:color="000000"/>
            </w:tcBorders>
            <w:shd w:val="clear" w:color="auto" w:fill="DBDBDB"/>
          </w:tcPr>
          <w:p>
            <w:pPr>
              <w:pStyle w:val="TableParagraph"/>
              <w:spacing w:line="316" w:lineRule="auto" w:before="8"/>
              <w:ind w:left="4" w:right="2"/>
              <w:jc w:val="left"/>
              <w:rPr>
                <w:rFonts w:ascii="宋体" w:hAnsi="宋体" w:cs="宋体" w:eastAsia="宋体" w:hint="default"/>
                <w:sz w:val="18"/>
                <w:szCs w:val="18"/>
              </w:rPr>
            </w:pPr>
            <w:r>
              <w:rPr>
                <w:rFonts w:ascii="宋体" w:hAnsi="宋体" w:cs="宋体" w:eastAsia="宋体" w:hint="default"/>
                <w:spacing w:val="16"/>
                <w:sz w:val="18"/>
                <w:szCs w:val="18"/>
              </w:rPr>
              <w:t>本年度投入募集</w:t>
            </w:r>
            <w:r>
              <w:rPr>
                <w:rFonts w:ascii="宋体" w:hAnsi="宋体" w:cs="宋体" w:eastAsia="宋体" w:hint="default"/>
                <w:sz w:val="18"/>
                <w:szCs w:val="18"/>
              </w:rPr>
              <w:t> 资金总额</w:t>
            </w:r>
          </w:p>
        </w:tc>
        <w:tc>
          <w:tcPr>
            <w:tcW w:w="280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27,864.56</w:t>
            </w:r>
          </w:p>
        </w:tc>
      </w:tr>
      <w:tr>
        <w:trPr>
          <w:trHeight w:val="348" w:hRule="exact"/>
        </w:trPr>
        <w:tc>
          <w:tcPr>
            <w:tcW w:w="2801" w:type="dxa"/>
            <w:gridSpan w:val="3"/>
            <w:tcBorders>
              <w:top w:val="single" w:sz="10" w:space="0" w:color="000000"/>
              <w:left w:val="single" w:sz="6" w:space="0" w:color="000000"/>
              <w:bottom w:val="single" w:sz="10" w:space="0" w:color="000000"/>
              <w:right w:val="single" w:sz="6" w:space="0" w:color="000000"/>
            </w:tcBorders>
            <w:shd w:val="clear" w:color="auto" w:fill="DBDBDB"/>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304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48,000.00</w:t>
            </w:r>
          </w:p>
        </w:tc>
        <w:tc>
          <w:tcPr>
            <w:tcW w:w="1399" w:type="dxa"/>
            <w:gridSpan w:val="2"/>
            <w:vMerge w:val="restart"/>
            <w:tcBorders>
              <w:top w:val="single" w:sz="10" w:space="0" w:color="000000"/>
              <w:left w:val="single" w:sz="6" w:space="0" w:color="000000"/>
              <w:right w:val="single" w:sz="6" w:space="0" w:color="000000"/>
            </w:tcBorders>
            <w:shd w:val="clear" w:color="auto" w:fill="DBDBDB"/>
          </w:tcPr>
          <w:p>
            <w:pPr>
              <w:pStyle w:val="TableParagraph"/>
              <w:spacing w:line="316" w:lineRule="auto" w:before="10"/>
              <w:ind w:left="4" w:right="2"/>
              <w:jc w:val="left"/>
              <w:rPr>
                <w:rFonts w:ascii="宋体" w:hAnsi="宋体" w:cs="宋体" w:eastAsia="宋体" w:hint="default"/>
                <w:sz w:val="18"/>
                <w:szCs w:val="18"/>
              </w:rPr>
            </w:pPr>
            <w:r>
              <w:rPr>
                <w:rFonts w:ascii="宋体" w:hAnsi="宋体" w:cs="宋体" w:eastAsia="宋体" w:hint="default"/>
                <w:spacing w:val="16"/>
                <w:sz w:val="18"/>
                <w:szCs w:val="18"/>
              </w:rPr>
              <w:t>已累计投入募集</w:t>
            </w:r>
            <w:r>
              <w:rPr>
                <w:rFonts w:ascii="宋体" w:hAnsi="宋体" w:cs="宋体" w:eastAsia="宋体" w:hint="default"/>
                <w:sz w:val="18"/>
                <w:szCs w:val="18"/>
              </w:rPr>
              <w:t> 资金总额</w:t>
            </w:r>
          </w:p>
        </w:tc>
        <w:tc>
          <w:tcPr>
            <w:tcW w:w="2801" w:type="dxa"/>
            <w:gridSpan w:val="4"/>
            <w:vMerge w:val="restart"/>
            <w:tcBorders>
              <w:top w:val="single" w:sz="6" w:space="0" w:color="000000"/>
              <w:left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46,023.15</w:t>
            </w:r>
          </w:p>
        </w:tc>
      </w:tr>
      <w:tr>
        <w:trPr>
          <w:trHeight w:val="346" w:hRule="exact"/>
        </w:trPr>
        <w:tc>
          <w:tcPr>
            <w:tcW w:w="2801" w:type="dxa"/>
            <w:gridSpan w:val="3"/>
            <w:tcBorders>
              <w:top w:val="single" w:sz="10" w:space="0" w:color="000000"/>
              <w:left w:val="single" w:sz="6" w:space="0" w:color="000000"/>
              <w:bottom w:val="single" w:sz="10" w:space="0" w:color="000000"/>
              <w:right w:val="single" w:sz="6" w:space="0" w:color="000000"/>
            </w:tcBorders>
            <w:shd w:val="clear" w:color="auto" w:fill="DBDBDB"/>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304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 w:right="0"/>
              <w:jc w:val="center"/>
              <w:rPr>
                <w:rFonts w:ascii="宋体" w:hAnsi="宋体" w:cs="宋体" w:eastAsia="宋体" w:hint="default"/>
                <w:sz w:val="9"/>
                <w:szCs w:val="9"/>
              </w:rPr>
            </w:pPr>
            <w:r>
              <w:rPr>
                <w:rFonts w:ascii="Times New Roman" w:hAnsi="Times New Roman" w:cs="Times New Roman" w:eastAsia="Times New Roman" w:hint="default"/>
                <w:sz w:val="18"/>
                <w:szCs w:val="18"/>
              </w:rPr>
              <w:t>93,811.09</w:t>
            </w:r>
            <w:r>
              <w:rPr>
                <w:rFonts w:ascii="宋体" w:hAnsi="宋体" w:cs="宋体" w:eastAsia="宋体" w:hint="default"/>
                <w:position w:val="9"/>
                <w:sz w:val="9"/>
                <w:szCs w:val="9"/>
              </w:rPr>
              <w:t>注</w:t>
            </w:r>
            <w:r>
              <w:rPr>
                <w:rFonts w:ascii="宋体" w:hAnsi="宋体" w:cs="宋体" w:eastAsia="宋体" w:hint="default"/>
                <w:sz w:val="9"/>
                <w:szCs w:val="9"/>
              </w:rPr>
            </w:r>
          </w:p>
        </w:tc>
        <w:tc>
          <w:tcPr>
            <w:tcW w:w="1399" w:type="dxa"/>
            <w:gridSpan w:val="2"/>
            <w:vMerge/>
            <w:tcBorders>
              <w:left w:val="single" w:sz="6" w:space="0" w:color="000000"/>
              <w:right w:val="single" w:sz="6" w:space="0" w:color="000000"/>
            </w:tcBorders>
            <w:shd w:val="clear" w:color="auto" w:fill="DBDBDB"/>
          </w:tcPr>
          <w:p>
            <w:pPr/>
          </w:p>
        </w:tc>
        <w:tc>
          <w:tcPr>
            <w:tcW w:w="2801" w:type="dxa"/>
            <w:gridSpan w:val="4"/>
            <w:vMerge/>
            <w:tcBorders>
              <w:left w:val="single" w:sz="6" w:space="0" w:color="000000"/>
              <w:right w:val="single" w:sz="6" w:space="0" w:color="000000"/>
            </w:tcBorders>
          </w:tcPr>
          <w:p>
            <w:pPr/>
          </w:p>
        </w:tc>
      </w:tr>
      <w:tr>
        <w:trPr>
          <w:trHeight w:val="348" w:hRule="exact"/>
        </w:trPr>
        <w:tc>
          <w:tcPr>
            <w:tcW w:w="2801" w:type="dxa"/>
            <w:gridSpan w:val="3"/>
            <w:tcBorders>
              <w:top w:val="single" w:sz="10" w:space="0" w:color="000000"/>
              <w:left w:val="single" w:sz="6" w:space="0" w:color="000000"/>
              <w:bottom w:val="single" w:sz="10" w:space="0" w:color="000000"/>
              <w:right w:val="single" w:sz="6" w:space="0" w:color="000000"/>
            </w:tcBorders>
            <w:shd w:val="clear" w:color="auto" w:fill="DBDBDB"/>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3048" w:type="dxa"/>
            <w:gridSpan w:val="5"/>
            <w:tcBorders>
              <w:top w:val="single" w:sz="6" w:space="0" w:color="000000"/>
              <w:left w:val="single" w:sz="6" w:space="0" w:color="000000"/>
              <w:bottom w:val="single" w:sz="10" w:space="0" w:color="000000"/>
              <w:right w:val="single" w:sz="6" w:space="0" w:color="000000"/>
            </w:tcBorders>
          </w:tcPr>
          <w:p>
            <w:pPr>
              <w:pStyle w:val="TableParagraph"/>
              <w:spacing w:line="240" w:lineRule="auto" w:before="57"/>
              <w:ind w:left="6" w:right="0"/>
              <w:jc w:val="center"/>
              <w:rPr>
                <w:rFonts w:ascii="Times New Roman" w:hAnsi="Times New Roman" w:cs="Times New Roman" w:eastAsia="Times New Roman" w:hint="default"/>
                <w:sz w:val="18"/>
                <w:szCs w:val="18"/>
              </w:rPr>
            </w:pPr>
            <w:r>
              <w:rPr>
                <w:rFonts w:ascii="Times New Roman"/>
                <w:sz w:val="18"/>
              </w:rPr>
              <w:t>67.58%</w:t>
            </w:r>
          </w:p>
        </w:tc>
        <w:tc>
          <w:tcPr>
            <w:tcW w:w="1399" w:type="dxa"/>
            <w:gridSpan w:val="2"/>
            <w:vMerge/>
            <w:tcBorders>
              <w:left w:val="single" w:sz="6" w:space="0" w:color="000000"/>
              <w:bottom w:val="single" w:sz="10" w:space="0" w:color="000000"/>
              <w:right w:val="single" w:sz="6" w:space="0" w:color="000000"/>
            </w:tcBorders>
            <w:shd w:val="clear" w:color="auto" w:fill="DBDBDB"/>
          </w:tcPr>
          <w:p>
            <w:pPr/>
          </w:p>
        </w:tc>
        <w:tc>
          <w:tcPr>
            <w:tcW w:w="2801" w:type="dxa"/>
            <w:gridSpan w:val="4"/>
            <w:vMerge/>
            <w:tcBorders>
              <w:left w:val="single" w:sz="6" w:space="0" w:color="000000"/>
              <w:bottom w:val="single" w:sz="10" w:space="0" w:color="000000"/>
              <w:right w:val="single" w:sz="6" w:space="0" w:color="000000"/>
            </w:tcBorders>
          </w:tcPr>
          <w:p>
            <w:pPr/>
          </w:p>
        </w:tc>
      </w:tr>
      <w:tr>
        <w:trPr>
          <w:trHeight w:val="1284" w:hRule="exact"/>
        </w:trPr>
        <w:tc>
          <w:tcPr>
            <w:tcW w:w="1428"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768"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2" w:lineRule="auto" w:before="8"/>
              <w:ind w:left="16"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991" w:type="dxa"/>
            <w:gridSpan w:val="2"/>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40" w:right="33"/>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850"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45" w:right="35"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52"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148" w:right="55" w:hanging="89"/>
              <w:jc w:val="left"/>
              <w:rPr>
                <w:rFonts w:ascii="宋体" w:hAnsi="宋体" w:cs="宋体" w:eastAsia="宋体" w:hint="default"/>
                <w:sz w:val="18"/>
                <w:szCs w:val="18"/>
              </w:rPr>
            </w:pPr>
            <w:r>
              <w:rPr>
                <w:rFonts w:ascii="宋体" w:hAnsi="宋体" w:cs="宋体" w:eastAsia="宋体" w:hint="default"/>
                <w:sz w:val="18"/>
                <w:szCs w:val="18"/>
              </w:rPr>
              <w:t>本年度投 入金额</w:t>
            </w:r>
          </w:p>
        </w:tc>
        <w:tc>
          <w:tcPr>
            <w:tcW w:w="850"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60"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52" w:type="dxa"/>
            <w:gridSpan w:val="2"/>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60" w:right="55"/>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84" w:right="0"/>
              <w:jc w:val="left"/>
              <w:rPr>
                <w:rFonts w:ascii="Times New Roman" w:hAnsi="Times New Roman" w:cs="Times New Roman" w:eastAsia="Times New Roman" w:hint="default"/>
                <w:sz w:val="18"/>
                <w:szCs w:val="18"/>
              </w:rPr>
            </w:pPr>
            <w:r>
              <w:rPr>
                <w:rFonts w:ascii="Times New Roman"/>
                <w:sz w:val="18"/>
              </w:rPr>
              <w:t>(2)/(1)</w:t>
            </w:r>
          </w:p>
        </w:tc>
        <w:tc>
          <w:tcPr>
            <w:tcW w:w="850" w:type="dxa"/>
            <w:gridSpan w:val="2"/>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57" w:right="55"/>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08"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79" w:right="72"/>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52"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60" w:right="5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049"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69" w:right="62"/>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346" w:hRule="exact"/>
        </w:trPr>
        <w:tc>
          <w:tcPr>
            <w:tcW w:w="10049" w:type="dxa"/>
            <w:gridSpan w:val="14"/>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972" w:hRule="exact"/>
        </w:trPr>
        <w:tc>
          <w:tcPr>
            <w:tcW w:w="1428" w:type="dxa"/>
            <w:tcBorders>
              <w:top w:val="single" w:sz="10" w:space="0" w:color="000000"/>
              <w:left w:val="single" w:sz="6" w:space="0" w:color="000000"/>
              <w:bottom w:val="single" w:sz="10" w:space="0" w:color="000000"/>
              <w:right w:val="single" w:sz="6" w:space="0" w:color="000000"/>
            </w:tcBorders>
          </w:tcPr>
          <w:p>
            <w:pPr>
              <w:pStyle w:val="TableParagraph"/>
              <w:spacing w:line="316" w:lineRule="auto" w:before="10"/>
              <w:ind w:left="4" w:right="0"/>
              <w:jc w:val="both"/>
              <w:rPr>
                <w:rFonts w:ascii="宋体" w:hAnsi="宋体" w:cs="宋体" w:eastAsia="宋体" w:hint="default"/>
                <w:sz w:val="18"/>
                <w:szCs w:val="18"/>
              </w:rPr>
            </w:pPr>
            <w:r>
              <w:rPr>
                <w:rFonts w:ascii="宋体" w:hAnsi="宋体" w:cs="宋体" w:eastAsia="宋体" w:hint="default"/>
                <w:sz w:val="18"/>
                <w:szCs w:val="18"/>
              </w:rPr>
              <w:t>互</w:t>
            </w:r>
            <w:r>
              <w:rPr>
                <w:rFonts w:ascii="宋体" w:hAnsi="宋体" w:cs="宋体" w:eastAsia="宋体" w:hint="default"/>
                <w:spacing w:val="-67"/>
                <w:sz w:val="18"/>
                <w:szCs w:val="18"/>
              </w:rPr>
              <w:t> </w:t>
            </w:r>
            <w:r>
              <w:rPr>
                <w:rFonts w:ascii="宋体" w:hAnsi="宋体" w:cs="宋体" w:eastAsia="宋体" w:hint="default"/>
                <w:sz w:val="18"/>
                <w:szCs w:val="18"/>
              </w:rPr>
              <w:t>联</w:t>
            </w:r>
            <w:r>
              <w:rPr>
                <w:rFonts w:ascii="宋体" w:hAnsi="宋体" w:cs="宋体" w:eastAsia="宋体" w:hint="default"/>
                <w:spacing w:val="-65"/>
                <w:sz w:val="18"/>
                <w:szCs w:val="18"/>
              </w:rPr>
              <w:t> </w:t>
            </w:r>
            <w:r>
              <w:rPr>
                <w:rFonts w:ascii="宋体" w:hAnsi="宋体" w:cs="宋体" w:eastAsia="宋体" w:hint="default"/>
                <w:sz w:val="18"/>
                <w:szCs w:val="18"/>
              </w:rPr>
              <w:t>网</w:t>
            </w:r>
            <w:r>
              <w:rPr>
                <w:rFonts w:ascii="宋体" w:hAnsi="宋体" w:cs="宋体" w:eastAsia="宋体" w:hint="default"/>
                <w:spacing w:val="-67"/>
                <w:sz w:val="18"/>
                <w:szCs w:val="18"/>
              </w:rPr>
              <w:t> </w:t>
            </w:r>
            <w:r>
              <w:rPr>
                <w:rFonts w:ascii="宋体" w:hAnsi="宋体" w:cs="宋体" w:eastAsia="宋体" w:hint="default"/>
                <w:sz w:val="18"/>
                <w:szCs w:val="18"/>
              </w:rPr>
              <w:t>包</w:t>
            </w:r>
            <w:r>
              <w:rPr>
                <w:rFonts w:ascii="宋体" w:hAnsi="宋体" w:cs="宋体" w:eastAsia="宋体" w:hint="default"/>
                <w:spacing w:val="-67"/>
                <w:sz w:val="18"/>
                <w:szCs w:val="18"/>
              </w:rPr>
              <w:t> </w:t>
            </w:r>
            <w:r>
              <w:rPr>
                <w:rFonts w:ascii="宋体" w:hAnsi="宋体" w:cs="宋体" w:eastAsia="宋体" w:hint="default"/>
                <w:sz w:val="18"/>
                <w:szCs w:val="18"/>
              </w:rPr>
              <w:t>装</w:t>
            </w:r>
            <w:r>
              <w:rPr>
                <w:rFonts w:ascii="宋体" w:hAnsi="宋体" w:cs="宋体" w:eastAsia="宋体" w:hint="default"/>
                <w:spacing w:val="-63"/>
                <w:sz w:val="18"/>
                <w:szCs w:val="18"/>
              </w:rPr>
              <w:t> </w:t>
            </w:r>
            <w:r>
              <w:rPr>
                <w:rFonts w:ascii="宋体" w:hAnsi="宋体" w:cs="宋体" w:eastAsia="宋体" w:hint="default"/>
                <w:sz w:val="18"/>
                <w:szCs w:val="18"/>
              </w:rPr>
              <w:t>印</w:t>
            </w:r>
            <w:r>
              <w:rPr>
                <w:rFonts w:ascii="宋体" w:hAnsi="宋体" w:cs="宋体" w:eastAsia="宋体" w:hint="default"/>
                <w:spacing w:val="-67"/>
                <w:sz w:val="18"/>
                <w:szCs w:val="18"/>
              </w:rPr>
              <w:t> </w:t>
            </w:r>
            <w:r>
              <w:rPr>
                <w:rFonts w:ascii="宋体" w:hAnsi="宋体" w:cs="宋体" w:eastAsia="宋体" w:hint="default"/>
                <w:sz w:val="18"/>
                <w:szCs w:val="18"/>
              </w:rPr>
              <w:t>刷</w:t>
            </w:r>
            <w:r>
              <w:rPr>
                <w:rFonts w:ascii="宋体" w:hAnsi="宋体" w:cs="宋体" w:eastAsia="宋体" w:hint="default"/>
                <w:sz w:val="18"/>
                <w:szCs w:val="18"/>
              </w:rPr>
              <w:t> 产</w:t>
            </w:r>
            <w:r>
              <w:rPr>
                <w:rFonts w:ascii="宋体" w:hAnsi="宋体" w:cs="宋体" w:eastAsia="宋体" w:hint="default"/>
                <w:spacing w:val="-67"/>
                <w:sz w:val="18"/>
                <w:szCs w:val="18"/>
              </w:rPr>
              <w:t> </w:t>
            </w:r>
            <w:r>
              <w:rPr>
                <w:rFonts w:ascii="宋体" w:hAnsi="宋体" w:cs="宋体" w:eastAsia="宋体" w:hint="default"/>
                <w:sz w:val="18"/>
                <w:szCs w:val="18"/>
              </w:rPr>
              <w:t>业</w:t>
            </w:r>
            <w:r>
              <w:rPr>
                <w:rFonts w:ascii="宋体" w:hAnsi="宋体" w:cs="宋体" w:eastAsia="宋体" w:hint="default"/>
                <w:spacing w:val="-65"/>
                <w:sz w:val="18"/>
                <w:szCs w:val="18"/>
              </w:rPr>
              <w:t> </w:t>
            </w:r>
            <w:r>
              <w:rPr>
                <w:rFonts w:ascii="宋体" w:hAnsi="宋体" w:cs="宋体" w:eastAsia="宋体" w:hint="default"/>
                <w:sz w:val="18"/>
                <w:szCs w:val="18"/>
              </w:rPr>
              <w:t>云</w:t>
            </w:r>
            <w:r>
              <w:rPr>
                <w:rFonts w:ascii="宋体" w:hAnsi="宋体" w:cs="宋体" w:eastAsia="宋体" w:hint="default"/>
                <w:spacing w:val="-67"/>
                <w:sz w:val="18"/>
                <w:szCs w:val="18"/>
              </w:rPr>
              <w:t> </w:t>
            </w:r>
            <w:r>
              <w:rPr>
                <w:rFonts w:ascii="宋体" w:hAnsi="宋体" w:cs="宋体" w:eastAsia="宋体" w:hint="default"/>
                <w:sz w:val="18"/>
                <w:szCs w:val="18"/>
              </w:rPr>
              <w:t>平</w:t>
            </w:r>
            <w:r>
              <w:rPr>
                <w:rFonts w:ascii="宋体" w:hAnsi="宋体" w:cs="宋体" w:eastAsia="宋体" w:hint="default"/>
                <w:spacing w:val="-67"/>
                <w:sz w:val="18"/>
                <w:szCs w:val="18"/>
              </w:rPr>
              <w:t> </w:t>
            </w:r>
            <w:r>
              <w:rPr>
                <w:rFonts w:ascii="宋体" w:hAnsi="宋体" w:cs="宋体" w:eastAsia="宋体" w:hint="default"/>
                <w:sz w:val="18"/>
                <w:szCs w:val="18"/>
              </w:rPr>
              <w:t>台</w:t>
            </w:r>
            <w:r>
              <w:rPr>
                <w:rFonts w:ascii="宋体" w:hAnsi="宋体" w:cs="宋体" w:eastAsia="宋体" w:hint="default"/>
                <w:spacing w:val="-63"/>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z w:val="18"/>
                <w:szCs w:val="18"/>
              </w:rPr>
              <w:t>生</w:t>
            </w:r>
            <w:r>
              <w:rPr>
                <w:rFonts w:ascii="宋体" w:hAnsi="宋体" w:cs="宋体" w:eastAsia="宋体" w:hint="default"/>
                <w:sz w:val="18"/>
                <w:szCs w:val="18"/>
              </w:rPr>
              <w:t> 态系统建设项目</w:t>
            </w:r>
          </w:p>
        </w:tc>
        <w:tc>
          <w:tcPr>
            <w:tcW w:w="76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52,511.45</w:t>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0.04</w:t>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0.12</w:t>
            </w:r>
          </w:p>
        </w:tc>
        <w:tc>
          <w:tcPr>
            <w:tcW w:w="852"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0.00%</w:t>
            </w:r>
          </w:p>
        </w:tc>
        <w:tc>
          <w:tcPr>
            <w:tcW w:w="850"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0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70" w:hRule="exact"/>
        </w:trPr>
        <w:tc>
          <w:tcPr>
            <w:tcW w:w="1428" w:type="dxa"/>
            <w:tcBorders>
              <w:top w:val="single" w:sz="10" w:space="0" w:color="000000"/>
              <w:left w:val="single" w:sz="6" w:space="0" w:color="000000"/>
              <w:bottom w:val="single" w:sz="10" w:space="0" w:color="000000"/>
              <w:right w:val="single" w:sz="6" w:space="0" w:color="000000"/>
            </w:tcBorders>
          </w:tcPr>
          <w:p>
            <w:pPr>
              <w:pStyle w:val="TableParagraph"/>
              <w:spacing w:line="309" w:lineRule="auto" w:before="8"/>
              <w:ind w:left="4" w:right="-32"/>
              <w:jc w:val="both"/>
              <w:rPr>
                <w:rFonts w:ascii="宋体" w:hAnsi="宋体" w:cs="宋体" w:eastAsia="宋体" w:hint="default"/>
                <w:sz w:val="18"/>
                <w:szCs w:val="18"/>
              </w:rPr>
            </w:pPr>
            <w:r>
              <w:rPr>
                <w:rFonts w:ascii="宋体" w:hAnsi="宋体" w:cs="宋体" w:eastAsia="宋体" w:hint="default"/>
                <w:spacing w:val="14"/>
                <w:sz w:val="18"/>
                <w:szCs w:val="18"/>
              </w:rPr>
              <w:t>包装印刷工业</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智慧工厂（成都） 项目</w:t>
            </w:r>
          </w:p>
        </w:tc>
        <w:tc>
          <w:tcPr>
            <w:tcW w:w="76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20,000.00</w:t>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20,000.00</w:t>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3,966.86</w:t>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8,646.30</w:t>
            </w:r>
          </w:p>
        </w:tc>
        <w:tc>
          <w:tcPr>
            <w:tcW w:w="852"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43.23%</w:t>
            </w:r>
          </w:p>
        </w:tc>
        <w:tc>
          <w:tcPr>
            <w:tcW w:w="850"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2"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①</w:t>
            </w:r>
          </w:p>
        </w:tc>
        <w:tc>
          <w:tcPr>
            <w:tcW w:w="70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72" w:hRule="exact"/>
        </w:trPr>
        <w:tc>
          <w:tcPr>
            <w:tcW w:w="1428" w:type="dxa"/>
            <w:tcBorders>
              <w:top w:val="single" w:sz="10" w:space="0" w:color="000000"/>
              <w:left w:val="single" w:sz="6" w:space="0" w:color="000000"/>
              <w:bottom w:val="single" w:sz="10" w:space="0" w:color="000000"/>
              <w:right w:val="single" w:sz="6" w:space="0" w:color="000000"/>
            </w:tcBorders>
          </w:tcPr>
          <w:p>
            <w:pPr>
              <w:pStyle w:val="TableParagraph"/>
              <w:spacing w:line="309" w:lineRule="auto" w:before="10"/>
              <w:ind w:left="4" w:right="-32"/>
              <w:jc w:val="both"/>
              <w:rPr>
                <w:rFonts w:ascii="宋体" w:hAnsi="宋体" w:cs="宋体" w:eastAsia="宋体" w:hint="default"/>
                <w:sz w:val="18"/>
                <w:szCs w:val="18"/>
              </w:rPr>
            </w:pPr>
            <w:r>
              <w:rPr>
                <w:rFonts w:ascii="宋体" w:hAnsi="宋体" w:cs="宋体" w:eastAsia="宋体" w:hint="default"/>
                <w:spacing w:val="14"/>
                <w:sz w:val="18"/>
                <w:szCs w:val="18"/>
              </w:rPr>
              <w:t>包装印刷工业</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智慧工厂（东莞） 项目</w:t>
            </w:r>
          </w:p>
        </w:tc>
        <w:tc>
          <w:tcPr>
            <w:tcW w:w="76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25,000.00</w:t>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25,000.00</w:t>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12,059.24</w:t>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25,538.25</w:t>
            </w:r>
          </w:p>
        </w:tc>
        <w:tc>
          <w:tcPr>
            <w:tcW w:w="852"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102.15%</w:t>
            </w:r>
          </w:p>
        </w:tc>
        <w:tc>
          <w:tcPr>
            <w:tcW w:w="850"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70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1,250.92</w:t>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5</w:t>
            </w:r>
          </w:p>
        </w:tc>
        <w:tc>
          <w:tcPr>
            <w:tcW w:w="1049"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0" w:hRule="exact"/>
        </w:trPr>
        <w:tc>
          <w:tcPr>
            <w:tcW w:w="1428" w:type="dxa"/>
            <w:tcBorders>
              <w:top w:val="single" w:sz="10" w:space="0" w:color="000000"/>
              <w:left w:val="single" w:sz="6" w:space="0" w:color="000000"/>
              <w:bottom w:val="single" w:sz="10" w:space="0" w:color="000000"/>
              <w:right w:val="single" w:sz="6" w:space="0" w:color="000000"/>
            </w:tcBorders>
          </w:tcPr>
          <w:p>
            <w:pPr>
              <w:pStyle w:val="TableParagraph"/>
              <w:spacing w:line="316"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智</w:t>
            </w:r>
            <w:r>
              <w:rPr>
                <w:rFonts w:ascii="宋体" w:hAnsi="宋体" w:cs="宋体" w:eastAsia="宋体" w:hint="default"/>
                <w:spacing w:val="-67"/>
                <w:sz w:val="18"/>
                <w:szCs w:val="18"/>
              </w:rPr>
              <w:t> </w:t>
            </w:r>
            <w:r>
              <w:rPr>
                <w:rFonts w:ascii="宋体" w:hAnsi="宋体" w:cs="宋体" w:eastAsia="宋体" w:hint="default"/>
                <w:sz w:val="18"/>
                <w:szCs w:val="18"/>
              </w:rPr>
              <w:t>能</w:t>
            </w:r>
            <w:r>
              <w:rPr>
                <w:rFonts w:ascii="宋体" w:hAnsi="宋体" w:cs="宋体" w:eastAsia="宋体" w:hint="default"/>
                <w:spacing w:val="-65"/>
                <w:sz w:val="18"/>
                <w:szCs w:val="18"/>
              </w:rPr>
              <w:t> </w:t>
            </w:r>
            <w:r>
              <w:rPr>
                <w:rFonts w:ascii="宋体" w:hAnsi="宋体" w:cs="宋体" w:eastAsia="宋体" w:hint="default"/>
                <w:sz w:val="18"/>
                <w:szCs w:val="18"/>
              </w:rPr>
              <w:t>包</w:t>
            </w:r>
            <w:r>
              <w:rPr>
                <w:rFonts w:ascii="宋体" w:hAnsi="宋体" w:cs="宋体" w:eastAsia="宋体" w:hint="default"/>
                <w:spacing w:val="-67"/>
                <w:sz w:val="18"/>
                <w:szCs w:val="18"/>
              </w:rPr>
              <w:t> </w:t>
            </w:r>
            <w:r>
              <w:rPr>
                <w:rFonts w:ascii="宋体" w:hAnsi="宋体" w:cs="宋体" w:eastAsia="宋体" w:hint="default"/>
                <w:sz w:val="18"/>
                <w:szCs w:val="18"/>
              </w:rPr>
              <w:t>装</w:t>
            </w:r>
            <w:r>
              <w:rPr>
                <w:rFonts w:ascii="宋体" w:hAnsi="宋体" w:cs="宋体" w:eastAsia="宋体" w:hint="default"/>
                <w:spacing w:val="-67"/>
                <w:sz w:val="18"/>
                <w:szCs w:val="18"/>
              </w:rPr>
              <w:t> </w:t>
            </w:r>
            <w:r>
              <w:rPr>
                <w:rFonts w:ascii="宋体" w:hAnsi="宋体" w:cs="宋体" w:eastAsia="宋体" w:hint="default"/>
                <w:sz w:val="18"/>
                <w:szCs w:val="18"/>
              </w:rPr>
              <w:t>物</w:t>
            </w:r>
            <w:r>
              <w:rPr>
                <w:rFonts w:ascii="宋体" w:hAnsi="宋体" w:cs="宋体" w:eastAsia="宋体" w:hint="default"/>
                <w:spacing w:val="-63"/>
                <w:sz w:val="18"/>
                <w:szCs w:val="18"/>
              </w:rPr>
              <w:t> </w:t>
            </w:r>
            <w:r>
              <w:rPr>
                <w:rFonts w:ascii="宋体" w:hAnsi="宋体" w:cs="宋体" w:eastAsia="宋体" w:hint="default"/>
                <w:sz w:val="18"/>
                <w:szCs w:val="18"/>
              </w:rPr>
              <w:t>联</w:t>
            </w:r>
            <w:r>
              <w:rPr>
                <w:rFonts w:ascii="宋体" w:hAnsi="宋体" w:cs="宋体" w:eastAsia="宋体" w:hint="default"/>
                <w:spacing w:val="-67"/>
                <w:sz w:val="18"/>
                <w:szCs w:val="18"/>
              </w:rPr>
              <w:t> </w:t>
            </w:r>
            <w:r>
              <w:rPr>
                <w:rFonts w:ascii="宋体" w:hAnsi="宋体" w:cs="宋体" w:eastAsia="宋体" w:hint="default"/>
                <w:sz w:val="18"/>
                <w:szCs w:val="18"/>
              </w:rPr>
              <w:t>网</w:t>
            </w:r>
            <w:r>
              <w:rPr>
                <w:rFonts w:ascii="宋体" w:hAnsi="宋体" w:cs="宋体" w:eastAsia="宋体" w:hint="default"/>
                <w:sz w:val="18"/>
                <w:szCs w:val="18"/>
              </w:rPr>
              <w:t> 平台项目</w:t>
            </w:r>
          </w:p>
        </w:tc>
        <w:tc>
          <w:tcPr>
            <w:tcW w:w="76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41,299.75</w:t>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0.03</w:t>
            </w:r>
          </w:p>
        </w:tc>
        <w:tc>
          <w:tcPr>
            <w:tcW w:w="852"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0.00%</w:t>
            </w:r>
          </w:p>
        </w:tc>
        <w:tc>
          <w:tcPr>
            <w:tcW w:w="850"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0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70" w:hRule="exact"/>
        </w:trPr>
        <w:tc>
          <w:tcPr>
            <w:tcW w:w="1428" w:type="dxa"/>
            <w:tcBorders>
              <w:top w:val="single" w:sz="10" w:space="0" w:color="000000"/>
              <w:left w:val="single" w:sz="6" w:space="0" w:color="000000"/>
              <w:bottom w:val="single" w:sz="10" w:space="0" w:color="000000"/>
              <w:right w:val="single" w:sz="6" w:space="0" w:color="000000"/>
            </w:tcBorders>
          </w:tcPr>
          <w:p>
            <w:pPr>
              <w:pStyle w:val="TableParagraph"/>
              <w:spacing w:line="309" w:lineRule="auto" w:before="8"/>
              <w:ind w:left="4" w:right="-32"/>
              <w:jc w:val="both"/>
              <w:rPr>
                <w:rFonts w:ascii="宋体" w:hAnsi="宋体" w:cs="宋体" w:eastAsia="宋体" w:hint="default"/>
                <w:sz w:val="18"/>
                <w:szCs w:val="18"/>
              </w:rPr>
            </w:pPr>
            <w:r>
              <w:rPr>
                <w:rFonts w:ascii="宋体" w:hAnsi="宋体" w:cs="宋体" w:eastAsia="宋体" w:hint="default"/>
                <w:spacing w:val="14"/>
                <w:sz w:val="18"/>
                <w:szCs w:val="18"/>
              </w:rPr>
              <w:t>包装印刷工业</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智慧工厂（六安） 项目</w:t>
            </w:r>
          </w:p>
        </w:tc>
        <w:tc>
          <w:tcPr>
            <w:tcW w:w="76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17,983.52</w:t>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5,448.70</w:t>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5,448.73</w:t>
            </w:r>
          </w:p>
        </w:tc>
        <w:tc>
          <w:tcPr>
            <w:tcW w:w="852"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30.30%</w:t>
            </w:r>
          </w:p>
        </w:tc>
        <w:tc>
          <w:tcPr>
            <w:tcW w:w="850"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2"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②</w:t>
            </w:r>
          </w:p>
        </w:tc>
        <w:tc>
          <w:tcPr>
            <w:tcW w:w="70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72" w:hRule="exact"/>
        </w:trPr>
        <w:tc>
          <w:tcPr>
            <w:tcW w:w="1428" w:type="dxa"/>
            <w:tcBorders>
              <w:top w:val="single" w:sz="10" w:space="0" w:color="000000"/>
              <w:left w:val="single" w:sz="6" w:space="0" w:color="000000"/>
              <w:bottom w:val="single" w:sz="10" w:space="0" w:color="000000"/>
              <w:right w:val="single" w:sz="6" w:space="0" w:color="000000"/>
            </w:tcBorders>
          </w:tcPr>
          <w:p>
            <w:pPr>
              <w:pStyle w:val="TableParagraph"/>
              <w:spacing w:line="316" w:lineRule="auto" w:before="10"/>
              <w:ind w:left="4" w:right="0"/>
              <w:jc w:val="both"/>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67"/>
                <w:sz w:val="18"/>
                <w:szCs w:val="18"/>
              </w:rPr>
              <w:t> </w:t>
            </w:r>
            <w:r>
              <w:rPr>
                <w:rFonts w:ascii="宋体" w:hAnsi="宋体" w:cs="宋体" w:eastAsia="宋体" w:hint="default"/>
                <w:sz w:val="18"/>
                <w:szCs w:val="18"/>
              </w:rPr>
              <w:t>装</w:t>
            </w:r>
            <w:r>
              <w:rPr>
                <w:rFonts w:ascii="宋体" w:hAnsi="宋体" w:cs="宋体" w:eastAsia="宋体" w:hint="default"/>
                <w:spacing w:val="-65"/>
                <w:sz w:val="18"/>
                <w:szCs w:val="18"/>
              </w:rPr>
              <w:t> </w:t>
            </w:r>
            <w:r>
              <w:rPr>
                <w:rFonts w:ascii="宋体" w:hAnsi="宋体" w:cs="宋体" w:eastAsia="宋体" w:hint="default"/>
                <w:sz w:val="18"/>
                <w:szCs w:val="18"/>
              </w:rPr>
              <w:t>印</w:t>
            </w:r>
            <w:r>
              <w:rPr>
                <w:rFonts w:ascii="宋体" w:hAnsi="宋体" w:cs="宋体" w:eastAsia="宋体" w:hint="default"/>
                <w:spacing w:val="-67"/>
                <w:sz w:val="18"/>
                <w:szCs w:val="18"/>
              </w:rPr>
              <w:t> </w:t>
            </w:r>
            <w:r>
              <w:rPr>
                <w:rFonts w:ascii="宋体" w:hAnsi="宋体" w:cs="宋体" w:eastAsia="宋体" w:hint="default"/>
                <w:sz w:val="18"/>
                <w:szCs w:val="18"/>
              </w:rPr>
              <w:t>刷</w:t>
            </w:r>
            <w:r>
              <w:rPr>
                <w:rFonts w:ascii="宋体" w:hAnsi="宋体" w:cs="宋体" w:eastAsia="宋体" w:hint="default"/>
                <w:spacing w:val="-67"/>
                <w:sz w:val="18"/>
                <w:szCs w:val="18"/>
              </w:rPr>
              <w:t> </w:t>
            </w:r>
            <w:r>
              <w:rPr>
                <w:rFonts w:ascii="宋体" w:hAnsi="宋体" w:cs="宋体" w:eastAsia="宋体" w:hint="default"/>
                <w:sz w:val="18"/>
                <w:szCs w:val="18"/>
              </w:rPr>
              <w:t>工</w:t>
            </w:r>
            <w:r>
              <w:rPr>
                <w:rFonts w:ascii="宋体" w:hAnsi="宋体" w:cs="宋体" w:eastAsia="宋体" w:hint="default"/>
                <w:spacing w:val="-63"/>
                <w:sz w:val="18"/>
                <w:szCs w:val="18"/>
              </w:rPr>
              <w:t> </w:t>
            </w:r>
            <w:r>
              <w:rPr>
                <w:rFonts w:ascii="宋体" w:hAnsi="宋体" w:cs="宋体" w:eastAsia="宋体" w:hint="default"/>
                <w:sz w:val="18"/>
                <w:szCs w:val="18"/>
              </w:rPr>
              <w:t>业</w:t>
            </w:r>
            <w:r>
              <w:rPr>
                <w:rFonts w:ascii="宋体" w:hAnsi="宋体" w:cs="宋体" w:eastAsia="宋体" w:hint="default"/>
                <w:spacing w:val="-67"/>
                <w:sz w:val="18"/>
                <w:szCs w:val="18"/>
              </w:rPr>
              <w:t> </w:t>
            </w:r>
            <w:r>
              <w:rPr>
                <w:rFonts w:ascii="宋体" w:hAnsi="宋体" w:cs="宋体" w:eastAsia="宋体" w:hint="default"/>
                <w:sz w:val="18"/>
                <w:szCs w:val="18"/>
              </w:rPr>
              <w:t>进</w:t>
            </w:r>
            <w:r>
              <w:rPr>
                <w:rFonts w:ascii="宋体" w:hAnsi="宋体" w:cs="宋体" w:eastAsia="宋体" w:hint="default"/>
                <w:sz w:val="18"/>
                <w:szCs w:val="18"/>
              </w:rPr>
              <w:t> 出</w:t>
            </w:r>
            <w:r>
              <w:rPr>
                <w:rFonts w:ascii="宋体" w:hAnsi="宋体" w:cs="宋体" w:eastAsia="宋体" w:hint="default"/>
                <w:spacing w:val="-67"/>
                <w:sz w:val="18"/>
                <w:szCs w:val="18"/>
              </w:rPr>
              <w:t> </w:t>
            </w:r>
            <w:r>
              <w:rPr>
                <w:rFonts w:ascii="宋体" w:hAnsi="宋体" w:cs="宋体" w:eastAsia="宋体" w:hint="default"/>
                <w:sz w:val="18"/>
                <w:szCs w:val="18"/>
              </w:rPr>
              <w:t>口</w:t>
            </w:r>
            <w:r>
              <w:rPr>
                <w:rFonts w:ascii="宋体" w:hAnsi="宋体" w:cs="宋体" w:eastAsia="宋体" w:hint="default"/>
                <w:spacing w:val="-65"/>
                <w:sz w:val="18"/>
                <w:szCs w:val="18"/>
              </w:rPr>
              <w:t> </w:t>
            </w:r>
            <w:r>
              <w:rPr>
                <w:rFonts w:ascii="宋体" w:hAnsi="宋体" w:cs="宋体" w:eastAsia="宋体" w:hint="default"/>
                <w:sz w:val="18"/>
                <w:szCs w:val="18"/>
              </w:rPr>
              <w:t>贸</w:t>
            </w:r>
            <w:r>
              <w:rPr>
                <w:rFonts w:ascii="宋体" w:hAnsi="宋体" w:cs="宋体" w:eastAsia="宋体" w:hint="default"/>
                <w:spacing w:val="-67"/>
                <w:sz w:val="18"/>
                <w:szCs w:val="18"/>
              </w:rPr>
              <w:t> </w:t>
            </w:r>
            <w:r>
              <w:rPr>
                <w:rFonts w:ascii="宋体" w:hAnsi="宋体" w:cs="宋体" w:eastAsia="宋体" w:hint="default"/>
                <w:sz w:val="18"/>
                <w:szCs w:val="18"/>
              </w:rPr>
              <w:t>易</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3"/>
                <w:sz w:val="18"/>
                <w:szCs w:val="18"/>
              </w:rPr>
              <w:t> </w:t>
            </w:r>
            <w:r>
              <w:rPr>
                <w:rFonts w:ascii="宋体" w:hAnsi="宋体" w:cs="宋体" w:eastAsia="宋体" w:hint="default"/>
                <w:sz w:val="18"/>
                <w:szCs w:val="18"/>
              </w:rPr>
              <w:t>保</w:t>
            </w:r>
            <w:r>
              <w:rPr>
                <w:rFonts w:ascii="宋体" w:hAnsi="宋体" w:cs="宋体" w:eastAsia="宋体" w:hint="default"/>
                <w:spacing w:val="-67"/>
                <w:sz w:val="18"/>
                <w:szCs w:val="18"/>
              </w:rPr>
              <w:t> </w:t>
            </w:r>
            <w:r>
              <w:rPr>
                <w:rFonts w:ascii="宋体" w:hAnsi="宋体" w:cs="宋体" w:eastAsia="宋体" w:hint="default"/>
                <w:sz w:val="18"/>
                <w:szCs w:val="18"/>
              </w:rPr>
              <w:t>税</w:t>
            </w:r>
            <w:r>
              <w:rPr>
                <w:rFonts w:ascii="宋体" w:hAnsi="宋体" w:cs="宋体" w:eastAsia="宋体" w:hint="default"/>
                <w:sz w:val="18"/>
                <w:szCs w:val="18"/>
              </w:rPr>
              <w:t> </w:t>
            </w:r>
            <w:r>
              <w:rPr>
                <w:rFonts w:ascii="宋体" w:hAnsi="宋体" w:cs="宋体" w:eastAsia="宋体" w:hint="default"/>
                <w:spacing w:val="-5"/>
                <w:sz w:val="18"/>
                <w:szCs w:val="18"/>
              </w:rPr>
              <w:t>加工（岳阳）项目</w:t>
            </w:r>
          </w:p>
        </w:tc>
        <w:tc>
          <w:tcPr>
            <w:tcW w:w="76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10,000.00</w:t>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1,209.38</w:t>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1,209.38</w:t>
            </w:r>
          </w:p>
        </w:tc>
        <w:tc>
          <w:tcPr>
            <w:tcW w:w="852"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12.09%</w:t>
            </w:r>
          </w:p>
        </w:tc>
        <w:tc>
          <w:tcPr>
            <w:tcW w:w="850"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月</w:t>
            </w:r>
          </w:p>
        </w:tc>
        <w:tc>
          <w:tcPr>
            <w:tcW w:w="70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58" w:hRule="exact"/>
        </w:trPr>
        <w:tc>
          <w:tcPr>
            <w:tcW w:w="1428" w:type="dxa"/>
            <w:tcBorders>
              <w:top w:val="single" w:sz="10" w:space="0" w:color="000000"/>
              <w:left w:val="single" w:sz="6" w:space="0" w:color="000000"/>
              <w:bottom w:val="single" w:sz="10" w:space="0" w:color="000000"/>
              <w:right w:val="single" w:sz="6" w:space="0" w:color="000000"/>
            </w:tcBorders>
          </w:tcPr>
          <w:p>
            <w:pPr>
              <w:pStyle w:val="TableParagraph"/>
              <w:spacing w:line="316"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高</w:t>
            </w:r>
            <w:r>
              <w:rPr>
                <w:rFonts w:ascii="宋体" w:hAnsi="宋体" w:cs="宋体" w:eastAsia="宋体" w:hint="default"/>
                <w:spacing w:val="-67"/>
                <w:sz w:val="18"/>
                <w:szCs w:val="18"/>
              </w:rPr>
              <w:t> </w:t>
            </w:r>
            <w:r>
              <w:rPr>
                <w:rFonts w:ascii="宋体" w:hAnsi="宋体" w:cs="宋体" w:eastAsia="宋体" w:hint="default"/>
                <w:sz w:val="18"/>
                <w:szCs w:val="18"/>
              </w:rPr>
              <w:t>端</w:t>
            </w:r>
            <w:r>
              <w:rPr>
                <w:rFonts w:ascii="宋体" w:hAnsi="宋体" w:cs="宋体" w:eastAsia="宋体" w:hint="default"/>
                <w:spacing w:val="-65"/>
                <w:sz w:val="18"/>
                <w:szCs w:val="18"/>
              </w:rPr>
              <w:t> </w:t>
            </w:r>
            <w:r>
              <w:rPr>
                <w:rFonts w:ascii="宋体" w:hAnsi="宋体" w:cs="宋体" w:eastAsia="宋体" w:hint="default"/>
                <w:sz w:val="18"/>
                <w:szCs w:val="18"/>
              </w:rPr>
              <w:t>环</w:t>
            </w:r>
            <w:r>
              <w:rPr>
                <w:rFonts w:ascii="宋体" w:hAnsi="宋体" w:cs="宋体" w:eastAsia="宋体" w:hint="default"/>
                <w:spacing w:val="-67"/>
                <w:sz w:val="18"/>
                <w:szCs w:val="18"/>
              </w:rPr>
              <w:t> </w:t>
            </w:r>
            <w:r>
              <w:rPr>
                <w:rFonts w:ascii="宋体" w:hAnsi="宋体" w:cs="宋体" w:eastAsia="宋体" w:hint="default"/>
                <w:sz w:val="18"/>
                <w:szCs w:val="18"/>
              </w:rPr>
              <w:t>保</w:t>
            </w:r>
            <w:r>
              <w:rPr>
                <w:rFonts w:ascii="宋体" w:hAnsi="宋体" w:cs="宋体" w:eastAsia="宋体" w:hint="default"/>
                <w:spacing w:val="-67"/>
                <w:sz w:val="18"/>
                <w:szCs w:val="18"/>
              </w:rPr>
              <w:t> </w:t>
            </w:r>
            <w:r>
              <w:rPr>
                <w:rFonts w:ascii="宋体" w:hAnsi="宋体" w:cs="宋体" w:eastAsia="宋体" w:hint="default"/>
                <w:sz w:val="18"/>
                <w:szCs w:val="18"/>
              </w:rPr>
              <w:t>包</w:t>
            </w:r>
            <w:r>
              <w:rPr>
                <w:rFonts w:ascii="宋体" w:hAnsi="宋体" w:cs="宋体" w:eastAsia="宋体" w:hint="default"/>
                <w:spacing w:val="-63"/>
                <w:sz w:val="18"/>
                <w:szCs w:val="18"/>
              </w:rPr>
              <w:t> </w:t>
            </w:r>
            <w:r>
              <w:rPr>
                <w:rFonts w:ascii="宋体" w:hAnsi="宋体" w:cs="宋体" w:eastAsia="宋体" w:hint="default"/>
                <w:sz w:val="18"/>
                <w:szCs w:val="18"/>
              </w:rPr>
              <w:t>装</w:t>
            </w:r>
            <w:r>
              <w:rPr>
                <w:rFonts w:ascii="宋体" w:hAnsi="宋体" w:cs="宋体" w:eastAsia="宋体" w:hint="default"/>
                <w:spacing w:val="-67"/>
                <w:sz w:val="18"/>
                <w:szCs w:val="18"/>
              </w:rPr>
              <w:t> </w:t>
            </w:r>
            <w:r>
              <w:rPr>
                <w:rFonts w:ascii="宋体" w:hAnsi="宋体" w:cs="宋体" w:eastAsia="宋体" w:hint="default"/>
                <w:sz w:val="18"/>
                <w:szCs w:val="18"/>
              </w:rPr>
              <w:t>生</w:t>
            </w:r>
            <w:r>
              <w:rPr>
                <w:rFonts w:ascii="宋体" w:hAnsi="宋体" w:cs="宋体" w:eastAsia="宋体" w:hint="default"/>
                <w:sz w:val="18"/>
                <w:szCs w:val="18"/>
              </w:rPr>
              <w:t> 产基地项目</w:t>
            </w:r>
          </w:p>
        </w:tc>
        <w:tc>
          <w:tcPr>
            <w:tcW w:w="76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18,000.00</w:t>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0.0039</w:t>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0.0039</w:t>
            </w:r>
          </w:p>
        </w:tc>
        <w:tc>
          <w:tcPr>
            <w:tcW w:w="852"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0.00%</w:t>
            </w:r>
          </w:p>
        </w:tc>
        <w:tc>
          <w:tcPr>
            <w:tcW w:w="850"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70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72" w:hRule="exact"/>
        </w:trPr>
        <w:tc>
          <w:tcPr>
            <w:tcW w:w="1428" w:type="dxa"/>
            <w:tcBorders>
              <w:top w:val="single" w:sz="10" w:space="0" w:color="000000"/>
              <w:left w:val="single" w:sz="6" w:space="0" w:color="000000"/>
              <w:bottom w:val="single" w:sz="10" w:space="0" w:color="000000"/>
              <w:right w:val="single" w:sz="6" w:space="0" w:color="000000"/>
            </w:tcBorders>
          </w:tcPr>
          <w:p>
            <w:pPr>
              <w:pStyle w:val="TableParagraph"/>
              <w:spacing w:line="309" w:lineRule="auto" w:before="10"/>
              <w:ind w:left="4" w:right="1"/>
              <w:jc w:val="both"/>
              <w:rPr>
                <w:rFonts w:ascii="宋体" w:hAnsi="宋体" w:cs="宋体" w:eastAsia="宋体" w:hint="default"/>
                <w:sz w:val="18"/>
                <w:szCs w:val="18"/>
              </w:rPr>
            </w:pPr>
            <w:r>
              <w:rPr>
                <w:rFonts w:ascii="宋体" w:hAnsi="宋体" w:cs="宋体" w:eastAsia="宋体" w:hint="default"/>
                <w:spacing w:val="14"/>
                <w:sz w:val="18"/>
                <w:szCs w:val="18"/>
              </w:rPr>
              <w:t>包装印刷工业</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智</w:t>
            </w:r>
            <w:r>
              <w:rPr>
                <w:rFonts w:ascii="宋体" w:hAnsi="宋体" w:cs="宋体" w:eastAsia="宋体" w:hint="default"/>
                <w:spacing w:val="-67"/>
                <w:sz w:val="18"/>
                <w:szCs w:val="18"/>
              </w:rPr>
              <w:t> </w:t>
            </w:r>
            <w:r>
              <w:rPr>
                <w:rFonts w:ascii="宋体" w:hAnsi="宋体" w:cs="宋体" w:eastAsia="宋体" w:hint="default"/>
                <w:sz w:val="18"/>
                <w:szCs w:val="18"/>
              </w:rPr>
              <w:t>慧</w:t>
            </w:r>
            <w:r>
              <w:rPr>
                <w:rFonts w:ascii="宋体" w:hAnsi="宋体" w:cs="宋体" w:eastAsia="宋体" w:hint="default"/>
                <w:spacing w:val="-65"/>
                <w:sz w:val="18"/>
                <w:szCs w:val="18"/>
              </w:rPr>
              <w:t> </w:t>
            </w:r>
            <w:r>
              <w:rPr>
                <w:rFonts w:ascii="宋体" w:hAnsi="宋体" w:cs="宋体" w:eastAsia="宋体" w:hint="default"/>
                <w:sz w:val="18"/>
                <w:szCs w:val="18"/>
              </w:rPr>
              <w:t>型</w:t>
            </w:r>
            <w:r>
              <w:rPr>
                <w:rFonts w:ascii="宋体" w:hAnsi="宋体" w:cs="宋体" w:eastAsia="宋体" w:hint="default"/>
                <w:spacing w:val="-67"/>
                <w:sz w:val="18"/>
                <w:szCs w:val="18"/>
              </w:rPr>
              <w:t> </w:t>
            </w:r>
            <w:r>
              <w:rPr>
                <w:rFonts w:ascii="宋体" w:hAnsi="宋体" w:cs="宋体" w:eastAsia="宋体" w:hint="default"/>
                <w:sz w:val="18"/>
                <w:szCs w:val="18"/>
              </w:rPr>
              <w:t>工</w:t>
            </w:r>
            <w:r>
              <w:rPr>
                <w:rFonts w:ascii="宋体" w:hAnsi="宋体" w:cs="宋体" w:eastAsia="宋体" w:hint="default"/>
                <w:spacing w:val="-67"/>
                <w:sz w:val="18"/>
                <w:szCs w:val="18"/>
              </w:rPr>
              <w:t> </w:t>
            </w:r>
            <w:r>
              <w:rPr>
                <w:rFonts w:ascii="宋体" w:hAnsi="宋体" w:cs="宋体" w:eastAsia="宋体" w:hint="default"/>
                <w:sz w:val="18"/>
                <w:szCs w:val="18"/>
              </w:rPr>
              <w:t>厂</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长</w:t>
            </w:r>
            <w:r>
              <w:rPr>
                <w:rFonts w:ascii="宋体" w:hAnsi="宋体" w:cs="宋体" w:eastAsia="宋体" w:hint="default"/>
                <w:sz w:val="18"/>
                <w:szCs w:val="18"/>
              </w:rPr>
              <w:t> 沙）项目</w:t>
            </w:r>
          </w:p>
        </w:tc>
        <w:tc>
          <w:tcPr>
            <w:tcW w:w="76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20,000.00</w:t>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5,180.33</w:t>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5,180.33</w:t>
            </w:r>
          </w:p>
        </w:tc>
        <w:tc>
          <w:tcPr>
            <w:tcW w:w="852"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25.90%</w:t>
            </w:r>
          </w:p>
        </w:tc>
        <w:tc>
          <w:tcPr>
            <w:tcW w:w="850" w:type="dxa"/>
            <w:gridSpan w:val="2"/>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70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3" w:hRule="exact"/>
        </w:trPr>
        <w:tc>
          <w:tcPr>
            <w:tcW w:w="142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pacing w:val="-67"/>
                <w:sz w:val="18"/>
                <w:szCs w:val="18"/>
              </w:rPr>
              <w:t> </w:t>
            </w:r>
            <w:r>
              <w:rPr>
                <w:rFonts w:ascii="宋体" w:hAnsi="宋体" w:cs="宋体" w:eastAsia="宋体" w:hint="default"/>
                <w:sz w:val="18"/>
                <w:szCs w:val="18"/>
              </w:rPr>
              <w:t>于</w:t>
            </w:r>
            <w:r>
              <w:rPr>
                <w:rFonts w:ascii="宋体" w:hAnsi="宋体" w:cs="宋体" w:eastAsia="宋体" w:hint="default"/>
                <w:spacing w:val="-65"/>
                <w:sz w:val="18"/>
                <w:szCs w:val="18"/>
              </w:rPr>
              <w:t> </w:t>
            </w:r>
            <w:r>
              <w:rPr>
                <w:rFonts w:ascii="宋体" w:hAnsi="宋体" w:cs="宋体" w:eastAsia="宋体" w:hint="default"/>
                <w:sz w:val="18"/>
                <w:szCs w:val="18"/>
              </w:rPr>
              <w:t>装</w:t>
            </w:r>
            <w:r>
              <w:rPr>
                <w:rFonts w:ascii="宋体" w:hAnsi="宋体" w:cs="宋体" w:eastAsia="宋体" w:hint="default"/>
                <w:spacing w:val="-67"/>
                <w:sz w:val="18"/>
                <w:szCs w:val="18"/>
              </w:rPr>
              <w:t> </w:t>
            </w:r>
            <w:r>
              <w:rPr>
                <w:rFonts w:ascii="宋体" w:hAnsi="宋体" w:cs="宋体" w:eastAsia="宋体" w:hint="default"/>
                <w:sz w:val="18"/>
                <w:szCs w:val="18"/>
              </w:rPr>
              <w:t>备</w:t>
            </w:r>
            <w:r>
              <w:rPr>
                <w:rFonts w:ascii="宋体" w:hAnsi="宋体" w:cs="宋体" w:eastAsia="宋体" w:hint="default"/>
                <w:spacing w:val="-67"/>
                <w:sz w:val="18"/>
                <w:szCs w:val="18"/>
              </w:rPr>
              <w:t> </w:t>
            </w:r>
            <w:r>
              <w:rPr>
                <w:rFonts w:ascii="宋体" w:hAnsi="宋体" w:cs="宋体" w:eastAsia="宋体" w:hint="default"/>
                <w:sz w:val="18"/>
                <w:szCs w:val="18"/>
              </w:rPr>
              <w:t>制</w:t>
            </w:r>
            <w:r>
              <w:rPr>
                <w:rFonts w:ascii="宋体" w:hAnsi="宋体" w:cs="宋体" w:eastAsia="宋体" w:hint="default"/>
                <w:spacing w:val="-63"/>
                <w:sz w:val="18"/>
                <w:szCs w:val="18"/>
              </w:rPr>
              <w:t> </w:t>
            </w:r>
            <w:r>
              <w:rPr>
                <w:rFonts w:ascii="宋体" w:hAnsi="宋体" w:cs="宋体" w:eastAsia="宋体" w:hint="default"/>
                <w:sz w:val="18"/>
                <w:szCs w:val="18"/>
              </w:rPr>
              <w:t>造</w:t>
            </w:r>
            <w:r>
              <w:rPr>
                <w:rFonts w:ascii="宋体" w:hAnsi="宋体" w:cs="宋体" w:eastAsia="宋体" w:hint="default"/>
                <w:spacing w:val="-67"/>
                <w:sz w:val="18"/>
                <w:szCs w:val="18"/>
              </w:rPr>
              <w:t> </w:t>
            </w:r>
            <w:r>
              <w:rPr>
                <w:rFonts w:ascii="宋体" w:hAnsi="宋体" w:cs="宋体" w:eastAsia="宋体" w:hint="default"/>
                <w:sz w:val="18"/>
                <w:szCs w:val="18"/>
              </w:rPr>
              <w:t>的</w:t>
            </w:r>
          </w:p>
        </w:tc>
        <w:tc>
          <w:tcPr>
            <w:tcW w:w="76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gridSpan w:val="2"/>
            <w:tcBorders>
              <w:top w:val="single" w:sz="10" w:space="0" w:color="000000"/>
              <w:left w:val="single" w:sz="6" w:space="0" w:color="000000"/>
              <w:bottom w:val="single" w:sz="6"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28,000.00</w:t>
            </w:r>
          </w:p>
        </w:tc>
        <w:tc>
          <w:tcPr>
            <w:tcW w:w="85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0.009</w:t>
            </w:r>
          </w:p>
        </w:tc>
        <w:tc>
          <w:tcPr>
            <w:tcW w:w="85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0.009</w:t>
            </w:r>
          </w:p>
        </w:tc>
        <w:tc>
          <w:tcPr>
            <w:tcW w:w="852" w:type="dxa"/>
            <w:gridSpan w:val="2"/>
            <w:tcBorders>
              <w:top w:val="single" w:sz="10" w:space="0" w:color="000000"/>
              <w:left w:val="single" w:sz="6" w:space="0" w:color="000000"/>
              <w:bottom w:val="single" w:sz="6"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0.00%</w:t>
            </w:r>
          </w:p>
        </w:tc>
        <w:tc>
          <w:tcPr>
            <w:tcW w:w="850" w:type="dxa"/>
            <w:gridSpan w:val="2"/>
            <w:tcBorders>
              <w:top w:val="single" w:sz="10"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11</w:t>
            </w:r>
          </w:p>
        </w:tc>
        <w:tc>
          <w:tcPr>
            <w:tcW w:w="70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53" w:footer="982" w:top="1060" w:bottom="1180" w:left="620" w:right="0"/>
        </w:sectPr>
      </w:pPr>
    </w:p>
    <w:p>
      <w:pPr>
        <w:spacing w:line="240" w:lineRule="auto" w:before="6"/>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428"/>
        <w:gridCol w:w="768"/>
        <w:gridCol w:w="991"/>
        <w:gridCol w:w="850"/>
        <w:gridCol w:w="852"/>
        <w:gridCol w:w="850"/>
        <w:gridCol w:w="852"/>
        <w:gridCol w:w="850"/>
        <w:gridCol w:w="708"/>
        <w:gridCol w:w="852"/>
        <w:gridCol w:w="1049"/>
      </w:tblGrid>
      <w:tr>
        <w:trPr>
          <w:trHeight w:val="660" w:hRule="exact"/>
        </w:trPr>
        <w:tc>
          <w:tcPr>
            <w:tcW w:w="1428" w:type="dxa"/>
            <w:tcBorders>
              <w:top w:val="single" w:sz="10" w:space="0" w:color="000000"/>
              <w:left w:val="single" w:sz="6" w:space="0" w:color="000000"/>
              <w:bottom w:val="single" w:sz="10" w:space="0" w:color="000000"/>
              <w:right w:val="single" w:sz="6" w:space="0" w:color="000000"/>
            </w:tcBorders>
          </w:tcPr>
          <w:p>
            <w:pPr>
              <w:pStyle w:val="TableParagraph"/>
              <w:spacing w:line="300" w:lineRule="auto" w:before="8"/>
              <w:ind w:left="4" w:right="1"/>
              <w:jc w:val="left"/>
              <w:rPr>
                <w:rFonts w:ascii="宋体" w:hAnsi="宋体" w:cs="宋体" w:eastAsia="宋体" w:hint="default"/>
                <w:sz w:val="18"/>
                <w:szCs w:val="18"/>
              </w:rPr>
            </w:pPr>
            <w:r>
              <w:rPr>
                <w:rFonts w:ascii="宋体" w:hAnsi="宋体" w:cs="宋体" w:eastAsia="宋体" w:hint="default"/>
                <w:spacing w:val="14"/>
                <w:sz w:val="18"/>
                <w:szCs w:val="18"/>
              </w:rPr>
              <w:t>智慧包装工业</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产业园项目</w:t>
            </w:r>
          </w:p>
        </w:tc>
        <w:tc>
          <w:tcPr>
            <w:tcW w:w="768" w:type="dxa"/>
            <w:tcBorders>
              <w:top w:val="single" w:sz="10" w:space="0" w:color="000000"/>
              <w:left w:val="single" w:sz="6" w:space="0" w:color="000000"/>
              <w:bottom w:val="single" w:sz="10" w:space="0" w:color="000000"/>
              <w:right w:val="single" w:sz="6" w:space="0" w:color="000000"/>
            </w:tcBorders>
          </w:tcPr>
          <w:p>
            <w:pPr/>
          </w:p>
        </w:tc>
        <w:tc>
          <w:tcPr>
            <w:tcW w:w="991" w:type="dxa"/>
            <w:tcBorders>
              <w:top w:val="single" w:sz="10" w:space="0" w:color="000000"/>
              <w:left w:val="single" w:sz="6" w:space="0" w:color="000000"/>
              <w:bottom w:val="single" w:sz="10" w:space="0" w:color="000000"/>
              <w:right w:val="single" w:sz="6" w:space="0" w:color="000000"/>
            </w:tcBorders>
          </w:tcPr>
          <w:p>
            <w:pPr/>
          </w:p>
        </w:tc>
        <w:tc>
          <w:tcPr>
            <w:tcW w:w="850" w:type="dxa"/>
            <w:tcBorders>
              <w:top w:val="single" w:sz="10" w:space="0" w:color="000000"/>
              <w:left w:val="single" w:sz="6" w:space="0" w:color="000000"/>
              <w:bottom w:val="single" w:sz="10" w:space="0" w:color="000000"/>
              <w:right w:val="single" w:sz="6" w:space="0" w:color="000000"/>
            </w:tcBorders>
          </w:tcPr>
          <w:p>
            <w:pPr/>
          </w:p>
        </w:tc>
        <w:tc>
          <w:tcPr>
            <w:tcW w:w="852" w:type="dxa"/>
            <w:tcBorders>
              <w:top w:val="single" w:sz="10" w:space="0" w:color="000000"/>
              <w:left w:val="single" w:sz="6" w:space="0" w:color="000000"/>
              <w:bottom w:val="single" w:sz="10" w:space="0" w:color="000000"/>
              <w:right w:val="single" w:sz="6" w:space="0" w:color="000000"/>
            </w:tcBorders>
          </w:tcPr>
          <w:p>
            <w:pPr/>
          </w:p>
        </w:tc>
        <w:tc>
          <w:tcPr>
            <w:tcW w:w="850" w:type="dxa"/>
            <w:tcBorders>
              <w:top w:val="single" w:sz="10" w:space="0" w:color="000000"/>
              <w:left w:val="single" w:sz="6" w:space="0" w:color="000000"/>
              <w:bottom w:val="single" w:sz="10" w:space="0" w:color="000000"/>
              <w:right w:val="single" w:sz="6" w:space="0" w:color="000000"/>
            </w:tcBorders>
          </w:tcPr>
          <w:p>
            <w:pPr/>
          </w:p>
        </w:tc>
        <w:tc>
          <w:tcPr>
            <w:tcW w:w="852" w:type="dxa"/>
            <w:tcBorders>
              <w:top w:val="single" w:sz="10" w:space="0" w:color="000000"/>
              <w:left w:val="single" w:sz="6" w:space="0" w:color="000000"/>
              <w:bottom w:val="single" w:sz="10" w:space="0" w:color="000000"/>
              <w:right w:val="single" w:sz="6" w:space="0" w:color="000000"/>
            </w:tcBorders>
          </w:tcPr>
          <w:p>
            <w:pP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月</w:t>
            </w:r>
          </w:p>
        </w:tc>
        <w:tc>
          <w:tcPr>
            <w:tcW w:w="708" w:type="dxa"/>
            <w:tcBorders>
              <w:top w:val="single" w:sz="10" w:space="0" w:color="000000"/>
              <w:left w:val="single" w:sz="6" w:space="0" w:color="000000"/>
              <w:bottom w:val="single" w:sz="10" w:space="0" w:color="000000"/>
              <w:right w:val="single" w:sz="6" w:space="0" w:color="000000"/>
            </w:tcBorders>
          </w:tcPr>
          <w:p>
            <w:pPr/>
          </w:p>
        </w:tc>
        <w:tc>
          <w:tcPr>
            <w:tcW w:w="852" w:type="dxa"/>
            <w:tcBorders>
              <w:top w:val="single" w:sz="10" w:space="0" w:color="000000"/>
              <w:left w:val="single" w:sz="6" w:space="0" w:color="000000"/>
              <w:bottom w:val="single" w:sz="10" w:space="0" w:color="000000"/>
              <w:right w:val="single" w:sz="6" w:space="0" w:color="000000"/>
            </w:tcBorders>
          </w:tcPr>
          <w:p>
            <w:pPr/>
          </w:p>
        </w:tc>
        <w:tc>
          <w:tcPr>
            <w:tcW w:w="1049" w:type="dxa"/>
            <w:tcBorders>
              <w:top w:val="single" w:sz="10" w:space="0" w:color="000000"/>
              <w:left w:val="single" w:sz="6" w:space="0" w:color="000000"/>
              <w:bottom w:val="single" w:sz="10" w:space="0" w:color="000000"/>
              <w:right w:val="single" w:sz="6" w:space="0" w:color="000000"/>
            </w:tcBorders>
          </w:tcPr>
          <w:p>
            <w:pPr/>
          </w:p>
        </w:tc>
      </w:tr>
      <w:tr>
        <w:trPr>
          <w:trHeight w:val="341" w:hRule="exact"/>
        </w:trPr>
        <w:tc>
          <w:tcPr>
            <w:tcW w:w="1428"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8"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w:t>
            </w:r>
          </w:p>
        </w:tc>
        <w:tc>
          <w:tcPr>
            <w:tcW w:w="991"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138,811.20</w:t>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138,983.52</w:t>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27,864.56</w:t>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46,023.15</w:t>
            </w:r>
          </w:p>
        </w:tc>
        <w:tc>
          <w:tcPr>
            <w:tcW w:w="852"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1,250.92</w:t>
            </w:r>
          </w:p>
        </w:tc>
        <w:tc>
          <w:tcPr>
            <w:tcW w:w="852"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w:t>
            </w:r>
          </w:p>
        </w:tc>
        <w:tc>
          <w:tcPr>
            <w:tcW w:w="1049"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w:t>
            </w:r>
          </w:p>
        </w:tc>
      </w:tr>
      <w:tr>
        <w:trPr>
          <w:trHeight w:val="1289" w:hRule="exact"/>
        </w:trPr>
        <w:tc>
          <w:tcPr>
            <w:tcW w:w="1428"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15"/>
              <w:ind w:left="4" w:right="-1"/>
              <w:jc w:val="both"/>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pacing w:val="-67"/>
                <w:sz w:val="18"/>
                <w:szCs w:val="18"/>
              </w:rPr>
              <w:t> </w:t>
            </w:r>
            <w:r>
              <w:rPr>
                <w:rFonts w:ascii="宋体" w:hAnsi="宋体" w:cs="宋体" w:eastAsia="宋体" w:hint="default"/>
                <w:sz w:val="18"/>
                <w:szCs w:val="18"/>
              </w:rPr>
              <w:t>达</w:t>
            </w:r>
            <w:r>
              <w:rPr>
                <w:rFonts w:ascii="宋体" w:hAnsi="宋体" w:cs="宋体" w:eastAsia="宋体" w:hint="default"/>
                <w:spacing w:val="-65"/>
                <w:sz w:val="18"/>
                <w:szCs w:val="18"/>
              </w:rPr>
              <w:t> </w:t>
            </w:r>
            <w:r>
              <w:rPr>
                <w:rFonts w:ascii="宋体" w:hAnsi="宋体" w:cs="宋体" w:eastAsia="宋体" w:hint="default"/>
                <w:sz w:val="18"/>
                <w:szCs w:val="18"/>
              </w:rPr>
              <w:t>到</w:t>
            </w:r>
            <w:r>
              <w:rPr>
                <w:rFonts w:ascii="宋体" w:hAnsi="宋体" w:cs="宋体" w:eastAsia="宋体" w:hint="default"/>
                <w:spacing w:val="-67"/>
                <w:sz w:val="18"/>
                <w:szCs w:val="18"/>
              </w:rPr>
              <w:t> </w:t>
            </w:r>
            <w:r>
              <w:rPr>
                <w:rFonts w:ascii="宋体" w:hAnsi="宋体" w:cs="宋体" w:eastAsia="宋体" w:hint="default"/>
                <w:sz w:val="18"/>
                <w:szCs w:val="18"/>
              </w:rPr>
              <w:t>计</w:t>
            </w:r>
            <w:r>
              <w:rPr>
                <w:rFonts w:ascii="宋体" w:hAnsi="宋体" w:cs="宋体" w:eastAsia="宋体" w:hint="default"/>
                <w:spacing w:val="-67"/>
                <w:sz w:val="18"/>
                <w:szCs w:val="18"/>
              </w:rPr>
              <w:t> </w:t>
            </w:r>
            <w:r>
              <w:rPr>
                <w:rFonts w:ascii="宋体" w:hAnsi="宋体" w:cs="宋体" w:eastAsia="宋体" w:hint="default"/>
                <w:sz w:val="18"/>
                <w:szCs w:val="18"/>
              </w:rPr>
              <w:t>划</w:t>
            </w:r>
            <w:r>
              <w:rPr>
                <w:rFonts w:ascii="宋体" w:hAnsi="宋体" w:cs="宋体" w:eastAsia="宋体" w:hint="default"/>
                <w:spacing w:val="-63"/>
                <w:sz w:val="18"/>
                <w:szCs w:val="18"/>
              </w:rPr>
              <w:t> </w:t>
            </w:r>
            <w:r>
              <w:rPr>
                <w:rFonts w:ascii="宋体" w:hAnsi="宋体" w:cs="宋体" w:eastAsia="宋体" w:hint="default"/>
                <w:sz w:val="18"/>
                <w:szCs w:val="18"/>
              </w:rPr>
              <w:t>进</w:t>
            </w:r>
            <w:r>
              <w:rPr>
                <w:rFonts w:ascii="宋体" w:hAnsi="宋体" w:cs="宋体" w:eastAsia="宋体" w:hint="default"/>
                <w:spacing w:val="-67"/>
                <w:sz w:val="18"/>
                <w:szCs w:val="18"/>
              </w:rPr>
              <w:t> </w:t>
            </w:r>
            <w:r>
              <w:rPr>
                <w:rFonts w:ascii="宋体" w:hAnsi="宋体" w:cs="宋体" w:eastAsia="宋体" w:hint="default"/>
                <w:sz w:val="18"/>
                <w:szCs w:val="18"/>
              </w:rPr>
              <w:t>度</w:t>
            </w:r>
            <w:r>
              <w:rPr>
                <w:rFonts w:ascii="宋体" w:hAnsi="宋体" w:cs="宋体" w:eastAsia="宋体" w:hint="default"/>
                <w:sz w:val="18"/>
                <w:szCs w:val="18"/>
              </w:rPr>
              <w:t> 或</w:t>
            </w:r>
            <w:r>
              <w:rPr>
                <w:rFonts w:ascii="宋体" w:hAnsi="宋体" w:cs="宋体" w:eastAsia="宋体" w:hint="default"/>
                <w:spacing w:val="-67"/>
                <w:sz w:val="18"/>
                <w:szCs w:val="18"/>
              </w:rPr>
              <w:t> </w:t>
            </w:r>
            <w:r>
              <w:rPr>
                <w:rFonts w:ascii="宋体" w:hAnsi="宋体" w:cs="宋体" w:eastAsia="宋体" w:hint="default"/>
                <w:sz w:val="18"/>
                <w:szCs w:val="18"/>
              </w:rPr>
              <w:t>预</w:t>
            </w:r>
            <w:r>
              <w:rPr>
                <w:rFonts w:ascii="宋体" w:hAnsi="宋体" w:cs="宋体" w:eastAsia="宋体" w:hint="default"/>
                <w:spacing w:val="-65"/>
                <w:sz w:val="18"/>
                <w:szCs w:val="18"/>
              </w:rPr>
              <w:t> </w:t>
            </w:r>
            <w:r>
              <w:rPr>
                <w:rFonts w:ascii="宋体" w:hAnsi="宋体" w:cs="宋体" w:eastAsia="宋体" w:hint="default"/>
                <w:sz w:val="18"/>
                <w:szCs w:val="18"/>
              </w:rPr>
              <w:t>计</w:t>
            </w:r>
            <w:r>
              <w:rPr>
                <w:rFonts w:ascii="宋体" w:hAnsi="宋体" w:cs="宋体" w:eastAsia="宋体" w:hint="default"/>
                <w:spacing w:val="-67"/>
                <w:sz w:val="18"/>
                <w:szCs w:val="18"/>
              </w:rPr>
              <w:t> </w:t>
            </w:r>
            <w:r>
              <w:rPr>
                <w:rFonts w:ascii="宋体" w:hAnsi="宋体" w:cs="宋体" w:eastAsia="宋体" w:hint="default"/>
                <w:sz w:val="18"/>
                <w:szCs w:val="18"/>
              </w:rPr>
              <w:t>收</w:t>
            </w:r>
            <w:r>
              <w:rPr>
                <w:rFonts w:ascii="宋体" w:hAnsi="宋体" w:cs="宋体" w:eastAsia="宋体" w:hint="default"/>
                <w:spacing w:val="-67"/>
                <w:sz w:val="18"/>
                <w:szCs w:val="18"/>
              </w:rPr>
              <w:t> </w:t>
            </w:r>
            <w:r>
              <w:rPr>
                <w:rFonts w:ascii="宋体" w:hAnsi="宋体" w:cs="宋体" w:eastAsia="宋体" w:hint="default"/>
                <w:sz w:val="18"/>
                <w:szCs w:val="18"/>
              </w:rPr>
              <w:t>益</w:t>
            </w:r>
            <w:r>
              <w:rPr>
                <w:rFonts w:ascii="宋体" w:hAnsi="宋体" w:cs="宋体" w:eastAsia="宋体" w:hint="default"/>
                <w:spacing w:val="-63"/>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z w:val="18"/>
                <w:szCs w:val="18"/>
              </w:rPr>
              <w:t>情</w:t>
            </w:r>
            <w:r>
              <w:rPr>
                <w:rFonts w:ascii="宋体" w:hAnsi="宋体" w:cs="宋体" w:eastAsia="宋体" w:hint="default"/>
                <w:sz w:val="18"/>
                <w:szCs w:val="18"/>
              </w:rPr>
              <w:t> </w:t>
            </w:r>
            <w:r>
              <w:rPr>
                <w:rFonts w:ascii="宋体" w:hAnsi="宋体" w:cs="宋体" w:eastAsia="宋体" w:hint="default"/>
                <w:spacing w:val="-4"/>
                <w:sz w:val="18"/>
                <w:szCs w:val="18"/>
              </w:rPr>
              <w:t>况和原因（分具体</w:t>
            </w:r>
            <w:r>
              <w:rPr>
                <w:rFonts w:ascii="宋体" w:hAnsi="宋体" w:cs="宋体" w:eastAsia="宋体" w:hint="default"/>
                <w:sz w:val="18"/>
                <w:szCs w:val="18"/>
              </w:rPr>
              <w:t> 项目）</w:t>
            </w:r>
          </w:p>
        </w:tc>
        <w:tc>
          <w:tcPr>
            <w:tcW w:w="8621" w:type="dxa"/>
            <w:gridSpan w:val="10"/>
            <w:tcBorders>
              <w:top w:val="single" w:sz="10" w:space="0" w:color="000000"/>
              <w:left w:val="single" w:sz="6" w:space="0" w:color="000000"/>
              <w:bottom w:val="single" w:sz="10" w:space="0" w:color="000000"/>
              <w:right w:val="single" w:sz="6" w:space="0" w:color="000000"/>
            </w:tcBorders>
          </w:tcPr>
          <w:p>
            <w:pPr>
              <w:pStyle w:val="TableParagraph"/>
              <w:spacing w:line="300" w:lineRule="auto" w:before="15"/>
              <w:ind w:left="4" w:right="-1"/>
              <w:jc w:val="left"/>
              <w:rPr>
                <w:rFonts w:ascii="宋体" w:hAnsi="宋体" w:cs="宋体" w:eastAsia="宋体" w:hint="default"/>
                <w:sz w:val="18"/>
                <w:szCs w:val="18"/>
              </w:rPr>
            </w:pPr>
            <w:r>
              <w:rPr>
                <w:rFonts w:ascii="宋体" w:hAnsi="宋体" w:cs="宋体" w:eastAsia="宋体" w:hint="default"/>
                <w:sz w:val="18"/>
                <w:szCs w:val="18"/>
              </w:rPr>
              <w:t>包装印刷工业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智慧工厂（成都）项目、包装印刷工业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智慧工厂（六安）项目、包装印刷工业进出口贸易 </w:t>
            </w:r>
            <w:r>
              <w:rPr>
                <w:rFonts w:ascii="宋体" w:hAnsi="宋体" w:cs="宋体" w:eastAsia="宋体" w:hint="default"/>
                <w:spacing w:val="-2"/>
                <w:sz w:val="18"/>
                <w:szCs w:val="18"/>
              </w:rPr>
              <w:t>及保税加工（岳阳）项目、包装印刷工业</w:t>
            </w:r>
            <w:r>
              <w:rPr>
                <w:rFonts w:ascii="Times New Roman" w:hAnsi="Times New Roman" w:cs="Times New Roman" w:eastAsia="Times New Roman" w:hint="default"/>
                <w:spacing w:val="-2"/>
                <w:sz w:val="18"/>
                <w:szCs w:val="18"/>
              </w:rPr>
              <w:t>4.0</w:t>
            </w:r>
            <w:r>
              <w:rPr>
                <w:rFonts w:ascii="宋体" w:hAnsi="宋体" w:cs="宋体" w:eastAsia="宋体" w:hint="default"/>
                <w:spacing w:val="-2"/>
                <w:sz w:val="18"/>
                <w:szCs w:val="18"/>
              </w:rPr>
              <w:t>智慧型工厂（长沙）项目、高端环保包装生产基地项目、基于装备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制造的智慧包装工业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产业园项目尚处于建设期或筹建期； 注</w:t>
            </w:r>
            <w:r>
              <w:rPr>
                <w:rFonts w:ascii="Times New Roman" w:hAnsi="Times New Roman" w:cs="Times New Roman" w:eastAsia="Times New Roman" w:hint="default"/>
                <w:sz w:val="18"/>
                <w:szCs w:val="18"/>
              </w:rPr>
              <w:t>5</w:t>
            </w:r>
            <w:r>
              <w:rPr>
                <w:rFonts w:ascii="宋体" w:hAnsi="宋体" w:cs="宋体" w:eastAsia="宋体" w:hint="default"/>
                <w:sz w:val="18"/>
                <w:szCs w:val="18"/>
              </w:rPr>
              <w:t>：包装印刷工业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智慧工厂（东莞）项目于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月逐步投入使用。</w:t>
            </w:r>
          </w:p>
        </w:tc>
      </w:tr>
      <w:tr>
        <w:trPr>
          <w:trHeight w:val="2458" w:hRule="exact"/>
        </w:trPr>
        <w:tc>
          <w:tcPr>
            <w:tcW w:w="1428"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4" w:right="0"/>
              <w:jc w:val="both"/>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67"/>
                <w:sz w:val="18"/>
                <w:szCs w:val="18"/>
              </w:rPr>
              <w:t> </w:t>
            </w:r>
            <w:r>
              <w:rPr>
                <w:rFonts w:ascii="宋体" w:hAnsi="宋体" w:cs="宋体" w:eastAsia="宋体" w:hint="default"/>
                <w:sz w:val="18"/>
                <w:szCs w:val="18"/>
              </w:rPr>
              <w:t>目</w:t>
            </w:r>
            <w:r>
              <w:rPr>
                <w:rFonts w:ascii="宋体" w:hAnsi="宋体" w:cs="宋体" w:eastAsia="宋体" w:hint="default"/>
                <w:spacing w:val="-65"/>
                <w:sz w:val="18"/>
                <w:szCs w:val="18"/>
              </w:rPr>
              <w:t> </w:t>
            </w:r>
            <w:r>
              <w:rPr>
                <w:rFonts w:ascii="宋体" w:hAnsi="宋体" w:cs="宋体" w:eastAsia="宋体" w:hint="default"/>
                <w:sz w:val="18"/>
                <w:szCs w:val="18"/>
              </w:rPr>
              <w:t>可</w:t>
            </w:r>
            <w:r>
              <w:rPr>
                <w:rFonts w:ascii="宋体" w:hAnsi="宋体" w:cs="宋体" w:eastAsia="宋体" w:hint="default"/>
                <w:spacing w:val="-67"/>
                <w:sz w:val="18"/>
                <w:szCs w:val="18"/>
              </w:rPr>
              <w:t> </w:t>
            </w:r>
            <w:r>
              <w:rPr>
                <w:rFonts w:ascii="宋体" w:hAnsi="宋体" w:cs="宋体" w:eastAsia="宋体" w:hint="default"/>
                <w:sz w:val="18"/>
                <w:szCs w:val="18"/>
              </w:rPr>
              <w:t>行</w:t>
            </w:r>
            <w:r>
              <w:rPr>
                <w:rFonts w:ascii="宋体" w:hAnsi="宋体" w:cs="宋体" w:eastAsia="宋体" w:hint="default"/>
                <w:spacing w:val="-67"/>
                <w:sz w:val="18"/>
                <w:szCs w:val="18"/>
              </w:rPr>
              <w:t> </w:t>
            </w:r>
            <w:r>
              <w:rPr>
                <w:rFonts w:ascii="宋体" w:hAnsi="宋体" w:cs="宋体" w:eastAsia="宋体" w:hint="default"/>
                <w:sz w:val="18"/>
                <w:szCs w:val="18"/>
              </w:rPr>
              <w:t>性</w:t>
            </w:r>
            <w:r>
              <w:rPr>
                <w:rFonts w:ascii="宋体" w:hAnsi="宋体" w:cs="宋体" w:eastAsia="宋体" w:hint="default"/>
                <w:spacing w:val="-63"/>
                <w:sz w:val="18"/>
                <w:szCs w:val="18"/>
              </w:rPr>
              <w:t> </w:t>
            </w:r>
            <w:r>
              <w:rPr>
                <w:rFonts w:ascii="宋体" w:hAnsi="宋体" w:cs="宋体" w:eastAsia="宋体" w:hint="default"/>
                <w:sz w:val="18"/>
                <w:szCs w:val="18"/>
              </w:rPr>
              <w:t>发</w:t>
            </w:r>
            <w:r>
              <w:rPr>
                <w:rFonts w:ascii="宋体" w:hAnsi="宋体" w:cs="宋体" w:eastAsia="宋体" w:hint="default"/>
                <w:spacing w:val="-67"/>
                <w:sz w:val="18"/>
                <w:szCs w:val="18"/>
              </w:rPr>
              <w:t> </w:t>
            </w:r>
            <w:r>
              <w:rPr>
                <w:rFonts w:ascii="宋体" w:hAnsi="宋体" w:cs="宋体" w:eastAsia="宋体" w:hint="default"/>
                <w:sz w:val="18"/>
                <w:szCs w:val="18"/>
              </w:rPr>
              <w:t>生</w:t>
            </w:r>
            <w:r>
              <w:rPr>
                <w:rFonts w:ascii="宋体" w:hAnsi="宋体" w:cs="宋体" w:eastAsia="宋体" w:hint="default"/>
                <w:sz w:val="18"/>
                <w:szCs w:val="18"/>
              </w:rPr>
              <w:t> 重</w:t>
            </w:r>
            <w:r>
              <w:rPr>
                <w:rFonts w:ascii="宋体" w:hAnsi="宋体" w:cs="宋体" w:eastAsia="宋体" w:hint="default"/>
                <w:spacing w:val="-67"/>
                <w:sz w:val="18"/>
                <w:szCs w:val="18"/>
              </w:rPr>
              <w:t> </w:t>
            </w:r>
            <w:r>
              <w:rPr>
                <w:rFonts w:ascii="宋体" w:hAnsi="宋体" w:cs="宋体" w:eastAsia="宋体" w:hint="default"/>
                <w:sz w:val="18"/>
                <w:szCs w:val="18"/>
              </w:rPr>
              <w:t>大</w:t>
            </w:r>
            <w:r>
              <w:rPr>
                <w:rFonts w:ascii="宋体" w:hAnsi="宋体" w:cs="宋体" w:eastAsia="宋体" w:hint="default"/>
                <w:spacing w:val="-65"/>
                <w:sz w:val="18"/>
                <w:szCs w:val="18"/>
              </w:rPr>
              <w:t> </w:t>
            </w:r>
            <w:r>
              <w:rPr>
                <w:rFonts w:ascii="宋体" w:hAnsi="宋体" w:cs="宋体" w:eastAsia="宋体" w:hint="default"/>
                <w:sz w:val="18"/>
                <w:szCs w:val="18"/>
              </w:rPr>
              <w:t>变</w:t>
            </w:r>
            <w:r>
              <w:rPr>
                <w:rFonts w:ascii="宋体" w:hAnsi="宋体" w:cs="宋体" w:eastAsia="宋体" w:hint="default"/>
                <w:spacing w:val="-67"/>
                <w:sz w:val="18"/>
                <w:szCs w:val="18"/>
              </w:rPr>
              <w:t> </w:t>
            </w:r>
            <w:r>
              <w:rPr>
                <w:rFonts w:ascii="宋体" w:hAnsi="宋体" w:cs="宋体" w:eastAsia="宋体" w:hint="default"/>
                <w:sz w:val="18"/>
                <w:szCs w:val="18"/>
              </w:rPr>
              <w:t>化</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3"/>
                <w:sz w:val="18"/>
                <w:szCs w:val="18"/>
              </w:rPr>
              <w:t> </w:t>
            </w:r>
            <w:r>
              <w:rPr>
                <w:rFonts w:ascii="宋体" w:hAnsi="宋体" w:cs="宋体" w:eastAsia="宋体" w:hint="default"/>
                <w:sz w:val="18"/>
                <w:szCs w:val="18"/>
              </w:rPr>
              <w:t>情</w:t>
            </w:r>
            <w:r>
              <w:rPr>
                <w:rFonts w:ascii="宋体" w:hAnsi="宋体" w:cs="宋体" w:eastAsia="宋体" w:hint="default"/>
                <w:spacing w:val="-67"/>
                <w:sz w:val="18"/>
                <w:szCs w:val="18"/>
              </w:rPr>
              <w:t> </w:t>
            </w:r>
            <w:r>
              <w:rPr>
                <w:rFonts w:ascii="宋体" w:hAnsi="宋体" w:cs="宋体" w:eastAsia="宋体" w:hint="default"/>
                <w:sz w:val="18"/>
                <w:szCs w:val="18"/>
              </w:rPr>
              <w:t>况</w:t>
            </w:r>
            <w:r>
              <w:rPr>
                <w:rFonts w:ascii="宋体" w:hAnsi="宋体" w:cs="宋体" w:eastAsia="宋体" w:hint="default"/>
                <w:sz w:val="18"/>
                <w:szCs w:val="18"/>
              </w:rPr>
              <w:t> 说明</w:t>
            </w:r>
          </w:p>
        </w:tc>
        <w:tc>
          <w:tcPr>
            <w:tcW w:w="8621" w:type="dxa"/>
            <w:gridSpan w:val="10"/>
            <w:tcBorders>
              <w:top w:val="single" w:sz="10" w:space="0" w:color="000000"/>
              <w:left w:val="single" w:sz="6" w:space="0" w:color="000000"/>
              <w:bottom w:val="single" w:sz="10" w:space="0" w:color="000000"/>
              <w:right w:val="single" w:sz="6" w:space="0" w:color="000000"/>
            </w:tcBorders>
          </w:tcPr>
          <w:p>
            <w:pPr>
              <w:pStyle w:val="TableParagraph"/>
              <w:spacing w:line="302" w:lineRule="auto" w:before="128"/>
              <w:ind w:left="4" w:right="-1"/>
              <w:jc w:val="both"/>
              <w:rPr>
                <w:rFonts w:ascii="宋体" w:hAnsi="宋体" w:cs="宋体" w:eastAsia="宋体" w:hint="default"/>
                <w:sz w:val="18"/>
                <w:szCs w:val="18"/>
              </w:rPr>
            </w:pPr>
            <w:r>
              <w:rPr>
                <w:rFonts w:ascii="宋体" w:hAnsi="宋体" w:cs="宋体" w:eastAsia="宋体" w:hint="default"/>
                <w:spacing w:val="-1"/>
                <w:sz w:val="18"/>
                <w:szCs w:val="18"/>
              </w:rPr>
              <w:t>基于行业发展、政策环境、公司战略和资金使用效率等多方面综合考虑，经公司审慎研究认为，短期内并不是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公司大规模资金投资于</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互联网包装印刷产业云平台及生态系统建设项目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智能包装物联网平台项目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的最佳 时机，为了进一步提高募集资金的使用效率，保证股东利益最大化，公司拟将</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年度非公开发行股票募集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w w:val="99"/>
                <w:sz w:val="18"/>
                <w:szCs w:val="18"/>
              </w:rPr>
              <w:t>资金投资项目</w:t>
            </w:r>
            <w:r>
              <w:rPr>
                <w:rFonts w:ascii="Times New Roman" w:hAnsi="Times New Roman" w:cs="Times New Roman" w:eastAsia="Times New Roman" w:hint="default"/>
                <w:spacing w:val="-2"/>
                <w:w w:val="99"/>
                <w:sz w:val="18"/>
                <w:szCs w:val="18"/>
              </w:rPr>
              <w:t>“</w:t>
            </w:r>
            <w:r>
              <w:rPr>
                <w:rFonts w:ascii="宋体" w:hAnsi="宋体" w:cs="宋体" w:eastAsia="宋体" w:hint="default"/>
                <w:spacing w:val="-2"/>
                <w:w w:val="99"/>
                <w:sz w:val="18"/>
                <w:szCs w:val="18"/>
              </w:rPr>
              <w:t>互联网包装印刷产业云平台及生态系统建设项目</w:t>
            </w:r>
            <w:r>
              <w:rPr>
                <w:rFonts w:ascii="Times New Roman" w:hAnsi="Times New Roman" w:cs="Times New Roman" w:eastAsia="Times New Roman" w:hint="default"/>
                <w:spacing w:val="-2"/>
                <w:w w:val="99"/>
                <w:sz w:val="18"/>
                <w:szCs w:val="18"/>
              </w:rPr>
              <w:t>”</w:t>
            </w:r>
            <w:r>
              <w:rPr>
                <w:rFonts w:ascii="宋体" w:hAnsi="宋体" w:cs="宋体" w:eastAsia="宋体" w:hint="default"/>
                <w:spacing w:val="-2"/>
                <w:w w:val="99"/>
                <w:sz w:val="18"/>
                <w:szCs w:val="18"/>
              </w:rPr>
              <w:t>、</w:t>
            </w:r>
            <w:r>
              <w:rPr>
                <w:rFonts w:ascii="Times New Roman" w:hAnsi="Times New Roman" w:cs="Times New Roman" w:eastAsia="Times New Roman" w:hint="default"/>
                <w:spacing w:val="-2"/>
                <w:w w:val="99"/>
                <w:sz w:val="18"/>
                <w:szCs w:val="18"/>
              </w:rPr>
              <w:t>“</w:t>
            </w:r>
            <w:r>
              <w:rPr>
                <w:rFonts w:ascii="宋体" w:hAnsi="宋体" w:cs="宋体" w:eastAsia="宋体" w:hint="default"/>
                <w:spacing w:val="-2"/>
                <w:w w:val="99"/>
                <w:sz w:val="18"/>
                <w:szCs w:val="18"/>
              </w:rPr>
              <w:t>智能包装物联网平台项目</w:t>
            </w:r>
            <w:r>
              <w:rPr>
                <w:rFonts w:ascii="Times New Roman" w:hAnsi="Times New Roman" w:cs="Times New Roman" w:eastAsia="Times New Roman" w:hint="default"/>
                <w:spacing w:val="-2"/>
                <w:w w:val="99"/>
                <w:sz w:val="18"/>
                <w:szCs w:val="18"/>
              </w:rPr>
              <w:t>”</w:t>
            </w:r>
            <w:r>
              <w:rPr>
                <w:rFonts w:ascii="宋体" w:hAnsi="宋体" w:cs="宋体" w:eastAsia="宋体" w:hint="default"/>
                <w:spacing w:val="-2"/>
                <w:w w:val="99"/>
                <w:sz w:val="18"/>
                <w:szCs w:val="18"/>
              </w:rPr>
              <w:t>变更为</w:t>
            </w:r>
            <w:r>
              <w:rPr>
                <w:rFonts w:ascii="Times New Roman" w:hAnsi="Times New Roman" w:cs="Times New Roman" w:eastAsia="Times New Roman" w:hint="default"/>
                <w:spacing w:val="-2"/>
                <w:w w:val="99"/>
                <w:sz w:val="18"/>
                <w:szCs w:val="18"/>
              </w:rPr>
              <w:t>“</w:t>
            </w:r>
            <w:r>
              <w:rPr>
                <w:rFonts w:ascii="宋体" w:hAnsi="宋体" w:cs="宋体" w:eastAsia="宋体" w:hint="default"/>
                <w:spacing w:val="-2"/>
                <w:w w:val="99"/>
                <w:sz w:val="18"/>
                <w:szCs w:val="18"/>
              </w:rPr>
              <w:t>包装印刷</w:t>
            </w:r>
            <w:r>
              <w:rPr>
                <w:rFonts w:ascii="宋体" w:hAnsi="宋体" w:cs="宋体" w:eastAsia="宋体" w:hint="default"/>
                <w:spacing w:val="-74"/>
                <w:w w:val="99"/>
                <w:sz w:val="18"/>
                <w:szCs w:val="18"/>
              </w:rPr>
              <w:t> </w:t>
            </w:r>
            <w:r>
              <w:rPr>
                <w:rFonts w:ascii="宋体" w:hAnsi="宋体" w:cs="宋体" w:eastAsia="宋体" w:hint="default"/>
                <w:sz w:val="18"/>
                <w:szCs w:val="18"/>
              </w:rPr>
              <w:t>工业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智慧型工厂（六安）项目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包装印刷工业进出口贸易及保税加工</w:t>
            </w:r>
            <w:r>
              <w:rPr>
                <w:rFonts w:ascii="Times New Roman" w:hAnsi="Times New Roman" w:cs="Times New Roman" w:eastAsia="Times New Roman" w:hint="default"/>
                <w:sz w:val="18"/>
                <w:szCs w:val="18"/>
              </w:rPr>
              <w:t>(</w:t>
            </w:r>
            <w:r>
              <w:rPr>
                <w:rFonts w:ascii="宋体" w:hAnsi="宋体" w:cs="宋体" w:eastAsia="宋体" w:hint="default"/>
                <w:sz w:val="18"/>
                <w:szCs w:val="18"/>
              </w:rPr>
              <w:t>岳阳）项目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高端环保包装生产 </w:t>
            </w:r>
            <w:r>
              <w:rPr>
                <w:rFonts w:ascii="宋体" w:hAnsi="宋体" w:cs="宋体" w:eastAsia="宋体" w:hint="default"/>
                <w:spacing w:val="-2"/>
                <w:sz w:val="18"/>
                <w:szCs w:val="18"/>
              </w:rPr>
              <w:t>基地项目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。具体详见公司于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19</w:t>
            </w:r>
            <w:r>
              <w:rPr>
                <w:rFonts w:ascii="宋体" w:hAnsi="宋体" w:cs="宋体" w:eastAsia="宋体" w:hint="default"/>
                <w:spacing w:val="-2"/>
                <w:sz w:val="18"/>
                <w:szCs w:val="18"/>
              </w:rPr>
              <w:t>日刊载于《证券时报》及巨潮资讯网（</w:t>
            </w:r>
            <w:hyperlink r:id="rId11">
              <w:r>
                <w:rPr>
                  <w:rFonts w:ascii="Times New Roman" w:hAnsi="Times New Roman" w:cs="Times New Roman" w:eastAsia="Times New Roman" w:hint="default"/>
                  <w:spacing w:val="-2"/>
                  <w:sz w:val="18"/>
                  <w:szCs w:val="18"/>
                </w:rPr>
                <w:t>www.cninfo.com.cn</w:t>
              </w:r>
            </w:hyperlink>
            <w:r>
              <w:rPr>
                <w:rFonts w:ascii="宋体" w:hAnsi="宋体" w:cs="宋体" w:eastAsia="宋体" w:hint="default"/>
                <w:spacing w:val="-2"/>
                <w:sz w:val="18"/>
                <w:szCs w:val="18"/>
              </w:rPr>
              <w:t>）的《关于</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部分变更募集资金用途的公告》（公告编号：</w:t>
            </w:r>
            <w:r>
              <w:rPr>
                <w:rFonts w:ascii="Times New Roman" w:hAnsi="Times New Roman" w:cs="Times New Roman" w:eastAsia="Times New Roman" w:hint="default"/>
                <w:sz w:val="18"/>
                <w:szCs w:val="18"/>
              </w:rPr>
              <w:t>2017-068</w:t>
            </w:r>
            <w:r>
              <w:rPr>
                <w:rFonts w:ascii="宋体" w:hAnsi="宋体" w:cs="宋体" w:eastAsia="宋体" w:hint="default"/>
                <w:sz w:val="18"/>
                <w:szCs w:val="18"/>
              </w:rPr>
              <w:t>）</w:t>
            </w:r>
          </w:p>
        </w:tc>
      </w:tr>
      <w:tr>
        <w:trPr>
          <w:trHeight w:val="972" w:hRule="exact"/>
        </w:trPr>
        <w:tc>
          <w:tcPr>
            <w:tcW w:w="1428"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10"/>
              <w:ind w:left="4" w:right="-32"/>
              <w:jc w:val="both"/>
              <w:rPr>
                <w:rFonts w:ascii="宋体" w:hAnsi="宋体" w:cs="宋体" w:eastAsia="宋体" w:hint="default"/>
                <w:sz w:val="18"/>
                <w:szCs w:val="18"/>
              </w:rPr>
            </w:pPr>
            <w:r>
              <w:rPr>
                <w:rFonts w:ascii="宋体" w:hAnsi="宋体" w:cs="宋体" w:eastAsia="宋体" w:hint="default"/>
                <w:sz w:val="18"/>
                <w:szCs w:val="18"/>
              </w:rPr>
              <w:t>超募资金的金额、 用</w:t>
            </w:r>
            <w:r>
              <w:rPr>
                <w:rFonts w:ascii="宋体" w:hAnsi="宋体" w:cs="宋体" w:eastAsia="宋体" w:hint="default"/>
                <w:spacing w:val="-67"/>
                <w:sz w:val="18"/>
                <w:szCs w:val="18"/>
              </w:rPr>
              <w:t> </w:t>
            </w:r>
            <w:r>
              <w:rPr>
                <w:rFonts w:ascii="宋体" w:hAnsi="宋体" w:cs="宋体" w:eastAsia="宋体" w:hint="default"/>
                <w:sz w:val="18"/>
                <w:szCs w:val="18"/>
              </w:rPr>
              <w:t>途</w:t>
            </w:r>
            <w:r>
              <w:rPr>
                <w:rFonts w:ascii="宋体" w:hAnsi="宋体" w:cs="宋体" w:eastAsia="宋体" w:hint="default"/>
                <w:spacing w:val="-65"/>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z w:val="18"/>
                <w:szCs w:val="18"/>
              </w:rPr>
              <w:t>使</w:t>
            </w:r>
            <w:r>
              <w:rPr>
                <w:rFonts w:ascii="宋体" w:hAnsi="宋体" w:cs="宋体" w:eastAsia="宋体" w:hint="default"/>
                <w:spacing w:val="-67"/>
                <w:sz w:val="18"/>
                <w:szCs w:val="18"/>
              </w:rPr>
              <w:t> </w:t>
            </w:r>
            <w:r>
              <w:rPr>
                <w:rFonts w:ascii="宋体" w:hAnsi="宋体" w:cs="宋体" w:eastAsia="宋体" w:hint="default"/>
                <w:sz w:val="18"/>
                <w:szCs w:val="18"/>
              </w:rPr>
              <w:t>用</w:t>
            </w:r>
            <w:r>
              <w:rPr>
                <w:rFonts w:ascii="宋体" w:hAnsi="宋体" w:cs="宋体" w:eastAsia="宋体" w:hint="default"/>
                <w:spacing w:val="-63"/>
                <w:sz w:val="18"/>
                <w:szCs w:val="18"/>
              </w:rPr>
              <w:t> </w:t>
            </w:r>
            <w:r>
              <w:rPr>
                <w:rFonts w:ascii="宋体" w:hAnsi="宋体" w:cs="宋体" w:eastAsia="宋体" w:hint="default"/>
                <w:sz w:val="18"/>
                <w:szCs w:val="18"/>
              </w:rPr>
              <w:t>进</w:t>
            </w:r>
            <w:r>
              <w:rPr>
                <w:rFonts w:ascii="宋体" w:hAnsi="宋体" w:cs="宋体" w:eastAsia="宋体" w:hint="default"/>
                <w:spacing w:val="-67"/>
                <w:sz w:val="18"/>
                <w:szCs w:val="18"/>
              </w:rPr>
              <w:t> </w:t>
            </w:r>
            <w:r>
              <w:rPr>
                <w:rFonts w:ascii="宋体" w:hAnsi="宋体" w:cs="宋体" w:eastAsia="宋体" w:hint="default"/>
                <w:sz w:val="18"/>
                <w:szCs w:val="18"/>
              </w:rPr>
              <w:t>展</w:t>
            </w:r>
            <w:r>
              <w:rPr>
                <w:rFonts w:ascii="宋体" w:hAnsi="宋体" w:cs="宋体" w:eastAsia="宋体" w:hint="default"/>
                <w:sz w:val="18"/>
                <w:szCs w:val="18"/>
              </w:rPr>
              <w:t> 情况</w:t>
            </w:r>
          </w:p>
        </w:tc>
        <w:tc>
          <w:tcPr>
            <w:tcW w:w="8621" w:type="dxa"/>
            <w:gridSpan w:val="10"/>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30"/>
              <w:ind w:left="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70" w:hRule="exact"/>
        </w:trPr>
        <w:tc>
          <w:tcPr>
            <w:tcW w:w="1428"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4" w:right="0"/>
              <w:jc w:val="both"/>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67"/>
                <w:sz w:val="18"/>
                <w:szCs w:val="18"/>
              </w:rPr>
              <w:t> </w:t>
            </w:r>
            <w:r>
              <w:rPr>
                <w:rFonts w:ascii="宋体" w:hAnsi="宋体" w:cs="宋体" w:eastAsia="宋体" w:hint="default"/>
                <w:sz w:val="18"/>
                <w:szCs w:val="18"/>
              </w:rPr>
              <w:t>集</w:t>
            </w:r>
            <w:r>
              <w:rPr>
                <w:rFonts w:ascii="宋体" w:hAnsi="宋体" w:cs="宋体" w:eastAsia="宋体" w:hint="default"/>
                <w:spacing w:val="-65"/>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3"/>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项</w:t>
            </w:r>
            <w:r>
              <w:rPr>
                <w:rFonts w:ascii="宋体" w:hAnsi="宋体" w:cs="宋体" w:eastAsia="宋体" w:hint="default"/>
                <w:sz w:val="18"/>
                <w:szCs w:val="18"/>
              </w:rPr>
              <w:t> 目</w:t>
            </w:r>
            <w:r>
              <w:rPr>
                <w:rFonts w:ascii="宋体" w:hAnsi="宋体" w:cs="宋体" w:eastAsia="宋体" w:hint="default"/>
                <w:spacing w:val="-67"/>
                <w:sz w:val="18"/>
                <w:szCs w:val="18"/>
              </w:rPr>
              <w:t> </w:t>
            </w:r>
            <w:r>
              <w:rPr>
                <w:rFonts w:ascii="宋体" w:hAnsi="宋体" w:cs="宋体" w:eastAsia="宋体" w:hint="default"/>
                <w:sz w:val="18"/>
                <w:szCs w:val="18"/>
              </w:rPr>
              <w:t>实</w:t>
            </w:r>
            <w:r>
              <w:rPr>
                <w:rFonts w:ascii="宋体" w:hAnsi="宋体" w:cs="宋体" w:eastAsia="宋体" w:hint="default"/>
                <w:spacing w:val="-65"/>
                <w:sz w:val="18"/>
                <w:szCs w:val="18"/>
              </w:rPr>
              <w:t> </w:t>
            </w:r>
            <w:r>
              <w:rPr>
                <w:rFonts w:ascii="宋体" w:hAnsi="宋体" w:cs="宋体" w:eastAsia="宋体" w:hint="default"/>
                <w:sz w:val="18"/>
                <w:szCs w:val="18"/>
              </w:rPr>
              <w:t>施</w:t>
            </w:r>
            <w:r>
              <w:rPr>
                <w:rFonts w:ascii="宋体" w:hAnsi="宋体" w:cs="宋体" w:eastAsia="宋体" w:hint="default"/>
                <w:spacing w:val="-67"/>
                <w:sz w:val="18"/>
                <w:szCs w:val="18"/>
              </w:rPr>
              <w:t> </w:t>
            </w:r>
            <w:r>
              <w:rPr>
                <w:rFonts w:ascii="宋体" w:hAnsi="宋体" w:cs="宋体" w:eastAsia="宋体" w:hint="default"/>
                <w:sz w:val="18"/>
                <w:szCs w:val="18"/>
              </w:rPr>
              <w:t>地</w:t>
            </w:r>
            <w:r>
              <w:rPr>
                <w:rFonts w:ascii="宋体" w:hAnsi="宋体" w:cs="宋体" w:eastAsia="宋体" w:hint="default"/>
                <w:spacing w:val="-67"/>
                <w:sz w:val="18"/>
                <w:szCs w:val="18"/>
              </w:rPr>
              <w:t> </w:t>
            </w:r>
            <w:r>
              <w:rPr>
                <w:rFonts w:ascii="宋体" w:hAnsi="宋体" w:cs="宋体" w:eastAsia="宋体" w:hint="default"/>
                <w:sz w:val="18"/>
                <w:szCs w:val="18"/>
              </w:rPr>
              <w:t>点</w:t>
            </w:r>
            <w:r>
              <w:rPr>
                <w:rFonts w:ascii="宋体" w:hAnsi="宋体" w:cs="宋体" w:eastAsia="宋体" w:hint="default"/>
                <w:spacing w:val="-63"/>
                <w:sz w:val="18"/>
                <w:szCs w:val="18"/>
              </w:rPr>
              <w:t> </w:t>
            </w:r>
            <w:r>
              <w:rPr>
                <w:rFonts w:ascii="宋体" w:hAnsi="宋体" w:cs="宋体" w:eastAsia="宋体" w:hint="default"/>
                <w:sz w:val="18"/>
                <w:szCs w:val="18"/>
              </w:rPr>
              <w:t>变</w:t>
            </w:r>
            <w:r>
              <w:rPr>
                <w:rFonts w:ascii="宋体" w:hAnsi="宋体" w:cs="宋体" w:eastAsia="宋体" w:hint="default"/>
                <w:spacing w:val="-67"/>
                <w:sz w:val="18"/>
                <w:szCs w:val="18"/>
              </w:rPr>
              <w:t> </w:t>
            </w:r>
            <w:r>
              <w:rPr>
                <w:rFonts w:ascii="宋体" w:hAnsi="宋体" w:cs="宋体" w:eastAsia="宋体" w:hint="default"/>
                <w:sz w:val="18"/>
                <w:szCs w:val="18"/>
              </w:rPr>
              <w:t>更</w:t>
            </w:r>
            <w:r>
              <w:rPr>
                <w:rFonts w:ascii="宋体" w:hAnsi="宋体" w:cs="宋体" w:eastAsia="宋体" w:hint="default"/>
                <w:sz w:val="18"/>
                <w:szCs w:val="18"/>
              </w:rPr>
              <w:t> 情况</w:t>
            </w:r>
          </w:p>
        </w:tc>
        <w:tc>
          <w:tcPr>
            <w:tcW w:w="8621" w:type="dxa"/>
            <w:gridSpan w:val="10"/>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28"/>
              <w:ind w:left="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24" w:hRule="exact"/>
        </w:trPr>
        <w:tc>
          <w:tcPr>
            <w:tcW w:w="1428"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10"/>
              <w:ind w:left="4" w:right="0"/>
              <w:jc w:val="both"/>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67"/>
                <w:sz w:val="18"/>
                <w:szCs w:val="18"/>
              </w:rPr>
              <w:t> </w:t>
            </w:r>
            <w:r>
              <w:rPr>
                <w:rFonts w:ascii="宋体" w:hAnsi="宋体" w:cs="宋体" w:eastAsia="宋体" w:hint="default"/>
                <w:sz w:val="18"/>
                <w:szCs w:val="18"/>
              </w:rPr>
              <w:t>集</w:t>
            </w:r>
            <w:r>
              <w:rPr>
                <w:rFonts w:ascii="宋体" w:hAnsi="宋体" w:cs="宋体" w:eastAsia="宋体" w:hint="default"/>
                <w:spacing w:val="-65"/>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3"/>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项</w:t>
            </w:r>
            <w:r>
              <w:rPr>
                <w:rFonts w:ascii="宋体" w:hAnsi="宋体" w:cs="宋体" w:eastAsia="宋体" w:hint="default"/>
                <w:sz w:val="18"/>
                <w:szCs w:val="18"/>
              </w:rPr>
              <w:t> 目</w:t>
            </w:r>
            <w:r>
              <w:rPr>
                <w:rFonts w:ascii="宋体" w:hAnsi="宋体" w:cs="宋体" w:eastAsia="宋体" w:hint="default"/>
                <w:spacing w:val="-67"/>
                <w:sz w:val="18"/>
                <w:szCs w:val="18"/>
              </w:rPr>
              <w:t> </w:t>
            </w:r>
            <w:r>
              <w:rPr>
                <w:rFonts w:ascii="宋体" w:hAnsi="宋体" w:cs="宋体" w:eastAsia="宋体" w:hint="default"/>
                <w:sz w:val="18"/>
                <w:szCs w:val="18"/>
              </w:rPr>
              <w:t>实</w:t>
            </w:r>
            <w:r>
              <w:rPr>
                <w:rFonts w:ascii="宋体" w:hAnsi="宋体" w:cs="宋体" w:eastAsia="宋体" w:hint="default"/>
                <w:spacing w:val="-65"/>
                <w:sz w:val="18"/>
                <w:szCs w:val="18"/>
              </w:rPr>
              <w:t> </w:t>
            </w:r>
            <w:r>
              <w:rPr>
                <w:rFonts w:ascii="宋体" w:hAnsi="宋体" w:cs="宋体" w:eastAsia="宋体" w:hint="default"/>
                <w:sz w:val="18"/>
                <w:szCs w:val="18"/>
              </w:rPr>
              <w:t>施</w:t>
            </w:r>
            <w:r>
              <w:rPr>
                <w:rFonts w:ascii="宋体" w:hAnsi="宋体" w:cs="宋体" w:eastAsia="宋体" w:hint="default"/>
                <w:spacing w:val="-67"/>
                <w:sz w:val="18"/>
                <w:szCs w:val="18"/>
              </w:rPr>
              <w:t> </w:t>
            </w:r>
            <w:r>
              <w:rPr>
                <w:rFonts w:ascii="宋体" w:hAnsi="宋体" w:cs="宋体" w:eastAsia="宋体" w:hint="default"/>
                <w:sz w:val="18"/>
                <w:szCs w:val="18"/>
              </w:rPr>
              <w:t>方</w:t>
            </w:r>
            <w:r>
              <w:rPr>
                <w:rFonts w:ascii="宋体" w:hAnsi="宋体" w:cs="宋体" w:eastAsia="宋体" w:hint="default"/>
                <w:spacing w:val="-67"/>
                <w:sz w:val="18"/>
                <w:szCs w:val="18"/>
              </w:rPr>
              <w:t> </w:t>
            </w:r>
            <w:r>
              <w:rPr>
                <w:rFonts w:ascii="宋体" w:hAnsi="宋体" w:cs="宋体" w:eastAsia="宋体" w:hint="default"/>
                <w:sz w:val="18"/>
                <w:szCs w:val="18"/>
              </w:rPr>
              <w:t>式</w:t>
            </w:r>
            <w:r>
              <w:rPr>
                <w:rFonts w:ascii="宋体" w:hAnsi="宋体" w:cs="宋体" w:eastAsia="宋体" w:hint="default"/>
                <w:spacing w:val="-63"/>
                <w:sz w:val="18"/>
                <w:szCs w:val="18"/>
              </w:rPr>
              <w:t> </w:t>
            </w:r>
            <w:r>
              <w:rPr>
                <w:rFonts w:ascii="宋体" w:hAnsi="宋体" w:cs="宋体" w:eastAsia="宋体" w:hint="default"/>
                <w:sz w:val="18"/>
                <w:szCs w:val="18"/>
              </w:rPr>
              <w:t>调</w:t>
            </w:r>
            <w:r>
              <w:rPr>
                <w:rFonts w:ascii="宋体" w:hAnsi="宋体" w:cs="宋体" w:eastAsia="宋体" w:hint="default"/>
                <w:spacing w:val="-67"/>
                <w:sz w:val="18"/>
                <w:szCs w:val="18"/>
              </w:rPr>
              <w:t> </w:t>
            </w:r>
            <w:r>
              <w:rPr>
                <w:rFonts w:ascii="宋体" w:hAnsi="宋体" w:cs="宋体" w:eastAsia="宋体" w:hint="default"/>
                <w:sz w:val="18"/>
                <w:szCs w:val="18"/>
              </w:rPr>
              <w:t>整</w:t>
            </w:r>
            <w:r>
              <w:rPr>
                <w:rFonts w:ascii="宋体" w:hAnsi="宋体" w:cs="宋体" w:eastAsia="宋体" w:hint="default"/>
                <w:sz w:val="18"/>
                <w:szCs w:val="18"/>
              </w:rPr>
              <w:t> 情况</w:t>
            </w:r>
          </w:p>
        </w:tc>
        <w:tc>
          <w:tcPr>
            <w:tcW w:w="8621" w:type="dxa"/>
            <w:gridSpan w:val="10"/>
            <w:tcBorders>
              <w:top w:val="single" w:sz="10" w:space="0" w:color="000000"/>
              <w:left w:val="single" w:sz="6" w:space="0" w:color="000000"/>
              <w:bottom w:val="single" w:sz="10" w:space="0" w:color="000000"/>
              <w:right w:val="single" w:sz="6" w:space="0" w:color="000000"/>
            </w:tcBorders>
          </w:tcPr>
          <w:p>
            <w:pPr>
              <w:pStyle w:val="TableParagraph"/>
              <w:spacing w:line="300" w:lineRule="auto" w:before="130"/>
              <w:ind w:left="4" w:right="-3"/>
              <w:jc w:val="both"/>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日召开第四届董事会第九次（临时）会议，于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年第二次临时股东</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大会，审议通过《关于部分变更募集资金用途的议案》，将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年度非公开发行股票募集资金投资项目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互联</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1"/>
                <w:sz w:val="18"/>
                <w:szCs w:val="18"/>
              </w:rPr>
              <w:t>网包装印刷产业云平台及生态系统建设项目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智能包装物联网平台项目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变更为实施</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包装印刷工业</w:t>
            </w:r>
            <w:r>
              <w:rPr>
                <w:rFonts w:ascii="Times New Roman" w:hAnsi="Times New Roman" w:cs="Times New Roman" w:eastAsia="Times New Roman" w:hint="default"/>
                <w:spacing w:val="-1"/>
                <w:sz w:val="18"/>
                <w:szCs w:val="18"/>
              </w:rPr>
              <w:t>4.0</w:t>
            </w:r>
            <w:r>
              <w:rPr>
                <w:rFonts w:ascii="宋体" w:hAnsi="宋体" w:cs="宋体" w:eastAsia="宋体" w:hint="default"/>
                <w:spacing w:val="-1"/>
                <w:sz w:val="18"/>
                <w:szCs w:val="18"/>
              </w:rPr>
              <w:t>智慧型</w:t>
            </w:r>
            <w:r>
              <w:rPr>
                <w:rFonts w:ascii="宋体" w:hAnsi="宋体" w:cs="宋体" w:eastAsia="宋体" w:hint="default"/>
                <w:spacing w:val="-87"/>
                <w:sz w:val="18"/>
                <w:szCs w:val="18"/>
              </w:rPr>
              <w:t> </w:t>
            </w:r>
            <w:r>
              <w:rPr>
                <w:rFonts w:ascii="宋体" w:hAnsi="宋体" w:cs="宋体" w:eastAsia="宋体" w:hint="default"/>
                <w:sz w:val="18"/>
                <w:szCs w:val="18"/>
              </w:rPr>
              <w:t>工厂（六安）项目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包装印刷工业进出口贸易及保税加工（岳阳）项目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高端环保包装生产基地项目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972" w:hRule="exact"/>
        </w:trPr>
        <w:tc>
          <w:tcPr>
            <w:tcW w:w="1428"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4" w:right="0"/>
              <w:jc w:val="both"/>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67"/>
                <w:sz w:val="18"/>
                <w:szCs w:val="18"/>
              </w:rPr>
              <w:t> </w:t>
            </w:r>
            <w:r>
              <w:rPr>
                <w:rFonts w:ascii="宋体" w:hAnsi="宋体" w:cs="宋体" w:eastAsia="宋体" w:hint="default"/>
                <w:sz w:val="18"/>
                <w:szCs w:val="18"/>
              </w:rPr>
              <w:t>集</w:t>
            </w:r>
            <w:r>
              <w:rPr>
                <w:rFonts w:ascii="宋体" w:hAnsi="宋体" w:cs="宋体" w:eastAsia="宋体" w:hint="default"/>
                <w:spacing w:val="-65"/>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3"/>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项</w:t>
            </w:r>
            <w:r>
              <w:rPr>
                <w:rFonts w:ascii="宋体" w:hAnsi="宋体" w:cs="宋体" w:eastAsia="宋体" w:hint="default"/>
                <w:sz w:val="18"/>
                <w:szCs w:val="18"/>
              </w:rPr>
              <w:t> 目</w:t>
            </w:r>
            <w:r>
              <w:rPr>
                <w:rFonts w:ascii="宋体" w:hAnsi="宋体" w:cs="宋体" w:eastAsia="宋体" w:hint="default"/>
                <w:spacing w:val="-67"/>
                <w:sz w:val="18"/>
                <w:szCs w:val="18"/>
              </w:rPr>
              <w:t> </w:t>
            </w:r>
            <w:r>
              <w:rPr>
                <w:rFonts w:ascii="宋体" w:hAnsi="宋体" w:cs="宋体" w:eastAsia="宋体" w:hint="default"/>
                <w:sz w:val="18"/>
                <w:szCs w:val="18"/>
              </w:rPr>
              <w:t>先</w:t>
            </w:r>
            <w:r>
              <w:rPr>
                <w:rFonts w:ascii="宋体" w:hAnsi="宋体" w:cs="宋体" w:eastAsia="宋体" w:hint="default"/>
                <w:spacing w:val="-65"/>
                <w:sz w:val="18"/>
                <w:szCs w:val="18"/>
              </w:rPr>
              <w:t> </w:t>
            </w:r>
            <w:r>
              <w:rPr>
                <w:rFonts w:ascii="宋体" w:hAnsi="宋体" w:cs="宋体" w:eastAsia="宋体" w:hint="default"/>
                <w:sz w:val="18"/>
                <w:szCs w:val="18"/>
              </w:rPr>
              <w:t>期</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7"/>
                <w:sz w:val="18"/>
                <w:szCs w:val="18"/>
              </w:rPr>
              <w:t> </w:t>
            </w:r>
            <w:r>
              <w:rPr>
                <w:rFonts w:ascii="宋体" w:hAnsi="宋体" w:cs="宋体" w:eastAsia="宋体" w:hint="default"/>
                <w:sz w:val="18"/>
                <w:szCs w:val="18"/>
              </w:rPr>
              <w:t>入</w:t>
            </w:r>
            <w:r>
              <w:rPr>
                <w:rFonts w:ascii="宋体" w:hAnsi="宋体" w:cs="宋体" w:eastAsia="宋体" w:hint="default"/>
                <w:spacing w:val="-63"/>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z w:val="18"/>
                <w:szCs w:val="18"/>
              </w:rPr>
              <w:t>置</w:t>
            </w:r>
            <w:r>
              <w:rPr>
                <w:rFonts w:ascii="宋体" w:hAnsi="宋体" w:cs="宋体" w:eastAsia="宋体" w:hint="default"/>
                <w:sz w:val="18"/>
                <w:szCs w:val="18"/>
              </w:rPr>
              <w:t> 换情况</w:t>
            </w:r>
          </w:p>
        </w:tc>
        <w:tc>
          <w:tcPr>
            <w:tcW w:w="8621" w:type="dxa"/>
            <w:gridSpan w:val="10"/>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28"/>
              <w:ind w:left="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70" w:hRule="exact"/>
        </w:trPr>
        <w:tc>
          <w:tcPr>
            <w:tcW w:w="1428"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4" w:right="0"/>
              <w:jc w:val="both"/>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67"/>
                <w:sz w:val="18"/>
                <w:szCs w:val="18"/>
              </w:rPr>
              <w:t> </w:t>
            </w:r>
            <w:r>
              <w:rPr>
                <w:rFonts w:ascii="宋体" w:hAnsi="宋体" w:cs="宋体" w:eastAsia="宋体" w:hint="default"/>
                <w:sz w:val="18"/>
                <w:szCs w:val="18"/>
              </w:rPr>
              <w:t>闲</w:t>
            </w:r>
            <w:r>
              <w:rPr>
                <w:rFonts w:ascii="宋体" w:hAnsi="宋体" w:cs="宋体" w:eastAsia="宋体" w:hint="default"/>
                <w:spacing w:val="-65"/>
                <w:sz w:val="18"/>
                <w:szCs w:val="18"/>
              </w:rPr>
              <w:t> </w:t>
            </w:r>
            <w:r>
              <w:rPr>
                <w:rFonts w:ascii="宋体" w:hAnsi="宋体" w:cs="宋体" w:eastAsia="宋体" w:hint="default"/>
                <w:sz w:val="18"/>
                <w:szCs w:val="18"/>
              </w:rPr>
              <w:t>置</w:t>
            </w:r>
            <w:r>
              <w:rPr>
                <w:rFonts w:ascii="宋体" w:hAnsi="宋体" w:cs="宋体" w:eastAsia="宋体" w:hint="default"/>
                <w:spacing w:val="-67"/>
                <w:sz w:val="18"/>
                <w:szCs w:val="18"/>
              </w:rPr>
              <w:t> </w:t>
            </w:r>
            <w:r>
              <w:rPr>
                <w:rFonts w:ascii="宋体" w:hAnsi="宋体" w:cs="宋体" w:eastAsia="宋体" w:hint="default"/>
                <w:sz w:val="18"/>
                <w:szCs w:val="18"/>
              </w:rPr>
              <w:t>募</w:t>
            </w:r>
            <w:r>
              <w:rPr>
                <w:rFonts w:ascii="宋体" w:hAnsi="宋体" w:cs="宋体" w:eastAsia="宋体" w:hint="default"/>
                <w:spacing w:val="-67"/>
                <w:sz w:val="18"/>
                <w:szCs w:val="18"/>
              </w:rPr>
              <w:t> </w:t>
            </w:r>
            <w:r>
              <w:rPr>
                <w:rFonts w:ascii="宋体" w:hAnsi="宋体" w:cs="宋体" w:eastAsia="宋体" w:hint="default"/>
                <w:sz w:val="18"/>
                <w:szCs w:val="18"/>
              </w:rPr>
              <w:t>集</w:t>
            </w:r>
            <w:r>
              <w:rPr>
                <w:rFonts w:ascii="宋体" w:hAnsi="宋体" w:cs="宋体" w:eastAsia="宋体" w:hint="default"/>
                <w:spacing w:val="-63"/>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z w:val="18"/>
                <w:szCs w:val="18"/>
              </w:rPr>
              <w:t> 暂</w:t>
            </w:r>
            <w:r>
              <w:rPr>
                <w:rFonts w:ascii="宋体" w:hAnsi="宋体" w:cs="宋体" w:eastAsia="宋体" w:hint="default"/>
                <w:spacing w:val="-67"/>
                <w:sz w:val="18"/>
                <w:szCs w:val="18"/>
              </w:rPr>
              <w:t> </w:t>
            </w:r>
            <w:r>
              <w:rPr>
                <w:rFonts w:ascii="宋体" w:hAnsi="宋体" w:cs="宋体" w:eastAsia="宋体" w:hint="default"/>
                <w:sz w:val="18"/>
                <w:szCs w:val="18"/>
              </w:rPr>
              <w:t>时</w:t>
            </w:r>
            <w:r>
              <w:rPr>
                <w:rFonts w:ascii="宋体" w:hAnsi="宋体" w:cs="宋体" w:eastAsia="宋体" w:hint="default"/>
                <w:spacing w:val="-65"/>
                <w:sz w:val="18"/>
                <w:szCs w:val="18"/>
              </w:rPr>
              <w:t> </w:t>
            </w:r>
            <w:r>
              <w:rPr>
                <w:rFonts w:ascii="宋体" w:hAnsi="宋体" w:cs="宋体" w:eastAsia="宋体" w:hint="default"/>
                <w:sz w:val="18"/>
                <w:szCs w:val="18"/>
              </w:rPr>
              <w:t>补</w:t>
            </w:r>
            <w:r>
              <w:rPr>
                <w:rFonts w:ascii="宋体" w:hAnsi="宋体" w:cs="宋体" w:eastAsia="宋体" w:hint="default"/>
                <w:spacing w:val="-67"/>
                <w:sz w:val="18"/>
                <w:szCs w:val="18"/>
              </w:rPr>
              <w:t> </w:t>
            </w:r>
            <w:r>
              <w:rPr>
                <w:rFonts w:ascii="宋体" w:hAnsi="宋体" w:cs="宋体" w:eastAsia="宋体" w:hint="default"/>
                <w:sz w:val="18"/>
                <w:szCs w:val="18"/>
              </w:rPr>
              <w:t>充</w:t>
            </w:r>
            <w:r>
              <w:rPr>
                <w:rFonts w:ascii="宋体" w:hAnsi="宋体" w:cs="宋体" w:eastAsia="宋体" w:hint="default"/>
                <w:spacing w:val="-67"/>
                <w:sz w:val="18"/>
                <w:szCs w:val="18"/>
              </w:rPr>
              <w:t> </w:t>
            </w:r>
            <w:r>
              <w:rPr>
                <w:rFonts w:ascii="宋体" w:hAnsi="宋体" w:cs="宋体" w:eastAsia="宋体" w:hint="default"/>
                <w:sz w:val="18"/>
                <w:szCs w:val="18"/>
              </w:rPr>
              <w:t>流</w:t>
            </w:r>
            <w:r>
              <w:rPr>
                <w:rFonts w:ascii="宋体" w:hAnsi="宋体" w:cs="宋体" w:eastAsia="宋体" w:hint="default"/>
                <w:spacing w:val="-63"/>
                <w:sz w:val="18"/>
                <w:szCs w:val="18"/>
              </w:rPr>
              <w:t> </w:t>
            </w:r>
            <w:r>
              <w:rPr>
                <w:rFonts w:ascii="宋体" w:hAnsi="宋体" w:cs="宋体" w:eastAsia="宋体" w:hint="default"/>
                <w:sz w:val="18"/>
                <w:szCs w:val="18"/>
              </w:rPr>
              <w:t>动</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z w:val="18"/>
                <w:szCs w:val="18"/>
              </w:rPr>
              <w:t> 金情况</w:t>
            </w:r>
          </w:p>
        </w:tc>
        <w:tc>
          <w:tcPr>
            <w:tcW w:w="8621" w:type="dxa"/>
            <w:gridSpan w:val="10"/>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28"/>
              <w:ind w:left="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72" w:hRule="exact"/>
        </w:trPr>
        <w:tc>
          <w:tcPr>
            <w:tcW w:w="1428"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10"/>
              <w:ind w:left="4" w:right="0"/>
              <w:jc w:val="both"/>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67"/>
                <w:sz w:val="18"/>
                <w:szCs w:val="18"/>
              </w:rPr>
              <w:t> </w:t>
            </w:r>
            <w:r>
              <w:rPr>
                <w:rFonts w:ascii="宋体" w:hAnsi="宋体" w:cs="宋体" w:eastAsia="宋体" w:hint="default"/>
                <w:sz w:val="18"/>
                <w:szCs w:val="18"/>
              </w:rPr>
              <w:t>目</w:t>
            </w:r>
            <w:r>
              <w:rPr>
                <w:rFonts w:ascii="宋体" w:hAnsi="宋体" w:cs="宋体" w:eastAsia="宋体" w:hint="default"/>
                <w:spacing w:val="-65"/>
                <w:sz w:val="18"/>
                <w:szCs w:val="18"/>
              </w:rPr>
              <w:t> </w:t>
            </w:r>
            <w:r>
              <w:rPr>
                <w:rFonts w:ascii="宋体" w:hAnsi="宋体" w:cs="宋体" w:eastAsia="宋体" w:hint="default"/>
                <w:sz w:val="18"/>
                <w:szCs w:val="18"/>
              </w:rPr>
              <w:t>实</w:t>
            </w:r>
            <w:r>
              <w:rPr>
                <w:rFonts w:ascii="宋体" w:hAnsi="宋体" w:cs="宋体" w:eastAsia="宋体" w:hint="default"/>
                <w:spacing w:val="-67"/>
                <w:sz w:val="18"/>
                <w:szCs w:val="18"/>
              </w:rPr>
              <w:t> </w:t>
            </w:r>
            <w:r>
              <w:rPr>
                <w:rFonts w:ascii="宋体" w:hAnsi="宋体" w:cs="宋体" w:eastAsia="宋体" w:hint="default"/>
                <w:sz w:val="18"/>
                <w:szCs w:val="18"/>
              </w:rPr>
              <w:t>施</w:t>
            </w:r>
            <w:r>
              <w:rPr>
                <w:rFonts w:ascii="宋体" w:hAnsi="宋体" w:cs="宋体" w:eastAsia="宋体" w:hint="default"/>
                <w:spacing w:val="-67"/>
                <w:sz w:val="18"/>
                <w:szCs w:val="18"/>
              </w:rPr>
              <w:t> </w:t>
            </w:r>
            <w:r>
              <w:rPr>
                <w:rFonts w:ascii="宋体" w:hAnsi="宋体" w:cs="宋体" w:eastAsia="宋体" w:hint="default"/>
                <w:sz w:val="18"/>
                <w:szCs w:val="18"/>
              </w:rPr>
              <w:t>出</w:t>
            </w:r>
            <w:r>
              <w:rPr>
                <w:rFonts w:ascii="宋体" w:hAnsi="宋体" w:cs="宋体" w:eastAsia="宋体" w:hint="default"/>
                <w:spacing w:val="-63"/>
                <w:sz w:val="18"/>
                <w:szCs w:val="18"/>
              </w:rPr>
              <w:t> </w:t>
            </w:r>
            <w:r>
              <w:rPr>
                <w:rFonts w:ascii="宋体" w:hAnsi="宋体" w:cs="宋体" w:eastAsia="宋体" w:hint="default"/>
                <w:sz w:val="18"/>
                <w:szCs w:val="18"/>
              </w:rPr>
              <w:t>现</w:t>
            </w:r>
            <w:r>
              <w:rPr>
                <w:rFonts w:ascii="宋体" w:hAnsi="宋体" w:cs="宋体" w:eastAsia="宋体" w:hint="default"/>
                <w:spacing w:val="-67"/>
                <w:sz w:val="18"/>
                <w:szCs w:val="18"/>
              </w:rPr>
              <w:t> </w:t>
            </w:r>
            <w:r>
              <w:rPr>
                <w:rFonts w:ascii="宋体" w:hAnsi="宋体" w:cs="宋体" w:eastAsia="宋体" w:hint="default"/>
                <w:sz w:val="18"/>
                <w:szCs w:val="18"/>
              </w:rPr>
              <w:t>募</w:t>
            </w:r>
            <w:r>
              <w:rPr>
                <w:rFonts w:ascii="宋体" w:hAnsi="宋体" w:cs="宋体" w:eastAsia="宋体" w:hint="default"/>
                <w:sz w:val="18"/>
                <w:szCs w:val="18"/>
              </w:rPr>
              <w:t> 集</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5"/>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结</w:t>
            </w:r>
            <w:r>
              <w:rPr>
                <w:rFonts w:ascii="宋体" w:hAnsi="宋体" w:cs="宋体" w:eastAsia="宋体" w:hint="default"/>
                <w:spacing w:val="-67"/>
                <w:sz w:val="18"/>
                <w:szCs w:val="18"/>
              </w:rPr>
              <w:t> </w:t>
            </w:r>
            <w:r>
              <w:rPr>
                <w:rFonts w:ascii="宋体" w:hAnsi="宋体" w:cs="宋体" w:eastAsia="宋体" w:hint="default"/>
                <w:sz w:val="18"/>
                <w:szCs w:val="18"/>
              </w:rPr>
              <w:t>余</w:t>
            </w:r>
            <w:r>
              <w:rPr>
                <w:rFonts w:ascii="宋体" w:hAnsi="宋体" w:cs="宋体" w:eastAsia="宋体" w:hint="default"/>
                <w:spacing w:val="-63"/>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z w:val="18"/>
                <w:szCs w:val="18"/>
              </w:rPr>
              <w:t> 额及原因</w:t>
            </w:r>
          </w:p>
        </w:tc>
        <w:tc>
          <w:tcPr>
            <w:tcW w:w="8621" w:type="dxa"/>
            <w:gridSpan w:val="10"/>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30"/>
              <w:ind w:left="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58" w:hRule="exact"/>
        </w:trPr>
        <w:tc>
          <w:tcPr>
            <w:tcW w:w="1428"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尚</w:t>
            </w:r>
            <w:r>
              <w:rPr>
                <w:rFonts w:ascii="宋体" w:hAnsi="宋体" w:cs="宋体" w:eastAsia="宋体" w:hint="default"/>
                <w:spacing w:val="-67"/>
                <w:sz w:val="18"/>
                <w:szCs w:val="18"/>
              </w:rPr>
              <w:t> </w:t>
            </w:r>
            <w:r>
              <w:rPr>
                <w:rFonts w:ascii="宋体" w:hAnsi="宋体" w:cs="宋体" w:eastAsia="宋体" w:hint="default"/>
                <w:sz w:val="18"/>
                <w:szCs w:val="18"/>
              </w:rPr>
              <w:t>未</w:t>
            </w:r>
            <w:r>
              <w:rPr>
                <w:rFonts w:ascii="宋体" w:hAnsi="宋体" w:cs="宋体" w:eastAsia="宋体" w:hint="default"/>
                <w:spacing w:val="-65"/>
                <w:sz w:val="18"/>
                <w:szCs w:val="18"/>
              </w:rPr>
              <w:t> </w:t>
            </w:r>
            <w:r>
              <w:rPr>
                <w:rFonts w:ascii="宋体" w:hAnsi="宋体" w:cs="宋体" w:eastAsia="宋体" w:hint="default"/>
                <w:sz w:val="18"/>
                <w:szCs w:val="18"/>
              </w:rPr>
              <w:t>使</w:t>
            </w:r>
            <w:r>
              <w:rPr>
                <w:rFonts w:ascii="宋体" w:hAnsi="宋体" w:cs="宋体" w:eastAsia="宋体" w:hint="default"/>
                <w:spacing w:val="-67"/>
                <w:sz w:val="18"/>
                <w:szCs w:val="18"/>
              </w:rPr>
              <w:t> </w:t>
            </w:r>
            <w:r>
              <w:rPr>
                <w:rFonts w:ascii="宋体" w:hAnsi="宋体" w:cs="宋体" w:eastAsia="宋体" w:hint="default"/>
                <w:sz w:val="18"/>
                <w:szCs w:val="18"/>
              </w:rPr>
              <w:t>用</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3"/>
                <w:sz w:val="18"/>
                <w:szCs w:val="18"/>
              </w:rPr>
              <w:t> </w:t>
            </w:r>
            <w:r>
              <w:rPr>
                <w:rFonts w:ascii="宋体" w:hAnsi="宋体" w:cs="宋体" w:eastAsia="宋体" w:hint="default"/>
                <w:sz w:val="18"/>
                <w:szCs w:val="18"/>
              </w:rPr>
              <w:t>募</w:t>
            </w:r>
            <w:r>
              <w:rPr>
                <w:rFonts w:ascii="宋体" w:hAnsi="宋体" w:cs="宋体" w:eastAsia="宋体" w:hint="default"/>
                <w:spacing w:val="-67"/>
                <w:sz w:val="18"/>
                <w:szCs w:val="18"/>
              </w:rPr>
              <w:t> </w:t>
            </w:r>
            <w:r>
              <w:rPr>
                <w:rFonts w:ascii="宋体" w:hAnsi="宋体" w:cs="宋体" w:eastAsia="宋体" w:hint="default"/>
                <w:sz w:val="18"/>
                <w:szCs w:val="18"/>
              </w:rPr>
              <w:t>集</w:t>
            </w:r>
            <w:r>
              <w:rPr>
                <w:rFonts w:ascii="宋体" w:hAnsi="宋体" w:cs="宋体" w:eastAsia="宋体" w:hint="default"/>
                <w:sz w:val="18"/>
                <w:szCs w:val="18"/>
              </w:rPr>
              <w:t> 资金用途及去向</w:t>
            </w:r>
          </w:p>
        </w:tc>
        <w:tc>
          <w:tcPr>
            <w:tcW w:w="8621" w:type="dxa"/>
            <w:gridSpan w:val="10"/>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28"/>
              <w:ind w:left="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日，尚未使用的募集资金存放在募集资金专户中，用于募集资金投资项目的后续投入。</w:t>
            </w:r>
          </w:p>
        </w:tc>
      </w:tr>
      <w:tr>
        <w:trPr>
          <w:trHeight w:val="967" w:hRule="exact"/>
        </w:trPr>
        <w:tc>
          <w:tcPr>
            <w:tcW w:w="1428" w:type="dxa"/>
            <w:tcBorders>
              <w:top w:val="single" w:sz="10"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10"/>
              <w:ind w:left="4" w:right="0"/>
              <w:jc w:val="both"/>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67"/>
                <w:sz w:val="18"/>
                <w:szCs w:val="18"/>
              </w:rPr>
              <w:t> </w:t>
            </w:r>
            <w:r>
              <w:rPr>
                <w:rFonts w:ascii="宋体" w:hAnsi="宋体" w:cs="宋体" w:eastAsia="宋体" w:hint="default"/>
                <w:sz w:val="18"/>
                <w:szCs w:val="18"/>
              </w:rPr>
              <w:t>集</w:t>
            </w:r>
            <w:r>
              <w:rPr>
                <w:rFonts w:ascii="宋体" w:hAnsi="宋体" w:cs="宋体" w:eastAsia="宋体" w:hint="default"/>
                <w:spacing w:val="-65"/>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使</w:t>
            </w:r>
            <w:r>
              <w:rPr>
                <w:rFonts w:ascii="宋体" w:hAnsi="宋体" w:cs="宋体" w:eastAsia="宋体" w:hint="default"/>
                <w:spacing w:val="-63"/>
                <w:sz w:val="18"/>
                <w:szCs w:val="18"/>
              </w:rPr>
              <w:t> </w:t>
            </w:r>
            <w:r>
              <w:rPr>
                <w:rFonts w:ascii="宋体" w:hAnsi="宋体" w:cs="宋体" w:eastAsia="宋体" w:hint="default"/>
                <w:sz w:val="18"/>
                <w:szCs w:val="18"/>
              </w:rPr>
              <w:t>用</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z w:val="18"/>
                <w:szCs w:val="18"/>
              </w:rPr>
              <w:t> 披</w:t>
            </w:r>
            <w:r>
              <w:rPr>
                <w:rFonts w:ascii="宋体" w:hAnsi="宋体" w:cs="宋体" w:eastAsia="宋体" w:hint="default"/>
                <w:spacing w:val="-67"/>
                <w:sz w:val="18"/>
                <w:szCs w:val="18"/>
              </w:rPr>
              <w:t> </w:t>
            </w:r>
            <w:r>
              <w:rPr>
                <w:rFonts w:ascii="宋体" w:hAnsi="宋体" w:cs="宋体" w:eastAsia="宋体" w:hint="default"/>
                <w:sz w:val="18"/>
                <w:szCs w:val="18"/>
              </w:rPr>
              <w:t>露</w:t>
            </w:r>
            <w:r>
              <w:rPr>
                <w:rFonts w:ascii="宋体" w:hAnsi="宋体" w:cs="宋体" w:eastAsia="宋体" w:hint="default"/>
                <w:spacing w:val="-65"/>
                <w:sz w:val="18"/>
                <w:szCs w:val="18"/>
              </w:rPr>
              <w:t> </w:t>
            </w:r>
            <w:r>
              <w:rPr>
                <w:rFonts w:ascii="宋体" w:hAnsi="宋体" w:cs="宋体" w:eastAsia="宋体" w:hint="default"/>
                <w:sz w:val="18"/>
                <w:szCs w:val="18"/>
              </w:rPr>
              <w:t>中</w:t>
            </w:r>
            <w:r>
              <w:rPr>
                <w:rFonts w:ascii="宋体" w:hAnsi="宋体" w:cs="宋体" w:eastAsia="宋体" w:hint="default"/>
                <w:spacing w:val="-67"/>
                <w:sz w:val="18"/>
                <w:szCs w:val="18"/>
              </w:rPr>
              <w:t> </w:t>
            </w:r>
            <w:r>
              <w:rPr>
                <w:rFonts w:ascii="宋体" w:hAnsi="宋体" w:cs="宋体" w:eastAsia="宋体" w:hint="default"/>
                <w:sz w:val="18"/>
                <w:szCs w:val="18"/>
              </w:rPr>
              <w:t>存</w:t>
            </w:r>
            <w:r>
              <w:rPr>
                <w:rFonts w:ascii="宋体" w:hAnsi="宋体" w:cs="宋体" w:eastAsia="宋体" w:hint="default"/>
                <w:spacing w:val="-67"/>
                <w:sz w:val="18"/>
                <w:szCs w:val="18"/>
              </w:rPr>
              <w:t> </w:t>
            </w:r>
            <w:r>
              <w:rPr>
                <w:rFonts w:ascii="宋体" w:hAnsi="宋体" w:cs="宋体" w:eastAsia="宋体" w:hint="default"/>
                <w:sz w:val="18"/>
                <w:szCs w:val="18"/>
              </w:rPr>
              <w:t>在</w:t>
            </w:r>
            <w:r>
              <w:rPr>
                <w:rFonts w:ascii="宋体" w:hAnsi="宋体" w:cs="宋体" w:eastAsia="宋体" w:hint="default"/>
                <w:spacing w:val="-63"/>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z w:val="18"/>
                <w:szCs w:val="18"/>
              </w:rPr>
              <w:t>问</w:t>
            </w:r>
            <w:r>
              <w:rPr>
                <w:rFonts w:ascii="宋体" w:hAnsi="宋体" w:cs="宋体" w:eastAsia="宋体" w:hint="default"/>
                <w:sz w:val="18"/>
                <w:szCs w:val="18"/>
              </w:rPr>
              <w:t> 题或其他情况</w:t>
            </w:r>
          </w:p>
        </w:tc>
        <w:tc>
          <w:tcPr>
            <w:tcW w:w="8621" w:type="dxa"/>
            <w:gridSpan w:val="10"/>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0"/>
              <w:ind w:left="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6"/>
          <w:szCs w:val="16"/>
        </w:rPr>
      </w:pPr>
    </w:p>
    <w:p>
      <w:pPr>
        <w:pStyle w:val="BodyText"/>
        <w:spacing w:line="300" w:lineRule="auto" w:before="37"/>
        <w:ind w:left="512" w:right="1555"/>
        <w:jc w:val="both"/>
      </w:pPr>
      <w:r>
        <w:rPr/>
        <w:t>注：经公司第四届董事会第九次（临时）会议及公司</w:t>
      </w:r>
      <w:r>
        <w:rPr>
          <w:rFonts w:ascii="Times New Roman" w:hAnsi="Times New Roman" w:cs="Times New Roman" w:eastAsia="Times New Roman" w:hint="default"/>
        </w:rPr>
        <w:t>2017</w:t>
      </w:r>
      <w:r>
        <w:rPr/>
        <w:t>年第二次临时股东大会审议通过，公司将</w:t>
      </w:r>
      <w:r>
        <w:rPr>
          <w:rFonts w:ascii="Times New Roman" w:hAnsi="Times New Roman" w:cs="Times New Roman" w:eastAsia="Times New Roman" w:hint="default"/>
        </w:rPr>
        <w:t>2015</w:t>
      </w:r>
      <w:r>
        <w:rPr/>
        <w:t>年度非公开发</w:t>
      </w:r>
      <w:r>
        <w:rPr>
          <w:spacing w:val="-70"/>
        </w:rPr>
        <w:t> </w:t>
      </w:r>
      <w:r>
        <w:rPr>
          <w:spacing w:val="2"/>
        </w:rPr>
        <w:t>行股票募集资金投资项目中</w:t>
      </w:r>
      <w:r>
        <w:rPr>
          <w:rFonts w:ascii="Times New Roman" w:hAnsi="Times New Roman" w:cs="Times New Roman" w:eastAsia="Times New Roman" w:hint="default"/>
          <w:spacing w:val="2"/>
        </w:rPr>
        <w:t>“</w:t>
      </w:r>
      <w:r>
        <w:rPr>
          <w:spacing w:val="2"/>
        </w:rPr>
        <w:t>互联网包装印刷产业云平台及生态系统建设项目</w:t>
      </w:r>
      <w:r>
        <w:rPr>
          <w:rFonts w:ascii="Times New Roman" w:hAnsi="Times New Roman" w:cs="Times New Roman" w:eastAsia="Times New Roman" w:hint="default"/>
          <w:spacing w:val="2"/>
        </w:rPr>
        <w:t>”</w:t>
      </w: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日全部募集资金余额</w:t>
      </w:r>
      <w:r>
        <w:rPr/>
        <w:t> 以及上述募投项目对应的募集资金专户自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日后、募集资金投资项目变更前收到的其他募集资金利息净额</w:t>
      </w:r>
    </w:p>
    <w:p>
      <w:pPr>
        <w:spacing w:after="0" w:line="300" w:lineRule="auto"/>
        <w:jc w:val="both"/>
        <w:sectPr>
          <w:pgSz w:w="11910" w:h="16840"/>
          <w:pgMar w:header="753" w:footer="982" w:top="1060" w:bottom="1180" w:left="620" w:right="0"/>
        </w:sectPr>
      </w:pPr>
    </w:p>
    <w:p>
      <w:pPr>
        <w:spacing w:line="240" w:lineRule="auto" w:before="4"/>
        <w:rPr>
          <w:rFonts w:ascii="宋体" w:hAnsi="宋体" w:cs="宋体" w:eastAsia="宋体" w:hint="default"/>
          <w:sz w:val="26"/>
          <w:szCs w:val="26"/>
        </w:rPr>
      </w:pPr>
    </w:p>
    <w:p>
      <w:pPr>
        <w:pStyle w:val="BodyText"/>
        <w:spacing w:line="300" w:lineRule="auto" w:before="37"/>
        <w:ind w:right="1549"/>
        <w:jc w:val="left"/>
      </w:pPr>
      <w:r>
        <w:rPr/>
        <w:t>（利息收入具体以转出时利息金额为准）全部变更投入</w:t>
      </w:r>
      <w:r>
        <w:rPr>
          <w:rFonts w:ascii="Times New Roman" w:hAnsi="Times New Roman" w:cs="Times New Roman" w:eastAsia="Times New Roman" w:hint="default"/>
        </w:rPr>
        <w:t>“</w:t>
      </w:r>
      <w:r>
        <w:rPr/>
        <w:t>包装印刷工业</w:t>
      </w:r>
      <w:r>
        <w:rPr>
          <w:rFonts w:ascii="Times New Roman" w:hAnsi="Times New Roman" w:cs="Times New Roman" w:eastAsia="Times New Roman" w:hint="default"/>
        </w:rPr>
        <w:t>4.0</w:t>
      </w:r>
      <w:r>
        <w:rPr/>
        <w:t>智慧型工厂（六安）项目</w:t>
      </w:r>
      <w:r>
        <w:rPr>
          <w:rFonts w:ascii="Times New Roman" w:hAnsi="Times New Roman" w:cs="Times New Roman" w:eastAsia="Times New Roman" w:hint="default"/>
        </w:rPr>
        <w:t>”</w:t>
      </w:r>
      <w:r>
        <w:rPr/>
        <w:t>的建设，因此对应</w:t>
      </w:r>
      <w:r>
        <w:rPr>
          <w:spacing w:val="-87"/>
        </w:rPr>
        <w:t> </w:t>
      </w:r>
      <w:r>
        <w:rPr>
          <w:spacing w:val="-87"/>
        </w:rPr>
      </w:r>
      <w:r>
        <w:rPr/>
        <w:t>的募集资金专户自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日后的募集资金利息净额无法全面体现，此处仅列示已变更募集资金本金金额。</w:t>
      </w:r>
    </w:p>
    <w:p>
      <w:pPr>
        <w:spacing w:line="240" w:lineRule="auto" w:before="4"/>
        <w:rPr>
          <w:rFonts w:ascii="宋体" w:hAnsi="宋体" w:cs="宋体" w:eastAsia="宋体" w:hint="default"/>
          <w:sz w:val="19"/>
          <w:szCs w:val="19"/>
        </w:rPr>
      </w:pPr>
    </w:p>
    <w:p>
      <w:pPr>
        <w:pStyle w:val="BodyText"/>
        <w:spacing w:line="240" w:lineRule="auto"/>
        <w:ind w:right="984"/>
        <w:jc w:val="left"/>
      </w:pPr>
      <w:r>
        <w:rPr/>
        <w:t>①为提升募投项目的运营效率，包装印刷工业</w:t>
      </w:r>
      <w:r>
        <w:rPr>
          <w:rFonts w:ascii="Times New Roman" w:hAnsi="Times New Roman" w:cs="Times New Roman" w:eastAsia="Times New Roman" w:hint="default"/>
        </w:rPr>
        <w:t>4.0</w:t>
      </w:r>
      <w:r>
        <w:rPr/>
        <w:t>智慧工厂（成都）项目部分生产线将于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月逐步投入使用。</w:t>
      </w:r>
    </w:p>
    <w:p>
      <w:pPr>
        <w:spacing w:line="240" w:lineRule="auto" w:before="2"/>
        <w:rPr>
          <w:rFonts w:ascii="宋体" w:hAnsi="宋体" w:cs="宋体" w:eastAsia="宋体" w:hint="default"/>
          <w:sz w:val="23"/>
          <w:szCs w:val="23"/>
        </w:rPr>
      </w:pPr>
    </w:p>
    <w:p>
      <w:pPr>
        <w:pStyle w:val="BodyText"/>
        <w:spacing w:line="240" w:lineRule="auto"/>
        <w:ind w:right="984"/>
        <w:jc w:val="left"/>
      </w:pPr>
      <w:r>
        <w:rPr/>
        <w:t>②为提升募投项目的运营效率，包装印刷工业</w:t>
      </w:r>
      <w:r>
        <w:rPr>
          <w:rFonts w:ascii="Times New Roman" w:hAnsi="Times New Roman" w:cs="Times New Roman" w:eastAsia="Times New Roman" w:hint="default"/>
        </w:rPr>
        <w:t>4.0</w:t>
      </w:r>
      <w:r>
        <w:rPr/>
        <w:t>智慧工厂（六安）项目部分生产线将于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月逐步投入使用。</w:t>
      </w:r>
    </w:p>
    <w:p>
      <w:pPr>
        <w:spacing w:line="240" w:lineRule="auto" w:before="2"/>
        <w:rPr>
          <w:rFonts w:ascii="宋体" w:hAnsi="宋体" w:cs="宋体" w:eastAsia="宋体"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4</w:t>
      </w:r>
      <w:r>
        <w:rPr/>
        <w:t>）募集资金变更项目情况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0" w:right="1133"/>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0" w:right="1135"/>
        <w:jc w:val="right"/>
      </w:pPr>
      <w:r>
        <w:rPr/>
        <w:pict>
          <v:shape style="position:absolute;margin-left:56.459999pt;margin-top:-265.968292pt;width:479.25pt;height:520.2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
                    <w:gridCol w:w="958"/>
                    <w:gridCol w:w="958"/>
                    <w:gridCol w:w="958"/>
                    <w:gridCol w:w="958"/>
                    <w:gridCol w:w="955"/>
                    <w:gridCol w:w="958"/>
                    <w:gridCol w:w="955"/>
                    <w:gridCol w:w="958"/>
                    <w:gridCol w:w="958"/>
                  </w:tblGrid>
                  <w:tr>
                    <w:trPr>
                      <w:trHeight w:val="1337" w:hRule="exact"/>
                    </w:trPr>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2" w:right="21"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1"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9"/>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1"/>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4"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1"/>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1"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21"/>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364" w:hRule="exact"/>
                    </w:trPr>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苏州美盈森</w:t>
                        </w: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956"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2" w:right="21"/>
                          <w:jc w:val="left"/>
                          <w:rPr>
                            <w:rFonts w:ascii="宋体" w:hAnsi="宋体" w:cs="宋体" w:eastAsia="宋体" w:hint="default"/>
                            <w:sz w:val="18"/>
                            <w:szCs w:val="18"/>
                          </w:rPr>
                        </w:pPr>
                        <w:r>
                          <w:rPr>
                            <w:rFonts w:ascii="宋体" w:hAnsi="宋体" w:cs="宋体" w:eastAsia="宋体" w:hint="default"/>
                            <w:sz w:val="18"/>
                            <w:szCs w:val="18"/>
                          </w:rPr>
                          <w:t>现代化环保 包装生产基</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4" w:lineRule="auto" w:before="4"/>
                          <w:ind w:left="24" w:right="21"/>
                          <w:jc w:val="left"/>
                          <w:rPr>
                            <w:rFonts w:ascii="宋体" w:hAnsi="宋体" w:cs="宋体" w:eastAsia="宋体" w:hint="default"/>
                            <w:sz w:val="18"/>
                            <w:szCs w:val="18"/>
                          </w:rPr>
                        </w:pPr>
                        <w:r>
                          <w:rPr>
                            <w:rFonts w:ascii="宋体" w:hAnsi="宋体" w:cs="宋体" w:eastAsia="宋体" w:hint="default"/>
                            <w:sz w:val="18"/>
                            <w:szCs w:val="18"/>
                          </w:rPr>
                          <w:t>包装物流一 体化项目</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27,878.38</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27,878.38</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10,837.17</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地项目</w:t>
                        </w: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27,878.38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27,878.38</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10,837.17</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65" w:hRule="exact"/>
                    </w:trPr>
                    <w:tc>
                      <w:tcPr>
                        <w:tcW w:w="2872"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6698"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鉴于公司募集资金投资</w:t>
                        </w:r>
                        <w:r>
                          <w:rPr>
                            <w:rFonts w:ascii="Times New Roman" w:hAnsi="Times New Roman" w:cs="Times New Roman" w:eastAsia="Times New Roman" w:hint="default"/>
                            <w:sz w:val="18"/>
                            <w:szCs w:val="18"/>
                          </w:rPr>
                          <w:t>"</w:t>
                        </w:r>
                        <w:r>
                          <w:rPr>
                            <w:rFonts w:ascii="宋体" w:hAnsi="宋体" w:cs="宋体" w:eastAsia="宋体" w:hint="default"/>
                            <w:sz w:val="18"/>
                            <w:szCs w:val="18"/>
                          </w:rPr>
                          <w:t>包装物流一体化项目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实际运行情况、资金使用进度等，公司</w:t>
                        </w:r>
                      </w:p>
                    </w:tc>
                  </w:tr>
                  <w:tr>
                    <w:trPr>
                      <w:trHeight w:val="311"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日召开的第二届董事会第十三次（临时）会议和于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年第一次临时股东大会审议通过《关于部分变更募集资金投资项目的</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2"/>
                            <w:sz w:val="18"/>
                            <w:szCs w:val="18"/>
                          </w:rPr>
                          <w:t>》</w:t>
                        </w:r>
                        <w:r>
                          <w:rPr>
                            <w:rFonts w:ascii="宋体" w:hAnsi="宋体" w:cs="宋体" w:eastAsia="宋体" w:hint="default"/>
                            <w:spacing w:val="-38"/>
                            <w:sz w:val="18"/>
                            <w:szCs w:val="18"/>
                          </w:rPr>
                          <w:t>，</w:t>
                        </w:r>
                        <w:r>
                          <w:rPr>
                            <w:rFonts w:ascii="宋体" w:hAnsi="宋体" w:cs="宋体" w:eastAsia="宋体" w:hint="default"/>
                            <w:sz w:val="18"/>
                            <w:szCs w:val="18"/>
                          </w:rPr>
                          <w:t>决议终</w:t>
                        </w:r>
                        <w:r>
                          <w:rPr>
                            <w:rFonts w:ascii="宋体" w:hAnsi="宋体" w:cs="宋体" w:eastAsia="宋体" w:hint="default"/>
                            <w:spacing w:val="2"/>
                            <w:sz w:val="18"/>
                            <w:szCs w:val="18"/>
                          </w:rPr>
                          <w:t>止</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包装一体</w:t>
                        </w:r>
                        <w:r>
                          <w:rPr>
                            <w:rFonts w:ascii="宋体" w:hAnsi="宋体" w:cs="宋体" w:eastAsia="宋体" w:hint="default"/>
                            <w:spacing w:val="1"/>
                            <w:sz w:val="18"/>
                            <w:szCs w:val="18"/>
                          </w:rPr>
                          <w:t>化</w:t>
                        </w:r>
                        <w:r>
                          <w:rPr>
                            <w:rFonts w:ascii="宋体" w:hAnsi="宋体" w:cs="宋体" w:eastAsia="宋体" w:hint="default"/>
                            <w:sz w:val="18"/>
                            <w:szCs w:val="18"/>
                          </w:rPr>
                          <w:t>项目</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的继续实施</w:t>
                        </w:r>
                        <w:r>
                          <w:rPr>
                            <w:rFonts w:ascii="宋体" w:hAnsi="宋体" w:cs="宋体" w:eastAsia="宋体" w:hint="default"/>
                            <w:spacing w:val="-38"/>
                            <w:sz w:val="18"/>
                            <w:szCs w:val="18"/>
                          </w:rPr>
                          <w:t>，</w:t>
                        </w:r>
                        <w:r>
                          <w:rPr>
                            <w:rFonts w:ascii="宋体" w:hAnsi="宋体" w:cs="宋体" w:eastAsia="宋体" w:hint="default"/>
                            <w:sz w:val="18"/>
                            <w:szCs w:val="18"/>
                          </w:rPr>
                          <w:t>并将剩余</w:t>
                        </w:r>
                        <w:r>
                          <w:rPr>
                            <w:rFonts w:ascii="宋体" w:hAnsi="宋体" w:cs="宋体" w:eastAsia="宋体" w:hint="default"/>
                            <w:spacing w:val="1"/>
                            <w:sz w:val="18"/>
                            <w:szCs w:val="18"/>
                          </w:rPr>
                          <w:t>资</w:t>
                        </w:r>
                        <w:r>
                          <w:rPr>
                            <w:rFonts w:ascii="宋体" w:hAnsi="宋体" w:cs="宋体" w:eastAsia="宋体" w:hint="default"/>
                            <w:sz w:val="18"/>
                            <w:szCs w:val="18"/>
                          </w:rPr>
                          <w:t>金增资全资子公司苏州美</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盈森环保科技有限公司用于其实施的</w:t>
                        </w:r>
                        <w:r>
                          <w:rPr>
                            <w:rFonts w:ascii="Times New Roman" w:hAnsi="Times New Roman" w:cs="Times New Roman" w:eastAsia="Times New Roman" w:hint="default"/>
                            <w:sz w:val="18"/>
                            <w:szCs w:val="18"/>
                          </w:rPr>
                          <w:t>"</w:t>
                        </w:r>
                        <w:r>
                          <w:rPr>
                            <w:rFonts w:ascii="宋体" w:hAnsi="宋体" w:cs="宋体" w:eastAsia="宋体" w:hint="default"/>
                            <w:sz w:val="18"/>
                            <w:szCs w:val="18"/>
                          </w:rPr>
                          <w:t>现代化环保包装生产基地项目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以弥补苏州一期</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项目设备款、工程款、运营资金等的不足。上述募集资金变更事宜详见公司于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日披露于证券时报和巨潮资讯网</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w w:val="99"/>
                              <w:sz w:val="18"/>
                              <w:szCs w:val="18"/>
                            </w:rPr>
                            <w:t>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pacing w:val="-4"/>
                              <w:w w:val="99"/>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3"/>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w w:val="99"/>
                              <w:sz w:val="18"/>
                              <w:szCs w:val="18"/>
                            </w:rPr>
                            <w:t>c</w:t>
                          </w:r>
                          <w:r>
                            <w:rPr>
                              <w:rFonts w:ascii="Times New Roman" w:hAnsi="Times New Roman" w:cs="Times New Roman" w:eastAsia="Times New Roman" w:hint="default"/>
                              <w:sz w:val="18"/>
                              <w:szCs w:val="18"/>
                            </w:rPr>
                            <w:t>n</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c</w:t>
                          </w:r>
                          <w:r>
                            <w:rPr>
                              <w:rFonts w:ascii="Times New Roman" w:hAnsi="Times New Roman" w:cs="Times New Roman" w:eastAsia="Times New Roman" w:hint="default"/>
                              <w:sz w:val="18"/>
                              <w:szCs w:val="18"/>
                            </w:rPr>
                            <w:t>o</w:t>
                          </w:r>
                          <w:r>
                            <w:rPr>
                              <w:rFonts w:ascii="Times New Roman" w:hAnsi="Times New Roman" w:cs="Times New Roman" w:eastAsia="Times New Roman" w:hint="default"/>
                              <w:spacing w:val="-4"/>
                              <w:w w:val="99"/>
                              <w:sz w:val="18"/>
                              <w:szCs w:val="18"/>
                            </w:rPr>
                            <w:t>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w w:val="99"/>
                              <w:sz w:val="18"/>
                              <w:szCs w:val="18"/>
                            </w:rPr>
                            <w:t>c</w:t>
                          </w:r>
                          <w:r>
                            <w:rPr>
                              <w:rFonts w:ascii="Times New Roman" w:hAnsi="Times New Roman" w:cs="Times New Roman" w:eastAsia="Times New Roman" w:hint="default"/>
                              <w:sz w:val="18"/>
                              <w:szCs w:val="18"/>
                            </w:rPr>
                            <w:t>n</w:t>
                          </w:r>
                          <w:r>
                            <w:rPr>
                              <w:rFonts w:ascii="Times New Roman" w:hAnsi="Times New Roman" w:cs="Times New Roman" w:eastAsia="Times New Roman" w:hint="default"/>
                              <w:w w:val="99"/>
                              <w:sz w:val="18"/>
                              <w:szCs w:val="18"/>
                            </w:rPr>
                            <w:t>/</w:t>
                          </w:r>
                        </w:hyperlink>
                        <w:r>
                          <w:rPr>
                            <w:rFonts w:ascii="宋体" w:hAnsi="宋体" w:cs="宋体" w:eastAsia="宋体" w:hint="default"/>
                            <w:spacing w:val="-20"/>
                            <w:sz w:val="18"/>
                            <w:szCs w:val="18"/>
                          </w:rPr>
                          <w:t>）</w:t>
                        </w:r>
                        <w:r>
                          <w:rPr>
                            <w:rFonts w:ascii="宋体" w:hAnsi="宋体" w:cs="宋体" w:eastAsia="宋体" w:hint="default"/>
                            <w:sz w:val="18"/>
                            <w:szCs w:val="18"/>
                          </w:rPr>
                          <w:t>的相关公告</w:t>
                        </w:r>
                        <w:r>
                          <w:rPr>
                            <w:rFonts w:ascii="宋体" w:hAnsi="宋体" w:cs="宋体" w:eastAsia="宋体" w:hint="default"/>
                            <w:spacing w:val="-18"/>
                            <w:sz w:val="18"/>
                            <w:szCs w:val="18"/>
                          </w:rPr>
                          <w:t>。</w:t>
                        </w:r>
                        <w:r>
                          <w:rPr>
                            <w:rFonts w:ascii="宋体" w:hAnsi="宋体" w:cs="宋体" w:eastAsia="宋体" w:hint="default"/>
                            <w:sz w:val="18"/>
                            <w:szCs w:val="18"/>
                          </w:rPr>
                          <w:t>本次募集资金变更相关情况说明如下</w:t>
                        </w:r>
                        <w:r>
                          <w:rPr>
                            <w:rFonts w:ascii="宋体" w:hAnsi="宋体" w:cs="宋体" w:eastAsia="宋体" w:hint="default"/>
                            <w:spacing w:val="-11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变更的募集资金投资项目概况：包装一体化项目计划通过设置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VMI </w:t>
                        </w:r>
                        <w:r>
                          <w:rPr>
                            <w:rFonts w:ascii="宋体" w:hAnsi="宋体" w:cs="宋体" w:eastAsia="宋体" w:hint="default"/>
                            <w:sz w:val="18"/>
                            <w:szCs w:val="18"/>
                          </w:rPr>
                          <w:t>仓库和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pacing w:val="-5"/>
                            <w:sz w:val="18"/>
                            <w:szCs w:val="18"/>
                          </w:rPr>
                          <w:t>变更原因、决策程序及信息披露情况</w:t>
                        </w: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建设来提升公司的整体服务能力。该项目总投资为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6,706.48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万元，其中建设投资</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2,664.48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万元，项目配套流动资金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4,042.00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日，包装一体</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3"/>
                            <w:sz w:val="18"/>
                            <w:szCs w:val="18"/>
                          </w:rPr>
                          <w:t>化项目仅部分实施，已投入募集资金共计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2,335.35</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万元，剩余募集资金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4,371.13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3"/>
                            <w:sz w:val="18"/>
                            <w:szCs w:val="18"/>
                          </w:rPr>
                          <w:t>包装一体化实际投资具体为：</w:t>
                        </w:r>
                        <w:r>
                          <w:rPr>
                            <w:rFonts w:ascii="Times New Roman" w:hAnsi="Times New Roman" w:cs="Times New Roman" w:eastAsia="Times New Roman" w:hint="default"/>
                            <w:spacing w:val="-3"/>
                            <w:sz w:val="18"/>
                            <w:szCs w:val="18"/>
                          </w:rPr>
                          <w:t>VMI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仓库租金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604.59</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系统建设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654.54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配套流动资金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53"/>
                            <w:sz w:val="18"/>
                            <w:szCs w:val="18"/>
                          </w:rPr>
                          <w:t>、</w:t>
                        </w:r>
                        <w:r>
                          <w:rPr>
                            <w:rFonts w:ascii="宋体" w:hAnsi="宋体" w:cs="宋体" w:eastAsia="宋体" w:hint="default"/>
                            <w:sz w:val="18"/>
                            <w:szCs w:val="18"/>
                          </w:rPr>
                          <w:t>银行费用</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14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51"/>
                            <w:sz w:val="18"/>
                            <w:szCs w:val="18"/>
                          </w:rPr>
                          <w:t>）</w:t>
                        </w:r>
                        <w:r>
                          <w:rPr>
                            <w:rFonts w:ascii="宋体" w:hAnsi="宋体" w:cs="宋体" w:eastAsia="宋体" w:hint="default"/>
                            <w:sz w:val="18"/>
                            <w:szCs w:val="18"/>
                          </w:rPr>
                          <w:t>变</w:t>
                        </w:r>
                        <w:r>
                          <w:rPr>
                            <w:rFonts w:ascii="宋体" w:hAnsi="宋体" w:cs="宋体" w:eastAsia="宋体" w:hint="default"/>
                            <w:spacing w:val="-2"/>
                            <w:sz w:val="18"/>
                            <w:szCs w:val="18"/>
                          </w:rPr>
                          <w:t>更</w:t>
                        </w:r>
                        <w:r>
                          <w:rPr>
                            <w:rFonts w:ascii="宋体" w:hAnsi="宋体" w:cs="宋体" w:eastAsia="宋体" w:hint="default"/>
                            <w:sz w:val="18"/>
                            <w:szCs w:val="18"/>
                          </w:rPr>
                          <w:t>募集资金投资项目的原因</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）上市以来，公司通过增加物流运输设备、优化物流配送调度、精确掌握客户下单</w:t>
                        </w:r>
                      </w:p>
                    </w:tc>
                  </w:tr>
                  <w:tr>
                    <w:trPr>
                      <w:trHeight w:val="311"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计划等，较大程度上提升物流配送体系的效能，更好的实现及时响应能力。鉴于此，</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并依据客户布局调整、产品所需包材种类以及充分考虑包装一体化成本结构，公司原</w:t>
                        </w:r>
                      </w:p>
                    </w:tc>
                  </w:tr>
                  <w:tr>
                    <w:trPr>
                      <w:trHeight w:val="313"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计划设置</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座仓库的方案需要调整。</w:t>
                        </w:r>
                        <w:r>
                          <w:rPr>
                            <w:rFonts w:ascii="Times New Roman" w:hAnsi="Times New Roman" w:cs="Times New Roman" w:eastAsia="Times New Roman" w:hint="default"/>
                            <w:sz w:val="18"/>
                            <w:szCs w:val="18"/>
                          </w:rPr>
                          <w:t>2</w:t>
                        </w:r>
                        <w:r>
                          <w:rPr>
                            <w:rFonts w:ascii="宋体" w:hAnsi="宋体" w:cs="宋体" w:eastAsia="宋体" w:hint="default"/>
                            <w:sz w:val="18"/>
                            <w:szCs w:val="18"/>
                          </w:rPr>
                          <w:t>）减少仓库配置同时，相应的流动资金需求减</w:t>
                        </w:r>
                      </w:p>
                    </w:tc>
                  </w:tr>
                  <w:tr>
                    <w:trPr>
                      <w:trHeight w:val="311"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少。鉴于上述原因，公司决定调整包装一体化项目原有投资计划，以更好的适应公司</w:t>
                        </w:r>
                      </w:p>
                    </w:tc>
                  </w:tr>
                  <w:tr>
                    <w:trPr>
                      <w:trHeight w:val="352" w:hRule="exact"/>
                    </w:trPr>
                    <w:tc>
                      <w:tcPr>
                        <w:tcW w:w="2872"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6698"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发展需要，并提高募集资金使用效率。</w:t>
                        </w:r>
                      </w:p>
                    </w:tc>
                  </w:tr>
                  <w:tr>
                    <w:trPr>
                      <w:trHeight w:val="986"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firstLine="91"/>
                          <w:jc w:val="both"/>
                          <w:rPr>
                            <w:rFonts w:ascii="宋体" w:hAnsi="宋体" w:cs="宋体" w:eastAsia="宋体" w:hint="default"/>
                            <w:sz w:val="18"/>
                            <w:szCs w:val="18"/>
                          </w:rPr>
                        </w:pPr>
                        <w:r>
                          <w:rPr>
                            <w:rFonts w:ascii="宋体" w:hAnsi="宋体" w:cs="宋体" w:eastAsia="宋体" w:hint="default"/>
                            <w:spacing w:val="-7"/>
                            <w:sz w:val="18"/>
                            <w:szCs w:val="18"/>
                          </w:rPr>
                          <w:t>不适用。注</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：苏州美盈森现代化环保包装生产基地项目系公司超募资金投资建设项 目，该项目实际投资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27,878.38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月投产试运行，逐步达到预定可使 </w:t>
                        </w:r>
                        <w:r>
                          <w:rPr>
                            <w:rFonts w:ascii="宋体" w:hAnsi="宋体" w:cs="宋体" w:eastAsia="宋体" w:hint="default"/>
                            <w:spacing w:val="-1"/>
                            <w:sz w:val="18"/>
                            <w:szCs w:val="18"/>
                          </w:rPr>
                          <w:t>用状态，产量逐年释放，新客户开发卓有成效，实现利润快速增长，有效提升了公司</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37"/>
        <w:ind w:left="0" w:right="1133"/>
        <w:jc w:val="right"/>
      </w:pPr>
      <w:r>
        <w:rPr/>
        <w:t>。</w:t>
      </w:r>
    </w:p>
    <w:p>
      <w:pPr>
        <w:pStyle w:val="BodyText"/>
        <w:spacing w:line="240" w:lineRule="auto" w:before="76"/>
        <w:ind w:left="0" w:right="1135"/>
        <w:jc w:val="right"/>
      </w:pPr>
      <w:r>
        <w:rPr/>
        <w:t>、</w:t>
      </w:r>
    </w:p>
    <w:p>
      <w:pPr>
        <w:pStyle w:val="BodyText"/>
        <w:spacing w:line="240" w:lineRule="auto" w:before="76"/>
        <w:ind w:left="0" w:right="1137"/>
        <w:jc w:val="right"/>
      </w:pPr>
      <w:r>
        <w:rPr/>
        <w:t>：</w:t>
      </w:r>
    </w:p>
    <w:p>
      <w:pPr>
        <w:spacing w:after="0" w:line="240" w:lineRule="auto"/>
        <w:jc w:val="right"/>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2"/>
        <w:gridCol w:w="6698"/>
      </w:tblGrid>
      <w:tr>
        <w:trPr>
          <w:trHeight w:val="362"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的市场知名度和综合竞争力。</w:t>
            </w:r>
          </w:p>
        </w:tc>
      </w:tr>
      <w:tr>
        <w:trPr>
          <w:trHeight w:val="713"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5</w:t>
      </w:r>
      <w:r>
        <w:rPr/>
        <w:t>）</w:t>
      </w:r>
      <w:r>
        <w:rPr>
          <w:spacing w:val="4"/>
        </w:rPr>
        <w:t> </w:t>
      </w:r>
      <w:r>
        <w:rPr>
          <w:rFonts w:ascii="Tahoma" w:hAnsi="Tahoma" w:cs="Tahoma" w:eastAsia="Tahoma" w:hint="default"/>
          <w:spacing w:val="4"/>
        </w:rPr>
      </w:r>
      <w:r>
        <w:rPr/>
        <w:t>非公开发行变更募集资金投资项目情况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553"/>
        <w:jc w:val="right"/>
      </w:pPr>
      <w:r>
        <w:rPr/>
        <w:t>单位：人民币万元</w:t>
      </w:r>
    </w:p>
    <w:p>
      <w:pPr>
        <w:spacing w:line="240" w:lineRule="auto" w:before="3"/>
        <w:rPr>
          <w:rFonts w:ascii="宋体" w:hAnsi="宋体" w:cs="宋体" w:eastAsia="宋体" w:hint="default"/>
          <w:sz w:val="5"/>
          <w:szCs w:val="5"/>
        </w:rPr>
      </w:pPr>
    </w:p>
    <w:tbl>
      <w:tblPr>
        <w:tblW w:w="0" w:type="auto"/>
        <w:jc w:val="left"/>
        <w:tblInd w:w="157" w:type="dxa"/>
        <w:tblLayout w:type="fixed"/>
        <w:tblCellMar>
          <w:top w:w="0" w:type="dxa"/>
          <w:left w:w="0" w:type="dxa"/>
          <w:bottom w:w="0" w:type="dxa"/>
          <w:right w:w="0" w:type="dxa"/>
        </w:tblCellMar>
        <w:tblLook w:val="01E0"/>
      </w:tblPr>
      <w:tblGrid>
        <w:gridCol w:w="1277"/>
        <w:gridCol w:w="1274"/>
        <w:gridCol w:w="852"/>
        <w:gridCol w:w="708"/>
        <w:gridCol w:w="852"/>
        <w:gridCol w:w="850"/>
        <w:gridCol w:w="991"/>
        <w:gridCol w:w="833"/>
        <w:gridCol w:w="850"/>
        <w:gridCol w:w="1126"/>
      </w:tblGrid>
      <w:tr>
        <w:trPr>
          <w:trHeight w:val="1283" w:hRule="exact"/>
        </w:trPr>
        <w:tc>
          <w:tcPr>
            <w:tcW w:w="1277"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8"/>
              <w:ind w:left="91"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1274"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448" w:right="89" w:hanging="360"/>
              <w:jc w:val="left"/>
              <w:rPr>
                <w:rFonts w:ascii="宋体" w:hAnsi="宋体" w:cs="宋体" w:eastAsia="宋体" w:hint="default"/>
                <w:sz w:val="18"/>
                <w:szCs w:val="18"/>
              </w:rPr>
            </w:pPr>
            <w:r>
              <w:rPr>
                <w:rFonts w:ascii="宋体" w:hAnsi="宋体" w:cs="宋体" w:eastAsia="宋体" w:hint="default"/>
                <w:sz w:val="18"/>
                <w:szCs w:val="18"/>
              </w:rPr>
              <w:t>对应的原承诺 项目</w:t>
            </w:r>
          </w:p>
        </w:tc>
        <w:tc>
          <w:tcPr>
            <w:tcW w:w="852"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60"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 目拟投入 募集资金 总额</w:t>
            </w:r>
            <w:r>
              <w:rPr>
                <w:rFonts w:ascii="Times New Roman" w:hAnsi="Times New Roman" w:cs="Times New Roman" w:eastAsia="Times New Roman" w:hint="default"/>
                <w:sz w:val="18"/>
                <w:szCs w:val="18"/>
              </w:rPr>
              <w:t>(1)</w:t>
            </w:r>
          </w:p>
        </w:tc>
        <w:tc>
          <w:tcPr>
            <w:tcW w:w="708"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76" w:right="74"/>
              <w:jc w:val="both"/>
              <w:rPr>
                <w:rFonts w:ascii="宋体" w:hAnsi="宋体" w:cs="宋体" w:eastAsia="宋体" w:hint="default"/>
                <w:sz w:val="18"/>
                <w:szCs w:val="18"/>
              </w:rPr>
            </w:pPr>
            <w:r>
              <w:rPr>
                <w:rFonts w:ascii="宋体" w:hAnsi="宋体" w:cs="宋体" w:eastAsia="宋体" w:hint="default"/>
                <w:sz w:val="18"/>
                <w:szCs w:val="18"/>
              </w:rPr>
              <w:t>本年度 实际投 入金额</w:t>
            </w:r>
          </w:p>
        </w:tc>
        <w:tc>
          <w:tcPr>
            <w:tcW w:w="852"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60" w:right="55"/>
              <w:jc w:val="center"/>
              <w:rPr>
                <w:rFonts w:ascii="宋体" w:hAnsi="宋体" w:cs="宋体" w:eastAsia="宋体" w:hint="default"/>
                <w:sz w:val="18"/>
                <w:szCs w:val="18"/>
              </w:rPr>
            </w:pPr>
            <w:r>
              <w:rPr>
                <w:rFonts w:ascii="宋体" w:hAnsi="宋体" w:cs="宋体" w:eastAsia="宋体" w:hint="default"/>
                <w:sz w:val="18"/>
                <w:szCs w:val="18"/>
              </w:rPr>
              <w:t>截至期末 实际累计 投入金额</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w:t>
            </w:r>
          </w:p>
        </w:tc>
        <w:tc>
          <w:tcPr>
            <w:tcW w:w="850"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38" w:lineRule="auto" w:before="8"/>
              <w:ind w:left="21" w:right="20" w:firstLine="3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(%)(3)=(2)</w:t>
            </w:r>
          </w:p>
          <w:p>
            <w:pPr>
              <w:pStyle w:val="TableParagraph"/>
              <w:spacing w:line="240" w:lineRule="auto" w:before="23"/>
              <w:ind w:left="1" w:right="0"/>
              <w:jc w:val="center"/>
              <w:rPr>
                <w:rFonts w:ascii="Times New Roman" w:hAnsi="Times New Roman" w:cs="Times New Roman" w:eastAsia="Times New Roman" w:hint="default"/>
                <w:sz w:val="18"/>
                <w:szCs w:val="18"/>
              </w:rPr>
            </w:pPr>
            <w:r>
              <w:rPr>
                <w:rFonts w:ascii="Times New Roman"/>
                <w:sz w:val="18"/>
              </w:rPr>
              <w:t>/(1)</w:t>
            </w:r>
          </w:p>
        </w:tc>
        <w:tc>
          <w:tcPr>
            <w:tcW w:w="991"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38" w:right="36"/>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33"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50" w:right="45"/>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850"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60" w:right="5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126"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316" w:lineRule="auto" w:before="8"/>
              <w:ind w:left="16" w:right="12"/>
              <w:jc w:val="both"/>
              <w:rPr>
                <w:rFonts w:ascii="宋体" w:hAnsi="宋体" w:cs="宋体" w:eastAsia="宋体" w:hint="default"/>
                <w:sz w:val="18"/>
                <w:szCs w:val="18"/>
              </w:rPr>
            </w:pPr>
            <w:r>
              <w:rPr>
                <w:rFonts w:ascii="宋体" w:hAnsi="宋体" w:cs="宋体" w:eastAsia="宋体" w:hint="default"/>
                <w:sz w:val="18"/>
                <w:szCs w:val="18"/>
              </w:rPr>
              <w:t>变更后的项目 可行性是否发 生重大变化</w:t>
            </w:r>
          </w:p>
        </w:tc>
      </w:tr>
      <w:tr>
        <w:trPr>
          <w:trHeight w:val="332" w:hRule="exact"/>
        </w:trPr>
        <w:tc>
          <w:tcPr>
            <w:tcW w:w="1277"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9"/>
              <w:ind w:left="4" w:right="0"/>
              <w:jc w:val="left"/>
              <w:rPr>
                <w:rFonts w:ascii="宋体" w:hAnsi="宋体" w:cs="宋体" w:eastAsia="宋体" w:hint="default"/>
                <w:sz w:val="18"/>
                <w:szCs w:val="18"/>
              </w:rPr>
            </w:pPr>
            <w:r>
              <w:rPr>
                <w:rFonts w:ascii="宋体" w:hAnsi="宋体" w:cs="宋体" w:eastAsia="宋体" w:hint="default"/>
                <w:sz w:val="18"/>
                <w:szCs w:val="18"/>
              </w:rPr>
              <w:t>包装印刷工业</w:t>
            </w:r>
          </w:p>
        </w:tc>
        <w:tc>
          <w:tcPr>
            <w:tcW w:w="1274"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9"/>
              <w:ind w:left="2" w:right="0"/>
              <w:jc w:val="left"/>
              <w:rPr>
                <w:rFonts w:ascii="宋体" w:hAnsi="宋体" w:cs="宋体" w:eastAsia="宋体" w:hint="default"/>
                <w:sz w:val="18"/>
                <w:szCs w:val="18"/>
              </w:rPr>
            </w:pPr>
            <w:r>
              <w:rPr>
                <w:rFonts w:ascii="宋体" w:hAnsi="宋体" w:cs="宋体" w:eastAsia="宋体" w:hint="default"/>
                <w:sz w:val="18"/>
                <w:szCs w:val="18"/>
              </w:rPr>
              <w:t>互联网包装印</w:t>
            </w:r>
          </w:p>
        </w:tc>
        <w:tc>
          <w:tcPr>
            <w:tcW w:w="852"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1"/>
              <w:ind w:left="4" w:right="0"/>
              <w:jc w:val="left"/>
              <w:rPr>
                <w:rFonts w:ascii="Times New Roman" w:hAnsi="Times New Roman" w:cs="Times New Roman" w:eastAsia="Times New Roman" w:hint="default"/>
                <w:sz w:val="18"/>
                <w:szCs w:val="18"/>
              </w:rPr>
            </w:pPr>
            <w:r>
              <w:rPr>
                <w:rFonts w:ascii="Times New Roman"/>
                <w:sz w:val="18"/>
              </w:rPr>
              <w:t>17,983.52</w:t>
            </w:r>
          </w:p>
        </w:tc>
        <w:tc>
          <w:tcPr>
            <w:tcW w:w="708"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5,448.70</w:t>
            </w:r>
          </w:p>
        </w:tc>
        <w:tc>
          <w:tcPr>
            <w:tcW w:w="852"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1"/>
              <w:ind w:left="4" w:right="0"/>
              <w:jc w:val="left"/>
              <w:rPr>
                <w:rFonts w:ascii="Times New Roman" w:hAnsi="Times New Roman" w:cs="Times New Roman" w:eastAsia="Times New Roman" w:hint="default"/>
                <w:sz w:val="18"/>
                <w:szCs w:val="18"/>
              </w:rPr>
            </w:pPr>
            <w:r>
              <w:rPr>
                <w:rFonts w:ascii="Times New Roman"/>
                <w:sz w:val="18"/>
              </w:rPr>
              <w:t>5,448.73</w:t>
            </w:r>
          </w:p>
        </w:tc>
        <w:tc>
          <w:tcPr>
            <w:tcW w:w="850"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30.30%</w:t>
            </w:r>
          </w:p>
        </w:tc>
        <w:tc>
          <w:tcPr>
            <w:tcW w:w="991"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9"/>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833"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1"/>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9"/>
              <w:ind w:right="324"/>
              <w:jc w:val="right"/>
              <w:rPr>
                <w:rFonts w:ascii="宋体" w:hAnsi="宋体" w:cs="宋体" w:eastAsia="宋体" w:hint="default"/>
                <w:sz w:val="18"/>
                <w:szCs w:val="18"/>
              </w:rPr>
            </w:pPr>
            <w:r>
              <w:rPr>
                <w:rFonts w:ascii="宋体" w:hAnsi="宋体" w:cs="宋体" w:eastAsia="宋体" w:hint="default"/>
                <w:sz w:val="18"/>
                <w:szCs w:val="18"/>
              </w:rPr>
              <w:t>否</w:t>
            </w:r>
          </w:p>
        </w:tc>
        <w:tc>
          <w:tcPr>
            <w:tcW w:w="1126"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9"/>
              <w:ind w:right="46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4" w:right="-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4.0</w:t>
            </w:r>
            <w:r>
              <w:rPr>
                <w:rFonts w:ascii="宋体" w:hAnsi="宋体" w:cs="宋体" w:eastAsia="宋体" w:hint="default"/>
                <w:spacing w:val="-6"/>
                <w:sz w:val="18"/>
                <w:szCs w:val="18"/>
              </w:rPr>
              <w:t>智慧工厂（六</w:t>
            </w:r>
          </w:p>
        </w:tc>
        <w:tc>
          <w:tcPr>
            <w:tcW w:w="127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0"/>
              <w:jc w:val="left"/>
              <w:rPr>
                <w:rFonts w:ascii="宋体" w:hAnsi="宋体" w:cs="宋体" w:eastAsia="宋体" w:hint="default"/>
                <w:sz w:val="18"/>
                <w:szCs w:val="18"/>
              </w:rPr>
            </w:pPr>
            <w:r>
              <w:rPr>
                <w:rFonts w:ascii="宋体" w:hAnsi="宋体" w:cs="宋体" w:eastAsia="宋体" w:hint="default"/>
                <w:sz w:val="18"/>
                <w:szCs w:val="18"/>
              </w:rPr>
              <w:t>刷产业云平台</w:t>
            </w:r>
          </w:p>
        </w:tc>
        <w:tc>
          <w:tcPr>
            <w:tcW w:w="852" w:type="dxa"/>
            <w:tcBorders>
              <w:top w:val="nil" w:sz="6" w:space="0" w:color="auto"/>
              <w:left w:val="single" w:sz="6" w:space="0" w:color="000000"/>
              <w:bottom w:val="nil" w:sz="6" w:space="0" w:color="auto"/>
              <w:right w:val="single" w:sz="6" w:space="0" w:color="000000"/>
            </w:tcBorders>
          </w:tcPr>
          <w:p>
            <w:pPr/>
          </w:p>
        </w:tc>
        <w:tc>
          <w:tcPr>
            <w:tcW w:w="708"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833"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
        </w:tc>
      </w:tr>
      <w:tr>
        <w:trPr>
          <w:trHeight w:val="327" w:hRule="exact"/>
        </w:trPr>
        <w:tc>
          <w:tcPr>
            <w:tcW w:w="1277" w:type="dxa"/>
            <w:tcBorders>
              <w:top w:val="nil" w:sz="6" w:space="0" w:color="auto"/>
              <w:left w:val="single" w:sz="6" w:space="0" w:color="000000"/>
              <w:bottom w:val="single" w:sz="10" w:space="0" w:color="000000"/>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安）项目</w:t>
            </w:r>
          </w:p>
        </w:tc>
        <w:tc>
          <w:tcPr>
            <w:tcW w:w="127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0"/>
              <w:jc w:val="left"/>
              <w:rPr>
                <w:rFonts w:ascii="宋体" w:hAnsi="宋体" w:cs="宋体" w:eastAsia="宋体" w:hint="default"/>
                <w:sz w:val="18"/>
                <w:szCs w:val="18"/>
              </w:rPr>
            </w:pPr>
            <w:r>
              <w:rPr>
                <w:rFonts w:ascii="宋体" w:hAnsi="宋体" w:cs="宋体" w:eastAsia="宋体" w:hint="default"/>
                <w:sz w:val="18"/>
                <w:szCs w:val="18"/>
              </w:rPr>
              <w:t>及生态系统建</w:t>
            </w:r>
          </w:p>
        </w:tc>
        <w:tc>
          <w:tcPr>
            <w:tcW w:w="852" w:type="dxa"/>
            <w:tcBorders>
              <w:top w:val="nil" w:sz="6" w:space="0" w:color="auto"/>
              <w:left w:val="single" w:sz="6" w:space="0" w:color="000000"/>
              <w:bottom w:val="single" w:sz="10" w:space="0" w:color="000000"/>
              <w:right w:val="single" w:sz="6" w:space="0" w:color="000000"/>
            </w:tcBorders>
          </w:tcPr>
          <w:p>
            <w:pPr/>
          </w:p>
        </w:tc>
        <w:tc>
          <w:tcPr>
            <w:tcW w:w="708" w:type="dxa"/>
            <w:tcBorders>
              <w:top w:val="nil" w:sz="6" w:space="0" w:color="auto"/>
              <w:left w:val="single" w:sz="6" w:space="0" w:color="000000"/>
              <w:bottom w:val="single" w:sz="10" w:space="0" w:color="000000"/>
              <w:right w:val="single" w:sz="6" w:space="0" w:color="000000"/>
            </w:tcBorders>
          </w:tcPr>
          <w:p>
            <w:pPr/>
          </w:p>
        </w:tc>
        <w:tc>
          <w:tcPr>
            <w:tcW w:w="852" w:type="dxa"/>
            <w:tcBorders>
              <w:top w:val="nil" w:sz="6" w:space="0" w:color="auto"/>
              <w:left w:val="single" w:sz="6" w:space="0" w:color="000000"/>
              <w:bottom w:val="single" w:sz="10" w:space="0" w:color="000000"/>
              <w:right w:val="single" w:sz="6" w:space="0" w:color="000000"/>
            </w:tcBorders>
          </w:tcPr>
          <w:p>
            <w:pPr/>
          </w:p>
        </w:tc>
        <w:tc>
          <w:tcPr>
            <w:tcW w:w="850" w:type="dxa"/>
            <w:tcBorders>
              <w:top w:val="nil" w:sz="6" w:space="0" w:color="auto"/>
              <w:left w:val="single" w:sz="6" w:space="0" w:color="000000"/>
              <w:bottom w:val="single" w:sz="10" w:space="0" w:color="000000"/>
              <w:right w:val="single" w:sz="6" w:space="0" w:color="000000"/>
            </w:tcBorders>
          </w:tcPr>
          <w:p>
            <w:pPr/>
          </w:p>
        </w:tc>
        <w:tc>
          <w:tcPr>
            <w:tcW w:w="991" w:type="dxa"/>
            <w:tcBorders>
              <w:top w:val="nil" w:sz="6" w:space="0" w:color="auto"/>
              <w:left w:val="single" w:sz="6" w:space="0" w:color="000000"/>
              <w:bottom w:val="single" w:sz="10" w:space="0" w:color="000000"/>
              <w:right w:val="single" w:sz="6" w:space="0" w:color="000000"/>
            </w:tcBorders>
          </w:tcPr>
          <w:p>
            <w:pPr/>
          </w:p>
        </w:tc>
        <w:tc>
          <w:tcPr>
            <w:tcW w:w="833" w:type="dxa"/>
            <w:tcBorders>
              <w:top w:val="nil" w:sz="6" w:space="0" w:color="auto"/>
              <w:left w:val="single" w:sz="6" w:space="0" w:color="000000"/>
              <w:bottom w:val="single" w:sz="10" w:space="0" w:color="000000"/>
              <w:right w:val="single" w:sz="6" w:space="0" w:color="000000"/>
            </w:tcBorders>
          </w:tcPr>
          <w:p>
            <w:pPr/>
          </w:p>
        </w:tc>
        <w:tc>
          <w:tcPr>
            <w:tcW w:w="850" w:type="dxa"/>
            <w:tcBorders>
              <w:top w:val="nil" w:sz="6" w:space="0" w:color="auto"/>
              <w:left w:val="single" w:sz="6" w:space="0" w:color="000000"/>
              <w:bottom w:val="single" w:sz="10" w:space="0" w:color="000000"/>
              <w:right w:val="single" w:sz="6" w:space="0" w:color="000000"/>
            </w:tcBorders>
          </w:tcPr>
          <w:p>
            <w:pPr/>
          </w:p>
        </w:tc>
        <w:tc>
          <w:tcPr>
            <w:tcW w:w="1126" w:type="dxa"/>
            <w:tcBorders>
              <w:top w:val="nil" w:sz="6" w:space="0" w:color="auto"/>
              <w:left w:val="single" w:sz="6" w:space="0" w:color="000000"/>
              <w:bottom w:val="single" w:sz="10" w:space="0" w:color="000000"/>
              <w:right w:val="single" w:sz="6" w:space="0" w:color="000000"/>
            </w:tcBorders>
          </w:tcPr>
          <w:p>
            <w:pPr/>
          </w:p>
        </w:tc>
      </w:tr>
      <w:tr>
        <w:trPr>
          <w:trHeight w:val="315" w:hRule="exact"/>
        </w:trPr>
        <w:tc>
          <w:tcPr>
            <w:tcW w:w="1277"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包装印刷工业</w:t>
            </w:r>
          </w:p>
        </w:tc>
        <w:tc>
          <w:tcPr>
            <w:tcW w:w="1274" w:type="dxa"/>
            <w:tcBorders>
              <w:top w:val="nil" w:sz="6" w:space="0" w:color="auto"/>
              <w:left w:val="single" w:sz="6" w:space="0" w:color="000000"/>
              <w:bottom w:val="nil" w:sz="6" w:space="0" w:color="auto"/>
              <w:right w:val="single" w:sz="6" w:space="0" w:color="000000"/>
            </w:tcBorders>
          </w:tcPr>
          <w:p>
            <w:pPr>
              <w:pStyle w:val="TableParagraph"/>
              <w:spacing w:line="222" w:lineRule="exact"/>
              <w:ind w:left="2" w:right="0"/>
              <w:jc w:val="left"/>
              <w:rPr>
                <w:rFonts w:ascii="宋体" w:hAnsi="宋体" w:cs="宋体" w:eastAsia="宋体" w:hint="default"/>
                <w:sz w:val="18"/>
                <w:szCs w:val="18"/>
              </w:rPr>
            </w:pPr>
            <w:r>
              <w:rPr>
                <w:rFonts w:ascii="宋体" w:hAnsi="宋体" w:cs="宋体" w:eastAsia="宋体" w:hint="default"/>
                <w:sz w:val="18"/>
                <w:szCs w:val="18"/>
              </w:rPr>
              <w:t>设项目、智能包</w:t>
            </w:r>
          </w:p>
        </w:tc>
        <w:tc>
          <w:tcPr>
            <w:tcW w:w="852"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10,000.00</w:t>
            </w:r>
          </w:p>
        </w:tc>
        <w:tc>
          <w:tcPr>
            <w:tcW w:w="708"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1,209.38</w:t>
            </w:r>
          </w:p>
        </w:tc>
        <w:tc>
          <w:tcPr>
            <w:tcW w:w="852"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1,209.38</w:t>
            </w:r>
          </w:p>
        </w:tc>
        <w:tc>
          <w:tcPr>
            <w:tcW w:w="850"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12.09%</w:t>
            </w:r>
          </w:p>
        </w:tc>
        <w:tc>
          <w:tcPr>
            <w:tcW w:w="991"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833"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10"/>
              <w:ind w:right="324"/>
              <w:jc w:val="right"/>
              <w:rPr>
                <w:rFonts w:ascii="宋体" w:hAnsi="宋体" w:cs="宋体" w:eastAsia="宋体" w:hint="default"/>
                <w:sz w:val="18"/>
                <w:szCs w:val="18"/>
              </w:rPr>
            </w:pPr>
            <w:r>
              <w:rPr>
                <w:rFonts w:ascii="宋体" w:hAnsi="宋体" w:cs="宋体" w:eastAsia="宋体" w:hint="default"/>
                <w:sz w:val="18"/>
                <w:szCs w:val="18"/>
              </w:rPr>
              <w:t>否</w:t>
            </w:r>
          </w:p>
        </w:tc>
        <w:tc>
          <w:tcPr>
            <w:tcW w:w="1126"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10"/>
              <w:ind w:right="46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11" w:hRule="exact"/>
        </w:trPr>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进出口贸易及</w:t>
            </w:r>
          </w:p>
        </w:tc>
        <w:tc>
          <w:tcPr>
            <w:tcW w:w="1274" w:type="dxa"/>
            <w:tcBorders>
              <w:top w:val="nil" w:sz="6" w:space="0" w:color="auto"/>
              <w:left w:val="single" w:sz="6" w:space="0" w:color="000000"/>
              <w:bottom w:val="nil" w:sz="6" w:space="0" w:color="auto"/>
              <w:right w:val="single" w:sz="6" w:space="0" w:color="000000"/>
            </w:tcBorders>
          </w:tcPr>
          <w:p>
            <w:pPr>
              <w:pStyle w:val="TableParagraph"/>
              <w:spacing w:line="219" w:lineRule="exact"/>
              <w:ind w:left="2" w:right="0"/>
              <w:jc w:val="left"/>
              <w:rPr>
                <w:rFonts w:ascii="宋体" w:hAnsi="宋体" w:cs="宋体" w:eastAsia="宋体" w:hint="default"/>
                <w:sz w:val="18"/>
                <w:szCs w:val="18"/>
              </w:rPr>
            </w:pPr>
            <w:r>
              <w:rPr>
                <w:rFonts w:ascii="宋体" w:hAnsi="宋体" w:cs="宋体" w:eastAsia="宋体" w:hint="default"/>
                <w:sz w:val="18"/>
                <w:szCs w:val="18"/>
              </w:rPr>
              <w:t>装物联网平台</w:t>
            </w:r>
          </w:p>
        </w:tc>
        <w:tc>
          <w:tcPr>
            <w:tcW w:w="852" w:type="dxa"/>
            <w:tcBorders>
              <w:top w:val="nil" w:sz="6" w:space="0" w:color="auto"/>
              <w:left w:val="single" w:sz="6" w:space="0" w:color="000000"/>
              <w:bottom w:val="nil" w:sz="6" w:space="0" w:color="auto"/>
              <w:right w:val="single" w:sz="6" w:space="0" w:color="000000"/>
            </w:tcBorders>
          </w:tcPr>
          <w:p>
            <w:pPr/>
          </w:p>
        </w:tc>
        <w:tc>
          <w:tcPr>
            <w:tcW w:w="708"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833"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
        </w:tc>
      </w:tr>
      <w:tr>
        <w:trPr>
          <w:trHeight w:val="330" w:hRule="exact"/>
        </w:trPr>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保税加工（岳</w:t>
            </w:r>
          </w:p>
        </w:tc>
        <w:tc>
          <w:tcPr>
            <w:tcW w:w="1274" w:type="dxa"/>
            <w:tcBorders>
              <w:top w:val="nil" w:sz="6" w:space="0" w:color="auto"/>
              <w:left w:val="single" w:sz="6" w:space="0" w:color="000000"/>
              <w:bottom w:val="nil" w:sz="6" w:space="0" w:color="auto"/>
              <w:right w:val="single" w:sz="6" w:space="0" w:color="000000"/>
            </w:tcBorders>
          </w:tcPr>
          <w:p>
            <w:pPr>
              <w:pStyle w:val="TableParagraph"/>
              <w:spacing w:line="221" w:lineRule="exact"/>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52" w:type="dxa"/>
            <w:tcBorders>
              <w:top w:val="nil" w:sz="6" w:space="0" w:color="auto"/>
              <w:left w:val="single" w:sz="6" w:space="0" w:color="000000"/>
              <w:bottom w:val="nil" w:sz="6" w:space="0" w:color="auto"/>
              <w:right w:val="single" w:sz="6" w:space="0" w:color="000000"/>
            </w:tcBorders>
          </w:tcPr>
          <w:p>
            <w:pPr/>
          </w:p>
        </w:tc>
        <w:tc>
          <w:tcPr>
            <w:tcW w:w="708"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833"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
        </w:tc>
      </w:tr>
      <w:tr>
        <w:trPr>
          <w:trHeight w:val="328" w:hRule="exact"/>
        </w:trPr>
        <w:tc>
          <w:tcPr>
            <w:tcW w:w="1277" w:type="dxa"/>
            <w:tcBorders>
              <w:top w:val="nil" w:sz="6" w:space="0" w:color="auto"/>
              <w:left w:val="single" w:sz="6" w:space="0" w:color="000000"/>
              <w:bottom w:val="single" w:sz="10" w:space="0" w:color="000000"/>
              <w:right w:val="single" w:sz="6" w:space="0" w:color="000000"/>
            </w:tcBorders>
          </w:tcPr>
          <w:p>
            <w:pPr>
              <w:pStyle w:val="TableParagraph"/>
              <w:spacing w:line="240" w:lineRule="auto" w:before="3"/>
              <w:ind w:left="4" w:right="0"/>
              <w:jc w:val="left"/>
              <w:rPr>
                <w:rFonts w:ascii="宋体" w:hAnsi="宋体" w:cs="宋体" w:eastAsia="宋体" w:hint="default"/>
                <w:sz w:val="18"/>
                <w:szCs w:val="18"/>
              </w:rPr>
            </w:pPr>
            <w:r>
              <w:rPr>
                <w:rFonts w:ascii="宋体" w:hAnsi="宋体" w:cs="宋体" w:eastAsia="宋体" w:hint="default"/>
                <w:sz w:val="18"/>
                <w:szCs w:val="18"/>
              </w:rPr>
              <w:t>阳）项目</w:t>
            </w:r>
          </w:p>
        </w:tc>
        <w:tc>
          <w:tcPr>
            <w:tcW w:w="1274"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single" w:sz="10" w:space="0" w:color="000000"/>
              <w:right w:val="single" w:sz="6" w:space="0" w:color="000000"/>
            </w:tcBorders>
          </w:tcPr>
          <w:p>
            <w:pPr/>
          </w:p>
        </w:tc>
        <w:tc>
          <w:tcPr>
            <w:tcW w:w="708" w:type="dxa"/>
            <w:tcBorders>
              <w:top w:val="nil" w:sz="6" w:space="0" w:color="auto"/>
              <w:left w:val="single" w:sz="6" w:space="0" w:color="000000"/>
              <w:bottom w:val="single" w:sz="10" w:space="0" w:color="000000"/>
              <w:right w:val="single" w:sz="6" w:space="0" w:color="000000"/>
            </w:tcBorders>
          </w:tcPr>
          <w:p>
            <w:pPr/>
          </w:p>
        </w:tc>
        <w:tc>
          <w:tcPr>
            <w:tcW w:w="852" w:type="dxa"/>
            <w:tcBorders>
              <w:top w:val="nil" w:sz="6" w:space="0" w:color="auto"/>
              <w:left w:val="single" w:sz="6" w:space="0" w:color="000000"/>
              <w:bottom w:val="single" w:sz="10" w:space="0" w:color="000000"/>
              <w:right w:val="single" w:sz="6" w:space="0" w:color="000000"/>
            </w:tcBorders>
          </w:tcPr>
          <w:p>
            <w:pPr/>
          </w:p>
        </w:tc>
        <w:tc>
          <w:tcPr>
            <w:tcW w:w="850" w:type="dxa"/>
            <w:tcBorders>
              <w:top w:val="nil" w:sz="6" w:space="0" w:color="auto"/>
              <w:left w:val="single" w:sz="6" w:space="0" w:color="000000"/>
              <w:bottom w:val="single" w:sz="10" w:space="0" w:color="000000"/>
              <w:right w:val="single" w:sz="6" w:space="0" w:color="000000"/>
            </w:tcBorders>
          </w:tcPr>
          <w:p>
            <w:pPr/>
          </w:p>
        </w:tc>
        <w:tc>
          <w:tcPr>
            <w:tcW w:w="991" w:type="dxa"/>
            <w:tcBorders>
              <w:top w:val="nil" w:sz="6" w:space="0" w:color="auto"/>
              <w:left w:val="single" w:sz="6" w:space="0" w:color="000000"/>
              <w:bottom w:val="single" w:sz="10" w:space="0" w:color="000000"/>
              <w:right w:val="single" w:sz="6" w:space="0" w:color="000000"/>
            </w:tcBorders>
          </w:tcPr>
          <w:p>
            <w:pPr/>
          </w:p>
        </w:tc>
        <w:tc>
          <w:tcPr>
            <w:tcW w:w="833" w:type="dxa"/>
            <w:tcBorders>
              <w:top w:val="nil" w:sz="6" w:space="0" w:color="auto"/>
              <w:left w:val="single" w:sz="6" w:space="0" w:color="000000"/>
              <w:bottom w:val="single" w:sz="10" w:space="0" w:color="000000"/>
              <w:right w:val="single" w:sz="6" w:space="0" w:color="000000"/>
            </w:tcBorders>
          </w:tcPr>
          <w:p>
            <w:pPr/>
          </w:p>
        </w:tc>
        <w:tc>
          <w:tcPr>
            <w:tcW w:w="850" w:type="dxa"/>
            <w:tcBorders>
              <w:top w:val="nil" w:sz="6" w:space="0" w:color="auto"/>
              <w:left w:val="single" w:sz="6" w:space="0" w:color="000000"/>
              <w:bottom w:val="single" w:sz="10" w:space="0" w:color="000000"/>
              <w:right w:val="single" w:sz="6" w:space="0" w:color="000000"/>
            </w:tcBorders>
          </w:tcPr>
          <w:p>
            <w:pPr/>
          </w:p>
        </w:tc>
        <w:tc>
          <w:tcPr>
            <w:tcW w:w="1126" w:type="dxa"/>
            <w:tcBorders>
              <w:top w:val="nil" w:sz="6" w:space="0" w:color="auto"/>
              <w:left w:val="single" w:sz="6" w:space="0" w:color="000000"/>
              <w:bottom w:val="single" w:sz="10" w:space="0" w:color="000000"/>
              <w:right w:val="single" w:sz="6" w:space="0" w:color="000000"/>
            </w:tcBorders>
          </w:tcPr>
          <w:p>
            <w:pPr/>
          </w:p>
        </w:tc>
      </w:tr>
      <w:tr>
        <w:trPr>
          <w:trHeight w:val="658" w:hRule="exact"/>
        </w:trPr>
        <w:tc>
          <w:tcPr>
            <w:tcW w:w="1277" w:type="dxa"/>
            <w:tcBorders>
              <w:top w:val="single" w:sz="10" w:space="0" w:color="000000"/>
              <w:left w:val="single" w:sz="6" w:space="0" w:color="000000"/>
              <w:bottom w:val="single" w:sz="10" w:space="0" w:color="000000"/>
              <w:right w:val="single" w:sz="6" w:space="0" w:color="000000"/>
            </w:tcBorders>
          </w:tcPr>
          <w:p>
            <w:pPr>
              <w:pStyle w:val="TableParagraph"/>
              <w:spacing w:line="316" w:lineRule="auto" w:before="8"/>
              <w:ind w:left="4" w:right="175"/>
              <w:jc w:val="left"/>
              <w:rPr>
                <w:rFonts w:ascii="宋体" w:hAnsi="宋体" w:cs="宋体" w:eastAsia="宋体" w:hint="default"/>
                <w:sz w:val="18"/>
                <w:szCs w:val="18"/>
              </w:rPr>
            </w:pPr>
            <w:r>
              <w:rPr>
                <w:rFonts w:ascii="宋体" w:hAnsi="宋体" w:cs="宋体" w:eastAsia="宋体" w:hint="default"/>
                <w:sz w:val="18"/>
                <w:szCs w:val="18"/>
              </w:rPr>
              <w:t>高端环保包装 生产基地项目</w:t>
            </w:r>
          </w:p>
        </w:tc>
        <w:tc>
          <w:tcPr>
            <w:tcW w:w="1274" w:type="dxa"/>
            <w:tcBorders>
              <w:top w:val="nil" w:sz="6" w:space="0" w:color="auto"/>
              <w:left w:val="single" w:sz="6" w:space="0" w:color="000000"/>
              <w:bottom w:val="single" w:sz="10" w:space="0" w:color="000000"/>
              <w:right w:val="single" w:sz="6" w:space="0" w:color="000000"/>
            </w:tcBorders>
          </w:tcPr>
          <w:p>
            <w:pP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18,000.00</w:t>
            </w:r>
          </w:p>
        </w:tc>
        <w:tc>
          <w:tcPr>
            <w:tcW w:w="70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0.0039</w:t>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0.0039</w:t>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833"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right="324"/>
              <w:jc w:val="right"/>
              <w:rPr>
                <w:rFonts w:ascii="宋体" w:hAnsi="宋体" w:cs="宋体" w:eastAsia="宋体" w:hint="default"/>
                <w:sz w:val="18"/>
                <w:szCs w:val="18"/>
              </w:rPr>
            </w:pPr>
            <w:r>
              <w:rPr>
                <w:rFonts w:ascii="宋体" w:hAnsi="宋体" w:cs="宋体" w:eastAsia="宋体" w:hint="default"/>
                <w:sz w:val="18"/>
                <w:szCs w:val="18"/>
              </w:rPr>
              <w:t>否</w:t>
            </w:r>
          </w:p>
        </w:tc>
        <w:tc>
          <w:tcPr>
            <w:tcW w:w="1126"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right="46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3" w:hRule="exact"/>
        </w:trPr>
        <w:tc>
          <w:tcPr>
            <w:tcW w:w="1277"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pacing w:val="-54"/>
                <w:sz w:val="18"/>
                <w:szCs w:val="18"/>
              </w:rPr>
              <w:t> </w:t>
            </w:r>
            <w:r>
              <w:rPr>
                <w:rFonts w:ascii="宋体" w:hAnsi="宋体" w:cs="宋体" w:eastAsia="宋体" w:hint="default"/>
                <w:sz w:val="18"/>
                <w:szCs w:val="18"/>
              </w:rPr>
              <w:t>于</w:t>
            </w:r>
            <w:r>
              <w:rPr>
                <w:rFonts w:ascii="宋体" w:hAnsi="宋体" w:cs="宋体" w:eastAsia="宋体" w:hint="default"/>
                <w:spacing w:val="-54"/>
                <w:sz w:val="18"/>
                <w:szCs w:val="18"/>
              </w:rPr>
              <w:t> </w:t>
            </w:r>
            <w:r>
              <w:rPr>
                <w:rFonts w:ascii="宋体" w:hAnsi="宋体" w:cs="宋体" w:eastAsia="宋体" w:hint="default"/>
                <w:sz w:val="18"/>
                <w:szCs w:val="18"/>
              </w:rPr>
              <w:t>装</w:t>
            </w:r>
            <w:r>
              <w:rPr>
                <w:rFonts w:ascii="宋体" w:hAnsi="宋体" w:cs="宋体" w:eastAsia="宋体" w:hint="default"/>
                <w:spacing w:val="-54"/>
                <w:sz w:val="18"/>
                <w:szCs w:val="18"/>
              </w:rPr>
              <w:t> </w:t>
            </w:r>
            <w:r>
              <w:rPr>
                <w:rFonts w:ascii="宋体" w:hAnsi="宋体" w:cs="宋体" w:eastAsia="宋体" w:hint="default"/>
                <w:sz w:val="18"/>
                <w:szCs w:val="18"/>
              </w:rPr>
              <w:t>备</w:t>
            </w:r>
            <w:r>
              <w:rPr>
                <w:rFonts w:ascii="宋体" w:hAnsi="宋体" w:cs="宋体" w:eastAsia="宋体" w:hint="default"/>
                <w:spacing w:val="-56"/>
                <w:sz w:val="18"/>
                <w:szCs w:val="18"/>
              </w:rPr>
              <w:t> </w:t>
            </w:r>
            <w:r>
              <w:rPr>
                <w:rFonts w:ascii="宋体" w:hAnsi="宋体" w:cs="宋体" w:eastAsia="宋体" w:hint="default"/>
                <w:sz w:val="18"/>
                <w:szCs w:val="18"/>
              </w:rPr>
              <w:t>制</w:t>
            </w:r>
            <w:r>
              <w:rPr>
                <w:rFonts w:ascii="宋体" w:hAnsi="宋体" w:cs="宋体" w:eastAsia="宋体" w:hint="default"/>
                <w:spacing w:val="-54"/>
                <w:sz w:val="18"/>
                <w:szCs w:val="18"/>
              </w:rPr>
              <w:t> </w:t>
            </w:r>
            <w:r>
              <w:rPr>
                <w:rFonts w:ascii="宋体" w:hAnsi="宋体" w:cs="宋体" w:eastAsia="宋体" w:hint="default"/>
                <w:sz w:val="18"/>
                <w:szCs w:val="18"/>
              </w:rPr>
              <w:t>造</w:t>
            </w:r>
          </w:p>
        </w:tc>
        <w:tc>
          <w:tcPr>
            <w:tcW w:w="1274"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10"/>
              <w:ind w:left="2" w:right="-1"/>
              <w:jc w:val="left"/>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54"/>
                <w:sz w:val="18"/>
                <w:szCs w:val="18"/>
              </w:rPr>
              <w:t> </w:t>
            </w:r>
            <w:r>
              <w:rPr>
                <w:rFonts w:ascii="宋体" w:hAnsi="宋体" w:cs="宋体" w:eastAsia="宋体" w:hint="default"/>
                <w:sz w:val="18"/>
                <w:szCs w:val="18"/>
              </w:rPr>
              <w:t>装</w:t>
            </w:r>
            <w:r>
              <w:rPr>
                <w:rFonts w:ascii="宋体" w:hAnsi="宋体" w:cs="宋体" w:eastAsia="宋体" w:hint="default"/>
                <w:spacing w:val="-54"/>
                <w:sz w:val="18"/>
                <w:szCs w:val="18"/>
              </w:rPr>
              <w:t> </w:t>
            </w:r>
            <w:r>
              <w:rPr>
                <w:rFonts w:ascii="宋体" w:hAnsi="宋体" w:cs="宋体" w:eastAsia="宋体" w:hint="default"/>
                <w:sz w:val="18"/>
                <w:szCs w:val="18"/>
              </w:rPr>
              <w:t>印</w:t>
            </w:r>
            <w:r>
              <w:rPr>
                <w:rFonts w:ascii="宋体" w:hAnsi="宋体" w:cs="宋体" w:eastAsia="宋体" w:hint="default"/>
                <w:spacing w:val="-54"/>
                <w:sz w:val="18"/>
                <w:szCs w:val="18"/>
              </w:rPr>
              <w:t> </w:t>
            </w:r>
            <w:r>
              <w:rPr>
                <w:rFonts w:ascii="宋体" w:hAnsi="宋体" w:cs="宋体" w:eastAsia="宋体" w:hint="default"/>
                <w:sz w:val="18"/>
                <w:szCs w:val="18"/>
              </w:rPr>
              <w:t>刷</w:t>
            </w:r>
            <w:r>
              <w:rPr>
                <w:rFonts w:ascii="宋体" w:hAnsi="宋体" w:cs="宋体" w:eastAsia="宋体" w:hint="default"/>
                <w:spacing w:val="-56"/>
                <w:sz w:val="18"/>
                <w:szCs w:val="18"/>
              </w:rPr>
              <w:t> </w:t>
            </w:r>
            <w:r>
              <w:rPr>
                <w:rFonts w:ascii="宋体" w:hAnsi="宋体" w:cs="宋体" w:eastAsia="宋体" w:hint="default"/>
                <w:sz w:val="18"/>
                <w:szCs w:val="18"/>
              </w:rPr>
              <w:t>工</w:t>
            </w:r>
            <w:r>
              <w:rPr>
                <w:rFonts w:ascii="宋体" w:hAnsi="宋体" w:cs="宋体" w:eastAsia="宋体" w:hint="default"/>
                <w:spacing w:val="-54"/>
                <w:sz w:val="18"/>
                <w:szCs w:val="18"/>
              </w:rPr>
              <w:t> </w:t>
            </w:r>
            <w:r>
              <w:rPr>
                <w:rFonts w:ascii="宋体" w:hAnsi="宋体" w:cs="宋体" w:eastAsia="宋体" w:hint="default"/>
                <w:sz w:val="18"/>
                <w:szCs w:val="18"/>
              </w:rPr>
              <w:t>业</w:t>
            </w:r>
          </w:p>
        </w:tc>
        <w:tc>
          <w:tcPr>
            <w:tcW w:w="852"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28,000.00</w:t>
            </w:r>
          </w:p>
        </w:tc>
        <w:tc>
          <w:tcPr>
            <w:tcW w:w="708"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0.009</w:t>
            </w:r>
          </w:p>
        </w:tc>
        <w:tc>
          <w:tcPr>
            <w:tcW w:w="852"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0.009</w:t>
            </w:r>
          </w:p>
        </w:tc>
        <w:tc>
          <w:tcPr>
            <w:tcW w:w="850"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11</w:t>
            </w:r>
          </w:p>
        </w:tc>
        <w:tc>
          <w:tcPr>
            <w:tcW w:w="833"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10"/>
              <w:ind w:right="324"/>
              <w:jc w:val="right"/>
              <w:rPr>
                <w:rFonts w:ascii="宋体" w:hAnsi="宋体" w:cs="宋体" w:eastAsia="宋体" w:hint="default"/>
                <w:sz w:val="18"/>
                <w:szCs w:val="18"/>
              </w:rPr>
            </w:pPr>
            <w:r>
              <w:rPr>
                <w:rFonts w:ascii="宋体" w:hAnsi="宋体" w:cs="宋体" w:eastAsia="宋体" w:hint="default"/>
                <w:sz w:val="18"/>
                <w:szCs w:val="18"/>
              </w:rPr>
              <w:t>否</w:t>
            </w:r>
          </w:p>
        </w:tc>
        <w:tc>
          <w:tcPr>
            <w:tcW w:w="1126"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10"/>
              <w:ind w:right="46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4" w:right="-1"/>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4"/>
                <w:sz w:val="18"/>
                <w:szCs w:val="18"/>
              </w:rPr>
              <w:t> </w:t>
            </w:r>
            <w:r>
              <w:rPr>
                <w:rFonts w:ascii="宋体" w:hAnsi="宋体" w:cs="宋体" w:eastAsia="宋体" w:hint="default"/>
                <w:sz w:val="18"/>
                <w:szCs w:val="18"/>
              </w:rPr>
              <w:t>智</w:t>
            </w:r>
            <w:r>
              <w:rPr>
                <w:rFonts w:ascii="宋体" w:hAnsi="宋体" w:cs="宋体" w:eastAsia="宋体" w:hint="default"/>
                <w:spacing w:val="-54"/>
                <w:sz w:val="18"/>
                <w:szCs w:val="18"/>
              </w:rPr>
              <w:t> </w:t>
            </w:r>
            <w:r>
              <w:rPr>
                <w:rFonts w:ascii="宋体" w:hAnsi="宋体" w:cs="宋体" w:eastAsia="宋体" w:hint="default"/>
                <w:sz w:val="18"/>
                <w:szCs w:val="18"/>
              </w:rPr>
              <w:t>慧</w:t>
            </w:r>
            <w:r>
              <w:rPr>
                <w:rFonts w:ascii="宋体" w:hAnsi="宋体" w:cs="宋体" w:eastAsia="宋体" w:hint="default"/>
                <w:spacing w:val="-54"/>
                <w:sz w:val="18"/>
                <w:szCs w:val="18"/>
              </w:rPr>
              <w:t> </w:t>
            </w:r>
            <w:r>
              <w:rPr>
                <w:rFonts w:ascii="宋体" w:hAnsi="宋体" w:cs="宋体" w:eastAsia="宋体" w:hint="default"/>
                <w:sz w:val="18"/>
                <w:szCs w:val="18"/>
              </w:rPr>
              <w:t>包</w:t>
            </w:r>
            <w:r>
              <w:rPr>
                <w:rFonts w:ascii="宋体" w:hAnsi="宋体" w:cs="宋体" w:eastAsia="宋体" w:hint="default"/>
                <w:spacing w:val="-56"/>
                <w:sz w:val="18"/>
                <w:szCs w:val="18"/>
              </w:rPr>
              <w:t> </w:t>
            </w:r>
            <w:r>
              <w:rPr>
                <w:rFonts w:ascii="宋体" w:hAnsi="宋体" w:cs="宋体" w:eastAsia="宋体" w:hint="default"/>
                <w:sz w:val="18"/>
                <w:szCs w:val="18"/>
              </w:rPr>
              <w:t>装</w:t>
            </w:r>
            <w:r>
              <w:rPr>
                <w:rFonts w:ascii="宋体" w:hAnsi="宋体" w:cs="宋体" w:eastAsia="宋体" w:hint="default"/>
                <w:spacing w:val="-54"/>
                <w:sz w:val="18"/>
                <w:szCs w:val="18"/>
              </w:rPr>
              <w:t> </w:t>
            </w:r>
            <w:r>
              <w:rPr>
                <w:rFonts w:ascii="宋体" w:hAnsi="宋体" w:cs="宋体" w:eastAsia="宋体" w:hint="default"/>
                <w:sz w:val="18"/>
                <w:szCs w:val="18"/>
              </w:rPr>
              <w:t>工</w:t>
            </w:r>
          </w:p>
        </w:tc>
        <w:tc>
          <w:tcPr>
            <w:tcW w:w="127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4.0</w:t>
            </w:r>
            <w:r>
              <w:rPr>
                <w:rFonts w:ascii="宋体" w:hAnsi="宋体" w:cs="宋体" w:eastAsia="宋体" w:hint="default"/>
                <w:spacing w:val="-6"/>
                <w:sz w:val="18"/>
                <w:szCs w:val="18"/>
              </w:rPr>
              <w:t>智慧工厂（六</w:t>
            </w:r>
          </w:p>
        </w:tc>
        <w:tc>
          <w:tcPr>
            <w:tcW w:w="852" w:type="dxa"/>
            <w:tcBorders>
              <w:top w:val="nil" w:sz="6" w:space="0" w:color="auto"/>
              <w:left w:val="single" w:sz="6" w:space="0" w:color="000000"/>
              <w:bottom w:val="nil" w:sz="6" w:space="0" w:color="auto"/>
              <w:right w:val="single" w:sz="6" w:space="0" w:color="000000"/>
            </w:tcBorders>
          </w:tcPr>
          <w:p>
            <w:pPr/>
          </w:p>
        </w:tc>
        <w:tc>
          <w:tcPr>
            <w:tcW w:w="708"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0"/>
              <w:jc w:val="left"/>
              <w:rPr>
                <w:rFonts w:ascii="宋体" w:hAnsi="宋体" w:cs="宋体" w:eastAsia="宋体" w:hint="default"/>
                <w:sz w:val="18"/>
                <w:szCs w:val="18"/>
              </w:rPr>
            </w:pPr>
            <w:r>
              <w:rPr>
                <w:rFonts w:ascii="宋体" w:hAnsi="宋体" w:cs="宋体" w:eastAsia="宋体" w:hint="default"/>
                <w:sz w:val="18"/>
                <w:szCs w:val="18"/>
              </w:rPr>
              <w:t>月</w:t>
            </w:r>
          </w:p>
        </w:tc>
        <w:tc>
          <w:tcPr>
            <w:tcW w:w="833"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4" w:right="-1"/>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产</w:t>
            </w:r>
            <w:r>
              <w:rPr>
                <w:rFonts w:ascii="宋体" w:hAnsi="宋体" w:cs="宋体" w:eastAsia="宋体" w:hint="default"/>
                <w:spacing w:val="-67"/>
                <w:sz w:val="18"/>
                <w:szCs w:val="18"/>
              </w:rPr>
              <w:t> </w:t>
            </w:r>
            <w:r>
              <w:rPr>
                <w:rFonts w:ascii="宋体" w:hAnsi="宋体" w:cs="宋体" w:eastAsia="宋体" w:hint="default"/>
                <w:sz w:val="18"/>
                <w:szCs w:val="18"/>
              </w:rPr>
              <w:t>业</w:t>
            </w:r>
            <w:r>
              <w:rPr>
                <w:rFonts w:ascii="宋体" w:hAnsi="宋体" w:cs="宋体" w:eastAsia="宋体" w:hint="default"/>
                <w:spacing w:val="-63"/>
                <w:sz w:val="18"/>
                <w:szCs w:val="18"/>
              </w:rPr>
              <w:t> </w:t>
            </w:r>
            <w:r>
              <w:rPr>
                <w:rFonts w:ascii="宋体" w:hAnsi="宋体" w:cs="宋体" w:eastAsia="宋体" w:hint="default"/>
                <w:sz w:val="18"/>
                <w:szCs w:val="18"/>
              </w:rPr>
              <w:t>园</w:t>
            </w:r>
            <w:r>
              <w:rPr>
                <w:rFonts w:ascii="宋体" w:hAnsi="宋体" w:cs="宋体" w:eastAsia="宋体" w:hint="default"/>
                <w:spacing w:val="-63"/>
                <w:sz w:val="18"/>
                <w:szCs w:val="18"/>
              </w:rPr>
              <w:t> </w:t>
            </w:r>
            <w:r>
              <w:rPr>
                <w:rFonts w:ascii="宋体" w:hAnsi="宋体" w:cs="宋体" w:eastAsia="宋体" w:hint="default"/>
                <w:sz w:val="18"/>
                <w:szCs w:val="18"/>
              </w:rPr>
              <w:t>项</w:t>
            </w:r>
          </w:p>
        </w:tc>
        <w:tc>
          <w:tcPr>
            <w:tcW w:w="127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0"/>
              <w:jc w:val="left"/>
              <w:rPr>
                <w:rFonts w:ascii="宋体" w:hAnsi="宋体" w:cs="宋体" w:eastAsia="宋体" w:hint="default"/>
                <w:sz w:val="18"/>
                <w:szCs w:val="18"/>
              </w:rPr>
            </w:pPr>
            <w:r>
              <w:rPr>
                <w:rFonts w:ascii="宋体" w:hAnsi="宋体" w:cs="宋体" w:eastAsia="宋体" w:hint="default"/>
                <w:sz w:val="18"/>
                <w:szCs w:val="18"/>
              </w:rPr>
              <w:t>安）项目</w:t>
            </w:r>
          </w:p>
        </w:tc>
        <w:tc>
          <w:tcPr>
            <w:tcW w:w="852" w:type="dxa"/>
            <w:tcBorders>
              <w:top w:val="nil" w:sz="6" w:space="0" w:color="auto"/>
              <w:left w:val="single" w:sz="6" w:space="0" w:color="000000"/>
              <w:bottom w:val="nil" w:sz="6" w:space="0" w:color="auto"/>
              <w:right w:val="single" w:sz="6" w:space="0" w:color="000000"/>
            </w:tcBorders>
          </w:tcPr>
          <w:p>
            <w:pPr/>
          </w:p>
        </w:tc>
        <w:tc>
          <w:tcPr>
            <w:tcW w:w="708"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833"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
        </w:tc>
      </w:tr>
      <w:tr>
        <w:trPr>
          <w:trHeight w:val="327" w:hRule="exact"/>
        </w:trPr>
        <w:tc>
          <w:tcPr>
            <w:tcW w:w="1277" w:type="dxa"/>
            <w:tcBorders>
              <w:top w:val="nil" w:sz="6" w:space="0" w:color="auto"/>
              <w:left w:val="single" w:sz="6" w:space="0" w:color="000000"/>
              <w:bottom w:val="single" w:sz="10" w:space="0" w:color="000000"/>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274" w:type="dxa"/>
            <w:tcBorders>
              <w:top w:val="nil" w:sz="6" w:space="0" w:color="auto"/>
              <w:left w:val="single" w:sz="6" w:space="0" w:color="000000"/>
              <w:bottom w:val="single" w:sz="10" w:space="0" w:color="000000"/>
              <w:right w:val="single" w:sz="6" w:space="0" w:color="000000"/>
            </w:tcBorders>
          </w:tcPr>
          <w:p>
            <w:pPr/>
          </w:p>
        </w:tc>
        <w:tc>
          <w:tcPr>
            <w:tcW w:w="852" w:type="dxa"/>
            <w:tcBorders>
              <w:top w:val="nil" w:sz="6" w:space="0" w:color="auto"/>
              <w:left w:val="single" w:sz="6" w:space="0" w:color="000000"/>
              <w:bottom w:val="single" w:sz="10" w:space="0" w:color="000000"/>
              <w:right w:val="single" w:sz="6" w:space="0" w:color="000000"/>
            </w:tcBorders>
          </w:tcPr>
          <w:p>
            <w:pPr/>
          </w:p>
        </w:tc>
        <w:tc>
          <w:tcPr>
            <w:tcW w:w="708" w:type="dxa"/>
            <w:tcBorders>
              <w:top w:val="nil" w:sz="6" w:space="0" w:color="auto"/>
              <w:left w:val="single" w:sz="6" w:space="0" w:color="000000"/>
              <w:bottom w:val="single" w:sz="10" w:space="0" w:color="000000"/>
              <w:right w:val="single" w:sz="6" w:space="0" w:color="000000"/>
            </w:tcBorders>
          </w:tcPr>
          <w:p>
            <w:pPr/>
          </w:p>
        </w:tc>
        <w:tc>
          <w:tcPr>
            <w:tcW w:w="852" w:type="dxa"/>
            <w:tcBorders>
              <w:top w:val="nil" w:sz="6" w:space="0" w:color="auto"/>
              <w:left w:val="single" w:sz="6" w:space="0" w:color="000000"/>
              <w:bottom w:val="single" w:sz="10" w:space="0" w:color="000000"/>
              <w:right w:val="single" w:sz="6" w:space="0" w:color="000000"/>
            </w:tcBorders>
          </w:tcPr>
          <w:p>
            <w:pPr/>
          </w:p>
        </w:tc>
        <w:tc>
          <w:tcPr>
            <w:tcW w:w="850" w:type="dxa"/>
            <w:tcBorders>
              <w:top w:val="nil" w:sz="6" w:space="0" w:color="auto"/>
              <w:left w:val="single" w:sz="6" w:space="0" w:color="000000"/>
              <w:bottom w:val="single" w:sz="10" w:space="0" w:color="000000"/>
              <w:right w:val="single" w:sz="6" w:space="0" w:color="000000"/>
            </w:tcBorders>
          </w:tcPr>
          <w:p>
            <w:pPr/>
          </w:p>
        </w:tc>
        <w:tc>
          <w:tcPr>
            <w:tcW w:w="991" w:type="dxa"/>
            <w:tcBorders>
              <w:top w:val="nil" w:sz="6" w:space="0" w:color="auto"/>
              <w:left w:val="single" w:sz="6" w:space="0" w:color="000000"/>
              <w:bottom w:val="single" w:sz="10" w:space="0" w:color="000000"/>
              <w:right w:val="single" w:sz="6" w:space="0" w:color="000000"/>
            </w:tcBorders>
          </w:tcPr>
          <w:p>
            <w:pPr/>
          </w:p>
        </w:tc>
        <w:tc>
          <w:tcPr>
            <w:tcW w:w="833" w:type="dxa"/>
            <w:tcBorders>
              <w:top w:val="nil" w:sz="6" w:space="0" w:color="auto"/>
              <w:left w:val="single" w:sz="6" w:space="0" w:color="000000"/>
              <w:bottom w:val="single" w:sz="10" w:space="0" w:color="000000"/>
              <w:right w:val="single" w:sz="6" w:space="0" w:color="000000"/>
            </w:tcBorders>
          </w:tcPr>
          <w:p>
            <w:pPr/>
          </w:p>
        </w:tc>
        <w:tc>
          <w:tcPr>
            <w:tcW w:w="850" w:type="dxa"/>
            <w:tcBorders>
              <w:top w:val="nil" w:sz="6" w:space="0" w:color="auto"/>
              <w:left w:val="single" w:sz="6" w:space="0" w:color="000000"/>
              <w:bottom w:val="single" w:sz="10" w:space="0" w:color="000000"/>
              <w:right w:val="single" w:sz="6" w:space="0" w:color="000000"/>
            </w:tcBorders>
          </w:tcPr>
          <w:p>
            <w:pPr/>
          </w:p>
        </w:tc>
        <w:tc>
          <w:tcPr>
            <w:tcW w:w="1126" w:type="dxa"/>
            <w:tcBorders>
              <w:top w:val="nil" w:sz="6" w:space="0" w:color="auto"/>
              <w:left w:val="single" w:sz="6" w:space="0" w:color="000000"/>
              <w:bottom w:val="single" w:sz="10" w:space="0" w:color="000000"/>
              <w:right w:val="single" w:sz="6" w:space="0" w:color="000000"/>
            </w:tcBorders>
          </w:tcPr>
          <w:p>
            <w:pPr/>
          </w:p>
        </w:tc>
      </w:tr>
      <w:tr>
        <w:trPr>
          <w:trHeight w:val="330" w:hRule="exact"/>
        </w:trPr>
        <w:tc>
          <w:tcPr>
            <w:tcW w:w="1277"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8"/>
              <w:ind w:left="4" w:right="-1"/>
              <w:jc w:val="left"/>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54"/>
                <w:sz w:val="18"/>
                <w:szCs w:val="18"/>
              </w:rPr>
              <w:t> </w:t>
            </w:r>
            <w:r>
              <w:rPr>
                <w:rFonts w:ascii="宋体" w:hAnsi="宋体" w:cs="宋体" w:eastAsia="宋体" w:hint="default"/>
                <w:sz w:val="18"/>
                <w:szCs w:val="18"/>
              </w:rPr>
              <w:t>装</w:t>
            </w:r>
            <w:r>
              <w:rPr>
                <w:rFonts w:ascii="宋体" w:hAnsi="宋体" w:cs="宋体" w:eastAsia="宋体" w:hint="default"/>
                <w:spacing w:val="-54"/>
                <w:sz w:val="18"/>
                <w:szCs w:val="18"/>
              </w:rPr>
              <w:t> </w:t>
            </w:r>
            <w:r>
              <w:rPr>
                <w:rFonts w:ascii="宋体" w:hAnsi="宋体" w:cs="宋体" w:eastAsia="宋体" w:hint="default"/>
                <w:sz w:val="18"/>
                <w:szCs w:val="18"/>
              </w:rPr>
              <w:t>印</w:t>
            </w:r>
            <w:r>
              <w:rPr>
                <w:rFonts w:ascii="宋体" w:hAnsi="宋体" w:cs="宋体" w:eastAsia="宋体" w:hint="default"/>
                <w:spacing w:val="-54"/>
                <w:sz w:val="18"/>
                <w:szCs w:val="18"/>
              </w:rPr>
              <w:t> </w:t>
            </w:r>
            <w:r>
              <w:rPr>
                <w:rFonts w:ascii="宋体" w:hAnsi="宋体" w:cs="宋体" w:eastAsia="宋体" w:hint="default"/>
                <w:sz w:val="18"/>
                <w:szCs w:val="18"/>
              </w:rPr>
              <w:t>刷</w:t>
            </w:r>
            <w:r>
              <w:rPr>
                <w:rFonts w:ascii="宋体" w:hAnsi="宋体" w:cs="宋体" w:eastAsia="宋体" w:hint="default"/>
                <w:spacing w:val="-56"/>
                <w:sz w:val="18"/>
                <w:szCs w:val="18"/>
              </w:rPr>
              <w:t> </w:t>
            </w:r>
            <w:r>
              <w:rPr>
                <w:rFonts w:ascii="宋体" w:hAnsi="宋体" w:cs="宋体" w:eastAsia="宋体" w:hint="default"/>
                <w:sz w:val="18"/>
                <w:szCs w:val="18"/>
              </w:rPr>
              <w:t>工</w:t>
            </w:r>
            <w:r>
              <w:rPr>
                <w:rFonts w:ascii="宋体" w:hAnsi="宋体" w:cs="宋体" w:eastAsia="宋体" w:hint="default"/>
                <w:spacing w:val="-54"/>
                <w:sz w:val="18"/>
                <w:szCs w:val="18"/>
              </w:rPr>
              <w:t> </w:t>
            </w:r>
            <w:r>
              <w:rPr>
                <w:rFonts w:ascii="宋体" w:hAnsi="宋体" w:cs="宋体" w:eastAsia="宋体" w:hint="default"/>
                <w:sz w:val="18"/>
                <w:szCs w:val="18"/>
              </w:rPr>
              <w:t>业</w:t>
            </w:r>
          </w:p>
        </w:tc>
        <w:tc>
          <w:tcPr>
            <w:tcW w:w="1274"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8"/>
              <w:ind w:left="2" w:right="-1"/>
              <w:jc w:val="left"/>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54"/>
                <w:sz w:val="18"/>
                <w:szCs w:val="18"/>
              </w:rPr>
              <w:t> </w:t>
            </w:r>
            <w:r>
              <w:rPr>
                <w:rFonts w:ascii="宋体" w:hAnsi="宋体" w:cs="宋体" w:eastAsia="宋体" w:hint="default"/>
                <w:sz w:val="18"/>
                <w:szCs w:val="18"/>
              </w:rPr>
              <w:t>装</w:t>
            </w:r>
            <w:r>
              <w:rPr>
                <w:rFonts w:ascii="宋体" w:hAnsi="宋体" w:cs="宋体" w:eastAsia="宋体" w:hint="default"/>
                <w:spacing w:val="-54"/>
                <w:sz w:val="18"/>
                <w:szCs w:val="18"/>
              </w:rPr>
              <w:t> </w:t>
            </w:r>
            <w:r>
              <w:rPr>
                <w:rFonts w:ascii="宋体" w:hAnsi="宋体" w:cs="宋体" w:eastAsia="宋体" w:hint="default"/>
                <w:sz w:val="18"/>
                <w:szCs w:val="18"/>
              </w:rPr>
              <w:t>印</w:t>
            </w:r>
            <w:r>
              <w:rPr>
                <w:rFonts w:ascii="宋体" w:hAnsi="宋体" w:cs="宋体" w:eastAsia="宋体" w:hint="default"/>
                <w:spacing w:val="-54"/>
                <w:sz w:val="18"/>
                <w:szCs w:val="18"/>
              </w:rPr>
              <w:t> </w:t>
            </w:r>
            <w:r>
              <w:rPr>
                <w:rFonts w:ascii="宋体" w:hAnsi="宋体" w:cs="宋体" w:eastAsia="宋体" w:hint="default"/>
                <w:sz w:val="18"/>
                <w:szCs w:val="18"/>
              </w:rPr>
              <w:t>刷</w:t>
            </w:r>
            <w:r>
              <w:rPr>
                <w:rFonts w:ascii="宋体" w:hAnsi="宋体" w:cs="宋体" w:eastAsia="宋体" w:hint="default"/>
                <w:spacing w:val="-56"/>
                <w:sz w:val="18"/>
                <w:szCs w:val="18"/>
              </w:rPr>
              <w:t> </w:t>
            </w:r>
            <w:r>
              <w:rPr>
                <w:rFonts w:ascii="宋体" w:hAnsi="宋体" w:cs="宋体" w:eastAsia="宋体" w:hint="default"/>
                <w:sz w:val="18"/>
                <w:szCs w:val="18"/>
              </w:rPr>
              <w:t>工</w:t>
            </w:r>
            <w:r>
              <w:rPr>
                <w:rFonts w:ascii="宋体" w:hAnsi="宋体" w:cs="宋体" w:eastAsia="宋体" w:hint="default"/>
                <w:spacing w:val="-54"/>
                <w:sz w:val="18"/>
                <w:szCs w:val="18"/>
              </w:rPr>
              <w:t> </w:t>
            </w:r>
            <w:r>
              <w:rPr>
                <w:rFonts w:ascii="宋体" w:hAnsi="宋体" w:cs="宋体" w:eastAsia="宋体" w:hint="default"/>
                <w:sz w:val="18"/>
                <w:szCs w:val="18"/>
              </w:rPr>
              <w:t>业</w:t>
            </w:r>
          </w:p>
        </w:tc>
        <w:tc>
          <w:tcPr>
            <w:tcW w:w="852"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20,000.00</w:t>
            </w:r>
          </w:p>
        </w:tc>
        <w:tc>
          <w:tcPr>
            <w:tcW w:w="708"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5,180.33</w:t>
            </w:r>
          </w:p>
        </w:tc>
        <w:tc>
          <w:tcPr>
            <w:tcW w:w="852"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5,180.33</w:t>
            </w:r>
          </w:p>
        </w:tc>
        <w:tc>
          <w:tcPr>
            <w:tcW w:w="850"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25.90%</w:t>
            </w:r>
          </w:p>
        </w:tc>
        <w:tc>
          <w:tcPr>
            <w:tcW w:w="991"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833"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8"/>
              <w:ind w:right="324"/>
              <w:jc w:val="right"/>
              <w:rPr>
                <w:rFonts w:ascii="宋体" w:hAnsi="宋体" w:cs="宋体" w:eastAsia="宋体" w:hint="default"/>
                <w:sz w:val="18"/>
                <w:szCs w:val="18"/>
              </w:rPr>
            </w:pPr>
            <w:r>
              <w:rPr>
                <w:rFonts w:ascii="宋体" w:hAnsi="宋体" w:cs="宋体" w:eastAsia="宋体" w:hint="default"/>
                <w:sz w:val="18"/>
                <w:szCs w:val="18"/>
              </w:rPr>
              <w:t>否</w:t>
            </w:r>
          </w:p>
        </w:tc>
        <w:tc>
          <w:tcPr>
            <w:tcW w:w="1126"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8"/>
              <w:ind w:right="46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智</w:t>
            </w:r>
            <w:r>
              <w:rPr>
                <w:rFonts w:ascii="宋体" w:hAnsi="宋体" w:cs="宋体" w:eastAsia="宋体" w:hint="default"/>
                <w:spacing w:val="-63"/>
                <w:sz w:val="18"/>
                <w:szCs w:val="18"/>
              </w:rPr>
              <w:t> </w:t>
            </w:r>
            <w:r>
              <w:rPr>
                <w:rFonts w:ascii="宋体" w:hAnsi="宋体" w:cs="宋体" w:eastAsia="宋体" w:hint="default"/>
                <w:sz w:val="18"/>
                <w:szCs w:val="18"/>
              </w:rPr>
              <w:t>慧</w:t>
            </w:r>
            <w:r>
              <w:rPr>
                <w:rFonts w:ascii="宋体" w:hAnsi="宋体" w:cs="宋体" w:eastAsia="宋体" w:hint="default"/>
                <w:spacing w:val="-67"/>
                <w:sz w:val="18"/>
                <w:szCs w:val="18"/>
              </w:rPr>
              <w:t> </w:t>
            </w:r>
            <w:r>
              <w:rPr>
                <w:rFonts w:ascii="宋体" w:hAnsi="宋体" w:cs="宋体" w:eastAsia="宋体" w:hint="default"/>
                <w:sz w:val="18"/>
                <w:szCs w:val="18"/>
              </w:rPr>
              <w:t>型</w:t>
            </w:r>
            <w:r>
              <w:rPr>
                <w:rFonts w:ascii="宋体" w:hAnsi="宋体" w:cs="宋体" w:eastAsia="宋体" w:hint="default"/>
                <w:spacing w:val="-63"/>
                <w:sz w:val="18"/>
                <w:szCs w:val="18"/>
              </w:rPr>
              <w:t> </w:t>
            </w:r>
            <w:r>
              <w:rPr>
                <w:rFonts w:ascii="宋体" w:hAnsi="宋体" w:cs="宋体" w:eastAsia="宋体" w:hint="default"/>
                <w:sz w:val="18"/>
                <w:szCs w:val="18"/>
              </w:rPr>
              <w:t>工</w:t>
            </w:r>
            <w:r>
              <w:rPr>
                <w:rFonts w:ascii="宋体" w:hAnsi="宋体" w:cs="宋体" w:eastAsia="宋体" w:hint="default"/>
                <w:spacing w:val="-65"/>
                <w:sz w:val="18"/>
                <w:szCs w:val="18"/>
              </w:rPr>
              <w:t> </w:t>
            </w:r>
            <w:r>
              <w:rPr>
                <w:rFonts w:ascii="宋体" w:hAnsi="宋体" w:cs="宋体" w:eastAsia="宋体" w:hint="default"/>
                <w:sz w:val="18"/>
                <w:szCs w:val="18"/>
              </w:rPr>
              <w:t>厂</w:t>
            </w:r>
          </w:p>
        </w:tc>
        <w:tc>
          <w:tcPr>
            <w:tcW w:w="127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1"/>
              <w:jc w:val="left"/>
              <w:rPr>
                <w:rFonts w:ascii="宋体" w:hAnsi="宋体" w:cs="宋体" w:eastAsia="宋体" w:hint="default"/>
                <w:sz w:val="18"/>
                <w:szCs w:val="18"/>
              </w:rPr>
            </w:pPr>
            <w:r>
              <w:rPr>
                <w:rFonts w:ascii="宋体" w:hAnsi="宋体" w:cs="宋体" w:eastAsia="宋体" w:hint="default"/>
                <w:sz w:val="18"/>
                <w:szCs w:val="18"/>
              </w:rPr>
              <w:t>进</w:t>
            </w:r>
            <w:r>
              <w:rPr>
                <w:rFonts w:ascii="宋体" w:hAnsi="宋体" w:cs="宋体" w:eastAsia="宋体" w:hint="default"/>
                <w:spacing w:val="-54"/>
                <w:sz w:val="18"/>
                <w:szCs w:val="18"/>
              </w:rPr>
              <w:t> </w:t>
            </w:r>
            <w:r>
              <w:rPr>
                <w:rFonts w:ascii="宋体" w:hAnsi="宋体" w:cs="宋体" w:eastAsia="宋体" w:hint="default"/>
                <w:sz w:val="18"/>
                <w:szCs w:val="18"/>
              </w:rPr>
              <w:t>出</w:t>
            </w:r>
            <w:r>
              <w:rPr>
                <w:rFonts w:ascii="宋体" w:hAnsi="宋体" w:cs="宋体" w:eastAsia="宋体" w:hint="default"/>
                <w:spacing w:val="-54"/>
                <w:sz w:val="18"/>
                <w:szCs w:val="18"/>
              </w:rPr>
              <w:t> </w:t>
            </w:r>
            <w:r>
              <w:rPr>
                <w:rFonts w:ascii="宋体" w:hAnsi="宋体" w:cs="宋体" w:eastAsia="宋体" w:hint="default"/>
                <w:sz w:val="18"/>
                <w:szCs w:val="18"/>
              </w:rPr>
              <w:t>口</w:t>
            </w:r>
            <w:r>
              <w:rPr>
                <w:rFonts w:ascii="宋体" w:hAnsi="宋体" w:cs="宋体" w:eastAsia="宋体" w:hint="default"/>
                <w:spacing w:val="-54"/>
                <w:sz w:val="18"/>
                <w:szCs w:val="18"/>
              </w:rPr>
              <w:t> </w:t>
            </w:r>
            <w:r>
              <w:rPr>
                <w:rFonts w:ascii="宋体" w:hAnsi="宋体" w:cs="宋体" w:eastAsia="宋体" w:hint="default"/>
                <w:sz w:val="18"/>
                <w:szCs w:val="18"/>
              </w:rPr>
              <w:t>贸</w:t>
            </w:r>
            <w:r>
              <w:rPr>
                <w:rFonts w:ascii="宋体" w:hAnsi="宋体" w:cs="宋体" w:eastAsia="宋体" w:hint="default"/>
                <w:spacing w:val="-56"/>
                <w:sz w:val="18"/>
                <w:szCs w:val="18"/>
              </w:rPr>
              <w:t> </w:t>
            </w:r>
            <w:r>
              <w:rPr>
                <w:rFonts w:ascii="宋体" w:hAnsi="宋体" w:cs="宋体" w:eastAsia="宋体" w:hint="default"/>
                <w:sz w:val="18"/>
                <w:szCs w:val="18"/>
              </w:rPr>
              <w:t>易</w:t>
            </w:r>
            <w:r>
              <w:rPr>
                <w:rFonts w:ascii="宋体" w:hAnsi="宋体" w:cs="宋体" w:eastAsia="宋体" w:hint="default"/>
                <w:spacing w:val="-54"/>
                <w:sz w:val="18"/>
                <w:szCs w:val="18"/>
              </w:rPr>
              <w:t> </w:t>
            </w:r>
            <w:r>
              <w:rPr>
                <w:rFonts w:ascii="宋体" w:hAnsi="宋体" w:cs="宋体" w:eastAsia="宋体" w:hint="default"/>
                <w:sz w:val="18"/>
                <w:szCs w:val="18"/>
              </w:rPr>
              <w:t>及</w:t>
            </w:r>
          </w:p>
        </w:tc>
        <w:tc>
          <w:tcPr>
            <w:tcW w:w="852" w:type="dxa"/>
            <w:tcBorders>
              <w:top w:val="nil" w:sz="6" w:space="0" w:color="auto"/>
              <w:left w:val="single" w:sz="6" w:space="0" w:color="000000"/>
              <w:bottom w:val="nil" w:sz="6" w:space="0" w:color="auto"/>
              <w:right w:val="single" w:sz="6" w:space="0" w:color="000000"/>
            </w:tcBorders>
          </w:tcPr>
          <w:p>
            <w:pPr/>
          </w:p>
        </w:tc>
        <w:tc>
          <w:tcPr>
            <w:tcW w:w="708"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833"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
        </w:tc>
      </w:tr>
      <w:tr>
        <w:trPr>
          <w:trHeight w:val="311" w:hRule="exact"/>
        </w:trPr>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（长沙）项目</w:t>
            </w:r>
          </w:p>
        </w:tc>
        <w:tc>
          <w:tcPr>
            <w:tcW w:w="127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1"/>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pacing w:val="-54"/>
                <w:sz w:val="18"/>
                <w:szCs w:val="18"/>
              </w:rPr>
              <w:t> </w:t>
            </w:r>
            <w:r>
              <w:rPr>
                <w:rFonts w:ascii="宋体" w:hAnsi="宋体" w:cs="宋体" w:eastAsia="宋体" w:hint="default"/>
                <w:sz w:val="18"/>
                <w:szCs w:val="18"/>
              </w:rPr>
              <w:t>税</w:t>
            </w:r>
            <w:r>
              <w:rPr>
                <w:rFonts w:ascii="宋体" w:hAnsi="宋体" w:cs="宋体" w:eastAsia="宋体" w:hint="default"/>
                <w:spacing w:val="-54"/>
                <w:sz w:val="18"/>
                <w:szCs w:val="18"/>
              </w:rPr>
              <w:t> </w:t>
            </w:r>
            <w:r>
              <w:rPr>
                <w:rFonts w:ascii="宋体" w:hAnsi="宋体" w:cs="宋体" w:eastAsia="宋体" w:hint="default"/>
                <w:sz w:val="18"/>
                <w:szCs w:val="18"/>
              </w:rPr>
              <w:t>加</w:t>
            </w:r>
            <w:r>
              <w:rPr>
                <w:rFonts w:ascii="宋体" w:hAnsi="宋体" w:cs="宋体" w:eastAsia="宋体" w:hint="default"/>
                <w:spacing w:val="-54"/>
                <w:sz w:val="18"/>
                <w:szCs w:val="18"/>
              </w:rPr>
              <w:t> </w:t>
            </w:r>
            <w:r>
              <w:rPr>
                <w:rFonts w:ascii="宋体" w:hAnsi="宋体" w:cs="宋体" w:eastAsia="宋体" w:hint="default"/>
                <w:sz w:val="18"/>
                <w:szCs w:val="18"/>
              </w:rPr>
              <w:t>工</w:t>
            </w:r>
            <w:r>
              <w:rPr>
                <w:rFonts w:ascii="宋体" w:hAnsi="宋体" w:cs="宋体" w:eastAsia="宋体" w:hint="default"/>
                <w:spacing w:val="-56"/>
                <w:sz w:val="18"/>
                <w:szCs w:val="18"/>
              </w:rPr>
              <w:t> </w:t>
            </w:r>
            <w:r>
              <w:rPr>
                <w:rFonts w:ascii="宋体" w:hAnsi="宋体" w:cs="宋体" w:eastAsia="宋体" w:hint="default"/>
                <w:sz w:val="18"/>
                <w:szCs w:val="18"/>
              </w:rPr>
              <w:t>（</w:t>
            </w:r>
            <w:r>
              <w:rPr>
                <w:rFonts w:ascii="宋体" w:hAnsi="宋体" w:cs="宋体" w:eastAsia="宋体" w:hint="default"/>
                <w:spacing w:val="-54"/>
                <w:sz w:val="18"/>
                <w:szCs w:val="18"/>
              </w:rPr>
              <w:t> </w:t>
            </w:r>
            <w:r>
              <w:rPr>
                <w:rFonts w:ascii="宋体" w:hAnsi="宋体" w:cs="宋体" w:eastAsia="宋体" w:hint="default"/>
                <w:sz w:val="18"/>
                <w:szCs w:val="18"/>
              </w:rPr>
              <w:t>岳</w:t>
            </w:r>
          </w:p>
        </w:tc>
        <w:tc>
          <w:tcPr>
            <w:tcW w:w="852" w:type="dxa"/>
            <w:tcBorders>
              <w:top w:val="nil" w:sz="6" w:space="0" w:color="auto"/>
              <w:left w:val="single" w:sz="6" w:space="0" w:color="000000"/>
              <w:bottom w:val="nil" w:sz="6" w:space="0" w:color="auto"/>
              <w:right w:val="single" w:sz="6" w:space="0" w:color="000000"/>
            </w:tcBorders>
          </w:tcPr>
          <w:p>
            <w:pPr/>
          </w:p>
        </w:tc>
        <w:tc>
          <w:tcPr>
            <w:tcW w:w="708"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833"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277"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left="2" w:right="0"/>
              <w:jc w:val="left"/>
              <w:rPr>
                <w:rFonts w:ascii="宋体" w:hAnsi="宋体" w:cs="宋体" w:eastAsia="宋体" w:hint="default"/>
                <w:sz w:val="18"/>
                <w:szCs w:val="18"/>
              </w:rPr>
            </w:pPr>
            <w:r>
              <w:rPr>
                <w:rFonts w:ascii="宋体" w:hAnsi="宋体" w:cs="宋体" w:eastAsia="宋体" w:hint="default"/>
                <w:sz w:val="18"/>
                <w:szCs w:val="18"/>
              </w:rPr>
              <w:t>阳）项目、包装</w:t>
            </w:r>
          </w:p>
        </w:tc>
        <w:tc>
          <w:tcPr>
            <w:tcW w:w="852" w:type="dxa"/>
            <w:tcBorders>
              <w:top w:val="nil" w:sz="6" w:space="0" w:color="auto"/>
              <w:left w:val="single" w:sz="6" w:space="0" w:color="000000"/>
              <w:bottom w:val="nil" w:sz="6" w:space="0" w:color="auto"/>
              <w:right w:val="single" w:sz="6" w:space="0" w:color="000000"/>
            </w:tcBorders>
          </w:tcPr>
          <w:p>
            <w:pPr/>
          </w:p>
        </w:tc>
        <w:tc>
          <w:tcPr>
            <w:tcW w:w="708"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833"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1277"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left="2" w:right="-1"/>
              <w:jc w:val="left"/>
              <w:rPr>
                <w:rFonts w:ascii="宋体" w:hAnsi="宋体" w:cs="宋体" w:eastAsia="宋体" w:hint="default"/>
                <w:sz w:val="18"/>
                <w:szCs w:val="18"/>
              </w:rPr>
            </w:pPr>
            <w:r>
              <w:rPr>
                <w:rFonts w:ascii="宋体" w:hAnsi="宋体" w:cs="宋体" w:eastAsia="宋体" w:hint="default"/>
                <w:sz w:val="18"/>
                <w:szCs w:val="18"/>
              </w:rPr>
              <w:t>印</w:t>
            </w:r>
            <w:r>
              <w:rPr>
                <w:rFonts w:ascii="宋体" w:hAnsi="宋体" w:cs="宋体" w:eastAsia="宋体" w:hint="default"/>
                <w:spacing w:val="-64"/>
                <w:sz w:val="18"/>
                <w:szCs w:val="18"/>
              </w:rPr>
              <w:t> </w:t>
            </w:r>
            <w:r>
              <w:rPr>
                <w:rFonts w:ascii="宋体" w:hAnsi="宋体" w:cs="宋体" w:eastAsia="宋体" w:hint="default"/>
                <w:sz w:val="18"/>
                <w:szCs w:val="18"/>
              </w:rPr>
              <w:t>刷</w:t>
            </w:r>
            <w:r>
              <w:rPr>
                <w:rFonts w:ascii="宋体" w:hAnsi="宋体" w:cs="宋体" w:eastAsia="宋体" w:hint="default"/>
                <w:spacing w:val="-66"/>
                <w:sz w:val="18"/>
                <w:szCs w:val="18"/>
              </w:rPr>
              <w:t> </w:t>
            </w:r>
            <w:r>
              <w:rPr>
                <w:rFonts w:ascii="宋体" w:hAnsi="宋体" w:cs="宋体" w:eastAsia="宋体" w:hint="default"/>
                <w:sz w:val="18"/>
                <w:szCs w:val="18"/>
              </w:rPr>
              <w:t>工</w:t>
            </w:r>
            <w:r>
              <w:rPr>
                <w:rFonts w:ascii="宋体" w:hAnsi="宋体" w:cs="宋体" w:eastAsia="宋体" w:hint="default"/>
                <w:spacing w:val="-64"/>
                <w:sz w:val="18"/>
                <w:szCs w:val="18"/>
              </w:rPr>
              <w:t> </w:t>
            </w:r>
            <w:r>
              <w:rPr>
                <w:rFonts w:ascii="宋体" w:hAnsi="宋体" w:cs="宋体" w:eastAsia="宋体" w:hint="default"/>
                <w:sz w:val="18"/>
                <w:szCs w:val="18"/>
              </w:rPr>
              <w:t>业</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智</w:t>
            </w:r>
          </w:p>
        </w:tc>
        <w:tc>
          <w:tcPr>
            <w:tcW w:w="852" w:type="dxa"/>
            <w:tcBorders>
              <w:top w:val="nil" w:sz="6" w:space="0" w:color="auto"/>
              <w:left w:val="single" w:sz="6" w:space="0" w:color="000000"/>
              <w:bottom w:val="nil" w:sz="6" w:space="0" w:color="auto"/>
              <w:right w:val="single" w:sz="6" w:space="0" w:color="000000"/>
            </w:tcBorders>
          </w:tcPr>
          <w:p>
            <w:pPr/>
          </w:p>
        </w:tc>
        <w:tc>
          <w:tcPr>
            <w:tcW w:w="708"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833"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
        </w:tc>
      </w:tr>
      <w:tr>
        <w:trPr>
          <w:trHeight w:val="311" w:hRule="exact"/>
        </w:trPr>
        <w:tc>
          <w:tcPr>
            <w:tcW w:w="1277"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3"/>
              <w:jc w:val="left"/>
              <w:rPr>
                <w:rFonts w:ascii="宋体" w:hAnsi="宋体" w:cs="宋体" w:eastAsia="宋体" w:hint="default"/>
                <w:sz w:val="18"/>
                <w:szCs w:val="18"/>
              </w:rPr>
            </w:pPr>
            <w:r>
              <w:rPr>
                <w:rFonts w:ascii="宋体" w:hAnsi="宋体" w:cs="宋体" w:eastAsia="宋体" w:hint="default"/>
                <w:sz w:val="18"/>
                <w:szCs w:val="18"/>
              </w:rPr>
              <w:t>慧工厂（六安）</w:t>
            </w:r>
          </w:p>
        </w:tc>
        <w:tc>
          <w:tcPr>
            <w:tcW w:w="852" w:type="dxa"/>
            <w:tcBorders>
              <w:top w:val="nil" w:sz="6" w:space="0" w:color="auto"/>
              <w:left w:val="single" w:sz="6" w:space="0" w:color="000000"/>
              <w:bottom w:val="nil" w:sz="6" w:space="0" w:color="auto"/>
              <w:right w:val="single" w:sz="6" w:space="0" w:color="000000"/>
            </w:tcBorders>
          </w:tcPr>
          <w:p>
            <w:pPr/>
          </w:p>
        </w:tc>
        <w:tc>
          <w:tcPr>
            <w:tcW w:w="708"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833"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
        </w:tc>
      </w:tr>
      <w:tr>
        <w:trPr>
          <w:trHeight w:val="331" w:hRule="exact"/>
        </w:trPr>
        <w:tc>
          <w:tcPr>
            <w:tcW w:w="1277" w:type="dxa"/>
            <w:tcBorders>
              <w:top w:val="nil" w:sz="6" w:space="0" w:color="auto"/>
              <w:left w:val="single" w:sz="6" w:space="0" w:color="000000"/>
              <w:bottom w:val="single" w:sz="10" w:space="0" w:color="000000"/>
              <w:right w:val="single" w:sz="6" w:space="0" w:color="000000"/>
            </w:tcBorders>
          </w:tcPr>
          <w:p>
            <w:pPr/>
          </w:p>
        </w:tc>
        <w:tc>
          <w:tcPr>
            <w:tcW w:w="1274" w:type="dxa"/>
            <w:tcBorders>
              <w:top w:val="nil" w:sz="6" w:space="0" w:color="auto"/>
              <w:left w:val="single" w:sz="6" w:space="0" w:color="000000"/>
              <w:bottom w:val="single" w:sz="10" w:space="0" w:color="000000"/>
              <w:right w:val="single" w:sz="6" w:space="0" w:color="000000"/>
            </w:tcBorders>
          </w:tcPr>
          <w:p>
            <w:pPr>
              <w:pStyle w:val="TableParagraph"/>
              <w:spacing w:line="240" w:lineRule="auto" w:before="3"/>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52" w:type="dxa"/>
            <w:tcBorders>
              <w:top w:val="nil" w:sz="6" w:space="0" w:color="auto"/>
              <w:left w:val="single" w:sz="6" w:space="0" w:color="000000"/>
              <w:bottom w:val="single" w:sz="10" w:space="0" w:color="000000"/>
              <w:right w:val="single" w:sz="6" w:space="0" w:color="000000"/>
            </w:tcBorders>
          </w:tcPr>
          <w:p>
            <w:pPr/>
          </w:p>
        </w:tc>
        <w:tc>
          <w:tcPr>
            <w:tcW w:w="708" w:type="dxa"/>
            <w:tcBorders>
              <w:top w:val="nil" w:sz="6" w:space="0" w:color="auto"/>
              <w:left w:val="single" w:sz="6" w:space="0" w:color="000000"/>
              <w:bottom w:val="single" w:sz="10" w:space="0" w:color="000000"/>
              <w:right w:val="single" w:sz="6" w:space="0" w:color="000000"/>
            </w:tcBorders>
          </w:tcPr>
          <w:p>
            <w:pPr/>
          </w:p>
        </w:tc>
        <w:tc>
          <w:tcPr>
            <w:tcW w:w="852" w:type="dxa"/>
            <w:tcBorders>
              <w:top w:val="nil" w:sz="6" w:space="0" w:color="auto"/>
              <w:left w:val="single" w:sz="6" w:space="0" w:color="000000"/>
              <w:bottom w:val="single" w:sz="10" w:space="0" w:color="000000"/>
              <w:right w:val="single" w:sz="6" w:space="0" w:color="000000"/>
            </w:tcBorders>
          </w:tcPr>
          <w:p>
            <w:pPr/>
          </w:p>
        </w:tc>
        <w:tc>
          <w:tcPr>
            <w:tcW w:w="850" w:type="dxa"/>
            <w:tcBorders>
              <w:top w:val="nil" w:sz="6" w:space="0" w:color="auto"/>
              <w:left w:val="single" w:sz="6" w:space="0" w:color="000000"/>
              <w:bottom w:val="single" w:sz="10" w:space="0" w:color="000000"/>
              <w:right w:val="single" w:sz="6" w:space="0" w:color="000000"/>
            </w:tcBorders>
          </w:tcPr>
          <w:p>
            <w:pPr/>
          </w:p>
        </w:tc>
        <w:tc>
          <w:tcPr>
            <w:tcW w:w="991" w:type="dxa"/>
            <w:tcBorders>
              <w:top w:val="nil" w:sz="6" w:space="0" w:color="auto"/>
              <w:left w:val="single" w:sz="6" w:space="0" w:color="000000"/>
              <w:bottom w:val="single" w:sz="10" w:space="0" w:color="000000"/>
              <w:right w:val="single" w:sz="6" w:space="0" w:color="000000"/>
            </w:tcBorders>
          </w:tcPr>
          <w:p>
            <w:pPr/>
          </w:p>
        </w:tc>
        <w:tc>
          <w:tcPr>
            <w:tcW w:w="833" w:type="dxa"/>
            <w:tcBorders>
              <w:top w:val="nil" w:sz="6" w:space="0" w:color="auto"/>
              <w:left w:val="single" w:sz="6" w:space="0" w:color="000000"/>
              <w:bottom w:val="single" w:sz="10" w:space="0" w:color="000000"/>
              <w:right w:val="single" w:sz="6" w:space="0" w:color="000000"/>
            </w:tcBorders>
          </w:tcPr>
          <w:p>
            <w:pPr/>
          </w:p>
        </w:tc>
        <w:tc>
          <w:tcPr>
            <w:tcW w:w="850" w:type="dxa"/>
            <w:tcBorders>
              <w:top w:val="nil" w:sz="6" w:space="0" w:color="auto"/>
              <w:left w:val="single" w:sz="6" w:space="0" w:color="000000"/>
              <w:bottom w:val="single" w:sz="10" w:space="0" w:color="000000"/>
              <w:right w:val="single" w:sz="6" w:space="0" w:color="000000"/>
            </w:tcBorders>
          </w:tcPr>
          <w:p>
            <w:pPr/>
          </w:p>
        </w:tc>
        <w:tc>
          <w:tcPr>
            <w:tcW w:w="1126" w:type="dxa"/>
            <w:tcBorders>
              <w:top w:val="nil" w:sz="6" w:space="0" w:color="auto"/>
              <w:left w:val="single" w:sz="6" w:space="0" w:color="000000"/>
              <w:bottom w:val="single" w:sz="10" w:space="0" w:color="000000"/>
              <w:right w:val="single" w:sz="6" w:space="0" w:color="000000"/>
            </w:tcBorders>
          </w:tcPr>
          <w:p>
            <w:pPr/>
          </w:p>
        </w:tc>
      </w:tr>
      <w:tr>
        <w:trPr>
          <w:trHeight w:val="658" w:hRule="exact"/>
        </w:trPr>
        <w:tc>
          <w:tcPr>
            <w:tcW w:w="1277"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w:t>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93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983.52</w:t>
            </w:r>
          </w:p>
        </w:tc>
        <w:tc>
          <w:tcPr>
            <w:tcW w:w="70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11,838.4</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2</w:t>
            </w:r>
          </w:p>
        </w:tc>
        <w:tc>
          <w:tcPr>
            <w:tcW w:w="85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11,838.45</w:t>
            </w:r>
          </w:p>
        </w:tc>
        <w:tc>
          <w:tcPr>
            <w:tcW w:w="850"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w:t>
            </w:r>
          </w:p>
        </w:tc>
        <w:tc>
          <w:tcPr>
            <w:tcW w:w="991"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w:t>
            </w:r>
          </w:p>
        </w:tc>
        <w:tc>
          <w:tcPr>
            <w:tcW w:w="833"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w:t>
            </w:r>
          </w:p>
        </w:tc>
        <w:tc>
          <w:tcPr>
            <w:tcW w:w="1126"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w:t>
            </w:r>
          </w:p>
        </w:tc>
      </w:tr>
      <w:tr>
        <w:trPr>
          <w:trHeight w:val="453" w:hRule="exact"/>
        </w:trPr>
        <w:tc>
          <w:tcPr>
            <w:tcW w:w="3403" w:type="dxa"/>
            <w:gridSpan w:val="3"/>
            <w:tcBorders>
              <w:top w:val="single" w:sz="10" w:space="0" w:color="000000"/>
              <w:left w:val="single" w:sz="6" w:space="0" w:color="000000"/>
              <w:bottom w:val="nil" w:sz="6" w:space="0" w:color="auto"/>
              <w:right w:val="single" w:sz="6" w:space="0" w:color="000000"/>
            </w:tcBorders>
            <w:shd w:val="clear" w:color="auto" w:fill="D3D3D3"/>
          </w:tcPr>
          <w:p>
            <w:pPr>
              <w:pStyle w:val="TableParagraph"/>
              <w:spacing w:line="240" w:lineRule="auto" w:before="130"/>
              <w:ind w:left="4" w:right="0"/>
              <w:jc w:val="left"/>
              <w:rPr>
                <w:rFonts w:ascii="宋体" w:hAnsi="宋体" w:cs="宋体" w:eastAsia="宋体" w:hint="default"/>
                <w:sz w:val="18"/>
                <w:szCs w:val="18"/>
              </w:rPr>
            </w:pPr>
            <w:r>
              <w:rPr>
                <w:rFonts w:ascii="宋体" w:hAnsi="宋体" w:cs="宋体" w:eastAsia="宋体" w:hint="default"/>
                <w:spacing w:val="7"/>
                <w:sz w:val="18"/>
                <w:szCs w:val="18"/>
              </w:rPr>
              <w:t>变更原因、决策程序及信息披露情况说明</w:t>
            </w:r>
          </w:p>
        </w:tc>
        <w:tc>
          <w:tcPr>
            <w:tcW w:w="6209" w:type="dxa"/>
            <w:gridSpan w:val="7"/>
            <w:tcBorders>
              <w:top w:val="single" w:sz="10" w:space="0" w:color="000000"/>
              <w:left w:val="single" w:sz="6" w:space="0" w:color="000000"/>
              <w:bottom w:val="nil" w:sz="6" w:space="0" w:color="auto"/>
              <w:right w:val="single" w:sz="6" w:space="0" w:color="000000"/>
            </w:tcBorders>
          </w:tcPr>
          <w:p>
            <w:pPr>
              <w:pStyle w:val="TableParagraph"/>
              <w:spacing w:line="240" w:lineRule="auto" w:before="130"/>
              <w:ind w:left="2" w:right="-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基于行业发展、政策环境、公司战略和资金使用效率等方面的考虑，公司于</w:t>
            </w:r>
            <w:r>
              <w:rPr>
                <w:rFonts w:ascii="Times New Roman" w:hAnsi="Times New Roman" w:cs="Times New Roman" w:eastAsia="Times New Roman" w:hint="default"/>
                <w:spacing w:val="-3"/>
                <w:sz w:val="18"/>
                <w:szCs w:val="18"/>
              </w:rPr>
              <w:t>2017</w:t>
            </w:r>
          </w:p>
        </w:tc>
      </w:tr>
      <w:tr>
        <w:trPr>
          <w:trHeight w:val="312" w:hRule="exact"/>
        </w:trPr>
        <w:tc>
          <w:tcPr>
            <w:tcW w:w="3403" w:type="dxa"/>
            <w:gridSpan w:val="3"/>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240" w:lineRule="auto" w:before="2"/>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209" w:type="dxa"/>
            <w:gridSpan w:val="7"/>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5"/>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18</w:t>
            </w:r>
            <w:r>
              <w:rPr>
                <w:rFonts w:ascii="宋体" w:hAnsi="宋体" w:cs="宋体" w:eastAsia="宋体" w:hint="default"/>
                <w:spacing w:val="-1"/>
                <w:sz w:val="18"/>
                <w:szCs w:val="18"/>
              </w:rPr>
              <w:t>日召开第四届董事会第九次（临时）会议，于</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日召开</w:t>
            </w:r>
            <w:r>
              <w:rPr>
                <w:rFonts w:ascii="Times New Roman" w:hAnsi="Times New Roman" w:cs="Times New Roman" w:eastAsia="Times New Roman" w:hint="default"/>
                <w:spacing w:val="-1"/>
                <w:sz w:val="18"/>
                <w:szCs w:val="18"/>
              </w:rPr>
              <w:t>2017</w:t>
            </w:r>
          </w:p>
        </w:tc>
      </w:tr>
      <w:tr>
        <w:trPr>
          <w:trHeight w:val="310" w:hRule="exact"/>
        </w:trPr>
        <w:tc>
          <w:tcPr>
            <w:tcW w:w="3403" w:type="dxa"/>
            <w:gridSpan w:val="3"/>
            <w:tcBorders>
              <w:top w:val="nil" w:sz="6" w:space="0" w:color="auto"/>
              <w:left w:val="single" w:sz="6" w:space="0" w:color="000000"/>
              <w:bottom w:val="nil" w:sz="6" w:space="0" w:color="auto"/>
              <w:right w:val="single" w:sz="6" w:space="0" w:color="000000"/>
            </w:tcBorders>
            <w:shd w:val="clear" w:color="auto" w:fill="D3D3D3"/>
          </w:tcPr>
          <w:p>
            <w:pPr/>
          </w:p>
        </w:tc>
        <w:tc>
          <w:tcPr>
            <w:tcW w:w="6209" w:type="dxa"/>
            <w:gridSpan w:val="7"/>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3"/>
              <w:jc w:val="left"/>
              <w:rPr>
                <w:rFonts w:ascii="宋体" w:hAnsi="宋体" w:cs="宋体" w:eastAsia="宋体" w:hint="default"/>
                <w:sz w:val="18"/>
                <w:szCs w:val="18"/>
              </w:rPr>
            </w:pPr>
            <w:r>
              <w:rPr>
                <w:rFonts w:ascii="宋体" w:hAnsi="宋体" w:cs="宋体" w:eastAsia="宋体" w:hint="default"/>
                <w:sz w:val="18"/>
                <w:szCs w:val="18"/>
              </w:rPr>
              <w:t>年第二次临时股东大会，审议通过《关于部分变更募集资金用途的议案》，将</w:t>
            </w:r>
          </w:p>
        </w:tc>
      </w:tr>
      <w:tr>
        <w:trPr>
          <w:trHeight w:val="312" w:hRule="exact"/>
        </w:trPr>
        <w:tc>
          <w:tcPr>
            <w:tcW w:w="3403" w:type="dxa"/>
            <w:gridSpan w:val="3"/>
            <w:tcBorders>
              <w:top w:val="nil" w:sz="6" w:space="0" w:color="auto"/>
              <w:left w:val="single" w:sz="6" w:space="0" w:color="000000"/>
              <w:bottom w:val="nil" w:sz="6" w:space="0" w:color="auto"/>
              <w:right w:val="single" w:sz="6" w:space="0" w:color="000000"/>
            </w:tcBorders>
            <w:shd w:val="clear" w:color="auto" w:fill="D3D3D3"/>
          </w:tcPr>
          <w:p>
            <w:pPr/>
          </w:p>
        </w:tc>
        <w:tc>
          <w:tcPr>
            <w:tcW w:w="6209" w:type="dxa"/>
            <w:gridSpan w:val="7"/>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年度非公开发行股票募集资金投资项目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互联网包装印刷产业云平台及生</w:t>
            </w:r>
          </w:p>
        </w:tc>
      </w:tr>
      <w:tr>
        <w:trPr>
          <w:trHeight w:val="312" w:hRule="exact"/>
        </w:trPr>
        <w:tc>
          <w:tcPr>
            <w:tcW w:w="3403" w:type="dxa"/>
            <w:gridSpan w:val="3"/>
            <w:tcBorders>
              <w:top w:val="nil" w:sz="6" w:space="0" w:color="auto"/>
              <w:left w:val="single" w:sz="6" w:space="0" w:color="000000"/>
              <w:bottom w:val="nil" w:sz="6" w:space="0" w:color="auto"/>
              <w:right w:val="single" w:sz="6" w:space="0" w:color="000000"/>
            </w:tcBorders>
            <w:shd w:val="clear" w:color="auto" w:fill="D3D3D3"/>
          </w:tcPr>
          <w:p>
            <w:pPr/>
          </w:p>
        </w:tc>
        <w:tc>
          <w:tcPr>
            <w:tcW w:w="6209" w:type="dxa"/>
            <w:gridSpan w:val="7"/>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3"/>
              <w:jc w:val="left"/>
              <w:rPr>
                <w:rFonts w:ascii="宋体" w:hAnsi="宋体" w:cs="宋体" w:eastAsia="宋体" w:hint="default"/>
                <w:sz w:val="18"/>
                <w:szCs w:val="18"/>
              </w:rPr>
            </w:pPr>
            <w:r>
              <w:rPr>
                <w:rFonts w:ascii="宋体" w:hAnsi="宋体" w:cs="宋体" w:eastAsia="宋体" w:hint="default"/>
                <w:sz w:val="18"/>
                <w:szCs w:val="18"/>
              </w:rPr>
              <w:t>态系统建设项目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智能包装物联网平台项目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变更为实施</w:t>
            </w:r>
            <w:r>
              <w:rPr>
                <w:rFonts w:ascii="Times New Roman" w:hAnsi="Times New Roman" w:cs="Times New Roman" w:eastAsia="Times New Roman" w:hint="default"/>
                <w:sz w:val="18"/>
                <w:szCs w:val="18"/>
              </w:rPr>
              <w:t>“</w:t>
            </w:r>
            <w:r>
              <w:rPr>
                <w:rFonts w:ascii="宋体" w:hAnsi="宋体" w:cs="宋体" w:eastAsia="宋体" w:hint="default"/>
                <w:sz w:val="18"/>
                <w:szCs w:val="18"/>
              </w:rPr>
              <w:t>包装印刷工业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智</w:t>
            </w:r>
          </w:p>
        </w:tc>
      </w:tr>
      <w:tr>
        <w:trPr>
          <w:trHeight w:val="312" w:hRule="exact"/>
        </w:trPr>
        <w:tc>
          <w:tcPr>
            <w:tcW w:w="3403" w:type="dxa"/>
            <w:gridSpan w:val="3"/>
            <w:tcBorders>
              <w:top w:val="nil" w:sz="6" w:space="0" w:color="auto"/>
              <w:left w:val="single" w:sz="6" w:space="0" w:color="000000"/>
              <w:bottom w:val="nil" w:sz="6" w:space="0" w:color="auto"/>
              <w:right w:val="single" w:sz="6" w:space="0" w:color="000000"/>
            </w:tcBorders>
            <w:shd w:val="clear" w:color="auto" w:fill="D3D3D3"/>
          </w:tcPr>
          <w:p>
            <w:pPr/>
          </w:p>
        </w:tc>
        <w:tc>
          <w:tcPr>
            <w:tcW w:w="6209" w:type="dxa"/>
            <w:gridSpan w:val="7"/>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慧型工厂（六安）项目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包装印刷工业进出口贸易及保税加工（岳阳）项目</w:t>
            </w:r>
            <w:r>
              <w:rPr>
                <w:rFonts w:ascii="Times New Roman" w:hAnsi="Times New Roman" w:cs="Times New Roman" w:eastAsia="Times New Roman" w:hint="default"/>
                <w:sz w:val="18"/>
                <w:szCs w:val="18"/>
              </w:rPr>
              <w:t>”</w:t>
            </w:r>
          </w:p>
        </w:tc>
      </w:tr>
      <w:tr>
        <w:trPr>
          <w:trHeight w:val="372" w:hRule="exact"/>
        </w:trPr>
        <w:tc>
          <w:tcPr>
            <w:tcW w:w="3403" w:type="dxa"/>
            <w:gridSpan w:val="3"/>
            <w:tcBorders>
              <w:top w:val="nil" w:sz="6" w:space="0" w:color="auto"/>
              <w:left w:val="single" w:sz="6" w:space="0" w:color="000000"/>
              <w:bottom w:val="nil" w:sz="6" w:space="0" w:color="auto"/>
              <w:right w:val="single" w:sz="6" w:space="0" w:color="000000"/>
            </w:tcBorders>
            <w:shd w:val="clear" w:color="auto" w:fill="D3D3D3"/>
          </w:tcPr>
          <w:p>
            <w:pPr/>
          </w:p>
        </w:tc>
        <w:tc>
          <w:tcPr>
            <w:tcW w:w="6209" w:type="dxa"/>
            <w:gridSpan w:val="7"/>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高端环保包装生产基地项目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72" w:hRule="exact"/>
        </w:trPr>
        <w:tc>
          <w:tcPr>
            <w:tcW w:w="3403" w:type="dxa"/>
            <w:gridSpan w:val="3"/>
            <w:tcBorders>
              <w:top w:val="nil" w:sz="6" w:space="0" w:color="auto"/>
              <w:left w:val="single" w:sz="6" w:space="0" w:color="000000"/>
              <w:bottom w:val="nil" w:sz="6" w:space="0" w:color="auto"/>
              <w:right w:val="single" w:sz="6" w:space="0" w:color="000000"/>
            </w:tcBorders>
            <w:shd w:val="clear" w:color="auto" w:fill="D3D3D3"/>
          </w:tcPr>
          <w:p>
            <w:pPr/>
          </w:p>
        </w:tc>
        <w:tc>
          <w:tcPr>
            <w:tcW w:w="6209" w:type="dxa"/>
            <w:gridSpan w:val="7"/>
            <w:tcBorders>
              <w:top w:val="nil" w:sz="6" w:space="0" w:color="auto"/>
              <w:left w:val="single" w:sz="6" w:space="0" w:color="000000"/>
              <w:bottom w:val="nil" w:sz="6" w:space="0" w:color="auto"/>
              <w:right w:val="single" w:sz="6" w:space="0" w:color="000000"/>
            </w:tcBorders>
          </w:tcPr>
          <w:p>
            <w:pPr>
              <w:pStyle w:val="TableParagraph"/>
              <w:spacing w:line="240" w:lineRule="auto" w:before="62"/>
              <w:ind w:left="2" w:right="-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上述募投项目变更原因及决策程序详见公司于</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19</w:t>
            </w:r>
            <w:r>
              <w:rPr>
                <w:rFonts w:ascii="宋体" w:hAnsi="宋体" w:cs="宋体" w:eastAsia="宋体" w:hint="default"/>
                <w:spacing w:val="3"/>
                <w:sz w:val="18"/>
                <w:szCs w:val="18"/>
              </w:rPr>
              <w:t>日及</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21</w:t>
            </w:r>
          </w:p>
        </w:tc>
      </w:tr>
      <w:tr>
        <w:trPr>
          <w:trHeight w:val="445" w:hRule="exact"/>
        </w:trPr>
        <w:tc>
          <w:tcPr>
            <w:tcW w:w="3403" w:type="dxa"/>
            <w:gridSpan w:val="3"/>
            <w:tcBorders>
              <w:top w:val="nil" w:sz="6" w:space="0" w:color="auto"/>
              <w:left w:val="single" w:sz="6" w:space="0" w:color="000000"/>
              <w:bottom w:val="single" w:sz="6" w:space="0" w:color="000000"/>
              <w:right w:val="single" w:sz="6" w:space="0" w:color="000000"/>
            </w:tcBorders>
            <w:shd w:val="clear" w:color="auto" w:fill="D3D3D3"/>
          </w:tcPr>
          <w:p>
            <w:pPr/>
          </w:p>
        </w:tc>
        <w:tc>
          <w:tcPr>
            <w:tcW w:w="6209" w:type="dxa"/>
            <w:gridSpan w:val="7"/>
            <w:tcBorders>
              <w:top w:val="nil" w:sz="6" w:space="0" w:color="auto"/>
              <w:left w:val="single" w:sz="6" w:space="0" w:color="000000"/>
              <w:bottom w:val="single" w:sz="6" w:space="0" w:color="000000"/>
              <w:right w:val="single" w:sz="6" w:space="0" w:color="000000"/>
            </w:tcBorders>
          </w:tcPr>
          <w:p>
            <w:pPr>
              <w:pStyle w:val="TableParagraph"/>
              <w:spacing w:line="240" w:lineRule="auto" w:before="2"/>
              <w:ind w:left="2" w:right="0"/>
              <w:jc w:val="left"/>
              <w:rPr>
                <w:rFonts w:ascii="宋体" w:hAnsi="宋体" w:cs="宋体" w:eastAsia="宋体" w:hint="default"/>
                <w:sz w:val="18"/>
                <w:szCs w:val="18"/>
              </w:rPr>
            </w:pPr>
            <w:r>
              <w:rPr>
                <w:rFonts w:ascii="宋体" w:hAnsi="宋体" w:cs="宋体" w:eastAsia="宋体" w:hint="default"/>
                <w:sz w:val="18"/>
                <w:szCs w:val="18"/>
              </w:rPr>
              <w:t>日刊载于《证券时报》和巨潮资讯网（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）的相关公告。</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37"/>
        <w:ind w:left="0" w:right="1067"/>
        <w:jc w:val="right"/>
      </w:pPr>
      <w:r>
        <w:rPr/>
        <w:pict>
          <v:shape style="position:absolute;margin-left:56.879997pt;margin-top:-30.958288pt;width:481.7pt;height:307.2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3"/>
                    <w:gridCol w:w="6209"/>
                  </w:tblGrid>
                  <w:tr>
                    <w:trPr>
                      <w:trHeight w:val="330" w:hRule="exact"/>
                    </w:trPr>
                    <w:tc>
                      <w:tcPr>
                        <w:tcW w:w="3403" w:type="dxa"/>
                        <w:vMerge w:val="restart"/>
                        <w:tcBorders>
                          <w:top w:val="single" w:sz="10" w:space="0" w:color="000000"/>
                          <w:left w:val="single" w:sz="6" w:space="0" w:color="000000"/>
                          <w:right w:val="single" w:sz="6" w:space="0" w:color="000000"/>
                        </w:tcBorders>
                        <w:shd w:val="clear" w:color="auto" w:fill="D3D3D3"/>
                      </w:tcPr>
                      <w:p>
                        <w:pPr/>
                      </w:p>
                    </w:tc>
                    <w:tc>
                      <w:tcPr>
                        <w:tcW w:w="6209"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8"/>
                          <w:ind w:left="2" w:right="-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基于行业发展、政策环境、公司战略和资金使用效率等方面的考虑，公司于</w:t>
                        </w:r>
                        <w:r>
                          <w:rPr>
                            <w:rFonts w:ascii="Times New Roman" w:hAnsi="Times New Roman" w:cs="Times New Roman" w:eastAsia="Times New Roman" w:hint="default"/>
                            <w:spacing w:val="-3"/>
                            <w:sz w:val="18"/>
                            <w:szCs w:val="18"/>
                          </w:rPr>
                          <w:t>2018</w:t>
                        </w:r>
                      </w:p>
                    </w:tc>
                  </w:tr>
                  <w:tr>
                    <w:trPr>
                      <w:trHeight w:val="312" w:hRule="exact"/>
                    </w:trPr>
                    <w:tc>
                      <w:tcPr>
                        <w:tcW w:w="3403" w:type="dxa"/>
                        <w:vMerge/>
                        <w:tcBorders>
                          <w:left w:val="single" w:sz="6" w:space="0" w:color="000000"/>
                          <w:right w:val="single" w:sz="6" w:space="0" w:color="000000"/>
                        </w:tcBorders>
                        <w:shd w:val="clear" w:color="auto" w:fill="D3D3D3"/>
                      </w:tcPr>
                      <w:p>
                        <w:pPr/>
                      </w:p>
                    </w:tc>
                    <w:tc>
                      <w:tcPr>
                        <w:tcW w:w="6209"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4"/>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日召开第四届董事会第十六次（临</w:t>
                        </w:r>
                        <w:r>
                          <w:rPr>
                            <w:rFonts w:ascii="宋体" w:hAnsi="宋体" w:cs="宋体" w:eastAsia="宋体" w:hint="default"/>
                            <w:spacing w:val="52"/>
                            <w:sz w:val="18"/>
                            <w:szCs w:val="18"/>
                          </w:rPr>
                          <w:t> </w:t>
                        </w:r>
                        <w:r>
                          <w:rPr>
                            <w:rFonts w:ascii="宋体" w:hAnsi="宋体" w:cs="宋体" w:eastAsia="宋体" w:hint="default"/>
                            <w:sz w:val="18"/>
                            <w:szCs w:val="18"/>
                          </w:rPr>
                          <w:t>时）会议，于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日召开</w:t>
                        </w:r>
                      </w:p>
                    </w:tc>
                  </w:tr>
                  <w:tr>
                    <w:trPr>
                      <w:trHeight w:val="312" w:hRule="exact"/>
                    </w:trPr>
                    <w:tc>
                      <w:tcPr>
                        <w:tcW w:w="3403" w:type="dxa"/>
                        <w:vMerge/>
                        <w:tcBorders>
                          <w:left w:val="single" w:sz="6" w:space="0" w:color="000000"/>
                          <w:right w:val="single" w:sz="6" w:space="0" w:color="000000"/>
                        </w:tcBorders>
                        <w:shd w:val="clear" w:color="auto" w:fill="D3D3D3"/>
                      </w:tcPr>
                      <w:p>
                        <w:pPr/>
                      </w:p>
                    </w:tc>
                    <w:tc>
                      <w:tcPr>
                        <w:tcW w:w="6209"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年第二次临时股东大会，审议通过《关于部分变更募集资金用途的议案》</w:t>
                        </w:r>
                        <w:r>
                          <w:rPr>
                            <w:rFonts w:ascii="宋体" w:hAnsi="宋体" w:cs="宋体" w:eastAsia="宋体" w:hint="default"/>
                            <w:sz w:val="18"/>
                            <w:szCs w:val="18"/>
                          </w:rPr>
                        </w:r>
                      </w:p>
                    </w:tc>
                  </w:tr>
                  <w:tr>
                    <w:trPr>
                      <w:trHeight w:val="312" w:hRule="exact"/>
                    </w:trPr>
                    <w:tc>
                      <w:tcPr>
                        <w:tcW w:w="3403" w:type="dxa"/>
                        <w:vMerge/>
                        <w:tcBorders>
                          <w:left w:val="single" w:sz="6" w:space="0" w:color="000000"/>
                          <w:right w:val="single" w:sz="6" w:space="0" w:color="000000"/>
                        </w:tcBorders>
                        <w:shd w:val="clear" w:color="auto" w:fill="D3D3D3"/>
                      </w:tcPr>
                      <w:p>
                        <w:pPr/>
                      </w:p>
                    </w:tc>
                    <w:tc>
                      <w:tcPr>
                        <w:tcW w:w="6209"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1"/>
                          <w:jc w:val="left"/>
                          <w:rPr>
                            <w:rFonts w:ascii="宋体" w:hAnsi="宋体" w:cs="宋体" w:eastAsia="宋体" w:hint="default"/>
                            <w:sz w:val="18"/>
                            <w:szCs w:val="18"/>
                          </w:rPr>
                        </w:pPr>
                        <w:r>
                          <w:rPr>
                            <w:rFonts w:ascii="宋体" w:hAnsi="宋体" w:cs="宋体" w:eastAsia="宋体" w:hint="default"/>
                            <w:sz w:val="18"/>
                            <w:szCs w:val="18"/>
                          </w:rPr>
                          <w:t>公司将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年度非公开发行股票募投项目包装印刷工业 </w:t>
                        </w:r>
                        <w:r>
                          <w:rPr>
                            <w:rFonts w:ascii="Times New Roman" w:hAnsi="Times New Roman" w:cs="Times New Roman" w:eastAsia="Times New Roman" w:hint="default"/>
                            <w:sz w:val="18"/>
                            <w:szCs w:val="18"/>
                          </w:rPr>
                          <w:t>4.0  </w:t>
                        </w:r>
                        <w:r>
                          <w:rPr>
                            <w:rFonts w:ascii="宋体" w:hAnsi="宋体" w:cs="宋体" w:eastAsia="宋体" w:hint="default"/>
                            <w:sz w:val="18"/>
                            <w:szCs w:val="18"/>
                          </w:rPr>
                          <w:t>智</w:t>
                        </w:r>
                        <w:r>
                          <w:rPr>
                            <w:rFonts w:ascii="宋体" w:hAnsi="宋体" w:cs="宋体" w:eastAsia="宋体" w:hint="default"/>
                            <w:spacing w:val="-26"/>
                            <w:sz w:val="18"/>
                            <w:szCs w:val="18"/>
                          </w:rPr>
                          <w:t> </w:t>
                        </w:r>
                        <w:r>
                          <w:rPr>
                            <w:rFonts w:ascii="宋体" w:hAnsi="宋体" w:cs="宋体" w:eastAsia="宋体" w:hint="default"/>
                            <w:sz w:val="18"/>
                            <w:szCs w:val="18"/>
                          </w:rPr>
                          <w:t>慧型工厂（六</w:t>
                        </w:r>
                      </w:p>
                    </w:tc>
                  </w:tr>
                  <w:tr>
                    <w:trPr>
                      <w:trHeight w:val="312" w:hRule="exact"/>
                    </w:trPr>
                    <w:tc>
                      <w:tcPr>
                        <w:tcW w:w="3403" w:type="dxa"/>
                        <w:vMerge/>
                        <w:tcBorders>
                          <w:left w:val="single" w:sz="6" w:space="0" w:color="000000"/>
                          <w:right w:val="single" w:sz="6" w:space="0" w:color="000000"/>
                        </w:tcBorders>
                        <w:shd w:val="clear" w:color="auto" w:fill="D3D3D3"/>
                      </w:tcPr>
                      <w:p>
                        <w:pPr/>
                      </w:p>
                    </w:tc>
                    <w:tc>
                      <w:tcPr>
                        <w:tcW w:w="6209"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4"/>
                          <w:jc w:val="left"/>
                          <w:rPr>
                            <w:rFonts w:ascii="宋体" w:hAnsi="宋体" w:cs="宋体" w:eastAsia="宋体" w:hint="default"/>
                            <w:sz w:val="18"/>
                            <w:szCs w:val="18"/>
                          </w:rPr>
                        </w:pPr>
                        <w:r>
                          <w:rPr>
                            <w:rFonts w:ascii="宋体" w:hAnsi="宋体" w:cs="宋体" w:eastAsia="宋体" w:hint="default"/>
                            <w:sz w:val="18"/>
                            <w:szCs w:val="18"/>
                          </w:rPr>
                          <w:t>安）项目截至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日募集资金余额 </w:t>
                        </w:r>
                        <w:r>
                          <w:rPr>
                            <w:rFonts w:ascii="Times New Roman" w:hAnsi="Times New Roman" w:cs="Times New Roman" w:eastAsia="Times New Roman" w:hint="default"/>
                            <w:sz w:val="18"/>
                            <w:szCs w:val="18"/>
                          </w:rPr>
                          <w:t>58,068.86 </w:t>
                        </w:r>
                        <w:r>
                          <w:rPr>
                            <w:rFonts w:ascii="宋体" w:hAnsi="宋体" w:cs="宋体" w:eastAsia="宋体" w:hint="default"/>
                            <w:sz w:val="18"/>
                            <w:szCs w:val="18"/>
                          </w:rPr>
                          <w:t>万元（含</w:t>
                        </w:r>
                        <w:r>
                          <w:rPr>
                            <w:rFonts w:ascii="宋体" w:hAnsi="宋体" w:cs="宋体" w:eastAsia="宋体" w:hint="default"/>
                            <w:spacing w:val="56"/>
                            <w:sz w:val="18"/>
                            <w:szCs w:val="18"/>
                          </w:rPr>
                          <w:t> </w:t>
                        </w:r>
                        <w:r>
                          <w:rPr>
                            <w:rFonts w:ascii="宋体" w:hAnsi="宋体" w:cs="宋体" w:eastAsia="宋体" w:hint="default"/>
                            <w:sz w:val="18"/>
                            <w:szCs w:val="18"/>
                          </w:rPr>
                          <w:t>募集资金</w:t>
                        </w:r>
                      </w:p>
                    </w:tc>
                  </w:tr>
                  <w:tr>
                    <w:trPr>
                      <w:trHeight w:val="312" w:hRule="exact"/>
                    </w:trPr>
                    <w:tc>
                      <w:tcPr>
                        <w:tcW w:w="3403" w:type="dxa"/>
                        <w:vMerge/>
                        <w:tcBorders>
                          <w:left w:val="single" w:sz="6" w:space="0" w:color="000000"/>
                          <w:right w:val="single" w:sz="6" w:space="0" w:color="000000"/>
                        </w:tcBorders>
                        <w:shd w:val="clear" w:color="auto" w:fill="D3D3D3"/>
                      </w:tcPr>
                      <w:p>
                        <w:pPr/>
                      </w:p>
                    </w:tc>
                    <w:tc>
                      <w:tcPr>
                        <w:tcW w:w="6209"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1"/>
                          <w:jc w:val="left"/>
                          <w:rPr>
                            <w:rFonts w:ascii="宋体" w:hAnsi="宋体" w:cs="宋体" w:eastAsia="宋体" w:hint="default"/>
                            <w:sz w:val="18"/>
                            <w:szCs w:val="18"/>
                          </w:rPr>
                        </w:pPr>
                        <w:r>
                          <w:rPr>
                            <w:rFonts w:ascii="宋体" w:hAnsi="宋体" w:cs="宋体" w:eastAsia="宋体" w:hint="default"/>
                            <w:sz w:val="18"/>
                            <w:szCs w:val="18"/>
                          </w:rPr>
                          <w:t>存放期间产生的利息）中的 </w:t>
                        </w:r>
                        <w:r>
                          <w:rPr>
                            <w:rFonts w:ascii="Times New Roman" w:hAnsi="Times New Roman" w:cs="Times New Roman" w:eastAsia="Times New Roman" w:hint="default"/>
                            <w:sz w:val="18"/>
                            <w:szCs w:val="18"/>
                          </w:rPr>
                          <w:t>28,000  </w:t>
                        </w:r>
                        <w:r>
                          <w:rPr>
                            <w:rFonts w:ascii="宋体" w:hAnsi="宋体" w:cs="宋体" w:eastAsia="宋体" w:hint="default"/>
                            <w:sz w:val="18"/>
                            <w:szCs w:val="18"/>
                          </w:rPr>
                          <w:t>万元变更用于基于装备制造的智慧</w:t>
                        </w:r>
                        <w:r>
                          <w:rPr>
                            <w:rFonts w:ascii="宋体" w:hAnsi="宋体" w:cs="宋体" w:eastAsia="宋体" w:hint="default"/>
                            <w:spacing w:val="3"/>
                            <w:sz w:val="18"/>
                            <w:szCs w:val="18"/>
                          </w:rPr>
                          <w:t> </w:t>
                        </w:r>
                        <w:r>
                          <w:rPr>
                            <w:rFonts w:ascii="宋体" w:hAnsi="宋体" w:cs="宋体" w:eastAsia="宋体" w:hint="default"/>
                            <w:sz w:val="18"/>
                            <w:szCs w:val="18"/>
                          </w:rPr>
                          <w:t>包装工</w:t>
                        </w:r>
                      </w:p>
                    </w:tc>
                  </w:tr>
                  <w:tr>
                    <w:trPr>
                      <w:trHeight w:val="312" w:hRule="exact"/>
                    </w:trPr>
                    <w:tc>
                      <w:tcPr>
                        <w:tcW w:w="3403" w:type="dxa"/>
                        <w:vMerge/>
                        <w:tcBorders>
                          <w:left w:val="single" w:sz="6" w:space="0" w:color="000000"/>
                          <w:right w:val="single" w:sz="6" w:space="0" w:color="000000"/>
                        </w:tcBorders>
                        <w:shd w:val="clear" w:color="auto" w:fill="D3D3D3"/>
                      </w:tcPr>
                      <w:p>
                        <w:pPr/>
                      </w:p>
                    </w:tc>
                    <w:tc>
                      <w:tcPr>
                        <w:tcW w:w="6209"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2"/>
                          <w:jc w:val="left"/>
                          <w:rPr>
                            <w:rFonts w:ascii="宋体" w:hAnsi="宋体" w:cs="宋体" w:eastAsia="宋体" w:hint="default"/>
                            <w:sz w:val="18"/>
                            <w:szCs w:val="18"/>
                          </w:rPr>
                        </w:pPr>
                        <w:r>
                          <w:rPr>
                            <w:rFonts w:ascii="宋体" w:hAnsi="宋体" w:cs="宋体" w:eastAsia="宋体" w:hint="default"/>
                            <w:sz w:val="18"/>
                            <w:szCs w:val="18"/>
                          </w:rPr>
                          <w:t>业 </w:t>
                        </w:r>
                        <w:r>
                          <w:rPr>
                            <w:rFonts w:ascii="Times New Roman" w:hAnsi="Times New Roman" w:cs="Times New Roman" w:eastAsia="Times New Roman" w:hint="default"/>
                            <w:sz w:val="18"/>
                            <w:szCs w:val="18"/>
                          </w:rPr>
                          <w:t>4.0 </w:t>
                        </w:r>
                        <w:r>
                          <w:rPr>
                            <w:rFonts w:ascii="宋体" w:hAnsi="宋体" w:cs="宋体" w:eastAsia="宋体" w:hint="default"/>
                            <w:sz w:val="18"/>
                            <w:szCs w:val="18"/>
                          </w:rPr>
                          <w:t>产业园项目建设、将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万元变更用于包装印刷工业 </w:t>
                        </w:r>
                        <w:r>
                          <w:rPr>
                            <w:rFonts w:ascii="Times New Roman" w:hAnsi="Times New Roman" w:cs="Times New Roman" w:eastAsia="Times New Roman" w:hint="default"/>
                            <w:sz w:val="18"/>
                            <w:szCs w:val="18"/>
                          </w:rPr>
                          <w:t>4.0 </w:t>
                        </w:r>
                        <w:r>
                          <w:rPr>
                            <w:rFonts w:ascii="宋体" w:hAnsi="宋体" w:cs="宋体" w:eastAsia="宋体" w:hint="default"/>
                            <w:sz w:val="18"/>
                            <w:szCs w:val="18"/>
                          </w:rPr>
                          <w:t>智慧</w:t>
                        </w:r>
                        <w:r>
                          <w:rPr>
                            <w:rFonts w:ascii="宋体" w:hAnsi="宋体" w:cs="宋体" w:eastAsia="宋体" w:hint="default"/>
                            <w:spacing w:val="55"/>
                            <w:sz w:val="18"/>
                            <w:szCs w:val="18"/>
                          </w:rPr>
                          <w:t> </w:t>
                        </w:r>
                        <w:r>
                          <w:rPr>
                            <w:rFonts w:ascii="宋体" w:hAnsi="宋体" w:cs="宋体" w:eastAsia="宋体" w:hint="default"/>
                            <w:sz w:val="18"/>
                            <w:szCs w:val="18"/>
                          </w:rPr>
                          <w:t>型工</w:t>
                        </w:r>
                      </w:p>
                    </w:tc>
                  </w:tr>
                  <w:tr>
                    <w:trPr>
                      <w:trHeight w:val="311" w:hRule="exact"/>
                    </w:trPr>
                    <w:tc>
                      <w:tcPr>
                        <w:tcW w:w="3403" w:type="dxa"/>
                        <w:vMerge/>
                        <w:tcBorders>
                          <w:left w:val="single" w:sz="6" w:space="0" w:color="000000"/>
                          <w:right w:val="single" w:sz="6" w:space="0" w:color="000000"/>
                        </w:tcBorders>
                        <w:shd w:val="clear" w:color="auto" w:fill="D3D3D3"/>
                      </w:tcPr>
                      <w:p>
                        <w:pPr/>
                      </w:p>
                    </w:tc>
                    <w:tc>
                      <w:tcPr>
                        <w:tcW w:w="6209"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1"/>
                          <w:jc w:val="left"/>
                          <w:rPr>
                            <w:rFonts w:ascii="宋体" w:hAnsi="宋体" w:cs="宋体" w:eastAsia="宋体" w:hint="default"/>
                            <w:sz w:val="18"/>
                            <w:szCs w:val="18"/>
                          </w:rPr>
                        </w:pPr>
                        <w:r>
                          <w:rPr>
                            <w:rFonts w:ascii="宋体" w:hAnsi="宋体" w:cs="宋体" w:eastAsia="宋体" w:hint="default"/>
                            <w:sz w:val="18"/>
                            <w:szCs w:val="18"/>
                          </w:rPr>
                          <w:t>厂（长沙）项目建设；同时将包装印刷工业进出口贸易及保税加工（岳阳）</w:t>
                        </w:r>
                        <w:r>
                          <w:rPr>
                            <w:rFonts w:ascii="宋体" w:hAnsi="宋体" w:cs="宋体" w:eastAsia="宋体" w:hint="default"/>
                            <w:spacing w:val="-19"/>
                            <w:sz w:val="18"/>
                            <w:szCs w:val="18"/>
                          </w:rPr>
                          <w:t> </w:t>
                        </w:r>
                        <w:r>
                          <w:rPr>
                            <w:rFonts w:ascii="宋体" w:hAnsi="宋体" w:cs="宋体" w:eastAsia="宋体" w:hint="default"/>
                            <w:sz w:val="18"/>
                            <w:szCs w:val="18"/>
                          </w:rPr>
                          <w:t>项</w:t>
                        </w:r>
                      </w:p>
                    </w:tc>
                  </w:tr>
                  <w:tr>
                    <w:trPr>
                      <w:trHeight w:val="313" w:hRule="exact"/>
                    </w:trPr>
                    <w:tc>
                      <w:tcPr>
                        <w:tcW w:w="3403" w:type="dxa"/>
                        <w:vMerge/>
                        <w:tcBorders>
                          <w:left w:val="single" w:sz="6" w:space="0" w:color="000000"/>
                          <w:right w:val="single" w:sz="6" w:space="0" w:color="000000"/>
                        </w:tcBorders>
                        <w:shd w:val="clear" w:color="auto" w:fill="D3D3D3"/>
                      </w:tcPr>
                      <w:p>
                        <w:pPr/>
                      </w:p>
                    </w:tc>
                    <w:tc>
                      <w:tcPr>
                        <w:tcW w:w="6209"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left="2" w:right="-1"/>
                          <w:jc w:val="left"/>
                          <w:rPr>
                            <w:rFonts w:ascii="宋体" w:hAnsi="宋体" w:cs="宋体" w:eastAsia="宋体" w:hint="default"/>
                            <w:sz w:val="18"/>
                            <w:szCs w:val="18"/>
                          </w:rPr>
                        </w:pPr>
                        <w:r>
                          <w:rPr>
                            <w:rFonts w:ascii="宋体" w:hAnsi="宋体" w:cs="宋体" w:eastAsia="宋体" w:hint="default"/>
                            <w:sz w:val="18"/>
                            <w:szCs w:val="18"/>
                          </w:rPr>
                          <w:t>目截至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日募集资金余额 </w:t>
                        </w:r>
                        <w:r>
                          <w:rPr>
                            <w:rFonts w:ascii="Times New Roman" w:hAnsi="Times New Roman" w:cs="Times New Roman" w:eastAsia="Times New Roman" w:hint="default"/>
                            <w:sz w:val="18"/>
                            <w:szCs w:val="18"/>
                          </w:rPr>
                          <w:t>19,912.25</w:t>
                        </w:r>
                        <w:r>
                          <w:rPr>
                            <w:rFonts w:ascii="Times New Roman" w:hAnsi="Times New Roman" w:cs="Times New Roman" w:eastAsia="Times New Roman" w:hint="default"/>
                            <w:spacing w:val="35"/>
                            <w:sz w:val="18"/>
                            <w:szCs w:val="18"/>
                          </w:rPr>
                          <w:t> </w:t>
                        </w:r>
                        <w:r>
                          <w:rPr>
                            <w:rFonts w:ascii="宋体" w:hAnsi="宋体" w:cs="宋体" w:eastAsia="宋体" w:hint="default"/>
                            <w:spacing w:val="-5"/>
                            <w:sz w:val="18"/>
                            <w:szCs w:val="18"/>
                          </w:rPr>
                          <w:t>万元（含募集资金存放期间</w:t>
                        </w:r>
                      </w:p>
                    </w:tc>
                  </w:tr>
                  <w:tr>
                    <w:trPr>
                      <w:trHeight w:val="312" w:hRule="exact"/>
                    </w:trPr>
                    <w:tc>
                      <w:tcPr>
                        <w:tcW w:w="3403" w:type="dxa"/>
                        <w:vMerge/>
                        <w:tcBorders>
                          <w:left w:val="single" w:sz="6" w:space="0" w:color="000000"/>
                          <w:right w:val="single" w:sz="6" w:space="0" w:color="000000"/>
                        </w:tcBorders>
                        <w:shd w:val="clear" w:color="auto" w:fill="D3D3D3"/>
                      </w:tcPr>
                      <w:p>
                        <w:pPr/>
                      </w:p>
                    </w:tc>
                    <w:tc>
                      <w:tcPr>
                        <w:tcW w:w="6209"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37"/>
                          <w:jc w:val="left"/>
                          <w:rPr>
                            <w:rFonts w:ascii="宋体" w:hAnsi="宋体" w:cs="宋体" w:eastAsia="宋体" w:hint="default"/>
                            <w:sz w:val="18"/>
                            <w:szCs w:val="18"/>
                          </w:rPr>
                        </w:pPr>
                        <w:r>
                          <w:rPr>
                            <w:rFonts w:ascii="宋体" w:hAnsi="宋体" w:cs="宋体" w:eastAsia="宋体" w:hint="default"/>
                            <w:sz w:val="18"/>
                            <w:szCs w:val="18"/>
                          </w:rPr>
                          <w:t>产生的利息）中的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万元变更用于包装印刷工业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智慧型工厂（长沙）</w:t>
                        </w:r>
                      </w:p>
                    </w:tc>
                  </w:tr>
                  <w:tr>
                    <w:trPr>
                      <w:trHeight w:val="371" w:hRule="exact"/>
                    </w:trPr>
                    <w:tc>
                      <w:tcPr>
                        <w:tcW w:w="3403" w:type="dxa"/>
                        <w:vMerge/>
                        <w:tcBorders>
                          <w:left w:val="single" w:sz="6" w:space="0" w:color="000000"/>
                          <w:right w:val="single" w:sz="6" w:space="0" w:color="000000"/>
                        </w:tcBorders>
                        <w:shd w:val="clear" w:color="auto" w:fill="D3D3D3"/>
                      </w:tcPr>
                      <w:p>
                        <w:pPr/>
                      </w:p>
                    </w:tc>
                    <w:tc>
                      <w:tcPr>
                        <w:tcW w:w="6209"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0"/>
                          <w:jc w:val="left"/>
                          <w:rPr>
                            <w:rFonts w:ascii="宋体" w:hAnsi="宋体" w:cs="宋体" w:eastAsia="宋体" w:hint="default"/>
                            <w:sz w:val="18"/>
                            <w:szCs w:val="18"/>
                          </w:rPr>
                        </w:pPr>
                        <w:r>
                          <w:rPr>
                            <w:rFonts w:ascii="宋体" w:hAnsi="宋体" w:cs="宋体" w:eastAsia="宋体" w:hint="default"/>
                            <w:sz w:val="18"/>
                            <w:szCs w:val="18"/>
                          </w:rPr>
                          <w:t>项目建设。</w:t>
                        </w:r>
                      </w:p>
                    </w:tc>
                  </w:tr>
                  <w:tr>
                    <w:trPr>
                      <w:trHeight w:val="373" w:hRule="exact"/>
                    </w:trPr>
                    <w:tc>
                      <w:tcPr>
                        <w:tcW w:w="3403" w:type="dxa"/>
                        <w:vMerge/>
                        <w:tcBorders>
                          <w:left w:val="single" w:sz="6" w:space="0" w:color="000000"/>
                          <w:right w:val="single" w:sz="6" w:space="0" w:color="000000"/>
                        </w:tcBorders>
                        <w:shd w:val="clear" w:color="auto" w:fill="D3D3D3"/>
                      </w:tcPr>
                      <w:p>
                        <w:pPr/>
                      </w:p>
                    </w:tc>
                    <w:tc>
                      <w:tcPr>
                        <w:tcW w:w="6209" w:type="dxa"/>
                        <w:tcBorders>
                          <w:top w:val="nil" w:sz="6" w:space="0" w:color="auto"/>
                          <w:left w:val="single" w:sz="6" w:space="0" w:color="000000"/>
                          <w:bottom w:val="nil" w:sz="6" w:space="0" w:color="auto"/>
                          <w:right w:val="single" w:sz="6" w:space="0" w:color="000000"/>
                        </w:tcBorders>
                      </w:tcPr>
                      <w:p>
                        <w:pPr>
                          <w:pStyle w:val="TableParagraph"/>
                          <w:spacing w:line="240" w:lineRule="auto" w:before="63"/>
                          <w:ind w:left="2" w:right="-3"/>
                          <w:jc w:val="left"/>
                          <w:rPr>
                            <w:rFonts w:ascii="宋体" w:hAnsi="宋体" w:cs="宋体" w:eastAsia="宋体" w:hint="default"/>
                            <w:sz w:val="18"/>
                            <w:szCs w:val="18"/>
                          </w:rPr>
                        </w:pPr>
                        <w:r>
                          <w:rPr>
                            <w:rFonts w:ascii="宋体" w:hAnsi="宋体" w:cs="宋体" w:eastAsia="宋体" w:hint="default"/>
                            <w:sz w:val="18"/>
                            <w:szCs w:val="18"/>
                          </w:rPr>
                          <w:t>上述募投项目变更原因及决策程序详见公司于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日及</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450" w:hRule="exact"/>
                    </w:trPr>
                    <w:tc>
                      <w:tcPr>
                        <w:tcW w:w="3403" w:type="dxa"/>
                        <w:vMerge/>
                        <w:tcBorders>
                          <w:left w:val="single" w:sz="6" w:space="0" w:color="000000"/>
                          <w:bottom w:val="single" w:sz="10" w:space="0" w:color="000000"/>
                          <w:right w:val="single" w:sz="6" w:space="0" w:color="000000"/>
                        </w:tcBorders>
                        <w:shd w:val="clear" w:color="auto" w:fill="D3D3D3"/>
                      </w:tcPr>
                      <w:p>
                        <w:pPr/>
                      </w:p>
                    </w:tc>
                    <w:tc>
                      <w:tcPr>
                        <w:tcW w:w="6209" w:type="dxa"/>
                        <w:tcBorders>
                          <w:top w:val="nil" w:sz="6" w:space="0" w:color="auto"/>
                          <w:left w:val="single" w:sz="6" w:space="0" w:color="000000"/>
                          <w:bottom w:val="single" w:sz="10" w:space="0" w:color="000000"/>
                          <w:right w:val="single" w:sz="6" w:space="0" w:color="000000"/>
                        </w:tcBorders>
                      </w:tcPr>
                      <w:p>
                        <w:pPr>
                          <w:pStyle w:val="TableParagraph"/>
                          <w:spacing w:line="240" w:lineRule="auto" w:before="2"/>
                          <w:ind w:left="2" w:right="0"/>
                          <w:jc w:val="left"/>
                          <w:rPr>
                            <w:rFonts w:ascii="宋体" w:hAnsi="宋体" w:cs="宋体" w:eastAsia="宋体" w:hint="default"/>
                            <w:sz w:val="18"/>
                            <w:szCs w:val="18"/>
                          </w:rPr>
                        </w:pPr>
                        <w:r>
                          <w:rPr>
                            <w:rFonts w:ascii="宋体" w:hAnsi="宋体" w:cs="宋体" w:eastAsia="宋体" w:hint="default"/>
                            <w:sz w:val="18"/>
                            <w:szCs w:val="18"/>
                          </w:rPr>
                          <w:t>刊载于《证券时报》和巨潮资讯网（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）的相关公告。</w:t>
                        </w:r>
                      </w:p>
                    </w:tc>
                  </w:tr>
                  <w:tr>
                    <w:trPr>
                      <w:trHeight w:val="898" w:hRule="exact"/>
                    </w:trPr>
                    <w:tc>
                      <w:tcPr>
                        <w:tcW w:w="3403"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128"/>
                          <w:ind w:left="4" w:right="0"/>
                          <w:jc w:val="left"/>
                          <w:rPr>
                            <w:rFonts w:ascii="宋体" w:hAnsi="宋体" w:cs="宋体" w:eastAsia="宋体" w:hint="default"/>
                            <w:sz w:val="18"/>
                            <w:szCs w:val="18"/>
                          </w:rPr>
                        </w:pPr>
                        <w:r>
                          <w:rPr>
                            <w:rFonts w:ascii="宋体" w:hAnsi="宋体" w:cs="宋体" w:eastAsia="宋体" w:hint="default"/>
                            <w:spacing w:val="7"/>
                            <w:sz w:val="18"/>
                            <w:szCs w:val="18"/>
                          </w:rPr>
                          <w:t>未达到计划进度或预计收益的情况和原因</w:t>
                        </w:r>
                      </w:p>
                      <w:p>
                        <w:pPr>
                          <w:pStyle w:val="TableParagraph"/>
                          <w:spacing w:line="240" w:lineRule="auto" w:before="7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209"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28"/>
                          <w:ind w:left="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95" w:hRule="exact"/>
                    </w:trPr>
                    <w:tc>
                      <w:tcPr>
                        <w:tcW w:w="3403" w:type="dxa"/>
                        <w:tcBorders>
                          <w:top w:val="single" w:sz="10"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130"/>
                          <w:ind w:left="4" w:right="3"/>
                          <w:jc w:val="left"/>
                          <w:rPr>
                            <w:rFonts w:ascii="宋体" w:hAnsi="宋体" w:cs="宋体" w:eastAsia="宋体" w:hint="default"/>
                            <w:sz w:val="18"/>
                            <w:szCs w:val="18"/>
                          </w:rPr>
                        </w:pPr>
                        <w:r>
                          <w:rPr>
                            <w:rFonts w:ascii="宋体" w:hAnsi="宋体" w:cs="宋体" w:eastAsia="宋体" w:hint="default"/>
                            <w:spacing w:val="7"/>
                            <w:sz w:val="18"/>
                            <w:szCs w:val="18"/>
                          </w:rPr>
                          <w:t>变更后的项目可行性发生重大变化的情况</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说明</w:t>
                        </w:r>
                      </w:p>
                    </w:tc>
                    <w:tc>
                      <w:tcPr>
                        <w:tcW w:w="620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0"/>
                          <w:ind w:left="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2"/>
        <w:spacing w:line="240" w:lineRule="auto" w:before="26"/>
        <w:ind w:right="984"/>
        <w:jc w:val="left"/>
        <w:rPr>
          <w:rFonts w:ascii="Tahoma" w:hAnsi="Tahoma" w:cs="Tahoma" w:eastAsia="Tahoma" w:hint="default"/>
        </w:rPr>
      </w:pPr>
      <w:r>
        <w:rPr/>
        <w:t>六、重大资产和股权出售</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、出售重大资产情况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w:t>
      </w:r>
      <w:r>
        <w:rPr/>
        <w:t>、出售重大股权情况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4"/>
        <w:jc w:val="left"/>
        <w:rPr>
          <w:rFonts w:ascii="Tahoma" w:hAnsi="Tahoma" w:cs="Tahoma" w:eastAsia="Tahoma" w:hint="default"/>
        </w:rPr>
      </w:pPr>
      <w:r>
        <w:rPr/>
        <w:t>七、主要控股参股公司分析</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spacing w:after="0" w:line="240" w:lineRule="auto"/>
        <w:rPr>
          <w:rFonts w:ascii="Tahoma" w:hAnsi="Tahoma" w:cs="Tahoma" w:eastAsia="Tahoma" w:hint="default"/>
          <w:sz w:val="25"/>
          <w:szCs w:val="25"/>
        </w:rPr>
        <w:sectPr>
          <w:pgSz w:w="11910" w:h="16840"/>
          <w:pgMar w:header="753" w:footer="982" w:top="1060" w:bottom="1180" w:left="980" w:right="0"/>
        </w:sectPr>
      </w:pPr>
    </w:p>
    <w:p>
      <w:pPr>
        <w:pStyle w:val="BodyText"/>
        <w:spacing w:line="240" w:lineRule="auto" w:before="37"/>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18"/>
        <w:jc w:val="left"/>
      </w:pPr>
      <w:r>
        <w:rPr/>
        <w:t>主要子公司及对公司净利润影响达</w:t>
      </w:r>
      <w:r>
        <w:rPr>
          <w:spacing w:val="-45"/>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0"/>
          <w:cols w:num="2" w:equalWidth="0">
            <w:col w:w="4850" w:space="4068"/>
            <w:col w:w="2012"/>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53"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08"/>
              <w:jc w:val="right"/>
              <w:rPr>
                <w:rFonts w:ascii="宋体" w:hAnsi="宋体" w:cs="宋体" w:eastAsia="宋体" w:hint="default"/>
                <w:sz w:val="18"/>
                <w:szCs w:val="18"/>
              </w:rPr>
            </w:pPr>
            <w:r>
              <w:rPr>
                <w:rFonts w:ascii="宋体" w:hAnsi="宋体" w:cs="宋体" w:eastAsia="宋体" w:hint="default"/>
                <w:sz w:val="18"/>
                <w:szCs w:val="18"/>
              </w:rPr>
              <w:t>该公司主营</w:t>
            </w: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94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东莞市美盈 森环保科技 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2"/>
              <w:ind w:left="24" w:right="108"/>
              <w:jc w:val="both"/>
              <w:rPr>
                <w:rFonts w:ascii="宋体" w:hAnsi="宋体" w:cs="宋体" w:eastAsia="宋体" w:hint="default"/>
                <w:sz w:val="18"/>
                <w:szCs w:val="18"/>
              </w:rPr>
            </w:pPr>
            <w:r>
              <w:rPr>
                <w:rFonts w:ascii="宋体" w:hAnsi="宋体" w:cs="宋体" w:eastAsia="宋体" w:hint="default"/>
                <w:sz w:val="18"/>
                <w:szCs w:val="18"/>
              </w:rPr>
              <w:t>业务是轻重 型环保包装 制品的研</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675,002,500.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1,647,778,73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6.70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960,386,524.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1,149,838,93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7.66</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96,861,342.0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86,128,521.7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r>
        <w:trPr>
          <w:trHeight w:val="312"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108"/>
              <w:jc w:val="right"/>
              <w:rPr>
                <w:rFonts w:ascii="宋体" w:hAnsi="宋体" w:cs="宋体" w:eastAsia="宋体" w:hint="default"/>
                <w:sz w:val="18"/>
                <w:szCs w:val="18"/>
              </w:rPr>
            </w:pPr>
            <w:r>
              <w:rPr>
                <w:rFonts w:ascii="宋体" w:hAnsi="宋体" w:cs="宋体" w:eastAsia="宋体" w:hint="default"/>
                <w:sz w:val="18"/>
                <w:szCs w:val="18"/>
              </w:rPr>
              <w:t>发、生产及</w:t>
            </w: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该公司主营</w:t>
            </w: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4" w:right="117"/>
              <w:jc w:val="both"/>
              <w:rPr>
                <w:rFonts w:ascii="宋体" w:hAnsi="宋体" w:cs="宋体" w:eastAsia="宋体" w:hint="default"/>
                <w:sz w:val="18"/>
                <w:szCs w:val="18"/>
              </w:rPr>
            </w:pPr>
            <w:r>
              <w:rPr>
                <w:rFonts w:ascii="宋体" w:hAnsi="宋体" w:cs="宋体" w:eastAsia="宋体" w:hint="default"/>
                <w:sz w:val="18"/>
                <w:szCs w:val="18"/>
              </w:rPr>
              <w:t>苏州美盈森 环保科技有 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08"/>
              <w:jc w:val="left"/>
              <w:rPr>
                <w:rFonts w:ascii="宋体" w:hAnsi="宋体" w:cs="宋体" w:eastAsia="宋体" w:hint="default"/>
                <w:sz w:val="18"/>
                <w:szCs w:val="18"/>
              </w:rPr>
            </w:pPr>
            <w:r>
              <w:rPr>
                <w:rFonts w:ascii="宋体" w:hAnsi="宋体" w:cs="宋体" w:eastAsia="宋体" w:hint="default"/>
                <w:sz w:val="18"/>
                <w:szCs w:val="18"/>
              </w:rPr>
              <w:t>业务是轻重 型环保包装 制品的研 发、生产及</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 w:right="0"/>
              <w:jc w:val="left"/>
              <w:rPr>
                <w:rFonts w:ascii="Times New Roman" w:hAnsi="Times New Roman" w:cs="Times New Roman" w:eastAsia="Times New Roman" w:hint="default"/>
                <w:sz w:val="18"/>
                <w:szCs w:val="18"/>
              </w:rPr>
            </w:pPr>
            <w:r>
              <w:rPr>
                <w:rFonts w:ascii="Times New Roman"/>
                <w:sz w:val="18"/>
              </w:rPr>
              <w:t>478,311,400.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8"/>
              <w:jc w:val="right"/>
              <w:rPr>
                <w:rFonts w:ascii="Times New Roman" w:hAnsi="Times New Roman" w:cs="Times New Roman" w:eastAsia="Times New Roman" w:hint="default"/>
                <w:sz w:val="18"/>
                <w:szCs w:val="18"/>
              </w:rPr>
            </w:pPr>
            <w:r>
              <w:rPr>
                <w:rFonts w:ascii="Times New Roman"/>
                <w:spacing w:val="-1"/>
                <w:sz w:val="18"/>
              </w:rPr>
              <w:t>1,150,408,28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8.85</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712,460,167.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8"/>
              <w:jc w:val="right"/>
              <w:rPr>
                <w:rFonts w:ascii="Times New Roman" w:hAnsi="Times New Roman" w:cs="Times New Roman" w:eastAsia="Times New Roman" w:hint="default"/>
                <w:sz w:val="18"/>
                <w:szCs w:val="18"/>
              </w:rPr>
            </w:pPr>
            <w:r>
              <w:rPr>
                <w:rFonts w:ascii="Times New Roman"/>
                <w:spacing w:val="-1"/>
                <w:sz w:val="18"/>
              </w:rPr>
              <w:t>880,901,862.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8"/>
              <w:jc w:val="right"/>
              <w:rPr>
                <w:rFonts w:ascii="Times New Roman" w:hAnsi="Times New Roman" w:cs="Times New Roman" w:eastAsia="Times New Roman" w:hint="default"/>
                <w:sz w:val="18"/>
                <w:szCs w:val="18"/>
              </w:rPr>
            </w:pPr>
            <w:r>
              <w:rPr>
                <w:rFonts w:ascii="Times New Roman"/>
                <w:spacing w:val="-1"/>
                <w:sz w:val="18"/>
              </w:rPr>
              <w:t>131,420,195.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5"/>
              <w:jc w:val="right"/>
              <w:rPr>
                <w:rFonts w:ascii="Times New Roman" w:hAnsi="Times New Roman" w:cs="Times New Roman" w:eastAsia="Times New Roman" w:hint="default"/>
                <w:sz w:val="18"/>
                <w:szCs w:val="18"/>
              </w:rPr>
            </w:pPr>
            <w:r>
              <w:rPr>
                <w:rFonts w:ascii="Times New Roman"/>
                <w:spacing w:val="-2"/>
                <w:sz w:val="18"/>
              </w:rPr>
              <w:t>111,696,815.</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55</w:t>
            </w:r>
          </w:p>
        </w:tc>
      </w:tr>
      <w:tr>
        <w:trPr>
          <w:trHeight w:val="350"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该公司主营</w:t>
            </w: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重庆市美盈</w:t>
            </w: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业务是轻重</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17"/>
              <w:jc w:val="left"/>
              <w:rPr>
                <w:rFonts w:ascii="宋体" w:hAnsi="宋体" w:cs="宋体" w:eastAsia="宋体" w:hint="default"/>
                <w:sz w:val="18"/>
                <w:szCs w:val="18"/>
              </w:rPr>
            </w:pPr>
            <w:r>
              <w:rPr>
                <w:rFonts w:ascii="宋体" w:hAnsi="宋体" w:cs="宋体" w:eastAsia="宋体" w:hint="default"/>
                <w:sz w:val="18"/>
                <w:szCs w:val="18"/>
              </w:rPr>
              <w:t>森环保包装 工程有限公</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08"/>
              <w:jc w:val="left"/>
              <w:rPr>
                <w:rFonts w:ascii="宋体" w:hAnsi="宋体" w:cs="宋体" w:eastAsia="宋体" w:hint="default"/>
                <w:sz w:val="18"/>
                <w:szCs w:val="18"/>
              </w:rPr>
            </w:pPr>
            <w:r>
              <w:rPr>
                <w:rFonts w:ascii="宋体" w:hAnsi="宋体" w:cs="宋体" w:eastAsia="宋体" w:hint="default"/>
                <w:sz w:val="18"/>
                <w:szCs w:val="18"/>
              </w:rPr>
              <w:t>型环保包装 制品的研</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4" w:right="0"/>
              <w:jc w:val="left"/>
              <w:rPr>
                <w:rFonts w:ascii="Times New Roman" w:hAnsi="Times New Roman" w:cs="Times New Roman" w:eastAsia="Times New Roman" w:hint="default"/>
                <w:sz w:val="18"/>
                <w:szCs w:val="18"/>
              </w:rPr>
            </w:pPr>
            <w:r>
              <w:rPr>
                <w:rFonts w:ascii="Times New Roman"/>
                <w:sz w:val="18"/>
              </w:rPr>
              <w:t>280,000,000.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551,033,559.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398,080,948.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422,771,281.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86,925,353.9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5"/>
              <w:jc w:val="right"/>
              <w:rPr>
                <w:rFonts w:ascii="Times New Roman" w:hAnsi="Times New Roman" w:cs="Times New Roman" w:eastAsia="Times New Roman" w:hint="default"/>
                <w:sz w:val="18"/>
                <w:szCs w:val="18"/>
              </w:rPr>
            </w:pPr>
            <w:r>
              <w:rPr>
                <w:rFonts w:ascii="Times New Roman"/>
                <w:spacing w:val="-1"/>
                <w:sz w:val="18"/>
              </w:rPr>
              <w:t>73,153,983.6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发、生产及</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该公司主营</w:t>
            </w: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业务是软件</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开发，隐藏</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17"/>
              <w:jc w:val="both"/>
              <w:rPr>
                <w:rFonts w:ascii="宋体" w:hAnsi="宋体" w:cs="宋体" w:eastAsia="宋体" w:hint="default"/>
                <w:sz w:val="18"/>
                <w:szCs w:val="18"/>
              </w:rPr>
            </w:pPr>
            <w:r>
              <w:rPr>
                <w:rFonts w:ascii="宋体" w:hAnsi="宋体" w:cs="宋体" w:eastAsia="宋体" w:hint="default"/>
                <w:sz w:val="18"/>
                <w:szCs w:val="18"/>
              </w:rPr>
              <w:t>东莞市美芯 龙物联网科 技有限公司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08"/>
              <w:jc w:val="both"/>
              <w:rPr>
                <w:rFonts w:ascii="宋体" w:hAnsi="宋体" w:cs="宋体" w:eastAsia="宋体" w:hint="default"/>
                <w:sz w:val="18"/>
                <w:szCs w:val="18"/>
              </w:rPr>
            </w:pPr>
            <w:r>
              <w:rPr>
                <w:rFonts w:ascii="宋体" w:hAnsi="宋体" w:cs="宋体" w:eastAsia="宋体" w:hint="default"/>
                <w:sz w:val="18"/>
                <w:szCs w:val="18"/>
              </w:rPr>
              <w:t>信息防伪技 术的开发， 高新材料的</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127,135,913.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108,530,554.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148,844,176.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50,347,682.6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43,646,718.0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研发，无线</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射频标签生</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产及销售</w:t>
            </w: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该公司主营</w:t>
            </w: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业务是为客</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户提供包括</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品牌策划、</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17"/>
              <w:jc w:val="both"/>
              <w:rPr>
                <w:rFonts w:ascii="宋体" w:hAnsi="宋体" w:cs="宋体" w:eastAsia="宋体" w:hint="default"/>
                <w:sz w:val="18"/>
                <w:szCs w:val="18"/>
              </w:rPr>
            </w:pPr>
            <w:r>
              <w:rPr>
                <w:rFonts w:ascii="宋体" w:hAnsi="宋体" w:cs="宋体" w:eastAsia="宋体" w:hint="default"/>
                <w:sz w:val="18"/>
                <w:szCs w:val="18"/>
              </w:rPr>
              <w:t>深圳市金之 彩文化创意 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08"/>
              <w:jc w:val="both"/>
              <w:rPr>
                <w:rFonts w:ascii="宋体" w:hAnsi="宋体" w:cs="宋体" w:eastAsia="宋体" w:hint="default"/>
                <w:sz w:val="18"/>
                <w:szCs w:val="18"/>
              </w:rPr>
            </w:pPr>
            <w:r>
              <w:rPr>
                <w:rFonts w:ascii="宋体" w:hAnsi="宋体" w:cs="宋体" w:eastAsia="宋体" w:hint="default"/>
                <w:sz w:val="18"/>
                <w:szCs w:val="18"/>
              </w:rPr>
              <w:t>创意设计、 工艺研发、 材料创新及</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180,165,202.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131,530,123.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163,514,811.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-26,079,276.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-31,582,106.</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52</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应用、包装</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服务为一体</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的整体解决</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方案。</w:t>
            </w: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right="984"/>
        <w:jc w:val="left"/>
      </w:pPr>
      <w:r>
        <w:rPr/>
        <w:t>报告期内取得和处置子公司的情况</w:t>
      </w:r>
    </w:p>
    <w:p>
      <w:pPr>
        <w:pStyle w:val="BodyText"/>
        <w:spacing w:line="240" w:lineRule="auto" w:before="115"/>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西安美盈森智谷科技有限公司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-152,929.38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苏州美盈森智谷科技有限公司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-3,050.16</w:t>
            </w:r>
          </w:p>
        </w:tc>
      </w:tr>
    </w:tbl>
    <w:p>
      <w:pPr>
        <w:pStyle w:val="BodyText"/>
        <w:spacing w:line="357" w:lineRule="auto" w:before="49"/>
        <w:ind w:right="8594"/>
        <w:jc w:val="left"/>
      </w:pPr>
      <w:r>
        <w:rPr/>
        <w:t>主要控股参股公司情况说明 无</w:t>
      </w:r>
    </w:p>
    <w:p>
      <w:pPr>
        <w:spacing w:after="0" w:line="357" w:lineRule="auto"/>
        <w:jc w:val="left"/>
        <w:sectPr>
          <w:pgSz w:w="11910" w:h="16840"/>
          <w:pgMar w:header="753"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rFonts w:ascii="Tahoma" w:hAnsi="Tahoma" w:cs="Tahoma" w:eastAsia="Tahoma" w:hint="default"/>
        </w:rPr>
      </w:pPr>
      <w:r>
        <w:rPr/>
        <w:t>八、公司控制的结构化主体情况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rFonts w:ascii="Tahoma" w:hAnsi="Tahoma" w:cs="Tahoma" w:eastAsia="Tahoma" w:hint="default"/>
        </w:rPr>
      </w:pPr>
      <w:r>
        <w:rPr/>
        <w:t>九、公司未来发展的展望</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572" w:right="984"/>
        <w:jc w:val="left"/>
      </w:pPr>
      <w:r>
        <w:rPr/>
        <w:t>（一）行业格局和趋势</w:t>
      </w:r>
    </w:p>
    <w:p>
      <w:pPr>
        <w:pStyle w:val="BodyText"/>
        <w:spacing w:line="300" w:lineRule="auto" w:before="76"/>
        <w:ind w:left="572" w:right="1139"/>
        <w:jc w:val="left"/>
      </w:pPr>
      <w:r>
        <w:rPr>
          <w:rFonts w:ascii="Times New Roman" w:hAnsi="Times New Roman" w:cs="Times New Roman" w:eastAsia="Times New Roman" w:hint="default"/>
        </w:rPr>
        <w:t>1</w:t>
      </w:r>
      <w:r>
        <w:rPr/>
        <w:t>、行业发展整体态势分析 据国家统计局数据，</w:t>
      </w:r>
      <w:r>
        <w:rPr>
          <w:rFonts w:ascii="Times New Roman" w:hAnsi="Times New Roman" w:cs="Times New Roman" w:eastAsia="Times New Roman" w:hint="default"/>
        </w:rPr>
        <w:t>2018</w:t>
      </w:r>
      <w:r>
        <w:rPr/>
        <w:t>年，国内生产总值超过</w:t>
      </w:r>
      <w:r>
        <w:rPr>
          <w:rFonts w:ascii="Times New Roman" w:hAnsi="Times New Roman" w:cs="Times New Roman" w:eastAsia="Times New Roman" w:hint="default"/>
        </w:rPr>
        <w:t>90</w:t>
      </w:r>
      <w:r>
        <w:rPr/>
        <w:t>万亿元，同比增长</w:t>
      </w:r>
      <w:r>
        <w:rPr>
          <w:rFonts w:ascii="Times New Roman" w:hAnsi="Times New Roman" w:cs="Times New Roman" w:eastAsia="Times New Roman" w:hint="default"/>
        </w:rPr>
        <w:t>6.6%</w:t>
      </w:r>
      <w:r>
        <w:rPr/>
        <w:t>。包装产业是与国计民生密切相关的服务型</w:t>
      </w:r>
    </w:p>
    <w:p>
      <w:pPr>
        <w:pStyle w:val="BodyText"/>
        <w:spacing w:line="316" w:lineRule="auto" w:before="13"/>
        <w:ind w:right="984"/>
        <w:jc w:val="left"/>
      </w:pPr>
      <w:r>
        <w:rPr>
          <w:spacing w:val="-2"/>
        </w:rPr>
        <w:t>制造业，在国民经济与社会发展中具有举足轻重的地位，伴随国内经济总量的增长及包装需求的不断升级，包装产业市场容</w:t>
      </w:r>
      <w:r>
        <w:rPr>
          <w:spacing w:val="-62"/>
        </w:rPr>
        <w:t> </w:t>
      </w:r>
      <w:r>
        <w:rPr>
          <w:spacing w:val="-62"/>
        </w:rPr>
      </w:r>
      <w:r>
        <w:rPr/>
        <w:t>量及产品品质要求不断提升。</w:t>
      </w:r>
    </w:p>
    <w:p>
      <w:pPr>
        <w:pStyle w:val="BodyText"/>
        <w:spacing w:line="240" w:lineRule="auto" w:before="19"/>
        <w:ind w:left="572" w:right="984"/>
        <w:jc w:val="left"/>
      </w:pPr>
      <w:r>
        <w:rPr>
          <w:rFonts w:ascii="Times New Roman" w:hAnsi="Times New Roman" w:cs="Times New Roman" w:eastAsia="Times New Roman" w:hint="default"/>
        </w:rPr>
        <w:t>2018</w:t>
      </w:r>
      <w:r>
        <w:rPr/>
        <w:t>年规模以上工业增加值比上年实际增长</w:t>
      </w:r>
      <w:r>
        <w:rPr>
          <w:rFonts w:ascii="Times New Roman" w:hAnsi="Times New Roman" w:cs="Times New Roman" w:eastAsia="Times New Roman" w:hint="default"/>
        </w:rPr>
        <w:t>6.2%</w:t>
      </w:r>
      <w:r>
        <w:rPr/>
        <w:t>，分门类看，与包装行业密切相关的制造业工业增加值比上年增长</w:t>
      </w:r>
    </w:p>
    <w:p>
      <w:pPr>
        <w:pStyle w:val="BodyText"/>
        <w:spacing w:line="240" w:lineRule="auto" w:before="63"/>
        <w:ind w:right="0"/>
        <w:jc w:val="both"/>
      </w:pP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w:t>
      </w:r>
      <w:r>
        <w:rPr>
          <w:spacing w:val="-78"/>
        </w:rPr>
        <w:t>。</w:t>
      </w:r>
      <w:r>
        <w:rPr/>
        <w:t>公司目前所服务的主</w:t>
      </w:r>
      <w:r>
        <w:rPr>
          <w:spacing w:val="-2"/>
        </w:rPr>
        <w:t>要</w:t>
      </w:r>
      <w:r>
        <w:rPr/>
        <w:t>下游行业中</w:t>
      </w:r>
      <w:r>
        <w:rPr>
          <w:spacing w:val="-78"/>
        </w:rPr>
        <w:t>，</w:t>
      </w:r>
      <w:r>
        <w:rPr/>
        <w:t>微波终端机</w:t>
      </w:r>
      <w:r>
        <w:rPr>
          <w:spacing w:val="-76"/>
        </w:rPr>
        <w:t>、</w:t>
      </w:r>
      <w:r>
        <w:rPr/>
        <w:t>新能源汽车</w:t>
      </w:r>
      <w:r>
        <w:rPr>
          <w:spacing w:val="-78"/>
        </w:rPr>
        <w:t>、</w:t>
      </w:r>
      <w:r>
        <w:rPr/>
        <w:t>智能电视</w:t>
      </w:r>
      <w:r>
        <w:rPr>
          <w:spacing w:val="-78"/>
        </w:rPr>
        <w:t>、</w:t>
      </w:r>
      <w:r>
        <w:rPr/>
        <w:t>集成电路等产品产量分别比上年增长</w:t>
      </w:r>
      <w:r>
        <w:rPr>
          <w:rFonts w:ascii="Times New Roman" w:hAnsi="Times New Roman" w:cs="Times New Roman" w:eastAsia="Times New Roman" w:hint="default"/>
          <w:spacing w:val="1"/>
        </w:rPr>
        <w:t>1</w:t>
      </w:r>
      <w:r>
        <w:rPr>
          <w:rFonts w:ascii="Times New Roman" w:hAnsi="Times New Roman" w:cs="Times New Roman" w:eastAsia="Times New Roman" w:hint="default"/>
        </w:rPr>
        <w:t>04.</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w:t>
      </w:r>
      <w:r>
        <w:rPr/>
        <w:t>、</w:t>
      </w:r>
    </w:p>
    <w:p>
      <w:pPr>
        <w:pStyle w:val="BodyText"/>
        <w:spacing w:line="240" w:lineRule="auto" w:before="63"/>
        <w:ind w:right="0"/>
        <w:jc w:val="both"/>
      </w:pPr>
      <w:r>
        <w:rPr>
          <w:rFonts w:ascii="Times New Roman" w:hAnsi="Times New Roman" w:cs="Times New Roman" w:eastAsia="Times New Roman" w:hint="default"/>
        </w:rPr>
        <w:t>40.1%</w:t>
      </w:r>
      <w:r>
        <w:rPr/>
        <w:t>、</w:t>
      </w:r>
      <w:r>
        <w:rPr>
          <w:rFonts w:ascii="Times New Roman" w:hAnsi="Times New Roman" w:cs="Times New Roman" w:eastAsia="Times New Roman" w:hint="default"/>
        </w:rPr>
        <w:t>18.7%</w:t>
      </w:r>
      <w:r>
        <w:rPr/>
        <w:t>、</w:t>
      </w:r>
      <w:r>
        <w:rPr>
          <w:rFonts w:ascii="Times New Roman" w:hAnsi="Times New Roman" w:cs="Times New Roman" w:eastAsia="Times New Roman" w:hint="default"/>
        </w:rPr>
        <w:t>9.7%</w:t>
      </w:r>
      <w:r>
        <w:rPr/>
        <w:t>。</w:t>
      </w:r>
    </w:p>
    <w:p>
      <w:pPr>
        <w:pStyle w:val="BodyText"/>
        <w:spacing w:line="312" w:lineRule="auto" w:before="63"/>
        <w:ind w:right="1130" w:firstLine="420"/>
        <w:jc w:val="both"/>
      </w:pPr>
      <w:r>
        <w:rPr/>
        <w:t>工业和信息化部、商务部联合发布的《工业和信息化部商务部关于加快我国包装产业转型发展的指导意见》（工信部 联消费</w:t>
      </w:r>
      <w:r>
        <w:rPr>
          <w:rFonts w:ascii="Times New Roman" w:hAnsi="Times New Roman" w:cs="Times New Roman" w:eastAsia="Times New Roman" w:hint="default"/>
        </w:rPr>
        <w:t>[2016]397</w:t>
      </w:r>
      <w:r>
        <w:rPr/>
        <w:t>号）对我国包装行业</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期间产业规模、自主创新、两化融合、节能减排、军民融合及标准建设等发 </w:t>
      </w:r>
      <w:r>
        <w:rPr>
          <w:spacing w:val="-2"/>
        </w:rPr>
        <w:t>展目标作出了指导。其中，在产业规模上，目标为：保持产业发展增速与国民经济增速同步，产业发展规模与配套服务需求</w:t>
      </w:r>
      <w:r>
        <w:rPr>
          <w:spacing w:val="-69"/>
        </w:rPr>
        <w:t> </w:t>
      </w:r>
      <w:r>
        <w:rPr>
          <w:spacing w:val="-69"/>
        </w:rPr>
      </w:r>
      <w:r>
        <w:rPr/>
        <w:t>相适应。特别在产业规模上，目标到</w:t>
      </w:r>
      <w:r>
        <w:rPr>
          <w:rFonts w:ascii="Times New Roman" w:hAnsi="Times New Roman" w:cs="Times New Roman" w:eastAsia="Times New Roman" w:hint="default"/>
        </w:rPr>
        <w:t>2020</w:t>
      </w:r>
      <w:r>
        <w:rPr/>
        <w:t>年，实现包装产业年主营业务收入达到</w:t>
      </w:r>
      <w:r>
        <w:rPr>
          <w:rFonts w:ascii="Times New Roman" w:hAnsi="Times New Roman" w:cs="Times New Roman" w:eastAsia="Times New Roman" w:hint="default"/>
        </w:rPr>
        <w:t>2.5</w:t>
      </w:r>
      <w:r>
        <w:rPr/>
        <w:t>万亿元，形成</w:t>
      </w:r>
      <w:r>
        <w:rPr>
          <w:rFonts w:ascii="Times New Roman" w:hAnsi="Times New Roman" w:cs="Times New Roman" w:eastAsia="Times New Roman" w:hint="default"/>
        </w:rPr>
        <w:t>15</w:t>
      </w:r>
      <w:r>
        <w:rPr/>
        <w:t>家以上年产值超过</w:t>
      </w:r>
      <w:r>
        <w:rPr>
          <w:rFonts w:ascii="Times New Roman" w:hAnsi="Times New Roman" w:cs="Times New Roman" w:eastAsia="Times New Roman" w:hint="default"/>
        </w:rPr>
        <w:t>50</w:t>
      </w:r>
      <w:r>
        <w:rPr/>
        <w:t>亿 </w:t>
      </w:r>
      <w:r>
        <w:rPr>
          <w:spacing w:val="-2"/>
        </w:rPr>
        <w:t>元的企业或集团，上市公司和高新技术企业大幅增加。积极培育包装产业特色突出的新型工业化产业示范基地，形成一批具</w:t>
      </w:r>
      <w:r>
        <w:rPr>
          <w:spacing w:val="-62"/>
        </w:rPr>
        <w:t> </w:t>
      </w:r>
      <w:r>
        <w:rPr>
          <w:spacing w:val="-62"/>
        </w:rPr>
      </w:r>
      <w:r>
        <w:rPr/>
        <w:t>有较强影响力的知名品牌。</w:t>
      </w:r>
    </w:p>
    <w:p>
      <w:pPr>
        <w:pStyle w:val="BodyText"/>
        <w:spacing w:line="240" w:lineRule="auto" w:before="22"/>
        <w:ind w:left="572" w:right="984"/>
        <w:jc w:val="left"/>
      </w:pPr>
      <w:r>
        <w:rPr>
          <w:rFonts w:ascii="Times New Roman" w:hAnsi="Times New Roman" w:cs="Times New Roman" w:eastAsia="Times New Roman" w:hint="default"/>
        </w:rPr>
        <w:t>2</w:t>
      </w:r>
      <w:r>
        <w:rPr/>
        <w:t>、行业发展环境及趋势分析</w:t>
      </w:r>
    </w:p>
    <w:p>
      <w:pPr>
        <w:pStyle w:val="BodyText"/>
        <w:spacing w:line="300" w:lineRule="auto" w:before="63"/>
        <w:ind w:left="572" w:right="984"/>
        <w:jc w:val="left"/>
      </w:pPr>
      <w:r>
        <w:rPr/>
        <w:t>（</w:t>
      </w:r>
      <w:r>
        <w:rPr>
          <w:rFonts w:ascii="Times New Roman" w:hAnsi="Times New Roman" w:cs="Times New Roman" w:eastAsia="Times New Roman" w:hint="default"/>
        </w:rPr>
        <w:t>1</w:t>
      </w:r>
      <w:r>
        <w:rPr/>
        <w:t>）行业集中度的不断提升是包装产业发展规律，国内包装行业领先企业已呈现加速发展态势 </w:t>
      </w:r>
      <w:r>
        <w:rPr>
          <w:spacing w:val="-1"/>
        </w:rPr>
        <w:t>根据《印刷经理人》杂志发布的</w:t>
      </w:r>
      <w:r>
        <w:rPr>
          <w:rFonts w:ascii="Times New Roman" w:hAnsi="Times New Roman" w:cs="Times New Roman" w:eastAsia="Times New Roman" w:hint="default"/>
          <w:spacing w:val="-1"/>
        </w:rPr>
        <w:t>“2018</w:t>
      </w:r>
      <w:r>
        <w:rPr>
          <w:spacing w:val="-1"/>
        </w:rPr>
        <w:t>中国印刷包装企业</w:t>
      </w:r>
      <w:r>
        <w:rPr>
          <w:rFonts w:ascii="Times New Roman" w:hAnsi="Times New Roman" w:cs="Times New Roman" w:eastAsia="Times New Roman" w:hint="default"/>
          <w:spacing w:val="-1"/>
        </w:rPr>
        <w:t>100</w:t>
      </w:r>
      <w:r>
        <w:rPr>
          <w:spacing w:val="-1"/>
        </w:rPr>
        <w:t>强排行榜</w:t>
      </w:r>
      <w:r>
        <w:rPr>
          <w:rFonts w:ascii="Times New Roman" w:hAnsi="Times New Roman" w:cs="Times New Roman" w:eastAsia="Times New Roman" w:hint="default"/>
          <w:spacing w:val="-1"/>
        </w:rPr>
        <w:t>”</w:t>
      </w:r>
      <w:r>
        <w:rPr>
          <w:spacing w:val="-1"/>
        </w:rPr>
        <w:t>，中国包装行业前十名企业</w:t>
      </w:r>
      <w:r>
        <w:rPr>
          <w:rFonts w:ascii="Times New Roman" w:hAnsi="Times New Roman" w:cs="Times New Roman" w:eastAsia="Times New Roman" w:hint="default"/>
          <w:spacing w:val="-1"/>
        </w:rPr>
        <w:t>2017</w:t>
      </w:r>
      <w:r>
        <w:rPr>
          <w:spacing w:val="-1"/>
        </w:rPr>
        <w:t>年度营业收入合</w:t>
      </w:r>
    </w:p>
    <w:p>
      <w:pPr>
        <w:pStyle w:val="BodyText"/>
        <w:spacing w:line="300" w:lineRule="auto" w:before="13"/>
        <w:ind w:right="984"/>
        <w:jc w:val="left"/>
      </w:pPr>
      <w:r>
        <w:rPr>
          <w:spacing w:val="-1"/>
        </w:rPr>
        <w:t>计约</w:t>
      </w:r>
      <w:r>
        <w:rPr>
          <w:rFonts w:ascii="Times New Roman" w:hAnsi="Times New Roman" w:cs="Times New Roman" w:eastAsia="Times New Roman" w:hint="default"/>
          <w:spacing w:val="-1"/>
        </w:rPr>
        <w:t>370</w:t>
      </w:r>
      <w:r>
        <w:rPr>
          <w:spacing w:val="-1"/>
        </w:rPr>
        <w:t>亿元，与包装行业规模以上企业</w:t>
      </w:r>
      <w:r>
        <w:rPr>
          <w:rFonts w:ascii="Times New Roman" w:hAnsi="Times New Roman" w:cs="Times New Roman" w:eastAsia="Times New Roman" w:hint="default"/>
          <w:spacing w:val="-1"/>
        </w:rPr>
        <w:t>1.17</w:t>
      </w:r>
      <w:r>
        <w:rPr>
          <w:spacing w:val="-1"/>
        </w:rPr>
        <w:t>万亿元的营收相比，占比十分低。对比成熟市场，我国包装行业集中度非常低。</w:t>
      </w:r>
      <w:r>
        <w:rPr>
          <w:spacing w:val="-74"/>
        </w:rPr>
        <w:t> </w:t>
      </w:r>
      <w:r>
        <w:rPr>
          <w:spacing w:val="-74"/>
        </w:rPr>
      </w:r>
      <w:r>
        <w:rPr/>
        <w:t>根据中国包装网的信息，市场占有率方面，美国</w:t>
      </w:r>
      <w:r>
        <w:rPr>
          <w:rFonts w:ascii="Times New Roman" w:hAnsi="Times New Roman" w:cs="Times New Roman" w:eastAsia="Times New Roman" w:hint="default"/>
        </w:rPr>
        <w:t>top5&gt;70%</w:t>
      </w:r>
      <w:r>
        <w:rPr/>
        <w:t>，澳洲</w:t>
      </w:r>
      <w:r>
        <w:rPr>
          <w:rFonts w:ascii="Times New Roman" w:hAnsi="Times New Roman" w:cs="Times New Roman" w:eastAsia="Times New Roman" w:hint="default"/>
        </w:rPr>
        <w:t>top2&gt;90%</w:t>
      </w:r>
      <w:r>
        <w:rPr/>
        <w:t>，台湾地区</w:t>
      </w:r>
      <w:r>
        <w:rPr>
          <w:rFonts w:ascii="Times New Roman" w:hAnsi="Times New Roman" w:cs="Times New Roman" w:eastAsia="Times New Roman" w:hint="default"/>
        </w:rPr>
        <w:t>top3&gt;50%</w:t>
      </w:r>
      <w:r>
        <w:rPr/>
        <w:t>。</w:t>
      </w:r>
    </w:p>
    <w:p>
      <w:pPr>
        <w:pStyle w:val="BodyText"/>
        <w:spacing w:line="316" w:lineRule="auto" w:before="13"/>
        <w:ind w:right="1132" w:firstLine="420"/>
        <w:jc w:val="both"/>
      </w:pPr>
      <w:r>
        <w:rPr/>
        <w:t>近年来，伴随着上游造纸行业集中度的提升及下游客户需求的不断升级，下游客户对纸包装企业技术、资金、产能实 </w:t>
      </w:r>
      <w:r>
        <w:rPr>
          <w:spacing w:val="-2"/>
        </w:rPr>
        <w:t>力及跨区域服务能力要求也不断提升，集团化的、在多地布局产能的纸质包装优势企业在获取市场资源方面优势明显，众多</w:t>
      </w:r>
      <w:r>
        <w:rPr>
          <w:spacing w:val="-65"/>
        </w:rPr>
        <w:t> </w:t>
      </w:r>
      <w:r>
        <w:rPr>
          <w:spacing w:val="-65"/>
        </w:rPr>
      </w:r>
      <w:r>
        <w:rPr/>
        <w:t>竞争力较弱的中小纸质包装企业面临较大的经营压力，包装行业集中度呈现加速集中态势。</w:t>
      </w:r>
    </w:p>
    <w:p>
      <w:pPr>
        <w:pStyle w:val="BodyText"/>
        <w:spacing w:line="300" w:lineRule="auto" w:before="19"/>
        <w:ind w:right="1130" w:firstLine="420"/>
        <w:jc w:val="both"/>
      </w:pPr>
      <w:r>
        <w:rPr>
          <w:spacing w:val="-1"/>
        </w:rPr>
        <w:t>根据《印刷经理人》杂志发布的</w:t>
      </w:r>
      <w:r>
        <w:rPr>
          <w:rFonts w:ascii="Times New Roman" w:hAnsi="Times New Roman" w:cs="Times New Roman" w:eastAsia="Times New Roman" w:hint="default"/>
          <w:spacing w:val="-1"/>
        </w:rPr>
        <w:t>“2017</w:t>
      </w:r>
      <w:r>
        <w:rPr>
          <w:spacing w:val="-1"/>
        </w:rPr>
        <w:t>中国印刷包装企业</w:t>
      </w:r>
      <w:r>
        <w:rPr>
          <w:rFonts w:ascii="Times New Roman" w:hAnsi="Times New Roman" w:cs="Times New Roman" w:eastAsia="Times New Roman" w:hint="default"/>
          <w:spacing w:val="-1"/>
        </w:rPr>
        <w:t>100</w:t>
      </w:r>
      <w:r>
        <w:rPr>
          <w:spacing w:val="-1"/>
        </w:rPr>
        <w:t>强排行榜</w:t>
      </w:r>
      <w:r>
        <w:rPr>
          <w:rFonts w:ascii="Times New Roman" w:hAnsi="Times New Roman" w:cs="Times New Roman" w:eastAsia="Times New Roman" w:hint="default"/>
          <w:spacing w:val="-1"/>
        </w:rPr>
        <w:t>”</w:t>
      </w:r>
      <w:r>
        <w:rPr>
          <w:spacing w:val="-1"/>
        </w:rPr>
        <w:t>，中国包装行业前十名企业</w:t>
      </w:r>
      <w:r>
        <w:rPr>
          <w:rFonts w:ascii="Times New Roman" w:hAnsi="Times New Roman" w:cs="Times New Roman" w:eastAsia="Times New Roman" w:hint="default"/>
          <w:spacing w:val="-1"/>
        </w:rPr>
        <w:t>2016</w:t>
      </w:r>
      <w:r>
        <w:rPr>
          <w:spacing w:val="-1"/>
        </w:rPr>
        <w:t>年度营业收入合</w:t>
      </w:r>
      <w:r>
        <w:rPr/>
        <w:t> 计约</w:t>
      </w:r>
      <w:r>
        <w:rPr>
          <w:rFonts w:ascii="Times New Roman" w:hAnsi="Times New Roman" w:cs="Times New Roman" w:eastAsia="Times New Roman" w:hint="default"/>
        </w:rPr>
        <w:t>305</w:t>
      </w:r>
      <w:r>
        <w:rPr/>
        <w:t>亿元。中国包装行业前十名企业</w:t>
      </w:r>
      <w:r>
        <w:rPr>
          <w:rFonts w:ascii="Times New Roman" w:hAnsi="Times New Roman" w:cs="Times New Roman" w:eastAsia="Times New Roman" w:hint="default"/>
        </w:rPr>
        <w:t>2017</w:t>
      </w:r>
      <w:r>
        <w:rPr/>
        <w:t>年度营业收入较</w:t>
      </w:r>
      <w:r>
        <w:rPr>
          <w:rFonts w:ascii="Times New Roman" w:hAnsi="Times New Roman" w:cs="Times New Roman" w:eastAsia="Times New Roman" w:hint="default"/>
        </w:rPr>
        <w:t>2016</w:t>
      </w:r>
      <w:r>
        <w:rPr/>
        <w:t>年度营业收入增长</w:t>
      </w:r>
      <w:r>
        <w:rPr>
          <w:rFonts w:ascii="Times New Roman" w:hAnsi="Times New Roman" w:cs="Times New Roman" w:eastAsia="Times New Roman" w:hint="default"/>
        </w:rPr>
        <w:t>21.52%</w:t>
      </w:r>
      <w:r>
        <w:rPr/>
        <w:t>。</w:t>
      </w:r>
    </w:p>
    <w:p>
      <w:pPr>
        <w:pStyle w:val="BodyText"/>
        <w:spacing w:line="300" w:lineRule="auto" w:before="13"/>
        <w:ind w:left="572" w:right="1154"/>
        <w:jc w:val="left"/>
      </w:pPr>
      <w:r>
        <w:rPr/>
        <w:t>（</w:t>
      </w:r>
      <w:r>
        <w:rPr>
          <w:rFonts w:ascii="Times New Roman" w:hAnsi="Times New Roman" w:cs="Times New Roman" w:eastAsia="Times New Roman" w:hint="default"/>
        </w:rPr>
        <w:t>2</w:t>
      </w:r>
      <w:r>
        <w:rPr/>
        <w:t>）包装需求升级为行业内优势企业带来发展机遇 伴随着消费者包装需求不断升级，纸质包装已逐步从传统单纯的运输包装功能向个性化、定制化的兼具运输包装、销</w:t>
      </w:r>
    </w:p>
    <w:p>
      <w:pPr>
        <w:pStyle w:val="BodyText"/>
        <w:spacing w:line="316" w:lineRule="auto" w:before="31"/>
        <w:ind w:right="1130"/>
        <w:jc w:val="both"/>
      </w:pPr>
      <w:r>
        <w:rPr>
          <w:spacing w:val="-2"/>
        </w:rPr>
        <w:t>售包装、产品溯源、防伪等多功能的方向发展。同时众多下游客户除要求纸包装产品品质良好、外观精美、轻量减量外，还</w:t>
      </w:r>
      <w:r>
        <w:rPr>
          <w:spacing w:val="-68"/>
        </w:rPr>
        <w:t> </w:t>
      </w:r>
      <w:r>
        <w:rPr>
          <w:spacing w:val="-68"/>
        </w:rPr>
      </w:r>
      <w:r>
        <w:rPr>
          <w:spacing w:val="-2"/>
        </w:rPr>
        <w:t>希望包装企业能够依据客户的产品的尺寸、性能等进行包装方案策划和设计，提供物流、仓储、包装作业指导等一体化解决</w:t>
      </w:r>
      <w:r>
        <w:rPr>
          <w:spacing w:val="-64"/>
        </w:rPr>
        <w:t> </w:t>
      </w:r>
      <w:r>
        <w:rPr>
          <w:spacing w:val="-64"/>
        </w:rPr>
      </w:r>
      <w:r>
        <w:rPr/>
        <w:t>方案。</w:t>
      </w:r>
    </w:p>
    <w:p>
      <w:pPr>
        <w:pStyle w:val="BodyText"/>
        <w:spacing w:line="316" w:lineRule="auto" w:before="19"/>
        <w:ind w:right="1171" w:firstLine="420"/>
        <w:jc w:val="both"/>
      </w:pPr>
      <w:r>
        <w:rPr/>
        <w:t>消费者及下游客户需求的升级使得具有竞争优势的、能够提供包装综合服务以及具备创新服务能力的优势企业获得更 多的订单。</w:t>
      </w:r>
    </w:p>
    <w:p>
      <w:pPr>
        <w:pStyle w:val="BodyText"/>
        <w:spacing w:line="300" w:lineRule="auto" w:before="19"/>
        <w:ind w:left="572" w:right="1154"/>
        <w:jc w:val="left"/>
      </w:pPr>
      <w:r>
        <w:rPr/>
        <w:t>（</w:t>
      </w:r>
      <w:r>
        <w:rPr>
          <w:rFonts w:ascii="Times New Roman" w:hAnsi="Times New Roman" w:cs="Times New Roman" w:eastAsia="Times New Roman" w:hint="default"/>
        </w:rPr>
        <w:t>3</w:t>
      </w:r>
      <w:r>
        <w:rPr/>
        <w:t>）军民融合包装产业有望实现快速发展 党的十八大以来，党中央把军民融合发展上升为国家战略，军民融合发展呈现整体推进、加速发展的良好势头。党的</w:t>
      </w:r>
    </w:p>
    <w:p>
      <w:pPr>
        <w:pStyle w:val="BodyText"/>
        <w:spacing w:line="316" w:lineRule="auto" w:before="31"/>
        <w:ind w:left="572" w:right="3314" w:hanging="420"/>
        <w:jc w:val="left"/>
      </w:pPr>
      <w:r>
        <w:rPr/>
        <w:t>十九大强调要坚定实施军民融合发展战略，形成军民融合深度发展格局。 军用品的储存、运输等，对配套包装技术、质量要求十分之高，军品包装需求十分旺盛。</w:t>
      </w:r>
    </w:p>
    <w:p>
      <w:pPr>
        <w:pStyle w:val="BodyText"/>
        <w:spacing w:line="309" w:lineRule="auto" w:before="19"/>
        <w:ind w:right="1132" w:firstLine="420"/>
        <w:jc w:val="both"/>
      </w:pPr>
      <w:r>
        <w:rPr/>
        <w:t>《工业和信息化部</w:t>
      </w:r>
      <w:r>
        <w:rPr>
          <w:spacing w:val="-51"/>
        </w:rPr>
        <w:t> </w:t>
      </w:r>
      <w:r>
        <w:rPr/>
        <w:t>商务部关于加快我国包装产业转型发展的指导意见》指出，到</w:t>
      </w:r>
      <w:r>
        <w:rPr>
          <w:rFonts w:ascii="Times New Roman" w:hAnsi="Times New Roman" w:cs="Times New Roman" w:eastAsia="Times New Roman" w:hint="default"/>
        </w:rPr>
        <w:t>2020</w:t>
      </w:r>
      <w:r>
        <w:rPr/>
        <w:t>年，实现军民通用包装数量和质 </w:t>
      </w:r>
      <w:r>
        <w:rPr>
          <w:spacing w:val="-2"/>
        </w:rPr>
        <w:t>量显著提升，标准达到国际先进水平，逐步形成体系完善、创新引领、高端聚集、高效增长的发展态势。建成一批军民融合</w:t>
      </w:r>
      <w:r>
        <w:rPr>
          <w:spacing w:val="-67"/>
        </w:rPr>
        <w:t> </w:t>
      </w:r>
      <w:r>
        <w:rPr>
          <w:spacing w:val="-67"/>
        </w:rPr>
      </w:r>
      <w:r>
        <w:rPr/>
        <w:t>包装基地，包装技术军民通用水平显著提升。</w:t>
      </w:r>
    </w:p>
    <w:p>
      <w:pPr>
        <w:spacing w:after="0" w:line="309" w:lineRule="auto"/>
        <w:jc w:val="both"/>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left="572" w:right="984"/>
        <w:jc w:val="left"/>
      </w:pPr>
      <w:r>
        <w:rPr/>
        <w:t>党中央的高度重视，系列政策的指引，军民融合包装产业有望实现快速发展。</w:t>
      </w:r>
    </w:p>
    <w:p>
      <w:pPr>
        <w:pStyle w:val="BodyText"/>
        <w:spacing w:line="300" w:lineRule="auto" w:before="76"/>
        <w:ind w:left="572" w:right="1026"/>
        <w:jc w:val="left"/>
      </w:pPr>
      <w:r>
        <w:rPr/>
        <w:t>（</w:t>
      </w:r>
      <w:r>
        <w:rPr>
          <w:rFonts w:ascii="Times New Roman" w:hAnsi="Times New Roman" w:cs="Times New Roman" w:eastAsia="Times New Roman" w:hint="default"/>
        </w:rPr>
        <w:t>4</w:t>
      </w:r>
      <w:r>
        <w:rPr/>
        <w:t>）智能包装将成为市场发展的蓝海 </w:t>
      </w:r>
      <w:r>
        <w:rPr>
          <w:spacing w:val="-1"/>
        </w:rPr>
        <w:t>目前市场许多产品，特别是食品类产品的内在差异较大，而外在差异不明显，消费者对所购买产品溯源需求不断提升，</w:t>
      </w:r>
    </w:p>
    <w:p>
      <w:pPr>
        <w:pStyle w:val="BodyText"/>
        <w:spacing w:line="300" w:lineRule="auto" w:before="31"/>
        <w:ind w:right="1164"/>
        <w:jc w:val="left"/>
      </w:pPr>
      <w:r>
        <w:rPr/>
        <w:t>正在倒逼产品生产企业搭建全流程可追溯系统。搭载</w:t>
      </w:r>
      <w:r>
        <w:rPr>
          <w:rFonts w:ascii="Times New Roman" w:hAnsi="Times New Roman" w:cs="Times New Roman" w:eastAsia="Times New Roman" w:hint="default"/>
        </w:rPr>
        <w:t>RFID</w:t>
      </w:r>
      <w:r>
        <w:rPr/>
        <w:t>等物联网技术的智能包装将成为直接面向终端消费者的产品源信 息交互媒介。</w:t>
      </w:r>
    </w:p>
    <w:p>
      <w:pPr>
        <w:pStyle w:val="BodyText"/>
        <w:spacing w:line="316" w:lineRule="auto" w:before="31"/>
        <w:ind w:right="1132" w:firstLine="420"/>
        <w:jc w:val="both"/>
      </w:pPr>
      <w:r>
        <w:rPr/>
        <w:t>随着物联网技术、电子信息技术的成熟以及互联网的快速发展，智能包装使得产品防伪、追溯以及实现制造商、销售 </w:t>
      </w:r>
      <w:r>
        <w:rPr>
          <w:spacing w:val="-2"/>
        </w:rPr>
        <w:t>商与终端消费者进行交互等功能都变得非常便捷。技术的成熟、市场需求的增加，智能包装必然成为未来包装行业发展的新</w:t>
      </w:r>
      <w:r>
        <w:rPr>
          <w:spacing w:val="-64"/>
        </w:rPr>
        <w:t> </w:t>
      </w:r>
      <w:r>
        <w:rPr>
          <w:spacing w:val="-64"/>
        </w:rPr>
      </w:r>
      <w:r>
        <w:rPr/>
        <w:t>蓝海。</w:t>
      </w:r>
    </w:p>
    <w:p>
      <w:pPr>
        <w:spacing w:line="240" w:lineRule="auto" w:before="4"/>
        <w:rPr>
          <w:rFonts w:ascii="宋体" w:hAnsi="宋体" w:cs="宋体" w:eastAsia="宋体" w:hint="default"/>
          <w:sz w:val="25"/>
          <w:szCs w:val="25"/>
        </w:rPr>
      </w:pPr>
    </w:p>
    <w:p>
      <w:pPr>
        <w:pStyle w:val="BodyText"/>
        <w:spacing w:line="240" w:lineRule="auto"/>
        <w:ind w:left="572" w:right="984"/>
        <w:jc w:val="left"/>
      </w:pPr>
      <w:r>
        <w:rPr/>
        <w:t>（二）公司发展战略</w:t>
      </w:r>
    </w:p>
    <w:p>
      <w:pPr>
        <w:pStyle w:val="BodyText"/>
        <w:spacing w:line="300" w:lineRule="auto" w:before="76"/>
        <w:ind w:left="572" w:right="984"/>
        <w:jc w:val="left"/>
      </w:pPr>
      <w:r>
        <w:rPr>
          <w:rFonts w:ascii="Times New Roman" w:hAnsi="Times New Roman" w:cs="Times New Roman" w:eastAsia="Times New Roman" w:hint="default"/>
        </w:rPr>
        <w:t>1</w:t>
      </w:r>
      <w:r>
        <w:rPr/>
        <w:t>、愿景 公司愿景是坚持绿色包装、智能制造、环保节能、可持续发展理念，致力于绿色环保包装产品、军民融合包装产品、</w:t>
      </w:r>
    </w:p>
    <w:p>
      <w:pPr>
        <w:pStyle w:val="BodyText"/>
        <w:spacing w:line="316" w:lineRule="auto" w:before="31"/>
        <w:ind w:right="984"/>
        <w:jc w:val="left"/>
      </w:pPr>
      <w:r>
        <w:rPr>
          <w:spacing w:val="-2"/>
        </w:rPr>
        <w:t>智能包装产品、创意健康纸家具等的研发、生产和销售，帮助客户促进产品销售，提升客户产品品牌美誉度，降低客户综合</w:t>
      </w:r>
      <w:r>
        <w:rPr>
          <w:spacing w:val="-69"/>
        </w:rPr>
        <w:t> </w:t>
      </w:r>
      <w:r>
        <w:rPr>
          <w:spacing w:val="-69"/>
        </w:rPr>
      </w:r>
      <w:r>
        <w:rPr>
          <w:spacing w:val="-4"/>
        </w:rPr>
        <w:t>包装成本，通过包装实现产品溯源和防伪，引领国内包装产业整体水平的持续提升，为中国经济高质量增长做出应有的贡献，</w:t>
      </w:r>
      <w:r>
        <w:rPr>
          <w:spacing w:val="-44"/>
        </w:rPr>
        <w:t> </w:t>
      </w:r>
      <w:r>
        <w:rPr>
          <w:spacing w:val="-44"/>
        </w:rPr>
      </w:r>
      <w:r>
        <w:rPr/>
        <w:t>并把握经济发展质量提升、消费升级等为行业领先企业带来的发展机遇。</w:t>
      </w:r>
    </w:p>
    <w:p>
      <w:pPr>
        <w:pStyle w:val="BodyText"/>
        <w:spacing w:line="300" w:lineRule="auto" w:before="19"/>
        <w:ind w:left="572" w:right="984"/>
        <w:jc w:val="left"/>
      </w:pPr>
      <w:r>
        <w:rPr>
          <w:rFonts w:ascii="Times New Roman" w:hAnsi="Times New Roman" w:cs="Times New Roman" w:eastAsia="Times New Roman" w:hint="default"/>
        </w:rPr>
        <w:t>2</w:t>
      </w:r>
      <w:r>
        <w:rPr/>
        <w:t>、发展战略 凭借公司在研发、制造、品质、服务、管理等全方位的竞争优势，近年来，公司开发了一批战略性或重点新客户，并</w:t>
      </w:r>
    </w:p>
    <w:p>
      <w:pPr>
        <w:pStyle w:val="BodyText"/>
        <w:spacing w:line="316" w:lineRule="auto" w:before="31"/>
        <w:ind w:right="1034"/>
        <w:jc w:val="left"/>
      </w:pPr>
      <w:r>
        <w:rPr/>
        <w:t>在创新环保材料的研发方面取得了一定的成绩，为公司持续快速发展奠定了坚实的基础。随着新客户订单进入加速释放期， </w:t>
      </w:r>
      <w:r>
        <w:rPr>
          <w:spacing w:val="-2"/>
        </w:rPr>
        <w:t>以及公司综合竞争力与品牌客户资源对于公司持续开发新客户产生的叠加促进效应，新建产能的规模将成为决定公司发展高</w:t>
      </w:r>
      <w:r>
        <w:rPr>
          <w:spacing w:val="-63"/>
        </w:rPr>
        <w:t> </w:t>
      </w:r>
      <w:r>
        <w:rPr>
          <w:spacing w:val="-63"/>
        </w:rPr>
      </w:r>
      <w:r>
        <w:rPr/>
        <w:t>度的最关键因素。</w:t>
      </w:r>
    </w:p>
    <w:p>
      <w:pPr>
        <w:pStyle w:val="BodyText"/>
        <w:spacing w:line="316" w:lineRule="auto" w:before="19"/>
        <w:ind w:right="1135" w:firstLine="420"/>
        <w:jc w:val="both"/>
      </w:pPr>
      <w:r>
        <w:rPr/>
        <w:t>综上，未来三年，公司将不断加强公司创新研发，着力挖掘战略性或重点新客户包装需求，并不断开发更多知名品牌 客户，有序实施公司智慧工厂制造平台的建设，推动公司主业实现快速发展，并力争实现纸制品创新业务的发展。</w:t>
      </w:r>
    </w:p>
    <w:p>
      <w:pPr>
        <w:pStyle w:val="BodyText"/>
        <w:spacing w:line="300" w:lineRule="auto" w:before="19"/>
        <w:ind w:left="572" w:right="984"/>
        <w:jc w:val="left"/>
      </w:pPr>
      <w:r>
        <w:rPr>
          <w:rFonts w:ascii="Times New Roman" w:hAnsi="Times New Roman" w:cs="Times New Roman" w:eastAsia="Times New Roman" w:hint="default"/>
        </w:rPr>
        <w:t>1</w:t>
      </w:r>
      <w:r>
        <w:rPr/>
        <w:t>）创新研发方面 一方面，公司继续加强在包装专利、标准、实验、测试等方面工作，助力公司主业发展；另一方面，公司加强创意健</w:t>
      </w:r>
    </w:p>
    <w:p>
      <w:pPr>
        <w:pStyle w:val="BodyText"/>
        <w:spacing w:line="240" w:lineRule="auto" w:before="31"/>
        <w:ind w:right="984"/>
        <w:jc w:val="left"/>
      </w:pPr>
      <w:r>
        <w:rPr/>
        <w:t>康纸家具等纸制品材料创新使用的业务进展，积极打造公司业务新的增长点。</w:t>
      </w:r>
    </w:p>
    <w:p>
      <w:pPr>
        <w:pStyle w:val="BodyText"/>
        <w:spacing w:line="300" w:lineRule="auto" w:before="76"/>
        <w:ind w:left="572" w:right="984"/>
        <w:jc w:val="left"/>
      </w:pPr>
      <w:r>
        <w:rPr>
          <w:rFonts w:ascii="Times New Roman" w:hAnsi="Times New Roman" w:cs="Times New Roman" w:eastAsia="Times New Roman" w:hint="default"/>
        </w:rPr>
        <w:t>2</w:t>
      </w:r>
      <w:r>
        <w:rPr/>
        <w:t>）市场开发方面 公司近年所开发的多个战略性及重点客户订单进入加速释放期，同时公司计划继续实施</w:t>
      </w:r>
      <w:r>
        <w:rPr>
          <w:rFonts w:ascii="Times New Roman" w:hAnsi="Times New Roman" w:cs="Times New Roman" w:eastAsia="Times New Roman" w:hint="default"/>
        </w:rPr>
        <w:t>“</w:t>
      </w:r>
      <w:r>
        <w:rPr/>
        <w:t>高端客户、高端产品</w:t>
      </w:r>
      <w:r>
        <w:rPr>
          <w:rFonts w:ascii="Times New Roman" w:hAnsi="Times New Roman" w:cs="Times New Roman" w:eastAsia="Times New Roman" w:hint="default"/>
        </w:rPr>
        <w:t>”</w:t>
      </w:r>
      <w:r>
        <w:rPr/>
        <w:t>的市场</w:t>
      </w:r>
    </w:p>
    <w:p>
      <w:pPr>
        <w:pStyle w:val="BodyText"/>
        <w:spacing w:line="312" w:lineRule="auto" w:before="13"/>
        <w:ind w:right="1130"/>
        <w:jc w:val="both"/>
      </w:pPr>
      <w:r>
        <w:rPr>
          <w:spacing w:val="-2"/>
        </w:rPr>
        <w:t>开发策略，持续丰富高端客户类型，致力于开发全球知名企业、国内外细分领域领先企业以及拥有高附加值产品的企业等类</w:t>
      </w:r>
      <w:r>
        <w:rPr>
          <w:spacing w:val="-62"/>
        </w:rPr>
        <w:t> </w:t>
      </w:r>
      <w:r>
        <w:rPr>
          <w:spacing w:val="-62"/>
        </w:rPr>
      </w:r>
      <w:r>
        <w:rPr/>
        <w:t>型的新客户，积极开发多领域高端客户，包括</w:t>
      </w:r>
      <w:r>
        <w:rPr>
          <w:rFonts w:ascii="Times New Roman" w:hAnsi="Times New Roman" w:cs="Times New Roman" w:eastAsia="Times New Roman" w:hint="default"/>
        </w:rPr>
        <w:t>5G</w:t>
      </w:r>
      <w:r>
        <w:rPr/>
        <w:t>通讯设备、智能终端、食品饮料保健品、品牌研发型制造企业、品牌消费</w:t>
      </w:r>
      <w:r>
        <w:rPr>
          <w:spacing w:val="-51"/>
        </w:rPr>
        <w:t> </w:t>
      </w:r>
      <w:r>
        <w:rPr>
          <w:spacing w:val="-51"/>
        </w:rPr>
      </w:r>
      <w:r>
        <w:rPr>
          <w:spacing w:val="-2"/>
        </w:rPr>
        <w:t>品、电商物流、快递速运、汽车及新能源汽车产业链以及其他类高端客户。借助行业集中度加速提升发展之势，实现业务市</w:t>
      </w:r>
      <w:r>
        <w:rPr>
          <w:spacing w:val="-67"/>
        </w:rPr>
        <w:t> </w:t>
      </w:r>
      <w:r>
        <w:rPr>
          <w:spacing w:val="-67"/>
        </w:rPr>
      </w:r>
      <w:r>
        <w:rPr/>
        <w:t>场的有效卡位。</w:t>
      </w:r>
    </w:p>
    <w:p>
      <w:pPr>
        <w:pStyle w:val="BodyText"/>
        <w:spacing w:line="300" w:lineRule="auto" w:before="22"/>
        <w:ind w:left="572" w:right="984"/>
        <w:jc w:val="left"/>
      </w:pPr>
      <w:r>
        <w:rPr>
          <w:rFonts w:ascii="Times New Roman" w:hAnsi="Times New Roman" w:cs="Times New Roman" w:eastAsia="Times New Roman" w:hint="default"/>
        </w:rPr>
        <w:t>3</w:t>
      </w:r>
      <w:r>
        <w:rPr/>
        <w:t>）智慧产能构建方面 面对行业加速集中、包装需求升级的背景，人工成本高、生产效率低的落后产能在竞争中必然处于弱势。公司目前在</w:t>
      </w:r>
    </w:p>
    <w:p>
      <w:pPr>
        <w:pStyle w:val="BodyText"/>
        <w:spacing w:line="300" w:lineRule="auto" w:before="31"/>
        <w:ind w:right="984"/>
        <w:jc w:val="left"/>
      </w:pPr>
      <w:r>
        <w:rPr>
          <w:spacing w:val="-2"/>
        </w:rPr>
        <w:t>深圳、东莞、苏州及重庆拥有高端制造基地，同时东莞智慧工厂已投入使用，成都、长沙及六安智慧工厂将在</w:t>
      </w:r>
      <w:r>
        <w:rPr>
          <w:rFonts w:ascii="Times New Roman" w:hAnsi="Times New Roman" w:cs="Times New Roman" w:eastAsia="Times New Roman" w:hint="default"/>
          <w:spacing w:val="-2"/>
        </w:rPr>
        <w:t>2019</w:t>
      </w:r>
      <w:r>
        <w:rPr>
          <w:spacing w:val="-2"/>
        </w:rPr>
        <w:t>年上半年</w:t>
      </w:r>
      <w:r>
        <w:rPr>
          <w:spacing w:val="-66"/>
        </w:rPr>
        <w:t> </w:t>
      </w:r>
      <w:r>
        <w:rPr>
          <w:spacing w:val="-66"/>
        </w:rPr>
      </w:r>
      <w:r>
        <w:rPr/>
        <w:t>逐步投入使用。未来公司将有序推动佛山、郑州、西安、印度等国内、国外重点区域的智能制造包装产能布局。</w:t>
      </w:r>
    </w:p>
    <w:p>
      <w:pPr>
        <w:pStyle w:val="BodyText"/>
        <w:spacing w:line="316" w:lineRule="auto" w:before="31"/>
        <w:ind w:right="1132" w:firstLine="420"/>
        <w:jc w:val="both"/>
      </w:pPr>
      <w:r>
        <w:rPr/>
        <w:t>公司在研发设计、工艺技术、客户资源、高端制造平台、服务模式、精细管理等方面具有突出优势，保障了公司新客 </w:t>
      </w:r>
      <w:r>
        <w:rPr>
          <w:spacing w:val="-2"/>
        </w:rPr>
        <w:t>户开发及获取订单的能力，从而为公司实现持续快速发展奠定坚实的基础。未来随着公司战略客户合作深度与广度的不断突</w:t>
      </w:r>
      <w:r>
        <w:rPr>
          <w:spacing w:val="-64"/>
        </w:rPr>
        <w:t> </w:t>
      </w:r>
      <w:r>
        <w:rPr>
          <w:spacing w:val="-64"/>
        </w:rPr>
      </w:r>
      <w:r>
        <w:rPr/>
        <w:t>破，新品牌客户的持续开拓，各大智慧工厂的陆续投产，新产能的逐步释放，公司有信心快速跨入百亿收入企业行列。</w:t>
      </w:r>
    </w:p>
    <w:p>
      <w:pPr>
        <w:pStyle w:val="BodyText"/>
        <w:spacing w:line="240" w:lineRule="auto" w:before="19"/>
        <w:ind w:left="572" w:right="984"/>
        <w:jc w:val="left"/>
      </w:pPr>
      <w:r>
        <w:rPr>
          <w:rFonts w:ascii="Times New Roman" w:hAnsi="Times New Roman" w:cs="Times New Roman" w:eastAsia="Times New Roman" w:hint="default"/>
        </w:rPr>
        <w:t>3</w:t>
      </w:r>
      <w:r>
        <w:rPr/>
        <w:t>、发展面临的机遇</w:t>
      </w:r>
    </w:p>
    <w:p>
      <w:pPr>
        <w:pStyle w:val="BodyText"/>
        <w:spacing w:line="240" w:lineRule="auto" w:before="63"/>
        <w:ind w:left="572" w:right="984"/>
        <w:jc w:val="left"/>
      </w:pPr>
      <w:r>
        <w:rPr/>
        <w:t>（</w:t>
      </w:r>
      <w:r>
        <w:rPr>
          <w:rFonts w:ascii="Times New Roman" w:hAnsi="Times New Roman" w:cs="Times New Roman" w:eastAsia="Times New Roman" w:hint="default"/>
        </w:rPr>
        <w:t>1</w:t>
      </w:r>
      <w:r>
        <w:rPr/>
        <w:t>）分享</w:t>
      </w:r>
      <w:r>
        <w:rPr>
          <w:rFonts w:ascii="Times New Roman" w:hAnsi="Times New Roman" w:cs="Times New Roman" w:eastAsia="Times New Roman" w:hint="default"/>
        </w:rPr>
        <w:t>5G</w:t>
      </w:r>
      <w:r>
        <w:rPr/>
        <w:t>通讯设备包装巨大市场</w:t>
      </w:r>
    </w:p>
    <w:p>
      <w:pPr>
        <w:pStyle w:val="BodyText"/>
        <w:spacing w:line="300" w:lineRule="auto" w:before="63"/>
        <w:ind w:right="1130" w:firstLine="42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28</w:t>
      </w:r>
      <w:r>
        <w:rPr>
          <w:spacing w:val="-2"/>
        </w:rPr>
        <w:t>日，国家发展改革委、工业和信息化部等</w:t>
      </w:r>
      <w:r>
        <w:rPr>
          <w:rFonts w:ascii="Times New Roman" w:hAnsi="Times New Roman" w:cs="Times New Roman" w:eastAsia="Times New Roman" w:hint="default"/>
          <w:spacing w:val="-2"/>
        </w:rPr>
        <w:t>10</w:t>
      </w:r>
      <w:r>
        <w:rPr>
          <w:spacing w:val="-2"/>
        </w:rPr>
        <w:t>部委联合印发《进一步优化供给推动消费平稳增长促进形成强</w:t>
      </w:r>
      <w:r>
        <w:rPr/>
        <w:t> 大国内市场的实施方案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w:t>
      </w:r>
      <w:r>
        <w:rPr/>
        <w:t>》（以下简称《实施方案》），提出扩大升级信息消费，加快推出</w:t>
      </w:r>
      <w:r>
        <w:rPr>
          <w:rFonts w:ascii="Times New Roman" w:hAnsi="Times New Roman" w:cs="Times New Roman" w:eastAsia="Times New Roman" w:hint="default"/>
        </w:rPr>
        <w:t>5G</w:t>
      </w:r>
      <w:r>
        <w:rPr/>
        <w:t>商用牌照。</w:t>
      </w:r>
      <w:r>
        <w:rPr>
          <w:rFonts w:ascii="Times New Roman" w:hAnsi="Times New Roman" w:cs="Times New Roman" w:eastAsia="Times New Roman" w:hint="default"/>
        </w:rPr>
        <w:t>5G</w:t>
      </w:r>
      <w:r>
        <w:rPr/>
        <w:t>通信设</w:t>
      </w:r>
      <w:r>
        <w:rPr>
          <w:spacing w:val="-36"/>
        </w:rPr>
        <w:t> </w:t>
      </w:r>
      <w:r>
        <w:rPr>
          <w:spacing w:val="-36"/>
        </w:rPr>
      </w:r>
      <w:r>
        <w:rPr/>
        <w:t>备的市场空间将非常广阔。公司作为已为行业领先通信类客户提供包装服务的企业，将有效分享旺盛的配套包装需求。</w:t>
      </w:r>
    </w:p>
    <w:p>
      <w:pPr>
        <w:pStyle w:val="BodyText"/>
        <w:spacing w:line="240" w:lineRule="auto" w:before="31"/>
        <w:ind w:left="572" w:right="984"/>
        <w:jc w:val="left"/>
      </w:pPr>
      <w:r>
        <w:rPr/>
        <w:t>（</w:t>
      </w:r>
      <w:r>
        <w:rPr>
          <w:rFonts w:ascii="Times New Roman" w:hAnsi="Times New Roman" w:cs="Times New Roman" w:eastAsia="Times New Roman" w:hint="default"/>
        </w:rPr>
        <w:t>2</w:t>
      </w:r>
      <w:r>
        <w:rPr/>
        <w:t>）分享智能音响、智能电视、可穿戴设备、机器人等智能家居产品及高清视频终端带来的旺盛包装需求</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14" w:lineRule="auto" w:before="37"/>
        <w:ind w:right="1039" w:firstLine="420"/>
        <w:jc w:val="left"/>
      </w:pPr>
      <w:r>
        <w:rPr>
          <w:spacing w:val="-2"/>
        </w:rPr>
        <w:t>近年来，全球范围内的智能音响、智能电视、可穿戴设备、机器人等智能家居产品需求非常旺盛。《实施方案》提出，</w:t>
      </w:r>
      <w:r>
        <w:rPr/>
        <w:t> </w:t>
      </w:r>
      <w:r>
        <w:rPr>
          <w:spacing w:val="-2"/>
        </w:rPr>
        <w:t>支持绿色、智能家电销售。有条件的地方可对产业链条长、带动系数大、节能减排协同效应明显的新型绿色、智能化家电产</w:t>
      </w:r>
      <w:r>
        <w:rPr>
          <w:spacing w:val="-69"/>
        </w:rPr>
        <w:t> </w:t>
      </w:r>
      <w:r>
        <w:rPr>
          <w:spacing w:val="-69"/>
        </w:rPr>
      </w:r>
      <w:r>
        <w:rPr>
          <w:spacing w:val="-1"/>
        </w:rPr>
        <w:t>品销售，给予消费者适当补贴。有条件的地方可对超高清电视、机顶盒、虚拟现实</w:t>
      </w:r>
      <w:r>
        <w:rPr>
          <w:rFonts w:ascii="Times New Roman" w:hAnsi="Times New Roman" w:cs="Times New Roman" w:eastAsia="Times New Roman" w:hint="default"/>
          <w:spacing w:val="-1"/>
        </w:rPr>
        <w:t>/</w:t>
      </w:r>
      <w:r>
        <w:rPr>
          <w:spacing w:val="-1"/>
        </w:rPr>
        <w:t>增强现实设备等产品推广应用予以补贴，</w:t>
      </w:r>
      <w:r>
        <w:rPr>
          <w:spacing w:val="-77"/>
        </w:rPr>
        <w:t> </w:t>
      </w:r>
      <w:r>
        <w:rPr>
          <w:spacing w:val="-77"/>
        </w:rPr>
      </w:r>
      <w:r>
        <w:rPr>
          <w:spacing w:val="-2"/>
        </w:rPr>
        <w:t>扩大超高清视频终端消费。预计将进一步扩大智能家居产品及高清视频终端产品的市场需求，带来更加旺盛的包装需求。公</w:t>
      </w:r>
      <w:r>
        <w:rPr>
          <w:spacing w:val="-62"/>
        </w:rPr>
        <w:t> </w:t>
      </w:r>
      <w:r>
        <w:rPr>
          <w:spacing w:val="-62"/>
        </w:rPr>
      </w:r>
      <w:r>
        <w:rPr/>
        <w:t>司作为已为多家领先的智能家居企业及超高清视频终端企业服务的企业，将有效分享旺盛的配套包装需求。</w:t>
      </w:r>
    </w:p>
    <w:p>
      <w:pPr>
        <w:pStyle w:val="BodyText"/>
        <w:spacing w:line="300" w:lineRule="auto" w:before="20"/>
        <w:ind w:right="1130" w:firstLine="420"/>
        <w:jc w:val="both"/>
      </w:pPr>
      <w:r>
        <w:rPr>
          <w:spacing w:val="-1"/>
        </w:rPr>
        <w:t>（</w:t>
      </w:r>
      <w:r>
        <w:rPr>
          <w:rFonts w:ascii="Times New Roman" w:hAnsi="Times New Roman" w:cs="Times New Roman" w:eastAsia="Times New Roman" w:hint="default"/>
          <w:spacing w:val="-1"/>
        </w:rPr>
        <w:t>3</w:t>
      </w:r>
      <w:r>
        <w:rPr>
          <w:spacing w:val="-1"/>
        </w:rPr>
        <w:t>）增加包装产品品种、提升包装产品品质、培育包装产品品牌是推动行业发展的关键要素，公司作为行业内领先企</w:t>
      </w:r>
      <w:r>
        <w:rPr/>
        <w:t> 业，将显著受益。</w:t>
      </w:r>
    </w:p>
    <w:p>
      <w:pPr>
        <w:pStyle w:val="BodyText"/>
        <w:spacing w:line="300" w:lineRule="auto" w:before="31"/>
        <w:ind w:right="1135" w:firstLine="420"/>
        <w:jc w:val="both"/>
      </w:pPr>
      <w:r>
        <w:rPr>
          <w:rFonts w:ascii="Times New Roman" w:hAnsi="Times New Roman" w:cs="Times New Roman" w:eastAsia="Times New Roman" w:hint="default"/>
          <w:spacing w:val="-1"/>
        </w:rPr>
        <w:t>“</w:t>
      </w:r>
      <w:r>
        <w:rPr>
          <w:spacing w:val="-1"/>
        </w:rPr>
        <w:t>围绕包装产业供给侧结构性改革，在优化传统产品结构、扩大主导产品优势的基础上，主动适应智能制造模式和消费</w:t>
      </w:r>
      <w:r>
        <w:rPr/>
        <w:t> 多样化需求，增强为消费升级配套服务的能力。</w:t>
      </w:r>
    </w:p>
    <w:p>
      <w:pPr>
        <w:pStyle w:val="BodyText"/>
        <w:spacing w:line="316" w:lineRule="auto" w:before="31"/>
        <w:ind w:left="572" w:right="984"/>
        <w:jc w:val="left"/>
      </w:pPr>
      <w:r>
        <w:rPr/>
        <w:t>引导企业从设计、选材、生产、检测、管理等各环节全面提升包装产品品质。 </w:t>
      </w:r>
      <w:r>
        <w:rPr>
          <w:spacing w:val="-2"/>
        </w:rPr>
        <w:t>以绿色包装材料、智能包装装备、高端包装制品的研发为重点，加强品牌培育、评价、服务与引导，构建定位、设计、</w:t>
      </w:r>
    </w:p>
    <w:p>
      <w:pPr>
        <w:pStyle w:val="BodyText"/>
        <w:spacing w:line="316" w:lineRule="auto" w:before="19"/>
        <w:ind w:right="984"/>
        <w:jc w:val="left"/>
      </w:pPr>
      <w:r>
        <w:rPr>
          <w:spacing w:val="-2"/>
        </w:rPr>
        <w:t>生产、营销、传播、保护一体化的品牌发展格局，打造一批具有较高国内市场占有率和较强国际市场竞争力的包装材料、包</w:t>
      </w:r>
      <w:r>
        <w:rPr>
          <w:spacing w:val="-67"/>
        </w:rPr>
        <w:t> </w:t>
      </w:r>
      <w:r>
        <w:rPr>
          <w:spacing w:val="-67"/>
        </w:rPr>
      </w:r>
      <w:r>
        <w:rPr/>
        <w:t>装装备和包装制品品牌。</w:t>
      </w:r>
      <w:r>
        <w:rPr>
          <w:rFonts w:ascii="Times New Roman" w:hAnsi="Times New Roman" w:cs="Times New Roman" w:eastAsia="Times New Roman" w:hint="default"/>
        </w:rPr>
        <w:t>”</w:t>
      </w:r>
      <w:r>
        <w:rPr/>
        <w:t>等将是未来推动行业发展工作中的重要方式方法。</w:t>
      </w:r>
    </w:p>
    <w:p>
      <w:pPr>
        <w:pStyle w:val="BodyText"/>
        <w:spacing w:line="316" w:lineRule="auto"/>
        <w:ind w:right="1135" w:firstLine="420"/>
        <w:jc w:val="both"/>
      </w:pPr>
      <w:r>
        <w:rPr/>
        <w:t>公司在产品、品质及品牌方面已经形成了一定的竞争优势，因此在包装产品品种增加、品质提升及品牌增强的行业发 展进程中，公司将显著受益。</w:t>
      </w:r>
    </w:p>
    <w:p>
      <w:pPr>
        <w:pStyle w:val="BodyText"/>
        <w:spacing w:line="300" w:lineRule="auto" w:before="19"/>
        <w:ind w:right="1132" w:firstLine="420"/>
        <w:jc w:val="both"/>
      </w:pPr>
      <w:r>
        <w:rPr>
          <w:spacing w:val="-1"/>
        </w:rPr>
        <w:t>（</w:t>
      </w:r>
      <w:r>
        <w:rPr>
          <w:rFonts w:ascii="Times New Roman" w:hAnsi="Times New Roman" w:cs="Times New Roman" w:eastAsia="Times New Roman" w:hint="default"/>
          <w:spacing w:val="-1"/>
        </w:rPr>
        <w:t>4</w:t>
      </w:r>
      <w:r>
        <w:rPr>
          <w:spacing w:val="-1"/>
        </w:rPr>
        <w:t>）经营环境变化、包装需求不断升级、人工成本不断提升，智能制造企业优势明显，将进一步加快纸包装行业集中</w:t>
      </w:r>
      <w:r>
        <w:rPr/>
        <w:t> 度的提升</w:t>
      </w:r>
    </w:p>
    <w:p>
      <w:pPr>
        <w:pStyle w:val="BodyText"/>
        <w:spacing w:line="316" w:lineRule="auto" w:before="31"/>
        <w:ind w:right="1130" w:firstLine="420"/>
        <w:jc w:val="both"/>
      </w:pPr>
      <w:r>
        <w:rPr/>
        <w:t>目前，随着上游造纸行业集中度不断提高，下游产业品牌化、集中化的加速，包装印刷企业之间的行业整合、集中度 </w:t>
      </w:r>
      <w:r>
        <w:rPr>
          <w:spacing w:val="-2"/>
        </w:rPr>
        <w:t>提升亦显著加速。优势企业资产质地优良，在资金和技术等方面具有突出优势，在经济形势变化、包装需求升级及人工成本</w:t>
      </w:r>
      <w:r>
        <w:rPr>
          <w:spacing w:val="-66"/>
        </w:rPr>
        <w:t> </w:t>
      </w:r>
      <w:r>
        <w:rPr>
          <w:spacing w:val="-66"/>
        </w:rPr>
      </w:r>
      <w:r>
        <w:rPr/>
        <w:t>不断提升的过程中，获取优势资源和优势订单的能力更强，在纸包装行业集中度加速提升过程中将显著受益。</w:t>
      </w:r>
    </w:p>
    <w:p>
      <w:pPr>
        <w:pStyle w:val="BodyText"/>
        <w:spacing w:line="240" w:lineRule="auto" w:before="19"/>
        <w:ind w:left="572" w:right="984"/>
        <w:jc w:val="left"/>
      </w:pPr>
      <w:r>
        <w:rPr>
          <w:rFonts w:ascii="Times New Roman" w:hAnsi="Times New Roman" w:cs="Times New Roman" w:eastAsia="Times New Roman" w:hint="default"/>
        </w:rPr>
        <w:t>4</w:t>
      </w:r>
      <w:r>
        <w:rPr/>
        <w:t>、发展面临的挑战</w:t>
      </w:r>
    </w:p>
    <w:p>
      <w:pPr>
        <w:pStyle w:val="BodyText"/>
        <w:spacing w:line="300" w:lineRule="auto" w:before="63"/>
        <w:ind w:left="572" w:right="984"/>
        <w:jc w:val="left"/>
      </w:pPr>
      <w:r>
        <w:rPr/>
        <w:t>（</w:t>
      </w:r>
      <w:r>
        <w:rPr>
          <w:rFonts w:ascii="Times New Roman" w:hAnsi="Times New Roman" w:cs="Times New Roman" w:eastAsia="Times New Roman" w:hint="default"/>
        </w:rPr>
        <w:t>1</w:t>
      </w:r>
      <w:r>
        <w:rPr/>
        <w:t>）行业竞争日趋激烈带来的挑战。 总体而言，包装印刷行业市场空间巨大，行业集中度不断提升。但随着行业内众多具有一定竞争优势的企业的发展壮</w:t>
      </w:r>
    </w:p>
    <w:p>
      <w:pPr>
        <w:pStyle w:val="BodyText"/>
        <w:spacing w:line="240" w:lineRule="auto" w:before="31"/>
        <w:ind w:right="984"/>
        <w:jc w:val="left"/>
      </w:pPr>
      <w:r>
        <w:rPr/>
        <w:t>大，行业竞争日趋激烈，部分业内企业甚至采取打</w:t>
      </w:r>
      <w:r>
        <w:rPr>
          <w:rFonts w:ascii="Times New Roman" w:hAnsi="Times New Roman" w:cs="Times New Roman" w:eastAsia="Times New Roman" w:hint="default"/>
        </w:rPr>
        <w:t>“</w:t>
      </w:r>
      <w:r>
        <w:rPr/>
        <w:t>价格战</w:t>
      </w:r>
      <w:r>
        <w:rPr>
          <w:rFonts w:ascii="Times New Roman" w:hAnsi="Times New Roman" w:cs="Times New Roman" w:eastAsia="Times New Roman" w:hint="default"/>
        </w:rPr>
        <w:t>”</w:t>
      </w:r>
      <w:r>
        <w:rPr/>
        <w:t>的低层次的竞争模式，给业内领先企业带来一定的竞争压力。</w:t>
      </w:r>
    </w:p>
    <w:p>
      <w:pPr>
        <w:pStyle w:val="BodyText"/>
        <w:spacing w:line="300" w:lineRule="auto" w:before="63"/>
        <w:ind w:left="572" w:right="984"/>
        <w:jc w:val="left"/>
      </w:pPr>
      <w:r>
        <w:rPr/>
        <w:t>（</w:t>
      </w:r>
      <w:r>
        <w:rPr>
          <w:rFonts w:ascii="Times New Roman" w:hAnsi="Times New Roman" w:cs="Times New Roman" w:eastAsia="Times New Roman" w:hint="default"/>
        </w:rPr>
        <w:t>2</w:t>
      </w:r>
      <w:r>
        <w:rPr/>
        <w:t>）人才引进方面的挑战。 公司正处于快速发展、扩张期，对于较多的中高级管理人员，国际型人才、核心研发人员、工艺工程师等关键岗位人</w:t>
      </w:r>
    </w:p>
    <w:p>
      <w:pPr>
        <w:pStyle w:val="BodyText"/>
        <w:spacing w:line="316" w:lineRule="auto" w:before="31"/>
        <w:ind w:right="984"/>
        <w:jc w:val="left"/>
      </w:pPr>
      <w:r>
        <w:rPr>
          <w:spacing w:val="-2"/>
        </w:rPr>
        <w:t>员的引进、培训管理以及生产供应链的管理提出了更高的要求。能否及时引进适合公司发展、理解并契合公司企业文化、商</w:t>
      </w:r>
      <w:r>
        <w:rPr>
          <w:spacing w:val="-65"/>
        </w:rPr>
        <w:t> </w:t>
      </w:r>
      <w:r>
        <w:rPr>
          <w:spacing w:val="-65"/>
        </w:rPr>
      </w:r>
      <w:r>
        <w:rPr/>
        <w:t>业模式的人才并通过更先进更完善的管理机制、激励机制来满足快速发展的需求存在一定的挑战。</w:t>
      </w:r>
    </w:p>
    <w:p>
      <w:pPr>
        <w:spacing w:line="240" w:lineRule="auto" w:before="4"/>
        <w:rPr>
          <w:rFonts w:ascii="宋体" w:hAnsi="宋体" w:cs="宋体" w:eastAsia="宋体" w:hint="default"/>
          <w:sz w:val="25"/>
          <w:szCs w:val="25"/>
        </w:rPr>
      </w:pPr>
    </w:p>
    <w:p>
      <w:pPr>
        <w:pStyle w:val="BodyText"/>
        <w:spacing w:line="240" w:lineRule="auto"/>
        <w:ind w:left="572" w:right="984"/>
        <w:jc w:val="left"/>
      </w:pPr>
      <w:r>
        <w:rPr/>
        <w:t>（三）公司</w:t>
      </w:r>
      <w:r>
        <w:rPr>
          <w:rFonts w:ascii="Times New Roman" w:hAnsi="Times New Roman" w:cs="Times New Roman" w:eastAsia="Times New Roman" w:hint="default"/>
        </w:rPr>
        <w:t>2019</w:t>
      </w:r>
      <w:r>
        <w:rPr/>
        <w:t>年度经营计划</w:t>
      </w:r>
    </w:p>
    <w:p>
      <w:pPr>
        <w:pStyle w:val="BodyText"/>
        <w:spacing w:line="309" w:lineRule="auto" w:before="63"/>
        <w:ind w:right="1132" w:firstLine="420"/>
        <w:jc w:val="both"/>
      </w:pPr>
      <w:r>
        <w:rPr>
          <w:rFonts w:ascii="Times New Roman" w:hAnsi="Times New Roman" w:cs="Times New Roman" w:eastAsia="Times New Roman" w:hint="default"/>
        </w:rPr>
        <w:t>2019</w:t>
      </w:r>
      <w:r>
        <w:rPr/>
        <w:t>年，公司将在战略规划指引下，积极把握包装印刷产业持续发展、行业集中度加速提升，国家政策积极支持打造 </w:t>
      </w:r>
      <w:r>
        <w:rPr>
          <w:spacing w:val="-2"/>
        </w:rPr>
        <w:t>一批具有较高国内市场占有率和较强国际市场竞争力的包装品牌等为行业领先企业带来的发展机遇，努力奔跑，做新时期的</w:t>
      </w:r>
      <w:r>
        <w:rPr>
          <w:spacing w:val="-64"/>
        </w:rPr>
        <w:t> </w:t>
      </w:r>
      <w:r>
        <w:rPr>
          <w:spacing w:val="-64"/>
        </w:rPr>
      </w:r>
      <w:r>
        <w:rPr/>
        <w:t>追梦人，力争实现销售收入和净利润持续快速增长。为此，公司将着力做好如下工作：</w:t>
      </w:r>
    </w:p>
    <w:p>
      <w:pPr>
        <w:pStyle w:val="BodyText"/>
        <w:spacing w:line="300" w:lineRule="auto" w:before="24"/>
        <w:ind w:left="572" w:right="1028"/>
        <w:jc w:val="left"/>
      </w:pPr>
      <w:r>
        <w:rPr>
          <w:rFonts w:ascii="Times New Roman" w:hAnsi="Times New Roman" w:cs="Times New Roman" w:eastAsia="Times New Roman" w:hint="default"/>
        </w:rPr>
        <w:t>1</w:t>
      </w:r>
      <w:r>
        <w:rPr/>
        <w:t>、深耕战略客户需求，积极把握</w:t>
      </w:r>
      <w:r>
        <w:rPr>
          <w:rFonts w:ascii="Times New Roman" w:hAnsi="Times New Roman" w:cs="Times New Roman" w:eastAsia="Times New Roman" w:hint="default"/>
        </w:rPr>
        <w:t>5G</w:t>
      </w:r>
      <w:r>
        <w:rPr/>
        <w:t>通信设备投资带来的市场机遇，推动战略新客户订单加速放量 </w:t>
      </w:r>
      <w:r>
        <w:rPr>
          <w:spacing w:val="-1"/>
        </w:rPr>
        <w:t>近年来，公司开发了众多优质新客户，这些客户包装需求大、附加值高，部分客户订单在</w:t>
      </w:r>
      <w:r>
        <w:rPr>
          <w:rFonts w:ascii="Times New Roman" w:hAnsi="Times New Roman" w:cs="Times New Roman" w:eastAsia="Times New Roman" w:hint="default"/>
          <w:spacing w:val="-1"/>
        </w:rPr>
        <w:t>2018</w:t>
      </w:r>
      <w:r>
        <w:rPr>
          <w:spacing w:val="-1"/>
        </w:rPr>
        <w:t>年开始加速放量。未来，</w:t>
      </w:r>
    </w:p>
    <w:p>
      <w:pPr>
        <w:pStyle w:val="BodyText"/>
        <w:spacing w:line="300" w:lineRule="auto" w:before="13"/>
        <w:ind w:right="984"/>
        <w:jc w:val="left"/>
      </w:pPr>
      <w:r>
        <w:rPr/>
        <w:t>公司将充分发挥自身在研发设计、产品品质、精益制造方面的优势，深耕客户需求，积极把握</w:t>
      </w:r>
      <w:r>
        <w:rPr>
          <w:rFonts w:ascii="Times New Roman" w:hAnsi="Times New Roman" w:cs="Times New Roman" w:eastAsia="Times New Roman" w:hint="default"/>
        </w:rPr>
        <w:t>5G</w:t>
      </w:r>
      <w:r>
        <w:rPr/>
        <w:t>通信设备投资带来的市场</w:t>
      </w:r>
      <w:r>
        <w:rPr>
          <w:spacing w:val="-51"/>
        </w:rPr>
        <w:t> </w:t>
      </w:r>
      <w:r>
        <w:rPr>
          <w:spacing w:val="-51"/>
        </w:rPr>
      </w:r>
      <w:r>
        <w:rPr/>
        <w:t>机遇，推动战略新客户订单加速持续放量，力争实现销售收入和净利润持续快速增长。</w:t>
      </w:r>
    </w:p>
    <w:p>
      <w:pPr>
        <w:pStyle w:val="BodyText"/>
        <w:spacing w:line="240" w:lineRule="auto" w:before="31"/>
        <w:ind w:left="572" w:right="984"/>
        <w:jc w:val="left"/>
      </w:pPr>
      <w:r>
        <w:rPr>
          <w:rFonts w:ascii="Times New Roman" w:hAnsi="Times New Roman" w:cs="Times New Roman" w:eastAsia="Times New Roman" w:hint="default"/>
        </w:rPr>
        <w:t>2</w:t>
      </w:r>
      <w:r>
        <w:rPr/>
        <w:t>、持续加大客户开发力度，继续加大世界级企业及国内外细分行业龙头企业新客户的开发</w:t>
      </w:r>
    </w:p>
    <w:p>
      <w:pPr>
        <w:pStyle w:val="BodyText"/>
        <w:spacing w:line="309" w:lineRule="auto" w:before="63"/>
        <w:ind w:right="1130" w:firstLine="420"/>
        <w:jc w:val="both"/>
      </w:pPr>
      <w:r>
        <w:rPr>
          <w:rFonts w:ascii="Times New Roman" w:hAnsi="Times New Roman" w:cs="Times New Roman" w:eastAsia="Times New Roman" w:hint="default"/>
        </w:rPr>
        <w:t>2019</w:t>
      </w:r>
      <w:r>
        <w:rPr/>
        <w:t>年，公司将继续实施</w:t>
      </w:r>
      <w:r>
        <w:rPr>
          <w:rFonts w:ascii="Times New Roman" w:hAnsi="Times New Roman" w:cs="Times New Roman" w:eastAsia="Times New Roman" w:hint="default"/>
        </w:rPr>
        <w:t>“</w:t>
      </w:r>
      <w:r>
        <w:rPr/>
        <w:t>高端客户、高端产品</w:t>
      </w:r>
      <w:r>
        <w:rPr>
          <w:rFonts w:ascii="Times New Roman" w:hAnsi="Times New Roman" w:cs="Times New Roman" w:eastAsia="Times New Roman" w:hint="default"/>
        </w:rPr>
        <w:t>”</w:t>
      </w:r>
      <w:r>
        <w:rPr/>
        <w:t>的市场策略，把握客户资源向行业领先企业集中的机遇，在继续开发 </w:t>
      </w:r>
      <w:r>
        <w:rPr>
          <w:spacing w:val="-2"/>
        </w:rPr>
        <w:t>世界级企业客户的同时，着力加大国内外各领域细分行业龙头企业的开发力度，通过中型客户的大量积累，为未来业绩的持</w:t>
      </w:r>
      <w:r>
        <w:rPr>
          <w:spacing w:val="-62"/>
        </w:rPr>
        <w:t> </w:t>
      </w:r>
      <w:r>
        <w:rPr>
          <w:spacing w:val="-62"/>
        </w:rPr>
      </w:r>
      <w:r>
        <w:rPr/>
        <w:t>续增长构建新的业务基础。</w:t>
      </w:r>
    </w:p>
    <w:p>
      <w:pPr>
        <w:pStyle w:val="BodyText"/>
        <w:spacing w:line="300" w:lineRule="auto" w:before="24"/>
        <w:ind w:left="572" w:right="984"/>
        <w:jc w:val="left"/>
      </w:pPr>
      <w:r>
        <w:rPr>
          <w:rFonts w:ascii="Times New Roman" w:hAnsi="Times New Roman" w:cs="Times New Roman" w:eastAsia="Times New Roman" w:hint="default"/>
        </w:rPr>
        <w:t>3</w:t>
      </w:r>
      <w:r>
        <w:rPr/>
        <w:t>、逐步有序安排国内、国外核心经济活跃区域产能布局的建设和投产工作 目前，公司已在深圳、东莞、苏州及重庆四大高端制造平台基地的基础上，于东莞建设了智慧工厂并投入使用。公司</w:t>
      </w:r>
    </w:p>
    <w:p>
      <w:pPr>
        <w:pStyle w:val="BodyText"/>
        <w:spacing w:line="240" w:lineRule="auto" w:before="31"/>
        <w:ind w:right="984"/>
        <w:jc w:val="left"/>
      </w:pPr>
      <w:r>
        <w:rPr/>
        <w:t>成都、长沙及六安智慧工厂将于</w:t>
      </w:r>
      <w:r>
        <w:rPr>
          <w:rFonts w:ascii="Times New Roman" w:hAnsi="Times New Roman" w:cs="Times New Roman" w:eastAsia="Times New Roman" w:hint="default"/>
        </w:rPr>
        <w:t>2019</w:t>
      </w:r>
      <w:r>
        <w:rPr/>
        <w:t>年上半年逐步投入使用。目前正积极安排苏州、佛山、郑州、西安等地的智慧制造平台</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16" w:lineRule="auto" w:before="37"/>
        <w:ind w:right="984"/>
        <w:jc w:val="left"/>
      </w:pPr>
      <w:r>
        <w:rPr>
          <w:spacing w:val="-2"/>
        </w:rPr>
        <w:t>筹建工作。已逐步实现了在粤港澳大湾区、长三角经济圈、成渝经济区、长株潭经济圈、中原经济区、一带一路西安、越南</w:t>
      </w:r>
      <w:r>
        <w:rPr>
          <w:spacing w:val="-69"/>
        </w:rPr>
        <w:t> </w:t>
      </w:r>
      <w:r>
        <w:rPr>
          <w:spacing w:val="-69"/>
        </w:rPr>
      </w:r>
      <w:r>
        <w:rPr/>
        <w:t>等核心经济活跃区域的布局，可贴近服务公司众多集团性大客户在全国各地的基地，增强客户粘性。</w:t>
      </w:r>
    </w:p>
    <w:p>
      <w:pPr>
        <w:pStyle w:val="BodyText"/>
        <w:spacing w:line="300" w:lineRule="auto" w:before="19"/>
        <w:ind w:right="984" w:firstLine="420"/>
        <w:jc w:val="left"/>
      </w:pPr>
      <w:r>
        <w:rPr>
          <w:rFonts w:ascii="Times New Roman" w:hAnsi="Times New Roman" w:cs="Times New Roman" w:eastAsia="Times New Roman" w:hint="default"/>
        </w:rPr>
        <w:t>2019</w:t>
      </w:r>
      <w:r>
        <w:rPr/>
        <w:t>年，公司将按计划逐步有序的安排产能新建项目的筹建工作，同时抓紧落实印度新产能筹建工作，从而为公司快 速发展提供产能保障。</w:t>
      </w:r>
    </w:p>
    <w:p>
      <w:pPr>
        <w:pStyle w:val="BodyText"/>
        <w:spacing w:line="240" w:lineRule="auto" w:before="31"/>
        <w:ind w:left="572" w:right="984"/>
        <w:jc w:val="left"/>
      </w:pPr>
      <w:r>
        <w:rPr>
          <w:rFonts w:ascii="Times New Roman" w:hAnsi="Times New Roman" w:cs="Times New Roman" w:eastAsia="Times New Roman" w:hint="default"/>
        </w:rPr>
        <w:t>4</w:t>
      </w:r>
      <w:r>
        <w:rPr/>
        <w:t>、加强技术创新，持续增强核心竞争力</w:t>
      </w:r>
    </w:p>
    <w:p>
      <w:pPr>
        <w:pStyle w:val="BodyText"/>
        <w:spacing w:line="309" w:lineRule="auto" w:before="63"/>
        <w:ind w:right="1130" w:firstLine="420"/>
        <w:jc w:val="both"/>
      </w:pPr>
      <w:r>
        <w:rPr>
          <w:rFonts w:ascii="Times New Roman" w:hAnsi="Times New Roman" w:cs="Times New Roman" w:eastAsia="Times New Roman" w:hint="default"/>
        </w:rPr>
        <w:t>2019</w:t>
      </w:r>
      <w:r>
        <w:rPr/>
        <w:t>年，公司将继续加强研发设计、制造工艺优化及在智能包装领域的技术创新及应用，特别是在绿色环保包装材料 </w:t>
      </w:r>
      <w:r>
        <w:rPr>
          <w:spacing w:val="-2"/>
        </w:rPr>
        <w:t>的研发方面继续发力，持续增强公司竞争力，为公司下一轮发展奠定良好的基础。同时，公司将积极推动公司创意健康纸家</w:t>
      </w:r>
      <w:r>
        <w:rPr>
          <w:spacing w:val="-64"/>
        </w:rPr>
        <w:t> </w:t>
      </w:r>
      <w:r>
        <w:rPr>
          <w:spacing w:val="-64"/>
        </w:rPr>
      </w:r>
      <w:r>
        <w:rPr/>
        <w:t>具的产品优化和业务进展。</w:t>
      </w:r>
    </w:p>
    <w:p>
      <w:pPr>
        <w:pStyle w:val="BodyText"/>
        <w:spacing w:line="300" w:lineRule="auto" w:before="24"/>
        <w:ind w:left="572" w:right="984"/>
        <w:jc w:val="left"/>
      </w:pPr>
      <w:r>
        <w:rPr>
          <w:rFonts w:ascii="Times New Roman" w:hAnsi="Times New Roman" w:cs="Times New Roman" w:eastAsia="Times New Roman" w:hint="default"/>
        </w:rPr>
        <w:t>5</w:t>
      </w:r>
      <w:r>
        <w:rPr/>
        <w:t>、大力加强人才梯队建设，为公司下一轮快速发展引入充足的人才 目前，公司已迈入新的发展阶段，区域布局更加全面，高端客户资源显著丰富，管理跨度显著增加，需要非常充足的</w:t>
      </w:r>
    </w:p>
    <w:p>
      <w:pPr>
        <w:pStyle w:val="BodyText"/>
        <w:spacing w:line="300" w:lineRule="auto" w:before="31"/>
        <w:ind w:right="984"/>
        <w:jc w:val="left"/>
      </w:pPr>
      <w:r>
        <w:rPr>
          <w:spacing w:val="-2"/>
        </w:rPr>
        <w:t>各类人才资源包括国际性、中高端人才作为保障。</w:t>
      </w:r>
      <w:r>
        <w:rPr>
          <w:rFonts w:ascii="Times New Roman" w:hAnsi="Times New Roman" w:cs="Times New Roman" w:eastAsia="Times New Roman" w:hint="default"/>
          <w:spacing w:val="-2"/>
        </w:rPr>
        <w:t>2019</w:t>
      </w:r>
      <w:r>
        <w:rPr>
          <w:spacing w:val="-2"/>
        </w:rPr>
        <w:t>年，公司将充分发挥公司品牌优势，优化激励机制，通过多种方式大</w:t>
      </w:r>
      <w:r>
        <w:rPr>
          <w:spacing w:val="-66"/>
        </w:rPr>
        <w:t> </w:t>
      </w:r>
      <w:r>
        <w:rPr>
          <w:spacing w:val="-66"/>
        </w:rPr>
      </w:r>
      <w:r>
        <w:rPr/>
        <w:t>力引进公司发展所需的各类人才，加强人才梯队建设，为公司下一轮发展提供坚实的人才保障。</w:t>
      </w:r>
    </w:p>
    <w:p>
      <w:pPr>
        <w:pStyle w:val="BodyText"/>
        <w:spacing w:line="240" w:lineRule="auto" w:before="31"/>
        <w:ind w:left="572" w:right="984"/>
        <w:jc w:val="left"/>
      </w:pPr>
      <w:r>
        <w:rPr>
          <w:rFonts w:ascii="Times New Roman" w:hAnsi="Times New Roman" w:cs="Times New Roman" w:eastAsia="Times New Roman" w:hint="default"/>
        </w:rPr>
        <w:t>6</w:t>
      </w:r>
      <w:r>
        <w:rPr/>
        <w:t>、进一步提升公司管理水平，推动公司管理扁平化</w:t>
      </w:r>
    </w:p>
    <w:p>
      <w:pPr>
        <w:pStyle w:val="BodyText"/>
        <w:spacing w:line="300" w:lineRule="auto" w:before="63"/>
        <w:ind w:right="1030" w:firstLine="420"/>
        <w:jc w:val="left"/>
      </w:pPr>
      <w:r>
        <w:rPr>
          <w:rFonts w:ascii="Times New Roman" w:hAnsi="Times New Roman" w:cs="Times New Roman" w:eastAsia="Times New Roman" w:hint="default"/>
          <w:spacing w:val="-1"/>
        </w:rPr>
        <w:t>2018</w:t>
      </w:r>
      <w:r>
        <w:rPr>
          <w:spacing w:val="-1"/>
        </w:rPr>
        <w:t>年，公司管理水平实现了一定的优化，公司人均产值进一步提升。</w:t>
      </w:r>
      <w:r>
        <w:rPr>
          <w:rFonts w:ascii="Times New Roman" w:hAnsi="Times New Roman" w:cs="Times New Roman" w:eastAsia="Times New Roman" w:hint="default"/>
          <w:spacing w:val="-1"/>
        </w:rPr>
        <w:t>2019</w:t>
      </w:r>
      <w:r>
        <w:rPr>
          <w:spacing w:val="-1"/>
        </w:rPr>
        <w:t>年，公司将继续推动公司管理扁平化工作，</w:t>
      </w:r>
      <w:r>
        <w:rPr/>
        <w:t> 加强绩效</w:t>
      </w:r>
      <w:r>
        <w:rPr>
          <w:rFonts w:ascii="Times New Roman" w:hAnsi="Times New Roman" w:cs="Times New Roman" w:eastAsia="Times New Roman" w:hint="default"/>
        </w:rPr>
        <w:t>KPI</w:t>
      </w:r>
      <w:r>
        <w:rPr/>
        <w:t>考核，持续优化公司内部流程，全面满足客户需求，提升公司盈利能力。</w:t>
      </w:r>
    </w:p>
    <w:p>
      <w:pPr>
        <w:pStyle w:val="BodyText"/>
        <w:spacing w:line="309" w:lineRule="auto" w:before="13"/>
        <w:ind w:left="572" w:right="984"/>
        <w:jc w:val="left"/>
      </w:pPr>
      <w:r>
        <w:rPr/>
        <w:t>（四）其他可能存在的风险及应对措施和有关问题的分析 </w:t>
      </w:r>
      <w:r>
        <w:rPr>
          <w:rFonts w:ascii="Times New Roman" w:hAnsi="Times New Roman" w:cs="Times New Roman" w:eastAsia="Times New Roman" w:hint="default"/>
        </w:rPr>
        <w:t>1</w:t>
      </w:r>
      <w:r>
        <w:rPr/>
        <w:t>、市场风险：经济增速放缓，一些包装下游产业受到影响，如市场信心和需求不能回升，容易传导至包装产业。 应对措施：深化研发和一体化服务，提升核心竞争力，着力服务好现有优质客户资源，并持续开发高端包装市场国内</w:t>
      </w:r>
    </w:p>
    <w:p>
      <w:pPr>
        <w:pStyle w:val="BodyText"/>
        <w:spacing w:line="240" w:lineRule="auto" w:before="24"/>
        <w:ind w:right="984"/>
        <w:jc w:val="left"/>
      </w:pPr>
      <w:r>
        <w:rPr/>
        <w:t>外细分行业龙头企业客户，增加中型客户数量，增强抗风险能力。</w:t>
      </w:r>
    </w:p>
    <w:p>
      <w:pPr>
        <w:pStyle w:val="BodyText"/>
        <w:spacing w:line="300" w:lineRule="auto" w:before="76"/>
        <w:ind w:right="1116" w:firstLine="420"/>
        <w:jc w:val="left"/>
      </w:pPr>
      <w:r>
        <w:rPr>
          <w:rFonts w:ascii="Times New Roman" w:hAnsi="Times New Roman" w:cs="Times New Roman" w:eastAsia="Times New Roman" w:hint="default"/>
          <w:spacing w:val="-1"/>
        </w:rPr>
        <w:t>2</w:t>
      </w:r>
      <w:r>
        <w:rPr>
          <w:spacing w:val="-1"/>
        </w:rPr>
        <w:t>、公司产能扩张，市场拓展不达预期的风险应对措施：公司将以市场为导向，逐步有序推进智能制造平台的建设，同</w:t>
      </w:r>
      <w:r>
        <w:rPr/>
        <w:t> 时不断开发新客户、新业务，保障公司产能得到有效利用。</w:t>
      </w:r>
    </w:p>
    <w:p>
      <w:pPr>
        <w:pStyle w:val="BodyText"/>
        <w:spacing w:line="240" w:lineRule="auto" w:before="31"/>
        <w:ind w:left="572" w:right="984"/>
        <w:jc w:val="left"/>
        <w:rPr>
          <w:rFonts w:ascii="Times New Roman" w:hAnsi="Times New Roman" w:cs="Times New Roman" w:eastAsia="Times New Roman" w:hint="default"/>
        </w:rPr>
      </w:pPr>
      <w:r>
        <w:rPr>
          <w:rFonts w:ascii="Times New Roman" w:hAnsi="Times New Roman" w:cs="Times New Roman" w:eastAsia="Times New Roman" w:hint="default"/>
        </w:rPr>
        <w:t>3</w:t>
      </w:r>
      <w:r>
        <w:rPr/>
        <w:t>、行业竞争加剧风险：参见</w:t>
      </w:r>
      <w:r>
        <w:rPr>
          <w:rFonts w:ascii="Times New Roman" w:hAnsi="Times New Roman" w:cs="Times New Roman" w:eastAsia="Times New Roman" w:hint="default"/>
        </w:rPr>
        <w:t>“</w:t>
      </w:r>
      <w:r>
        <w:rPr/>
        <w:t>二、公司发展战略</w:t>
      </w:r>
      <w:r>
        <w:rPr>
          <w:rFonts w:ascii="Times New Roman" w:hAnsi="Times New Roman" w:cs="Times New Roman" w:eastAsia="Times New Roman" w:hint="default"/>
        </w:rPr>
        <w:t>4</w:t>
      </w:r>
      <w:r>
        <w:rPr/>
        <w:t>、发展面临的挑战</w:t>
      </w:r>
      <w:r>
        <w:rPr>
          <w:rFonts w:ascii="Times New Roman" w:hAnsi="Times New Roman" w:cs="Times New Roman" w:eastAsia="Times New Roman" w:hint="default"/>
        </w:rPr>
        <w:t>”</w:t>
      </w:r>
    </w:p>
    <w:p>
      <w:pPr>
        <w:pStyle w:val="BodyText"/>
        <w:spacing w:line="316" w:lineRule="auto" w:before="63"/>
        <w:ind w:right="984" w:firstLine="420"/>
        <w:jc w:val="left"/>
      </w:pPr>
      <w:r>
        <w:rPr/>
        <w:t>应对措施：持续扩大公司在研发设计、工艺技术、高端制造、产品品质、品牌等方面的竞争优势，积极把握行业发展 趋势，提升综合竞争实力。</w:t>
      </w:r>
    </w:p>
    <w:p>
      <w:pPr>
        <w:pStyle w:val="BodyText"/>
        <w:spacing w:line="240" w:lineRule="auto" w:before="19"/>
        <w:ind w:left="572" w:right="984"/>
        <w:jc w:val="left"/>
        <w:rPr>
          <w:rFonts w:ascii="Times New Roman" w:hAnsi="Times New Roman" w:cs="Times New Roman" w:eastAsia="Times New Roman" w:hint="default"/>
        </w:rPr>
      </w:pPr>
      <w:r>
        <w:rPr>
          <w:rFonts w:ascii="Times New Roman" w:hAnsi="Times New Roman" w:cs="Times New Roman" w:eastAsia="Times New Roman" w:hint="default"/>
        </w:rPr>
        <w:t>4</w:t>
      </w:r>
      <w:r>
        <w:rPr/>
        <w:t>、人才引进方面的风险：参见</w:t>
      </w:r>
      <w:r>
        <w:rPr>
          <w:rFonts w:ascii="Times New Roman" w:hAnsi="Times New Roman" w:cs="Times New Roman" w:eastAsia="Times New Roman" w:hint="default"/>
        </w:rPr>
        <w:t>“</w:t>
      </w:r>
      <w:r>
        <w:rPr/>
        <w:t>二、公司发展战略</w:t>
      </w:r>
      <w:r>
        <w:rPr>
          <w:rFonts w:ascii="Times New Roman" w:hAnsi="Times New Roman" w:cs="Times New Roman" w:eastAsia="Times New Roman" w:hint="default"/>
        </w:rPr>
        <w:t>4</w:t>
      </w:r>
      <w:r>
        <w:rPr/>
        <w:t>、发展面临的挑战</w:t>
      </w:r>
      <w:r>
        <w:rPr>
          <w:rFonts w:ascii="Times New Roman" w:hAnsi="Times New Roman" w:cs="Times New Roman" w:eastAsia="Times New Roman" w:hint="default"/>
        </w:rPr>
        <w:t>”</w:t>
      </w:r>
    </w:p>
    <w:p>
      <w:pPr>
        <w:pStyle w:val="BodyText"/>
        <w:spacing w:line="309" w:lineRule="auto" w:before="63"/>
        <w:ind w:left="572" w:right="7564"/>
        <w:jc w:val="left"/>
      </w:pPr>
      <w:r>
        <w:rPr/>
        <w:t>应对措施： 参见</w:t>
      </w:r>
      <w:r>
        <w:rPr>
          <w:rFonts w:ascii="Times New Roman" w:hAnsi="Times New Roman" w:cs="Times New Roman" w:eastAsia="Times New Roman" w:hint="default"/>
        </w:rPr>
        <w:t>“</w:t>
      </w:r>
      <w:r>
        <w:rPr/>
        <w:t>三、公司</w:t>
      </w:r>
      <w:r>
        <w:rPr>
          <w:rFonts w:ascii="Times New Roman" w:hAnsi="Times New Roman" w:cs="Times New Roman" w:eastAsia="Times New Roman" w:hint="default"/>
        </w:rPr>
        <w:t>2019</w:t>
      </w:r>
      <w:r>
        <w:rPr/>
        <w:t>年度经营计划</w:t>
      </w:r>
      <w:r>
        <w:rPr>
          <w:rFonts w:ascii="Times New Roman" w:hAnsi="Times New Roman" w:cs="Times New Roman" w:eastAsia="Times New Roman" w:hint="default"/>
        </w:rPr>
        <w:t>5”</w:t>
      </w:r>
      <w:r>
        <w:rPr>
          <w:rFonts w:ascii="Times New Roman" w:hAnsi="Times New Roman" w:cs="Times New Roman" w:eastAsia="Times New Roman" w:hint="default"/>
          <w:w w:val="99"/>
        </w:rPr>
        <w:t> </w:t>
      </w:r>
      <w:r>
        <w:rPr>
          <w:rFonts w:ascii="Times New Roman" w:hAnsi="Times New Roman" w:cs="Times New Roman" w:eastAsia="Times New Roman" w:hint="default"/>
        </w:rPr>
        <w:t>5</w:t>
      </w:r>
      <w:r>
        <w:rPr/>
        <w:t>、汇率波动风险</w:t>
      </w:r>
    </w:p>
    <w:p>
      <w:pPr>
        <w:pStyle w:val="BodyText"/>
        <w:spacing w:line="316" w:lineRule="auto" w:before="5"/>
        <w:ind w:left="572" w:right="1514"/>
        <w:jc w:val="left"/>
      </w:pPr>
      <w:r>
        <w:rPr/>
        <w:t>公司存在一定量的以美元作为结算货币的国际业务，人民币兑美元汇率的上升，将对公司产生一定的汇兑损失。 应对措施：公司将积极研究并根据具体需要通过采取套期保值等方式来应对汇率的波动。</w:t>
      </w:r>
    </w:p>
    <w:p>
      <w:pPr>
        <w:spacing w:line="240" w:lineRule="auto" w:before="4"/>
        <w:rPr>
          <w:rFonts w:ascii="宋体" w:hAnsi="宋体" w:cs="宋体" w:eastAsia="宋体" w:hint="default"/>
          <w:sz w:val="25"/>
          <w:szCs w:val="25"/>
        </w:rPr>
      </w:pPr>
    </w:p>
    <w:p>
      <w:pPr>
        <w:pStyle w:val="BodyText"/>
        <w:spacing w:line="240" w:lineRule="auto"/>
        <w:ind w:left="572" w:right="984"/>
        <w:jc w:val="left"/>
      </w:pPr>
      <w:r>
        <w:rPr/>
        <w:t>（五）</w:t>
      </w:r>
      <w:r>
        <w:rPr>
          <w:rFonts w:ascii="Times New Roman" w:hAnsi="Times New Roman" w:cs="Times New Roman" w:eastAsia="Times New Roman" w:hint="default"/>
        </w:rPr>
        <w:t>2018</w:t>
      </w:r>
      <w:r>
        <w:rPr/>
        <w:t>年度经营计划完成情况</w:t>
      </w:r>
    </w:p>
    <w:p>
      <w:pPr>
        <w:pStyle w:val="BodyText"/>
        <w:spacing w:line="240" w:lineRule="auto" w:before="63"/>
        <w:ind w:left="572" w:right="984"/>
        <w:jc w:val="left"/>
      </w:pPr>
      <w:r>
        <w:rPr>
          <w:rFonts w:ascii="Times New Roman" w:hAnsi="Times New Roman" w:cs="Times New Roman" w:eastAsia="Times New Roman" w:hint="default"/>
        </w:rPr>
        <w:t>2018</w:t>
      </w:r>
      <w:r>
        <w:rPr/>
        <w:t>年，公司按照年初制定的主要经营计划着力开展以下工作，进展情况较为顺利：</w:t>
      </w:r>
    </w:p>
    <w:p>
      <w:pPr>
        <w:pStyle w:val="BodyText"/>
        <w:spacing w:line="240" w:lineRule="auto" w:before="63"/>
        <w:ind w:left="572" w:right="984"/>
        <w:jc w:val="left"/>
      </w:pPr>
      <w:r>
        <w:rPr>
          <w:rFonts w:ascii="Times New Roman" w:hAnsi="Times New Roman" w:cs="Times New Roman" w:eastAsia="Times New Roman" w:hint="default"/>
        </w:rPr>
        <w:t>1</w:t>
      </w:r>
      <w:r>
        <w:rPr/>
        <w:t>、深耕战略客户需求，推动战略新客户订单加速放量</w:t>
      </w:r>
    </w:p>
    <w:p>
      <w:pPr>
        <w:pStyle w:val="BodyText"/>
        <w:spacing w:line="240" w:lineRule="auto" w:before="63"/>
        <w:ind w:left="572" w:right="984"/>
        <w:jc w:val="left"/>
      </w:pPr>
      <w:r>
        <w:rPr>
          <w:rFonts w:ascii="Times New Roman" w:hAnsi="Times New Roman" w:cs="Times New Roman" w:eastAsia="Times New Roman" w:hint="default"/>
        </w:rPr>
        <w:t>2018</w:t>
      </w:r>
      <w:r>
        <w:rPr/>
        <w:t>年度，公司深耕战略客户需求，不断提升公司与战略客户合作的深度与广度，战略客户订单持续放量，推动公司</w:t>
      </w:r>
    </w:p>
    <w:p>
      <w:pPr>
        <w:pStyle w:val="BodyText"/>
        <w:spacing w:line="240" w:lineRule="auto" w:before="63"/>
        <w:ind w:right="984"/>
        <w:jc w:val="left"/>
      </w:pPr>
      <w:r>
        <w:rPr>
          <w:rFonts w:ascii="Times New Roman" w:hAnsi="Times New Roman" w:cs="Times New Roman" w:eastAsia="Times New Roman" w:hint="default"/>
        </w:rPr>
        <w:t>2018</w:t>
      </w:r>
      <w:r>
        <w:rPr/>
        <w:t>年经营业绩实现持续稳健增长。</w:t>
      </w:r>
    </w:p>
    <w:p>
      <w:pPr>
        <w:pStyle w:val="BodyText"/>
        <w:spacing w:line="240" w:lineRule="auto" w:before="63"/>
        <w:ind w:left="572" w:right="984"/>
        <w:jc w:val="left"/>
      </w:pPr>
      <w:r>
        <w:rPr>
          <w:rFonts w:ascii="Times New Roman" w:hAnsi="Times New Roman" w:cs="Times New Roman" w:eastAsia="Times New Roman" w:hint="default"/>
        </w:rPr>
        <w:t>2</w:t>
      </w:r>
      <w:r>
        <w:rPr/>
        <w:t>、持续加大客户开发力度，继续加大世界级企业及国内细分行业龙头企业新客户的开发</w:t>
      </w:r>
    </w:p>
    <w:p>
      <w:pPr>
        <w:pStyle w:val="BodyText"/>
        <w:spacing w:line="309" w:lineRule="auto" w:before="63"/>
        <w:ind w:right="1109" w:firstLine="420"/>
        <w:jc w:val="both"/>
      </w:pPr>
      <w:r>
        <w:rPr>
          <w:rFonts w:ascii="Times New Roman" w:hAnsi="Times New Roman" w:cs="Times New Roman" w:eastAsia="Times New Roman" w:hint="default"/>
        </w:rPr>
        <w:t>2018</w:t>
      </w:r>
      <w:r>
        <w:rPr/>
        <w:t>年度，公司及下属子公司先后获得了蒙牛乳业、远超实业、步步高教育电子、</w:t>
      </w:r>
      <w:r>
        <w:rPr>
          <w:rFonts w:ascii="Times New Roman" w:hAnsi="Times New Roman" w:cs="Times New Roman" w:eastAsia="Times New Roman" w:hint="default"/>
        </w:rPr>
        <w:t>A.O.Smith</w:t>
      </w:r>
      <w:r>
        <w:rPr/>
        <w:t>、稳健医疗（全棉时代） </w:t>
      </w:r>
      <w:r>
        <w:rPr>
          <w:spacing w:val="-2"/>
        </w:rPr>
        <w:t>等在内的众多高端客户的包装产品供应资质。新客户的不断开发，进一步丰富了公司高端客户资源，为公司未来的持续增长</w:t>
      </w:r>
      <w:r>
        <w:rPr>
          <w:spacing w:val="-62"/>
        </w:rPr>
        <w:t> </w:t>
      </w:r>
      <w:r>
        <w:rPr>
          <w:spacing w:val="-62"/>
        </w:rPr>
      </w:r>
      <w:r>
        <w:rPr/>
        <w:t>奠定坚实的基础。</w:t>
      </w:r>
    </w:p>
    <w:p>
      <w:pPr>
        <w:pStyle w:val="BodyText"/>
        <w:spacing w:line="240" w:lineRule="auto" w:before="24"/>
        <w:ind w:left="572" w:right="984"/>
        <w:jc w:val="left"/>
      </w:pPr>
      <w:r>
        <w:rPr>
          <w:rFonts w:ascii="Times New Roman" w:hAnsi="Times New Roman" w:cs="Times New Roman" w:eastAsia="Times New Roman" w:hint="default"/>
        </w:rPr>
        <w:t>3</w:t>
      </w:r>
      <w:r>
        <w:rPr/>
        <w:t>、逐步有序安排国内核心经济活跃区域产能布局的建设和投产工作</w:t>
      </w:r>
    </w:p>
    <w:p>
      <w:pPr>
        <w:pStyle w:val="BodyText"/>
        <w:spacing w:line="300" w:lineRule="auto" w:before="63"/>
        <w:ind w:right="1028" w:firstLine="420"/>
        <w:jc w:val="left"/>
      </w:pPr>
      <w:r>
        <w:rPr>
          <w:rFonts w:ascii="Times New Roman" w:hAnsi="Times New Roman" w:cs="Times New Roman" w:eastAsia="Times New Roman" w:hint="default"/>
          <w:spacing w:val="-1"/>
        </w:rPr>
        <w:t>2018</w:t>
      </w:r>
      <w:r>
        <w:rPr>
          <w:spacing w:val="-1"/>
        </w:rPr>
        <w:t>年度，公司在原有产业区域布局的基础上，进一步完善了一带一路</w:t>
      </w:r>
      <w:r>
        <w:rPr>
          <w:rFonts w:ascii="Times New Roman" w:hAnsi="Times New Roman" w:cs="Times New Roman" w:eastAsia="Times New Roman" w:hint="default"/>
          <w:spacing w:val="-1"/>
        </w:rPr>
        <w:t>—</w:t>
      </w:r>
      <w:r>
        <w:rPr>
          <w:spacing w:val="-1"/>
        </w:rPr>
        <w:t>西安区域的布局，提升了公司区域服务能力；</w:t>
      </w:r>
      <w:r>
        <w:rPr/>
        <w:t> 东莞智慧工厂已于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月逐步投入使用，成都、长沙、六安布局的智慧工厂预计将于</w:t>
      </w:r>
      <w:r>
        <w:rPr>
          <w:rFonts w:ascii="Times New Roman" w:hAnsi="Times New Roman" w:cs="Times New Roman" w:eastAsia="Times New Roman" w:hint="default"/>
        </w:rPr>
        <w:t>2019</w:t>
      </w:r>
      <w:r>
        <w:rPr/>
        <w:t>年上半年逐步投入使用，新产 能的逐步释放，为公司未来实现跨越式发展打造基础。</w:t>
      </w:r>
    </w:p>
    <w:p>
      <w:pPr>
        <w:spacing w:after="0" w:line="300" w:lineRule="auto"/>
        <w:jc w:val="left"/>
        <w:sectPr>
          <w:footerReference w:type="default" r:id="rId16"/>
          <w:pgSz w:w="11910" w:h="16840"/>
          <w:pgMar w:footer="982" w:header="753" w:top="1060" w:bottom="1180" w:left="980" w:right="0"/>
          <w:pgNumType w:start="40"/>
        </w:sectPr>
      </w:pPr>
    </w:p>
    <w:p>
      <w:pPr>
        <w:spacing w:line="240" w:lineRule="auto" w:before="4"/>
        <w:rPr>
          <w:rFonts w:ascii="宋体" w:hAnsi="宋体" w:cs="宋体" w:eastAsia="宋体" w:hint="default"/>
          <w:sz w:val="26"/>
          <w:szCs w:val="26"/>
        </w:rPr>
      </w:pPr>
    </w:p>
    <w:p>
      <w:pPr>
        <w:pStyle w:val="BodyText"/>
        <w:spacing w:line="240" w:lineRule="auto" w:before="37"/>
        <w:ind w:left="572" w:right="984"/>
        <w:jc w:val="left"/>
      </w:pPr>
      <w:r>
        <w:rPr>
          <w:rFonts w:ascii="Times New Roman" w:hAnsi="Times New Roman" w:cs="Times New Roman" w:eastAsia="Times New Roman" w:hint="default"/>
        </w:rPr>
        <w:t>4</w:t>
      </w:r>
      <w:r>
        <w:rPr/>
        <w:t>、加强技术创新，持续增强核心竞争力</w:t>
      </w:r>
    </w:p>
    <w:p>
      <w:pPr>
        <w:pStyle w:val="BodyText"/>
        <w:spacing w:line="300" w:lineRule="auto" w:before="63"/>
        <w:ind w:right="1044" w:firstLine="420"/>
        <w:jc w:val="both"/>
      </w:pPr>
      <w:r>
        <w:rPr>
          <w:rFonts w:ascii="Times New Roman" w:hAnsi="Times New Roman" w:cs="Times New Roman" w:eastAsia="Times New Roman" w:hint="default"/>
          <w:spacing w:val="-1"/>
        </w:rPr>
        <w:t>2018</w:t>
      </w:r>
      <w:r>
        <w:rPr>
          <w:spacing w:val="-1"/>
        </w:rPr>
        <w:t>年度，公司持续推动研发技术及生产工艺的创新工作，为推动公司战略新客户订单的逐步放量作出了较大的贡献，</w:t>
      </w:r>
      <w:r>
        <w:rPr/>
        <w:t> 公司服务水平持续提升，客户服务能力不断增强。</w:t>
      </w:r>
    </w:p>
    <w:p>
      <w:pPr>
        <w:pStyle w:val="BodyText"/>
        <w:spacing w:line="240" w:lineRule="auto" w:before="31"/>
        <w:ind w:left="572" w:right="984"/>
        <w:jc w:val="left"/>
      </w:pPr>
      <w:r>
        <w:rPr>
          <w:rFonts w:ascii="Times New Roman" w:hAnsi="Times New Roman" w:cs="Times New Roman" w:eastAsia="Times New Roman" w:hint="default"/>
        </w:rPr>
        <w:t>5</w:t>
      </w:r>
      <w:r>
        <w:rPr/>
        <w:t>、加强人才梯队建设，保障公司快速发展所需的人力资源</w:t>
      </w:r>
    </w:p>
    <w:p>
      <w:pPr>
        <w:pStyle w:val="BodyText"/>
        <w:spacing w:line="300" w:lineRule="auto" w:before="63"/>
        <w:ind w:right="1133" w:firstLine="420"/>
        <w:jc w:val="both"/>
      </w:pPr>
      <w:r>
        <w:rPr>
          <w:rFonts w:ascii="Times New Roman" w:hAnsi="Times New Roman" w:cs="Times New Roman" w:eastAsia="Times New Roman" w:hint="default"/>
        </w:rPr>
        <w:t>2018</w:t>
      </w:r>
      <w:r>
        <w:rPr/>
        <w:t>年，公司一方面继续加强各类基础人才资源梯队的建设，通过内外部培训，为公司组建高素质、高效率的岗位人 </w:t>
      </w:r>
      <w:r>
        <w:rPr>
          <w:spacing w:val="-2"/>
        </w:rPr>
        <w:t>员储备人才，使其成为公司发展的生力军；另一方面通过外部招聘，大力引进和储备各类</w:t>
      </w:r>
      <w:r>
        <w:rPr>
          <w:rFonts w:ascii="Times New Roman" w:hAnsi="Times New Roman" w:cs="Times New Roman" w:eastAsia="Times New Roman" w:hint="default"/>
          <w:spacing w:val="-2"/>
        </w:rPr>
        <w:t>“</w:t>
      </w:r>
      <w:r>
        <w:rPr>
          <w:spacing w:val="-2"/>
        </w:rPr>
        <w:t>高、精、尖</w:t>
      </w:r>
      <w:r>
        <w:rPr>
          <w:rFonts w:ascii="Times New Roman" w:hAnsi="Times New Roman" w:cs="Times New Roman" w:eastAsia="Times New Roman" w:hint="default"/>
          <w:spacing w:val="-2"/>
        </w:rPr>
        <w:t>”</w:t>
      </w:r>
      <w:r>
        <w:rPr>
          <w:spacing w:val="-2"/>
        </w:rPr>
        <w:t>以及国际性人才，提</w:t>
      </w:r>
      <w:r>
        <w:rPr>
          <w:spacing w:val="-46"/>
        </w:rPr>
        <w:t> </w:t>
      </w:r>
      <w:r>
        <w:rPr>
          <w:spacing w:val="-46"/>
        </w:rPr>
      </w:r>
      <w:r>
        <w:rPr/>
        <w:t>升公司的研发实力、综合管理水平、市场营销能力，为公司未来的发展奠定了良好的人才基础。</w:t>
      </w:r>
    </w:p>
    <w:p>
      <w:pPr>
        <w:pStyle w:val="BodyText"/>
        <w:spacing w:line="240" w:lineRule="auto" w:before="31"/>
        <w:ind w:left="572" w:right="984"/>
        <w:jc w:val="left"/>
      </w:pPr>
      <w:r>
        <w:rPr/>
        <w:t>同时，公司大力提拔、重用年轻管理干部，</w:t>
      </w:r>
      <w:r>
        <w:rPr>
          <w:rFonts w:ascii="Times New Roman" w:hAnsi="Times New Roman" w:cs="Times New Roman" w:eastAsia="Times New Roman" w:hint="default"/>
        </w:rPr>
        <w:t>2018</w:t>
      </w:r>
      <w:r>
        <w:rPr/>
        <w:t>年度，公司中层管理干部平均年龄有所下降。</w:t>
      </w:r>
    </w:p>
    <w:p>
      <w:pPr>
        <w:spacing w:line="240" w:lineRule="auto" w:before="3"/>
        <w:rPr>
          <w:rFonts w:ascii="宋体" w:hAnsi="宋体" w:cs="宋体" w:eastAsia="宋体" w:hint="default"/>
          <w:sz w:val="24"/>
          <w:szCs w:val="24"/>
        </w:rPr>
      </w:pPr>
    </w:p>
    <w:p>
      <w:pPr>
        <w:pStyle w:val="Heading2"/>
        <w:spacing w:line="240" w:lineRule="auto"/>
        <w:ind w:right="984"/>
        <w:jc w:val="left"/>
        <w:rPr>
          <w:rFonts w:ascii="Tahoma" w:hAnsi="Tahoma" w:cs="Tahoma" w:eastAsia="Tahoma" w:hint="default"/>
        </w:rPr>
      </w:pPr>
      <w:r>
        <w:rPr/>
        <w:t>十、接待调研、沟通、采访等活动</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、报告期内接待调研、沟通、采访等活动登记表</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2179"/>
        <w:gridCol w:w="2177"/>
        <w:gridCol w:w="2177"/>
        <w:gridCol w:w="3036"/>
      </w:tblGrid>
      <w:tr>
        <w:trPr>
          <w:trHeight w:val="401" w:hRule="exact"/>
        </w:trPr>
        <w:tc>
          <w:tcPr>
            <w:tcW w:w="2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00"/>
        <w:jc w:val="center"/>
        <w:rPr>
          <w:rFonts w:ascii="Tahoma" w:hAnsi="Tahoma" w:cs="Tahoma" w:eastAsia="Tahoma" w:hint="default"/>
        </w:rPr>
      </w:pPr>
      <w:bookmarkStart w:name="_TOC_250007" w:id="6"/>
      <w:r>
        <w:rPr/>
        <w:t>第五节</w:t>
      </w:r>
      <w:r>
        <w:rPr>
          <w:spacing w:val="7"/>
        </w:rPr>
        <w:t> </w:t>
      </w:r>
      <w:r>
        <w:rPr>
          <w:rFonts w:ascii="Tahoma" w:hAnsi="Tahoma" w:cs="Tahoma" w:eastAsia="Tahoma" w:hint="default"/>
          <w:spacing w:val="7"/>
        </w:rPr>
      </w:r>
      <w:r>
        <w:rPr/>
        <w:t>重要事项</w:t>
      </w:r>
      <w:r>
        <w:rPr>
          <w:rFonts w:ascii="Tahoma" w:hAnsi="Tahoma" w:cs="Tahoma" w:eastAsia="Tahoma" w:hint="default"/>
          <w:w w:val="79"/>
        </w:rPr>
        <w:t> </w:t>
      </w:r>
      <w:bookmarkEnd w:id="6"/>
      <w:r>
        <w:rPr>
          <w:rFonts w:ascii="Tahoma" w:hAnsi="Tahoma" w:cs="Tahoma" w:eastAsia="Tahoma" w:hint="default"/>
        </w:rPr>
      </w:r>
    </w:p>
    <w:p>
      <w:pPr>
        <w:spacing w:line="240" w:lineRule="auto" w:before="5"/>
        <w:rPr>
          <w:rFonts w:ascii="Tahoma" w:hAnsi="Tahoma" w:cs="Tahoma" w:eastAsia="Tahoma" w:hint="default"/>
          <w:sz w:val="42"/>
          <w:szCs w:val="42"/>
        </w:rPr>
      </w:pPr>
    </w:p>
    <w:p>
      <w:pPr>
        <w:pStyle w:val="Heading2"/>
        <w:spacing w:line="240" w:lineRule="auto"/>
        <w:ind w:right="0"/>
        <w:jc w:val="both"/>
        <w:rPr>
          <w:rFonts w:ascii="Tahoma" w:hAnsi="Tahoma" w:cs="Tahoma" w:eastAsia="Tahoma" w:hint="default"/>
        </w:rPr>
      </w:pPr>
      <w:r>
        <w:rPr/>
        <w:t>一、公司普通股利润分配及资本公积金转增股本情况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both"/>
      </w:pPr>
      <w:r>
        <w:rPr/>
        <w:t>报告期内普通股利润分配政策，特别是现金分红政策的制定、执行或调整情况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2" w:lineRule="auto" w:before="101"/>
        <w:ind w:right="1135"/>
        <w:jc w:val="both"/>
      </w:pPr>
      <w:r>
        <w:rPr/>
        <w:t>公司</w:t>
      </w:r>
      <w:r>
        <w:rPr>
          <w:rFonts w:ascii="Times New Roman" w:hAnsi="Times New Roman" w:cs="Times New Roman" w:eastAsia="Times New Roman" w:hint="default"/>
        </w:rPr>
        <w:t>2017</w:t>
      </w:r>
      <w:r>
        <w:rPr/>
        <w:t>年度股东大会审议通过了《未来三年股东回报规划（</w:t>
      </w:r>
      <w:r>
        <w:rPr>
          <w:rFonts w:ascii="Times New Roman" w:hAnsi="Times New Roman" w:cs="Times New Roman" w:eastAsia="Times New Roman" w:hint="default"/>
        </w:rPr>
        <w:t>2018-2020</w:t>
      </w:r>
      <w:r>
        <w:rPr/>
        <w:t>）》，着眼于公司的长远和可持续发展，在综合分 </w:t>
      </w:r>
      <w:r>
        <w:rPr>
          <w:spacing w:val="-2"/>
        </w:rPr>
        <w:t>析公司经营发展的实际情况、现金流状况、未来盈利情况、项目投资资金需求、银行信贷及外部融资环境等基础上，为完善</w:t>
      </w:r>
      <w:r>
        <w:rPr>
          <w:spacing w:val="-69"/>
        </w:rPr>
        <w:t> </w:t>
      </w:r>
      <w:r>
        <w:rPr>
          <w:spacing w:val="-69"/>
        </w:rPr>
      </w:r>
      <w:r>
        <w:rPr>
          <w:spacing w:val="-2"/>
        </w:rPr>
        <w:t>和健全公司科学、持续、稳定的分红决策机制，积极推动全体股东分享公司经营成果，充分保护中小投资者的合法权益，公</w:t>
      </w:r>
      <w:r>
        <w:rPr>
          <w:spacing w:val="-69"/>
        </w:rPr>
        <w:t> </w:t>
      </w:r>
      <w:r>
        <w:rPr>
          <w:spacing w:val="-69"/>
        </w:rPr>
      </w:r>
      <w:r>
        <w:rPr/>
        <w:t>司对利润分配做出了制度性安排，明确了分红标准和分红比例，保证了利润分配政策的连续性和稳定性。</w:t>
      </w: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pStyle w:val="BodyText"/>
        <w:spacing w:line="240" w:lineRule="auto" w:before="64"/>
        <w:ind w:right="-15"/>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2"/>
        </w:rPr>
        <w:t>）</w:t>
      </w:r>
      <w:r>
        <w:rPr/>
        <w:t>的普通股股利分配方案（预案</w:t>
      </w:r>
      <w:r>
        <w:rPr>
          <w:spacing w:val="-90"/>
        </w:rPr>
        <w:t>）</w:t>
      </w:r>
      <w:r>
        <w:rPr/>
        <w:t>、资本公积金转增股本方案（预案）情况</w:t>
      </w:r>
    </w:p>
    <w:p>
      <w:pPr>
        <w:pStyle w:val="BodyText"/>
        <w:spacing w:line="240" w:lineRule="auto" w:before="101"/>
        <w:ind w:right="-15"/>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2016</w:t>
      </w:r>
      <w:r>
        <w:rPr/>
        <w:t>年度利润分配方案为：向全体股东每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0.22</w:t>
      </w:r>
      <w:r>
        <w:rPr/>
        <w:t>元（含税），本次利润分配</w:t>
      </w:r>
      <w:r>
        <w:rPr>
          <w:rFonts w:ascii="Times New Roman" w:hAnsi="Times New Roman" w:cs="Times New Roman" w:eastAsia="Times New Roman" w:hint="default"/>
        </w:rPr>
        <w:t>3,393.11</w:t>
      </w:r>
      <w:r>
        <w:rPr/>
        <w:t>万元；</w:t>
      </w:r>
    </w:p>
    <w:p>
      <w:pPr>
        <w:pStyle w:val="BodyText"/>
        <w:spacing w:line="240" w:lineRule="auto" w:before="63"/>
        <w:ind w:right="-15"/>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2017</w:t>
      </w:r>
      <w:r>
        <w:rPr/>
        <w:t>年度利润分配方案为：向全体股东每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1.3</w:t>
      </w:r>
      <w:r>
        <w:rPr/>
        <w:t>元（含税），本次利润分配</w:t>
      </w:r>
      <w:r>
        <w:rPr>
          <w:rFonts w:ascii="Times New Roman" w:hAnsi="Times New Roman" w:cs="Times New Roman" w:eastAsia="Times New Roman" w:hint="default"/>
        </w:rPr>
        <w:t>20,050.21</w:t>
      </w:r>
      <w:r>
        <w:rPr/>
        <w:t>万元；</w:t>
      </w:r>
    </w:p>
    <w:p>
      <w:pPr>
        <w:pStyle w:val="BodyText"/>
        <w:spacing w:line="340" w:lineRule="auto" w:before="63"/>
        <w:ind w:right="-15"/>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2018</w:t>
      </w:r>
      <w:r>
        <w:rPr/>
        <w:t>年度利润分配预案为：向全体股东每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2</w:t>
      </w:r>
      <w:r>
        <w:rPr/>
        <w:t>元（含税），本次预计利润分配</w:t>
      </w:r>
      <w:r>
        <w:rPr>
          <w:rFonts w:ascii="Times New Roman" w:hAnsi="Times New Roman" w:cs="Times New Roman" w:eastAsia="Times New Roman" w:hint="default"/>
        </w:rPr>
        <w:t>30,626.47</w:t>
      </w:r>
      <w:r>
        <w:rPr/>
        <w:t>万元。 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pStyle w:val="BodyText"/>
        <w:spacing w:line="240" w:lineRule="auto"/>
        <w:ind w:left="53" w:right="0"/>
        <w:jc w:val="left"/>
      </w:pPr>
      <w:r>
        <w:rPr/>
        <w:t>单位：元</w:t>
      </w:r>
    </w:p>
    <w:p>
      <w:pPr>
        <w:spacing w:after="0" w:line="240" w:lineRule="auto"/>
        <w:jc w:val="left"/>
        <w:sectPr>
          <w:type w:val="continuous"/>
          <w:pgSz w:w="11910" w:h="16840"/>
          <w:pgMar w:top="1060" w:bottom="1180" w:left="980" w:right="0"/>
          <w:cols w:num="2" w:equalWidth="0">
            <w:col w:w="8978" w:space="40"/>
            <w:col w:w="1912"/>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5"/>
        <w:gridCol w:w="1195"/>
        <w:gridCol w:w="1198"/>
        <w:gridCol w:w="1195"/>
        <w:gridCol w:w="1195"/>
        <w:gridCol w:w="1198"/>
      </w:tblGrid>
      <w:tr>
        <w:trPr>
          <w:trHeight w:val="227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2"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12" w:right="139"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306,264,737.00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401,205,568.76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76.34%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61,008,416.97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15.21%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367,273,153.97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91.54%</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200,502,079.05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348,186,315.19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57.58%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200,502,079.05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57.58%</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33,931,121.07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223,397,139.15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15.19%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33,931,121.07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15.19%</w:t>
            </w:r>
          </w:p>
        </w:tc>
      </w:tr>
    </w:tbl>
    <w:p>
      <w:pPr>
        <w:pStyle w:val="BodyText"/>
        <w:spacing w:line="240" w:lineRule="auto" w:before="49"/>
        <w:ind w:right="984"/>
        <w:jc w:val="left"/>
      </w:pPr>
      <w:r>
        <w:rPr/>
        <w:t>公司报告期内盈利且母公司可供普通股股东分配利润为正但未提出普通股现金红利分配预案</w:t>
      </w:r>
    </w:p>
    <w:p>
      <w:pPr>
        <w:pStyle w:val="BodyText"/>
        <w:spacing w:line="240" w:lineRule="auto" w:before="115"/>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type w:val="continuous"/>
          <w:pgSz w:w="11910" w:h="16840"/>
          <w:pgMar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4"/>
        <w:jc w:val="left"/>
        <w:rPr>
          <w:rFonts w:ascii="Tahoma" w:hAnsi="Tahoma" w:cs="Tahoma" w:eastAsia="Tahoma" w:hint="default"/>
        </w:rPr>
      </w:pPr>
      <w:r>
        <w:rPr/>
        <w:t>二、本报告期利润分配及资本公积金转增股本预案</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7"/>
        <w:ind w:left="0" w:right="1137"/>
        <w:jc w:val="right"/>
      </w:pPr>
      <w:r>
        <w:rPr/>
        <w:pict>
          <v:shape style="position:absolute;margin-left:56.399998pt;margin-top:-257.878296pt;width:479.2pt;height:293.0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94"/>
                    <w:gridCol w:w="5774"/>
                  </w:tblGrid>
                  <w:tr>
                    <w:trPr>
                      <w:trHeight w:val="403"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3"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1531323685</w:t>
                        </w:r>
                      </w:p>
                    </w:tc>
                  </w:tr>
                  <w:tr>
                    <w:trPr>
                      <w:trHeight w:val="403"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306,264,737.00</w:t>
                        </w:r>
                      </w:p>
                    </w:tc>
                  </w:tr>
                  <w:tr>
                    <w:trPr>
                      <w:trHeight w:val="401"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61,008,416.97</w:t>
                        </w:r>
                      </w:p>
                    </w:tc>
                  </w:tr>
                  <w:tr>
                    <w:trPr>
                      <w:trHeight w:val="403"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元）</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367,273,153.97</w:t>
                        </w:r>
                      </w:p>
                    </w:tc>
                  </w:tr>
                  <w:tr>
                    <w:trPr>
                      <w:trHeight w:val="401"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1,448,877,264.13</w:t>
                        </w:r>
                      </w:p>
                    </w:tc>
                  </w:tr>
                  <w:tr>
                    <w:trPr>
                      <w:trHeight w:val="715"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3"/>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8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以截止</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2"/>
                            <w:sz w:val="18"/>
                            <w:szCs w:val="18"/>
                          </w:rPr>
                          <w:t>司</w:t>
                        </w:r>
                        <w:r>
                          <w:rPr>
                            <w:rFonts w:ascii="宋体" w:hAnsi="宋体" w:cs="宋体" w:eastAsia="宋体" w:hint="default"/>
                            <w:sz w:val="18"/>
                            <w:szCs w:val="18"/>
                          </w:rPr>
                          <w:t>总股本</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w:t>
                        </w:r>
                        <w:r>
                          <w:rPr>
                            <w:rFonts w:ascii="宋体" w:hAnsi="宋体" w:cs="宋体" w:eastAsia="宋体" w:hint="default"/>
                            <w:spacing w:val="-2"/>
                            <w:sz w:val="18"/>
                            <w:szCs w:val="18"/>
                          </w:rPr>
                          <w:t>数</w:t>
                        </w:r>
                        <w:r>
                          <w:rPr>
                            <w:rFonts w:ascii="宋体" w:hAnsi="宋体" w:cs="宋体" w:eastAsia="宋体" w:hint="default"/>
                            <w:spacing w:val="-26"/>
                            <w:sz w:val="18"/>
                            <w:szCs w:val="18"/>
                          </w:rPr>
                          <w:t>，</w:t>
                        </w:r>
                        <w:r>
                          <w:rPr>
                            <w:rFonts w:ascii="宋体" w:hAnsi="宋体" w:cs="宋体" w:eastAsia="宋体" w:hint="default"/>
                            <w:sz w:val="18"/>
                            <w:szCs w:val="18"/>
                          </w:rPr>
                          <w:t>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w:t>
                        </w:r>
                        <w:r>
                          <w:rPr>
                            <w:rFonts w:ascii="宋体" w:hAnsi="宋体" w:cs="宋体" w:eastAsia="宋体" w:hint="default"/>
                            <w:spacing w:val="-2"/>
                            <w:sz w:val="18"/>
                            <w:szCs w:val="18"/>
                          </w:rPr>
                          <w:t>金</w:t>
                        </w:r>
                        <w:r>
                          <w:rPr>
                            <w:rFonts w:ascii="宋体" w:hAnsi="宋体" w:cs="宋体" w:eastAsia="宋体" w:hint="default"/>
                            <w:sz w:val="18"/>
                            <w:szCs w:val="18"/>
                          </w:rPr>
                          <w:t>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24"/>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不送红股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不以公积金转增股本，本次利润分配共计派发现金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306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,73</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9"/>
        <w:ind w:right="984"/>
        <w:jc w:val="left"/>
        <w:rPr>
          <w:rFonts w:ascii="Tahoma" w:hAnsi="Tahoma" w:cs="Tahoma" w:eastAsia="Tahoma" w:hint="default"/>
        </w:rPr>
      </w:pPr>
      <w:r>
        <w:rPr/>
        <w:t>三、承诺事项履行情况</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61" w:lineRule="auto"/>
        <w:ind w:right="984"/>
        <w:jc w:val="left"/>
        <w:rPr>
          <w:rFonts w:ascii="Tahoma" w:hAnsi="Tahoma" w:cs="Tahoma" w:eastAsia="Tahoma" w:hint="default"/>
        </w:rPr>
      </w:pPr>
      <w:r>
        <w:rPr>
          <w:rFonts w:ascii="Tahoma" w:hAnsi="Tahoma" w:cs="Tahoma" w:eastAsia="Tahoma" w:hint="default"/>
        </w:rPr>
        <w:t>1</w:t>
      </w:r>
      <w:r>
        <w:rPr/>
        <w:t>、公司实际控制人、股东、关联方、收购人以及公司等承诺相关方在报告期内履行完毕及截至报告期末</w:t>
      </w:r>
      <w:r>
        <w:rPr>
          <w:spacing w:val="-38"/>
        </w:rPr>
        <w:t> </w:t>
      </w:r>
      <w:r>
        <w:rPr>
          <w:spacing w:val="-38"/>
        </w:rPr>
      </w:r>
      <w:r>
        <w:rPr/>
        <w:t>尚未履行完毕的承诺事项</w:t>
      </w:r>
      <w:r>
        <w:rPr>
          <w:rFonts w:ascii="Tahoma" w:hAnsi="Tahoma" w:cs="Tahoma" w:eastAsia="Tahoma" w:hint="default"/>
          <w:w w:val="80"/>
        </w:rPr>
        <w:t> </w:t>
      </w:r>
      <w:r>
        <w:rPr>
          <w:rFonts w:ascii="Tahoma" w:hAnsi="Tahoma" w:cs="Tahoma" w:eastAsia="Tahoma" w:hint="default"/>
        </w:rPr>
      </w:r>
    </w:p>
    <w:p>
      <w:pPr>
        <w:spacing w:line="240" w:lineRule="auto" w:before="1"/>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3D3D3"/>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234" w:hRule="exact"/>
        </w:trPr>
        <w:tc>
          <w:tcPr>
            <w:tcW w:w="2837"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6" w:right="18"/>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方面的承诺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9"/>
              <w:jc w:val="left"/>
              <w:rPr>
                <w:rFonts w:ascii="宋体" w:hAnsi="宋体" w:cs="宋体" w:eastAsia="宋体" w:hint="default"/>
                <w:sz w:val="18"/>
                <w:szCs w:val="18"/>
              </w:rPr>
            </w:pPr>
            <w:r>
              <w:rPr>
                <w:rFonts w:ascii="宋体" w:hAnsi="宋体" w:cs="宋体" w:eastAsia="宋体" w:hint="default"/>
                <w:sz w:val="18"/>
                <w:szCs w:val="18"/>
              </w:rPr>
              <w:t>目前不存在， 将来也不会 存在任何直 接或间接与 被承诺方集 团的业务构 成竞争的业 务，亦不会以 任何形式（包</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正常履行过 程中</w:t>
            </w:r>
          </w:p>
        </w:tc>
      </w:tr>
      <w:tr>
        <w:trPr>
          <w:trHeight w:val="391" w:hRule="exact"/>
        </w:trPr>
        <w:tc>
          <w:tcPr>
            <w:tcW w:w="28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1234" w:hRule="exact"/>
        </w:trPr>
        <w:tc>
          <w:tcPr>
            <w:tcW w:w="283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括但不限于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通过控股子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公司、合资经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营、合作经营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或拥有在其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他公司或企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业的股票或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权益等）从事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与被承诺方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集团有竞争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或构成竞争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的业务；对于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自己将来可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能出现的下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属全资子公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司、控股子公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司、能实际控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业、参股企业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所从事的业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务与被承诺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方集团有竞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争或构成竞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争的情况，承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诺在被承诺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方集团提出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要求时转让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自己在该等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企业中的全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部出资或股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份。并承诺给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予被承诺方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集团对该等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出资或股份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的优先购买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权，并尽力促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使有关交易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的价格是公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平合理且基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于与独立第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三者进行正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常商业交易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的基础确定；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承诺不向其</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业务与被承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诺方集团所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从事的业务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其他公司、企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业或其他机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构、组织或个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人提供销售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渠道、客户信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息等商业秘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密；承诺赔偿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被承诺方集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团因自己违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反本协议的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任何条款而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遭受或产生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的任何损失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或开支。</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4" w:hRule="exact"/>
        </w:trPr>
        <w:tc>
          <w:tcPr>
            <w:tcW w:w="2836" w:type="dxa"/>
            <w:vMerge/>
            <w:tcBorders>
              <w:left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如因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月前没有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为员工缴纳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养老及失业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保险、住房公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积金而产生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20"/>
              <w:jc w:val="left"/>
              <w:rPr>
                <w:rFonts w:ascii="宋体" w:hAnsi="宋体" w:cs="宋体" w:eastAsia="宋体" w:hint="default"/>
                <w:sz w:val="18"/>
                <w:szCs w:val="18"/>
              </w:rPr>
            </w:pPr>
            <w:r>
              <w:rPr>
                <w:rFonts w:ascii="宋体" w:hAnsi="宋体" w:cs="宋体" w:eastAsia="宋体" w:hint="default"/>
                <w:spacing w:val="-3"/>
                <w:sz w:val="18"/>
                <w:szCs w:val="18"/>
              </w:rPr>
              <w:t>王海鹏、王治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军</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89"/>
              <w:jc w:val="left"/>
              <w:rPr>
                <w:rFonts w:ascii="宋体" w:hAnsi="宋体" w:cs="宋体" w:eastAsia="宋体" w:hint="default"/>
                <w:sz w:val="18"/>
                <w:szCs w:val="18"/>
              </w:rPr>
            </w:pPr>
            <w:r>
              <w:rPr>
                <w:rFonts w:ascii="宋体" w:hAnsi="宋体" w:cs="宋体" w:eastAsia="宋体" w:hint="default"/>
                <w:sz w:val="18"/>
                <w:szCs w:val="18"/>
              </w:rPr>
              <w:t>补缴义务或 公司因此遭</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170"/>
              <w:jc w:val="left"/>
              <w:rPr>
                <w:rFonts w:ascii="宋体" w:hAnsi="宋体" w:cs="宋体" w:eastAsia="宋体" w:hint="default"/>
                <w:sz w:val="18"/>
                <w:szCs w:val="18"/>
              </w:rPr>
            </w:pPr>
            <w:r>
              <w:rPr>
                <w:rFonts w:ascii="宋体" w:hAnsi="宋体" w:cs="宋体" w:eastAsia="宋体" w:hint="default"/>
                <w:sz w:val="18"/>
                <w:szCs w:val="18"/>
              </w:rPr>
              <w:t>正常履行过 程中</w:t>
            </w: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受任何损失，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由王海鹏、王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治军以连带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责任形式对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公司进行补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偿。</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2836" w:type="dxa"/>
            <w:vMerge/>
            <w:tcBorders>
              <w:left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19"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4" w:right="7"/>
              <w:jc w:val="left"/>
              <w:rPr>
                <w:rFonts w:ascii="宋体" w:hAnsi="宋体" w:cs="宋体" w:eastAsia="宋体" w:hint="default"/>
                <w:sz w:val="18"/>
                <w:szCs w:val="18"/>
              </w:rPr>
            </w:pPr>
            <w:r>
              <w:rPr>
                <w:rFonts w:ascii="宋体" w:hAnsi="宋体" w:cs="宋体" w:eastAsia="宋体" w:hint="default"/>
                <w:sz w:val="18"/>
                <w:szCs w:val="18"/>
              </w:rPr>
              <w:t>张珍义、黄 琳、刘征兵、 </w:t>
            </w:r>
            <w:r>
              <w:rPr>
                <w:rFonts w:ascii="宋体" w:hAnsi="宋体" w:cs="宋体" w:eastAsia="宋体" w:hint="default"/>
                <w:spacing w:val="-3"/>
                <w:sz w:val="18"/>
                <w:szCs w:val="18"/>
              </w:rPr>
              <w:t>张建军、李伟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东、冯达昌、 袁宏贵</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9" w:lineRule="auto" w:before="2"/>
              <w:ind w:left="24" w:right="1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 开第四届董 事会第七次</w:t>
            </w:r>
          </w:p>
          <w:p>
            <w:pPr>
              <w:pStyle w:val="TableParagraph"/>
              <w:spacing w:line="316" w:lineRule="auto" w:before="24"/>
              <w:ind w:left="24" w:right="9"/>
              <w:jc w:val="left"/>
              <w:rPr>
                <w:rFonts w:ascii="宋体" w:hAnsi="宋体" w:cs="宋体" w:eastAsia="宋体" w:hint="default"/>
                <w:sz w:val="18"/>
                <w:szCs w:val="18"/>
              </w:rPr>
            </w:pPr>
            <w:r>
              <w:rPr>
                <w:rFonts w:ascii="宋体" w:hAnsi="宋体" w:cs="宋体" w:eastAsia="宋体" w:hint="default"/>
                <w:sz w:val="18"/>
                <w:szCs w:val="18"/>
              </w:rPr>
              <w:t>（临时）会 议，审议通过 公开发行可 转换公司债 券相关事项， 公司董事、高 级管理人员</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p>
          <w:p>
            <w:pPr>
              <w:pStyle w:val="TableParagraph"/>
              <w:spacing w:line="316" w:lineRule="auto" w:before="63"/>
              <w:ind w:left="23" w:right="185"/>
              <w:jc w:val="both"/>
              <w:rPr>
                <w:rFonts w:ascii="宋体" w:hAnsi="宋体" w:cs="宋体" w:eastAsia="宋体" w:hint="default"/>
                <w:sz w:val="18"/>
                <w:szCs w:val="18"/>
              </w:rPr>
            </w:pPr>
            <w:r>
              <w:rPr>
                <w:rFonts w:ascii="宋体" w:hAnsi="宋体" w:cs="宋体" w:eastAsia="宋体" w:hint="default"/>
                <w:sz w:val="18"/>
                <w:szCs w:val="18"/>
              </w:rPr>
              <w:t>日至公司公 开发行可转 换公司债券 实施完毕</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38"/>
              <w:ind w:left="23" w:right="-8"/>
              <w:jc w:val="left"/>
              <w:rPr>
                <w:rFonts w:ascii="宋体" w:hAnsi="宋体" w:cs="宋体" w:eastAsia="宋体" w:hint="default"/>
                <w:sz w:val="18"/>
                <w:szCs w:val="18"/>
              </w:rPr>
            </w:pPr>
            <w:r>
              <w:rPr>
                <w:rFonts w:ascii="宋体" w:hAnsi="宋体" w:cs="宋体" w:eastAsia="宋体" w:hint="default"/>
                <w:sz w:val="18"/>
                <w:szCs w:val="18"/>
              </w:rPr>
              <w:t>公开发行可 转换公司债 券事项经公 司第四届董 事会第十五 </w:t>
            </w:r>
            <w:r>
              <w:rPr>
                <w:rFonts w:ascii="宋体" w:hAnsi="宋体" w:cs="宋体" w:eastAsia="宋体" w:hint="default"/>
                <w:spacing w:val="-5"/>
                <w:sz w:val="18"/>
                <w:szCs w:val="18"/>
              </w:rPr>
              <w:t>次（临时）会</w:t>
            </w:r>
            <w:r>
              <w:rPr>
                <w:rFonts w:ascii="宋体" w:hAnsi="宋体" w:cs="宋体" w:eastAsia="宋体" w:hint="default"/>
                <w:sz w:val="18"/>
                <w:szCs w:val="18"/>
              </w:rPr>
              <w:t> 议决议终止， 该承诺事项 已履行完毕。</w:t>
            </w:r>
          </w:p>
        </w:tc>
      </w:tr>
      <w:tr>
        <w:trPr>
          <w:trHeight w:val="312"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承诺忠实、勤</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559998pt;margin-top:72.479996pt;width:61.8pt;height:686.4pt;mso-position-horizontal-relative:page;mso-position-vertical-relative:page;z-index:-1321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5"/>
              <w:jc w:val="center"/>
              <w:rPr>
                <w:rFonts w:ascii="宋体" w:hAnsi="宋体" w:cs="宋体" w:eastAsia="宋体" w:hint="default"/>
                <w:sz w:val="18"/>
                <w:szCs w:val="18"/>
              </w:rPr>
            </w:pPr>
            <w:r>
              <w:rPr>
                <w:rFonts w:ascii="宋体" w:hAnsi="宋体" w:cs="宋体" w:eastAsia="宋体" w:hint="default"/>
                <w:sz w:val="18"/>
                <w:szCs w:val="18"/>
              </w:rPr>
              <w:t>勉地履行职</w:t>
            </w:r>
          </w:p>
        </w:tc>
        <w:tc>
          <w:tcPr>
            <w:tcW w:w="1126" w:type="dxa"/>
            <w:vMerge w:val="restart"/>
            <w:tcBorders>
              <w:top w:val="single" w:sz="4" w:space="0" w:color="000000"/>
              <w:left w:val="single" w:sz="4" w:space="0" w:color="000000"/>
              <w:right w:val="single" w:sz="4" w:space="0" w:color="000000"/>
            </w:tcBorders>
          </w:tcPr>
          <w:p>
            <w:pPr>
              <w:pStyle w:val="TableParagraph"/>
              <w:spacing w:line="1372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4pt;mso-position-horizontal-relative:char;mso-position-vertical-relative:line" coordorigin="0,0" coordsize="1116,13728">
                  <v:group style="position:absolute;left:0;top:0;width:1116;height:13728" coordorigin="0,0" coordsize="1116,13728">
                    <v:shape style="position:absolute;left:0;top:0;width:1116;height:13728" coordorigin="0,0" coordsize="1116,13728" path="m1116,13728l0,13728,0,0,1116,0,1116,13728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3" w:right="0"/>
              <w:jc w:val="center"/>
              <w:rPr>
                <w:rFonts w:ascii="宋体" w:hAnsi="宋体" w:cs="宋体" w:eastAsia="宋体" w:hint="default"/>
                <w:sz w:val="18"/>
                <w:szCs w:val="18"/>
              </w:rPr>
            </w:pPr>
            <w:r>
              <w:rPr>
                <w:rFonts w:ascii="宋体" w:hAnsi="宋体" w:cs="宋体" w:eastAsia="宋体" w:hint="default"/>
                <w:sz w:val="18"/>
                <w:szCs w:val="18"/>
              </w:rPr>
              <w:t>责，维护公司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和全体股东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2" w:right="0"/>
              <w:jc w:val="center"/>
              <w:rPr>
                <w:rFonts w:ascii="宋体" w:hAnsi="宋体" w:cs="宋体" w:eastAsia="宋体" w:hint="default"/>
                <w:sz w:val="18"/>
                <w:szCs w:val="18"/>
              </w:rPr>
            </w:pPr>
            <w:r>
              <w:rPr>
                <w:rFonts w:ascii="宋体" w:hAnsi="宋体" w:cs="宋体" w:eastAsia="宋体" w:hint="default"/>
                <w:sz w:val="18"/>
                <w:szCs w:val="18"/>
              </w:rPr>
              <w:t>的合法权益，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并根据中国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证监会相关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规定对公司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填补回报措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施能够得到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切实履行作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2" w:right="0"/>
              <w:jc w:val="center"/>
              <w:rPr>
                <w:rFonts w:ascii="宋体" w:hAnsi="宋体" w:cs="宋体" w:eastAsia="宋体" w:hint="default"/>
                <w:sz w:val="18"/>
                <w:szCs w:val="18"/>
              </w:rPr>
            </w:pPr>
            <w:r>
              <w:rPr>
                <w:rFonts w:ascii="宋体" w:hAnsi="宋体" w:cs="宋体" w:eastAsia="宋体" w:hint="default"/>
                <w:sz w:val="18"/>
                <w:szCs w:val="18"/>
              </w:rPr>
              <w:t>出如下承诺：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、承诺不无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65"/>
              <w:jc w:val="center"/>
              <w:rPr>
                <w:rFonts w:ascii="宋体" w:hAnsi="宋体" w:cs="宋体" w:eastAsia="宋体" w:hint="default"/>
                <w:sz w:val="18"/>
                <w:szCs w:val="18"/>
              </w:rPr>
            </w:pPr>
            <w:r>
              <w:rPr>
                <w:rFonts w:ascii="宋体" w:hAnsi="宋体" w:cs="宋体" w:eastAsia="宋体" w:hint="default"/>
                <w:sz w:val="18"/>
                <w:szCs w:val="18"/>
              </w:rPr>
              <w:t>偿或以不公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平条件向其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他单位或者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个人输送利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3" w:right="0"/>
              <w:jc w:val="center"/>
              <w:rPr>
                <w:rFonts w:ascii="宋体" w:hAnsi="宋体" w:cs="宋体" w:eastAsia="宋体" w:hint="default"/>
                <w:sz w:val="18"/>
                <w:szCs w:val="18"/>
              </w:rPr>
            </w:pPr>
            <w:r>
              <w:rPr>
                <w:rFonts w:ascii="宋体" w:hAnsi="宋体" w:cs="宋体" w:eastAsia="宋体" w:hint="default"/>
                <w:sz w:val="18"/>
                <w:szCs w:val="18"/>
              </w:rPr>
              <w:t>益，也不采用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其他方式损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2" w:right="0"/>
              <w:jc w:val="center"/>
              <w:rPr>
                <w:rFonts w:ascii="宋体" w:hAnsi="宋体" w:cs="宋体" w:eastAsia="宋体" w:hint="default"/>
                <w:sz w:val="18"/>
                <w:szCs w:val="18"/>
              </w:rPr>
            </w:pPr>
            <w:r>
              <w:rPr>
                <w:rFonts w:ascii="宋体" w:hAnsi="宋体" w:cs="宋体" w:eastAsia="宋体" w:hint="default"/>
                <w:sz w:val="18"/>
                <w:szCs w:val="18"/>
              </w:rPr>
              <w:t>害公司利益；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、承诺对自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65"/>
              <w:jc w:val="center"/>
              <w:rPr>
                <w:rFonts w:ascii="宋体" w:hAnsi="宋体" w:cs="宋体" w:eastAsia="宋体" w:hint="default"/>
                <w:sz w:val="18"/>
                <w:szCs w:val="18"/>
              </w:rPr>
            </w:pPr>
            <w:r>
              <w:rPr>
                <w:rFonts w:ascii="宋体" w:hAnsi="宋体" w:cs="宋体" w:eastAsia="宋体" w:hint="default"/>
                <w:sz w:val="18"/>
                <w:szCs w:val="18"/>
              </w:rPr>
              <w:t>身的职务消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费行为进行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74"/>
              <w:jc w:val="center"/>
              <w:rPr>
                <w:rFonts w:ascii="宋体" w:hAnsi="宋体" w:cs="宋体" w:eastAsia="宋体" w:hint="default"/>
                <w:sz w:val="18"/>
                <w:szCs w:val="18"/>
              </w:rPr>
            </w:pPr>
            <w:r>
              <w:rPr>
                <w:rFonts w:ascii="宋体" w:hAnsi="宋体" w:cs="宋体" w:eastAsia="宋体" w:hint="default"/>
                <w:sz w:val="18"/>
                <w:szCs w:val="18"/>
              </w:rPr>
              <w:t>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65"/>
              <w:jc w:val="center"/>
              <w:rPr>
                <w:rFonts w:ascii="宋体" w:hAnsi="宋体" w:cs="宋体" w:eastAsia="宋体" w:hint="default"/>
                <w:sz w:val="18"/>
                <w:szCs w:val="18"/>
              </w:rPr>
            </w:pPr>
            <w:r>
              <w:rPr>
                <w:rFonts w:ascii="宋体" w:hAnsi="宋体" w:cs="宋体" w:eastAsia="宋体" w:hint="default"/>
                <w:sz w:val="18"/>
                <w:szCs w:val="18"/>
              </w:rPr>
              <w:t>诺不动用公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司资产从事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与其履行职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责无关的投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资、消费活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74"/>
              <w:jc w:val="center"/>
              <w:rPr>
                <w:rFonts w:ascii="宋体" w:hAnsi="宋体" w:cs="宋体" w:eastAsia="宋体" w:hint="default"/>
                <w:sz w:val="18"/>
                <w:szCs w:val="18"/>
              </w:rPr>
            </w:pPr>
            <w:r>
              <w:rPr>
                <w:rFonts w:ascii="宋体" w:hAnsi="宋体" w:cs="宋体" w:eastAsia="宋体" w:hint="default"/>
                <w:sz w:val="18"/>
                <w:szCs w:val="18"/>
              </w:rPr>
              <w:t>动；</w:t>
            </w:r>
            <w:r>
              <w:rPr>
                <w:rFonts w:ascii="Times New Roman" w:hAnsi="Times New Roman" w:cs="Times New Roman" w:eastAsia="Times New Roman" w:hint="default"/>
                <w:sz w:val="18"/>
                <w:szCs w:val="18"/>
              </w:rPr>
              <w:t>4</w:t>
            </w:r>
            <w:r>
              <w:rPr>
                <w:rFonts w:ascii="宋体" w:hAnsi="宋体" w:cs="宋体" w:eastAsia="宋体" w:hint="default"/>
                <w:sz w:val="18"/>
                <w:szCs w:val="18"/>
              </w:rPr>
              <w:t>、承诺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65"/>
              <w:jc w:val="center"/>
              <w:rPr>
                <w:rFonts w:ascii="宋体" w:hAnsi="宋体" w:cs="宋体" w:eastAsia="宋体" w:hint="default"/>
                <w:sz w:val="18"/>
                <w:szCs w:val="18"/>
              </w:rPr>
            </w:pPr>
            <w:r>
              <w:rPr>
                <w:rFonts w:ascii="宋体" w:hAnsi="宋体" w:cs="宋体" w:eastAsia="宋体" w:hint="default"/>
                <w:sz w:val="18"/>
                <w:szCs w:val="18"/>
              </w:rPr>
              <w:t>由董事会或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薪酬委员会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制定的薪酬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制度与公司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填补回报措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施的执行情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况相挂钩；</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65"/>
              <w:jc w:val="center"/>
              <w:rPr>
                <w:rFonts w:ascii="宋体" w:hAnsi="宋体" w:cs="宋体" w:eastAsia="宋体" w:hint="default"/>
                <w:sz w:val="18"/>
                <w:szCs w:val="18"/>
              </w:rPr>
            </w:pPr>
            <w:r>
              <w:rPr>
                <w:rFonts w:ascii="宋体" w:hAnsi="宋体" w:cs="宋体" w:eastAsia="宋体" w:hint="default"/>
                <w:sz w:val="18"/>
                <w:szCs w:val="18"/>
              </w:rPr>
              <w:t>若公司后续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推出股权激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3" w:right="0"/>
              <w:jc w:val="center"/>
              <w:rPr>
                <w:rFonts w:ascii="宋体" w:hAnsi="宋体" w:cs="宋体" w:eastAsia="宋体" w:hint="default"/>
                <w:sz w:val="18"/>
                <w:szCs w:val="18"/>
              </w:rPr>
            </w:pPr>
            <w:r>
              <w:rPr>
                <w:rFonts w:ascii="宋体" w:hAnsi="宋体" w:cs="宋体" w:eastAsia="宋体" w:hint="default"/>
                <w:sz w:val="18"/>
                <w:szCs w:val="18"/>
              </w:rPr>
              <w:t>励政策，本人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承诺拟公布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的公司股权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激励的行权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条件与公司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填补回报措</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559998pt;margin-top:72.479996pt;width:61.8pt;height:610.450pt;mso-position-horizontal-relative:page;mso-position-vertical-relative:page;z-index:-13218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3"/>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施的执行情</w:t>
            </w:r>
          </w:p>
        </w:tc>
        <w:tc>
          <w:tcPr>
            <w:tcW w:w="1126" w:type="dxa"/>
            <w:vMerge w:val="restart"/>
            <w:tcBorders>
              <w:top w:val="single" w:sz="4" w:space="0" w:color="000000"/>
              <w:left w:val="single" w:sz="4" w:space="0" w:color="000000"/>
              <w:right w:val="single" w:sz="4" w:space="0" w:color="000000"/>
            </w:tcBorders>
          </w:tcPr>
          <w:p>
            <w:pPr>
              <w:pStyle w:val="TableParagraph"/>
              <w:spacing w:line="1220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3"/>
                <w:sz w:val="20"/>
                <w:szCs w:val="20"/>
              </w:rPr>
              <w:pict>
                <v:group style="width:55.8pt;height:610.450pt;mso-position-horizontal-relative:char;mso-position-vertical-relative:line" coordorigin="0,0" coordsize="1116,12209">
                  <v:group style="position:absolute;left:0;top:0;width:1116;height:12209" coordorigin="0,0" coordsize="1116,12209">
                    <v:shape style="position:absolute;left:0;top:0;width:1116;height:12209" coordorigin="0,0" coordsize="1116,12209" path="m1116,12209l0,12209,0,0,1116,0,1116,12209xe" filled="true" fillcolor="#ffffff" stroked="false">
                      <v:path arrowok="t"/>
                      <v:fill type="solid"/>
                    </v:shape>
                  </v:group>
                </v:group>
              </w:pict>
            </w:r>
            <w:r>
              <w:rPr>
                <w:rFonts w:ascii="Times New Roman" w:hAnsi="Times New Roman" w:cs="Times New Roman" w:eastAsia="Times New Roman" w:hint="default"/>
                <w:position w:val="-243"/>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况相挂钩；</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自本承诺出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具日至公司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本次发行可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转换公司债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券实施完毕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前，若证监会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作出关于填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补回报措施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及其承诺的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其他新的监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管规定的，且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上述承诺不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能满足中国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证监会该等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规定时，本人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承诺届时将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按照中国证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监会的最新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规定出具补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充承诺；</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承诺切实履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行公司制定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的有关填补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回报措施以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及本人对此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作出的任何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有关填补回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报措施的承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诺，若违反该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等承诺并给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公司或者投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资者造成损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失的，本人愿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意依法承担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对公司或者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投资者的补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偿责任。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74" w:hRule="exact"/>
        </w:trPr>
        <w:tc>
          <w:tcPr>
            <w:tcW w:w="2836" w:type="dxa"/>
            <w:vMerge/>
            <w:tcBorders>
              <w:left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p>
        </w:tc>
        <w:tc>
          <w:tcPr>
            <w:tcW w:w="11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公开发行可</w:t>
            </w:r>
          </w:p>
        </w:tc>
      </w:tr>
      <w:tr>
        <w:trPr>
          <w:trHeight w:val="935"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9" w:lineRule="auto" w:before="11"/>
              <w:ind w:left="24" w:right="1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 开第四届董 事会第七次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日至公司公 开发行可转 换公司债券</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70"/>
              <w:jc w:val="both"/>
              <w:rPr>
                <w:rFonts w:ascii="宋体" w:hAnsi="宋体" w:cs="宋体" w:eastAsia="宋体" w:hint="default"/>
                <w:sz w:val="18"/>
                <w:szCs w:val="18"/>
              </w:rPr>
            </w:pPr>
            <w:r>
              <w:rPr>
                <w:rFonts w:ascii="宋体" w:hAnsi="宋体" w:cs="宋体" w:eastAsia="宋体" w:hint="default"/>
                <w:sz w:val="18"/>
                <w:szCs w:val="18"/>
              </w:rPr>
              <w:t>转换公司债 券事项经公 司第四届董</w:t>
            </w:r>
          </w:p>
        </w:tc>
      </w:tr>
      <w:tr>
        <w:trPr>
          <w:trHeight w:val="340"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（临时）会</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18"/>
                <w:szCs w:val="18"/>
              </w:rPr>
            </w:pPr>
            <w:r>
              <w:rPr>
                <w:rFonts w:ascii="宋体" w:hAnsi="宋体" w:cs="宋体" w:eastAsia="宋体" w:hint="default"/>
                <w:sz w:val="18"/>
                <w:szCs w:val="18"/>
              </w:rPr>
              <w:t>实施完毕</w:t>
            </w:r>
          </w:p>
        </w:tc>
        <w:tc>
          <w:tcPr>
            <w:tcW w:w="11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事会第十五</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议，审议通过</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5"/>
                <w:sz w:val="18"/>
                <w:szCs w:val="18"/>
              </w:rPr>
              <w:t>次（临时）会</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公开发行可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8"/>
              <w:jc w:val="left"/>
              <w:rPr>
                <w:rFonts w:ascii="宋体" w:hAnsi="宋体" w:cs="宋体" w:eastAsia="宋体" w:hint="default"/>
                <w:sz w:val="18"/>
                <w:szCs w:val="18"/>
              </w:rPr>
            </w:pPr>
            <w:r>
              <w:rPr>
                <w:rFonts w:ascii="宋体" w:hAnsi="宋体" w:cs="宋体" w:eastAsia="宋体" w:hint="default"/>
                <w:sz w:val="18"/>
                <w:szCs w:val="18"/>
              </w:rPr>
              <w:t>议决议终止，</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转换公司债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该承诺事项</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2" w:right="0"/>
              <w:jc w:val="center"/>
              <w:rPr>
                <w:rFonts w:ascii="宋体" w:hAnsi="宋体" w:cs="宋体" w:eastAsia="宋体" w:hint="default"/>
                <w:sz w:val="18"/>
                <w:szCs w:val="18"/>
              </w:rPr>
            </w:pPr>
            <w:r>
              <w:rPr>
                <w:rFonts w:ascii="宋体" w:hAnsi="宋体" w:cs="宋体" w:eastAsia="宋体" w:hint="default"/>
                <w:sz w:val="18"/>
                <w:szCs w:val="18"/>
              </w:rPr>
              <w:t>券相关事项，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8"/>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3" w:right="0"/>
              <w:jc w:val="center"/>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74"/>
              <w:jc w:val="center"/>
              <w:rPr>
                <w:rFonts w:ascii="宋体" w:hAnsi="宋体" w:cs="宋体" w:eastAsia="宋体" w:hint="default"/>
                <w:sz w:val="18"/>
                <w:szCs w:val="18"/>
              </w:rPr>
            </w:pPr>
            <w:r>
              <w:rPr>
                <w:rFonts w:ascii="宋体" w:hAnsi="宋体" w:cs="宋体" w:eastAsia="宋体" w:hint="default"/>
                <w:sz w:val="18"/>
                <w:szCs w:val="18"/>
              </w:rPr>
              <w:t>人承诺：</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65"/>
              <w:jc w:val="center"/>
              <w:rPr>
                <w:rFonts w:ascii="宋体" w:hAnsi="宋体" w:cs="宋体" w:eastAsia="宋体" w:hint="default"/>
                <w:sz w:val="18"/>
                <w:szCs w:val="18"/>
              </w:rPr>
            </w:pPr>
            <w:r>
              <w:rPr>
                <w:rFonts w:ascii="宋体" w:hAnsi="宋体" w:cs="宋体" w:eastAsia="宋体" w:hint="default"/>
                <w:sz w:val="18"/>
                <w:szCs w:val="18"/>
              </w:rPr>
              <w:t>不越权干预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公司经营管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3" w:right="0"/>
              <w:jc w:val="center"/>
              <w:rPr>
                <w:rFonts w:ascii="宋体" w:hAnsi="宋体" w:cs="宋体" w:eastAsia="宋体" w:hint="default"/>
                <w:sz w:val="18"/>
                <w:szCs w:val="18"/>
              </w:rPr>
            </w:pPr>
            <w:r>
              <w:rPr>
                <w:rFonts w:ascii="宋体" w:hAnsi="宋体" w:cs="宋体" w:eastAsia="宋体" w:hint="default"/>
                <w:sz w:val="18"/>
                <w:szCs w:val="18"/>
              </w:rPr>
              <w:t>理活动，不侵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2" w:right="0"/>
              <w:jc w:val="center"/>
              <w:rPr>
                <w:rFonts w:ascii="宋体" w:hAnsi="宋体" w:cs="宋体" w:eastAsia="宋体" w:hint="default"/>
                <w:sz w:val="18"/>
                <w:szCs w:val="18"/>
              </w:rPr>
            </w:pPr>
            <w:r>
              <w:rPr>
                <w:rFonts w:ascii="宋体" w:hAnsi="宋体" w:cs="宋体" w:eastAsia="宋体" w:hint="default"/>
                <w:sz w:val="18"/>
                <w:szCs w:val="18"/>
              </w:rPr>
              <w:t>占公司利益；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65"/>
              <w:jc w:val="center"/>
              <w:rPr>
                <w:rFonts w:ascii="宋体" w:hAnsi="宋体" w:cs="宋体" w:eastAsia="宋体" w:hint="default"/>
                <w:sz w:val="18"/>
                <w:szCs w:val="18"/>
              </w:rPr>
            </w:pPr>
            <w:r>
              <w:rPr>
                <w:rFonts w:ascii="宋体" w:hAnsi="宋体" w:cs="宋体" w:eastAsia="宋体" w:hint="default"/>
                <w:sz w:val="18"/>
                <w:szCs w:val="18"/>
              </w:rPr>
              <w:t>出具日至公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司本次发行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可转换公司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债券实施完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3" w:right="0"/>
              <w:jc w:val="center"/>
              <w:rPr>
                <w:rFonts w:ascii="宋体" w:hAnsi="宋体" w:cs="宋体" w:eastAsia="宋体" w:hint="default"/>
                <w:sz w:val="18"/>
                <w:szCs w:val="18"/>
              </w:rPr>
            </w:pPr>
            <w:r>
              <w:rPr>
                <w:rFonts w:ascii="宋体" w:hAnsi="宋体" w:cs="宋体" w:eastAsia="宋体" w:hint="default"/>
                <w:sz w:val="18"/>
                <w:szCs w:val="18"/>
              </w:rPr>
              <w:t>毕前，若中国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证券监督管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理委员会作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出关于填补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回报措施及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其承诺的其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他新的监管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3" w:right="0"/>
              <w:jc w:val="center"/>
              <w:rPr>
                <w:rFonts w:ascii="宋体" w:hAnsi="宋体" w:cs="宋体" w:eastAsia="宋体" w:hint="default"/>
                <w:sz w:val="18"/>
                <w:szCs w:val="18"/>
              </w:rPr>
            </w:pPr>
            <w:r>
              <w:rPr>
                <w:rFonts w:ascii="宋体" w:hAnsi="宋体" w:cs="宋体" w:eastAsia="宋体" w:hint="default"/>
                <w:sz w:val="18"/>
                <w:szCs w:val="18"/>
              </w:rPr>
              <w:t>规定的，且上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述承诺不能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满足中国证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监会该等规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3" w:right="0"/>
              <w:jc w:val="center"/>
              <w:rPr>
                <w:rFonts w:ascii="宋体" w:hAnsi="宋体" w:cs="宋体" w:eastAsia="宋体" w:hint="default"/>
                <w:sz w:val="18"/>
                <w:szCs w:val="18"/>
              </w:rPr>
            </w:pPr>
            <w:r>
              <w:rPr>
                <w:rFonts w:ascii="宋体" w:hAnsi="宋体" w:cs="宋体" w:eastAsia="宋体" w:hint="default"/>
                <w:sz w:val="18"/>
                <w:szCs w:val="18"/>
              </w:rPr>
              <w:t>定时，本人承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诺届时将按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照中国证监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会的最新规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定出具补充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74"/>
              <w:jc w:val="center"/>
              <w:rPr>
                <w:rFonts w:ascii="宋体" w:hAnsi="宋体" w:cs="宋体" w:eastAsia="宋体" w:hint="default"/>
                <w:sz w:val="18"/>
                <w:szCs w:val="18"/>
              </w:rPr>
            </w:pPr>
            <w:r>
              <w:rPr>
                <w:rFonts w:ascii="宋体" w:hAnsi="宋体" w:cs="宋体" w:eastAsia="宋体" w:hint="default"/>
                <w:sz w:val="18"/>
                <w:szCs w:val="18"/>
              </w:rPr>
              <w:t>承诺；</w:t>
            </w:r>
            <w:r>
              <w:rPr>
                <w:rFonts w:ascii="Times New Roman" w:hAnsi="Times New Roman" w:cs="Times New Roman" w:eastAsia="Times New Roman" w:hint="default"/>
                <w:sz w:val="18"/>
                <w:szCs w:val="18"/>
              </w:rPr>
              <w:t>3</w:t>
            </w:r>
            <w:r>
              <w:rPr>
                <w:rFonts w:ascii="宋体" w:hAnsi="宋体" w:cs="宋体" w:eastAsia="宋体" w:hint="default"/>
                <w:sz w:val="18"/>
                <w:szCs w:val="18"/>
              </w:rPr>
              <w:t>、承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65"/>
              <w:jc w:val="center"/>
              <w:rPr>
                <w:rFonts w:ascii="宋体" w:hAnsi="宋体" w:cs="宋体" w:eastAsia="宋体" w:hint="default"/>
                <w:sz w:val="18"/>
                <w:szCs w:val="18"/>
              </w:rPr>
            </w:pPr>
            <w:r>
              <w:rPr>
                <w:rFonts w:ascii="宋体" w:hAnsi="宋体" w:cs="宋体" w:eastAsia="宋体" w:hint="default"/>
                <w:sz w:val="18"/>
                <w:szCs w:val="18"/>
              </w:rPr>
              <w:t>诺切实履行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公司制定的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有关填补回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报措施以及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对此作出的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任何有关填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补回报措施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3" w:right="0"/>
              <w:jc w:val="center"/>
              <w:rPr>
                <w:rFonts w:ascii="宋体" w:hAnsi="宋体" w:cs="宋体" w:eastAsia="宋体" w:hint="default"/>
                <w:sz w:val="18"/>
                <w:szCs w:val="18"/>
              </w:rPr>
            </w:pPr>
            <w:r>
              <w:rPr>
                <w:rFonts w:ascii="宋体" w:hAnsi="宋体" w:cs="宋体" w:eastAsia="宋体" w:hint="default"/>
                <w:sz w:val="18"/>
                <w:szCs w:val="18"/>
              </w:rPr>
              <w:t>的承诺。作为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填补回报措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施相关责任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3" w:right="0"/>
              <w:jc w:val="center"/>
              <w:rPr>
                <w:rFonts w:ascii="宋体" w:hAnsi="宋体" w:cs="宋体" w:eastAsia="宋体" w:hint="default"/>
                <w:sz w:val="18"/>
                <w:szCs w:val="18"/>
              </w:rPr>
            </w:pPr>
            <w:r>
              <w:rPr>
                <w:rFonts w:ascii="宋体" w:hAnsi="宋体" w:cs="宋体" w:eastAsia="宋体" w:hint="default"/>
                <w:sz w:val="18"/>
                <w:szCs w:val="18"/>
              </w:rPr>
              <w:t>主体之一，若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本人违反上</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述承诺并给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公司或者投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资者造成损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失的，本人愿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意依法承担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对公司或者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投资者的补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偿责任。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公司因与欧</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阳宣、西藏新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天地投资合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伙企业（有限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宋体" w:hAnsi="宋体" w:cs="宋体" w:eastAsia="宋体" w:hint="default"/>
                <w:spacing w:val="-92"/>
                <w:sz w:val="18"/>
                <w:szCs w:val="18"/>
              </w:rPr>
              <w:t>）</w:t>
            </w:r>
            <w:r>
              <w:rPr>
                <w:rFonts w:ascii="宋体" w:hAnsi="宋体" w:cs="宋体" w:eastAsia="宋体" w:hint="default"/>
                <w:sz w:val="18"/>
                <w:szCs w:val="18"/>
              </w:rPr>
              <w:t>、金之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彩之间股权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转让合同纠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纷已于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2016</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日向深圳仲</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裁委员会提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交了仲裁申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请，公司又于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日收到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24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189"/>
              <w:jc w:val="both"/>
              <w:rPr>
                <w:rFonts w:ascii="宋体" w:hAnsi="宋体" w:cs="宋体" w:eastAsia="宋体" w:hint="default"/>
                <w:sz w:val="18"/>
                <w:szCs w:val="18"/>
              </w:rPr>
            </w:pPr>
            <w:r>
              <w:rPr>
                <w:rFonts w:ascii="宋体" w:hAnsi="宋体" w:cs="宋体" w:eastAsia="宋体" w:hint="default"/>
                <w:sz w:val="18"/>
                <w:szCs w:val="18"/>
              </w:rPr>
              <w:t>深圳仲裁委 员会送达的 关于欧阳宣 针对上述仲</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6" w:lineRule="auto" w:before="138"/>
              <w:ind w:left="23" w:right="185"/>
              <w:jc w:val="both"/>
              <w:rPr>
                <w:rFonts w:ascii="宋体" w:hAnsi="宋体" w:cs="宋体" w:eastAsia="宋体" w:hint="default"/>
                <w:sz w:val="18"/>
                <w:szCs w:val="18"/>
              </w:rPr>
            </w:pPr>
            <w:r>
              <w:rPr>
                <w:rFonts w:ascii="宋体" w:hAnsi="宋体" w:cs="宋体" w:eastAsia="宋体" w:hint="default"/>
                <w:sz w:val="18"/>
                <w:szCs w:val="18"/>
              </w:rPr>
              <w:t>至仲裁裁决 结果执行完 毕</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正常履行过 程中</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裁申请提交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的《反请求仲</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裁申请》相关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文件（申请仲</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裁的事项详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见公司于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披露的</w:t>
            </w:r>
            <w:r>
              <w:rPr>
                <w:rFonts w:ascii="Times New Roman" w:hAnsi="Times New Roman" w:cs="Times New Roman" w:eastAsia="Times New Roman" w:hint="default"/>
                <w:sz w:val="18"/>
                <w:szCs w:val="18"/>
              </w:rPr>
              <w:t>&lt;</w:t>
            </w:r>
            <w:r>
              <w:rPr>
                <w:rFonts w:ascii="宋体" w:hAnsi="宋体" w:cs="宋体" w:eastAsia="宋体" w:hint="default"/>
                <w:sz w:val="18"/>
                <w:szCs w:val="18"/>
              </w:rPr>
              <w:t>关于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与欧阳宣、新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天地、金之彩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公司股权转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让合同纠纷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仲裁案相关</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0.23999pt;margin-top:387pt;width:63.15pt;height:376.45pt;mso-position-horizontal-relative:page;mso-position-vertical-relative:page;z-index:-1321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0"/>
                    <w:ind w:left="0" w:right="0"/>
                    <w:jc w:val="left"/>
                  </w:pPr>
                  <w:r>
                    <w:rPr/>
                    <w:t>）</w:t>
                  </w:r>
                </w:p>
              </w:txbxContent>
            </v:textbox>
            <w10:wrap type="none"/>
          </v:shape>
        </w:pict>
      </w:r>
      <w:r>
        <w:rPr/>
        <w:pict>
          <v:group style="position:absolute;margin-left:367.559998pt;margin-top:387pt;width:55.8pt;height:376.45pt;mso-position-horizontal-relative:page;mso-position-vertical-relative:page;z-index:-1321768" coordorigin="7351,7740" coordsize="1116,7529">
            <v:group style="position:absolute;left:7351;top:7740;width:1116;height:7529" coordorigin="7351,7740" coordsize="1116,7529">
              <v:shape style="position:absolute;left:7351;top:7740;width:1116;height:7529" coordorigin="7351,7740" coordsize="1116,7529" path="m7351,7740l8467,7740,8467,15269,7351,15269,7351,7740xe" filled="true" fillcolor="#ffffff" stroked="false">
                <v:path arrowok="t"/>
                <v:fill type="solid"/>
              </v:shape>
            </v:group>
            <v:group style="position:absolute;left:7375;top:11153;width:1071;height:351" coordorigin="7375,11153" coordsize="1071,351">
              <v:shape style="position:absolute;left:7375;top:11153;width:1071;height:351" coordorigin="7375,11153" coordsize="1071,351" path="m7375,11153l8446,11153,8446,11503,7375,11503,7375,11153xe" filled="true" fillcolor="#ffffff" stroked="false">
                <v:path arrowok="t"/>
                <v:fill type="solid"/>
              </v:shape>
            </v:group>
            <v:group style="position:absolute;left:7375;top:11503;width:1071;height:353" coordorigin="7375,11503" coordsize="1071,353">
              <v:shape style="position:absolute;left:7375;top:11503;width:1071;height:353" coordorigin="7375,11503" coordsize="1071,353" path="m7375,11503l8446,11503,8446,11856,7375,11856,7375,1150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事项的公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pacing w:val="-1"/>
                <w:w w:val="99"/>
                <w:sz w:val="18"/>
                <w:szCs w:val="18"/>
              </w:rPr>
              <w:t>&gt;</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王海鹏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先生作为公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司的控股股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东，为积极维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护广大投资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者利益，于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pacing w:val="-4"/>
                <w:sz w:val="18"/>
                <w:szCs w:val="18"/>
              </w:rPr>
              <w:t>11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出如下承诺：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如公司因本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次股权转让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合同纠纷仲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裁案仲裁结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果而需要支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付任何违约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金及仲裁相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关费用，王海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鹏先生将全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部承担。</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3" w:hRule="exact"/>
        </w:trPr>
        <w:tc>
          <w:tcPr>
            <w:tcW w:w="2836" w:type="dxa"/>
            <w:vMerge/>
            <w:tcBorders>
              <w:left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金之彩原股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东西藏新天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地投资合伙</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企业（有限合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92"/>
                <w:sz w:val="18"/>
                <w:szCs w:val="18"/>
              </w:rPr>
              <w:t>）</w:t>
            </w:r>
            <w:r>
              <w:rPr>
                <w:rFonts w:ascii="宋体" w:hAnsi="宋体" w:cs="宋体" w:eastAsia="宋体" w:hint="default"/>
                <w:sz w:val="18"/>
                <w:szCs w:val="18"/>
              </w:rPr>
              <w:t>（以下简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称</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新天地</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因金之彩公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司股权转让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合同纠纷向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深圳仲裁委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003"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8"/>
              <w:jc w:val="left"/>
              <w:rPr>
                <w:rFonts w:ascii="宋体" w:hAnsi="宋体" w:cs="宋体" w:eastAsia="宋体" w:hint="default"/>
                <w:sz w:val="18"/>
                <w:szCs w:val="18"/>
              </w:rPr>
            </w:pPr>
            <w:r>
              <w:rPr>
                <w:rFonts w:ascii="宋体" w:hAnsi="宋体" w:cs="宋体" w:eastAsia="宋体" w:hint="default"/>
                <w:sz w:val="18"/>
                <w:szCs w:val="18"/>
              </w:rPr>
              <w:t>员会提交了 </w:t>
            </w:r>
            <w:r>
              <w:rPr>
                <w:rFonts w:ascii="宋体" w:hAnsi="宋体" w:cs="宋体" w:eastAsia="宋体" w:hint="default"/>
                <w:spacing w:val="-2"/>
                <w:sz w:val="18"/>
                <w:szCs w:val="18"/>
              </w:rPr>
              <w:t>仲裁申请。公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6" w:lineRule="auto" w:before="140"/>
              <w:ind w:left="23" w:right="185"/>
              <w:jc w:val="both"/>
              <w:rPr>
                <w:rFonts w:ascii="宋体" w:hAnsi="宋体" w:cs="宋体" w:eastAsia="宋体" w:hint="default"/>
                <w:sz w:val="18"/>
                <w:szCs w:val="18"/>
              </w:rPr>
            </w:pPr>
            <w:r>
              <w:rPr>
                <w:rFonts w:ascii="宋体" w:hAnsi="宋体" w:cs="宋体" w:eastAsia="宋体" w:hint="default"/>
                <w:sz w:val="18"/>
                <w:szCs w:val="18"/>
              </w:rPr>
              <w:t>至仲裁裁决 结果执行完 毕</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4" w:lineRule="auto"/>
              <w:ind w:left="23" w:right="170"/>
              <w:jc w:val="left"/>
              <w:rPr>
                <w:rFonts w:ascii="宋体" w:hAnsi="宋体" w:cs="宋体" w:eastAsia="宋体" w:hint="default"/>
                <w:sz w:val="18"/>
                <w:szCs w:val="18"/>
              </w:rPr>
            </w:pPr>
            <w:r>
              <w:rPr>
                <w:rFonts w:ascii="宋体" w:hAnsi="宋体" w:cs="宋体" w:eastAsia="宋体" w:hint="default"/>
                <w:sz w:val="18"/>
                <w:szCs w:val="18"/>
              </w:rPr>
              <w:t>正常履行过 程中</w:t>
            </w:r>
          </w:p>
        </w:tc>
      </w:tr>
      <w:tr>
        <w:trPr>
          <w:trHeight w:val="246"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8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到了深圳仲</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裁委员会送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达的《仲裁申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请书》等相关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文件（申请仲</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裁的事项详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见公司于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日在巨潮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资讯网披露</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82" w:header="753" w:top="1060" w:bottom="1180" w:left="980" w:right="0"/>
          <w:pgNumType w:start="5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23"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w:t>
            </w:r>
            <w:r>
              <w:rPr>
                <w:rFonts w:ascii="Times New Roman" w:hAnsi="Times New Roman" w:cs="Times New Roman" w:eastAsia="Times New Roman" w:hint="default"/>
                <w:sz w:val="18"/>
                <w:szCs w:val="18"/>
              </w:rPr>
              <w:t>&lt;</w:t>
            </w:r>
            <w:r>
              <w:rPr>
                <w:rFonts w:ascii="宋体" w:hAnsi="宋体" w:cs="宋体" w:eastAsia="宋体" w:hint="default"/>
                <w:sz w:val="18"/>
                <w:szCs w:val="18"/>
              </w:rPr>
              <w:t>关于与欧</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阳宣、新天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地、金之彩公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司股权转让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合同纠纷仲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裁案有关事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项的公</w:t>
            </w:r>
            <w:r>
              <w:rPr>
                <w:rFonts w:ascii="宋体" w:hAnsi="宋体" w:cs="宋体" w:eastAsia="宋体" w:hint="default"/>
                <w:spacing w:val="-1"/>
                <w:sz w:val="18"/>
                <w:szCs w:val="18"/>
              </w:rPr>
              <w:t>告</w:t>
            </w:r>
            <w:r>
              <w:rPr>
                <w:rFonts w:ascii="Times New Roman" w:hAnsi="Times New Roman" w:cs="Times New Roman" w:eastAsia="Times New Roman" w:hint="default"/>
                <w:spacing w:val="-1"/>
                <w:w w:val="99"/>
                <w:sz w:val="18"/>
                <w:szCs w:val="18"/>
              </w:rPr>
              <w:t>&gt;</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王海鹏先生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为积极维护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广大投资者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利益，承诺如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公司因本次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新天地申请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的股权转让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合同纠纷仲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裁案仲裁结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果而需要支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付相关款项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及仲裁相关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费用，其本人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将全部承担。</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4" w:hRule="exact"/>
        </w:trPr>
        <w:tc>
          <w:tcPr>
            <w:tcW w:w="2836" w:type="dxa"/>
            <w:vMerge/>
            <w:tcBorders>
              <w:left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收到广东省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深圳市龙华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区人民法院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送达的《应诉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通知书》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民初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等诉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944"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8"/>
              <w:jc w:val="left"/>
              <w:rPr>
                <w:rFonts w:ascii="宋体" w:hAnsi="宋体" w:cs="宋体" w:eastAsia="宋体" w:hint="default"/>
                <w:sz w:val="18"/>
                <w:szCs w:val="18"/>
              </w:rPr>
            </w:pPr>
            <w:r>
              <w:rPr>
                <w:rFonts w:ascii="宋体" w:hAnsi="宋体" w:cs="宋体" w:eastAsia="宋体" w:hint="default"/>
                <w:spacing w:val="-2"/>
                <w:sz w:val="18"/>
                <w:szCs w:val="18"/>
              </w:rPr>
              <w:t>讼文件。本次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诉讼的原告 欧阳宣针对</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至诉讼审理 结果执行完 毕</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4" w:lineRule="auto" w:before="148"/>
              <w:ind w:left="23" w:right="170"/>
              <w:jc w:val="left"/>
              <w:rPr>
                <w:rFonts w:ascii="宋体" w:hAnsi="宋体" w:cs="宋体" w:eastAsia="宋体" w:hint="default"/>
                <w:sz w:val="18"/>
                <w:szCs w:val="18"/>
              </w:rPr>
            </w:pPr>
            <w:r>
              <w:rPr>
                <w:rFonts w:ascii="宋体" w:hAnsi="宋体" w:cs="宋体" w:eastAsia="宋体" w:hint="default"/>
                <w:sz w:val="18"/>
                <w:szCs w:val="18"/>
              </w:rPr>
              <w:t>正常履行过 程中</w:t>
            </w: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金之彩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日股东会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决议相关事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项，向龙华法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院提交了起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诉状。诉讼的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具体情况详</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见公司于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18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披露的《关于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收到应诉通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知书的公告》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8</w:t>
            </w:r>
            <w:r>
              <w:rPr>
                <w:rFonts w:ascii="宋体" w:hAnsi="宋体" w:cs="宋体" w:eastAsia="宋体" w:hint="default"/>
                <w:spacing w:val="-92"/>
                <w:sz w:val="18"/>
                <w:szCs w:val="18"/>
              </w:rPr>
              <w:t>）</w:t>
            </w:r>
            <w:r>
              <w:rPr>
                <w:rFonts w:ascii="宋体" w:hAnsi="宋体" w:cs="宋体" w:eastAsia="宋体" w:hint="default"/>
                <w:spacing w:val="-69"/>
                <w:sz w:val="18"/>
                <w:szCs w:val="18"/>
              </w:rPr>
              <w:t>。</w:t>
            </w:r>
            <w:r>
              <w:rPr>
                <w:rFonts w:ascii="宋体" w:hAnsi="宋体" w:cs="宋体" w:eastAsia="宋体" w:hint="default"/>
                <w:sz w:val="18"/>
                <w:szCs w:val="18"/>
              </w:rPr>
              <w:t>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海鹏先生作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为公司控股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股东，为积极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维护广大投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资者利益，增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加投资者信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心，基于对法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院依法公正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判决的信心，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同时基于公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司在包装行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业集中度加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速提升的大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背景下，自身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综合竞争力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持续提升，新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客户开发卓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有成效，新产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能不断释放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的良好局面，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承诺如公司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因本次诉讼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结果而需支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付赔偿金，其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本人将代为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承担。</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3"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w:t>
            </w:r>
          </w:p>
        </w:tc>
        <w:tc>
          <w:tcPr>
            <w:tcW w:w="6730"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细说明未完成履行的具体原因及下</w:t>
            </w:r>
          </w:p>
        </w:tc>
        <w:tc>
          <w:tcPr>
            <w:tcW w:w="6730"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2"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一步的工作计划</w:t>
            </w:r>
          </w:p>
        </w:tc>
        <w:tc>
          <w:tcPr>
            <w:tcW w:w="6730"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984"/>
        <w:jc w:val="left"/>
        <w:rPr>
          <w:rFonts w:ascii="Tahoma" w:hAnsi="Tahoma" w:cs="Tahoma" w:eastAsia="Tahoma" w:hint="default"/>
        </w:rPr>
      </w:pPr>
      <w:r>
        <w:rPr>
          <w:rFonts w:ascii="Tahoma" w:hAnsi="Tahoma" w:cs="Tahoma" w:eastAsia="Tahoma" w:hint="default"/>
        </w:rPr>
        <w:t>2</w:t>
      </w:r>
      <w:r>
        <w:rPr/>
        <w:t>、公司资产或项目存在盈利预测，且报告期仍处在盈利预测期间，公司就资产或项目达到原盈利预测及</w:t>
      </w:r>
      <w:r>
        <w:rPr>
          <w:spacing w:val="-38"/>
        </w:rPr>
        <w:t> </w:t>
      </w:r>
      <w:r>
        <w:rPr>
          <w:spacing w:val="-38"/>
        </w:rPr>
      </w:r>
      <w:r>
        <w:rPr/>
        <w:t>其原因做出说明</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53"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4"/>
        <w:jc w:val="left"/>
        <w:rPr>
          <w:rFonts w:ascii="Tahoma" w:hAnsi="Tahoma" w:cs="Tahoma" w:eastAsia="Tahoma" w:hint="default"/>
        </w:rPr>
      </w:pPr>
      <w:r>
        <w:rPr/>
        <w:t>四、控股股东及其关联方对上市公司的非经营性占用资金情况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984"/>
        <w:jc w:val="left"/>
        <w:rPr>
          <w:rFonts w:ascii="Tahoma" w:hAnsi="Tahoma" w:cs="Tahoma" w:eastAsia="Tahoma" w:hint="default"/>
        </w:rPr>
      </w:pPr>
      <w:r>
        <w:rPr/>
        <w:t>五、董事会、监事会、独立董事（如有）对会计师事务所本报告期</w:t>
      </w:r>
      <w:r>
        <w:rPr>
          <w:rFonts w:ascii="Tahoma" w:hAnsi="Tahoma" w:cs="Tahoma" w:eastAsia="Tahoma" w:hint="default"/>
        </w:rPr>
        <w:t>“</w:t>
      </w:r>
      <w:r>
        <w:rPr/>
        <w:t>非标准审计报告</w:t>
      </w:r>
      <w:r>
        <w:rPr>
          <w:rFonts w:ascii="Tahoma" w:hAnsi="Tahoma" w:cs="Tahoma" w:eastAsia="Tahoma" w:hint="default"/>
        </w:rPr>
        <w:t>”</w:t>
      </w:r>
      <w:r>
        <w:rPr/>
        <w:t>的说明</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7"/>
          <w:szCs w:val="27"/>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4"/>
        <w:jc w:val="left"/>
        <w:rPr>
          <w:rFonts w:ascii="Tahoma" w:hAnsi="Tahoma" w:cs="Tahoma" w:eastAsia="Tahoma" w:hint="default"/>
        </w:rPr>
      </w:pPr>
      <w:r>
        <w:rPr/>
        <w:t>六、与上年度财务报告相比，会计政策、会计估计和核算方法发生变化的情况说明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40" w:lineRule="auto"/>
        <w:ind w:left="512" w:right="98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 </w:t>
      </w:r>
      <w:r>
        <w:rPr>
          <w:spacing w:val="-2"/>
        </w:rPr>
        <w:t>财政部于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日发布了《财政部关于修订印发</w:t>
      </w:r>
      <w:r>
        <w:rPr>
          <w:rFonts w:ascii="Times New Roman" w:hAnsi="Times New Roman" w:cs="Times New Roman" w:eastAsia="Times New Roman" w:hint="default"/>
          <w:spacing w:val="-2"/>
        </w:rPr>
        <w:t>2018</w:t>
      </w:r>
      <w:r>
        <w:rPr>
          <w:spacing w:val="-2"/>
        </w:rPr>
        <w:t>年度一般企业财务报表格式的通知》（财会〔</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15</w:t>
      </w:r>
      <w:r>
        <w:rPr>
          <w:spacing w:val="-2"/>
        </w:rPr>
        <w:t>号），</w:t>
      </w:r>
    </w:p>
    <w:p>
      <w:pPr>
        <w:pStyle w:val="BodyText"/>
        <w:spacing w:line="228" w:lineRule="exact"/>
        <w:ind w:right="984"/>
        <w:jc w:val="left"/>
      </w:pPr>
      <w:r>
        <w:rPr/>
        <w:t>执行企业会计准则的企业应按照企业会计准则和该通知要求编制</w:t>
      </w:r>
      <w:r>
        <w:rPr>
          <w:rFonts w:ascii="Times New Roman" w:hAnsi="Times New Roman" w:cs="Times New Roman" w:eastAsia="Times New Roman" w:hint="default"/>
        </w:rPr>
        <w:t>2018</w:t>
      </w:r>
      <w:r>
        <w:rPr/>
        <w:t>年度及以后期间的财务报表。</w:t>
      </w:r>
    </w:p>
    <w:p>
      <w:pPr>
        <w:pStyle w:val="BodyText"/>
        <w:spacing w:line="240" w:lineRule="auto" w:before="103"/>
        <w:ind w:left="512" w:right="984"/>
        <w:jc w:val="left"/>
      </w:pPr>
      <w:r>
        <w:rPr/>
        <w:t>公司执行财会〔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号的主要影响如下：</w:t>
      </w:r>
    </w:p>
    <w:p>
      <w:pPr>
        <w:pStyle w:val="BodyText"/>
        <w:spacing w:line="240" w:lineRule="auto" w:before="101"/>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815"/>
        <w:gridCol w:w="1874"/>
        <w:gridCol w:w="1658"/>
        <w:gridCol w:w="1471"/>
        <w:gridCol w:w="2213"/>
      </w:tblGrid>
      <w:tr>
        <w:trPr>
          <w:trHeight w:val="739"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10" w:right="0"/>
              <w:jc w:val="left"/>
              <w:rPr>
                <w:rFonts w:ascii="宋体" w:hAnsi="宋体" w:cs="宋体" w:eastAsia="宋体" w:hint="default"/>
                <w:sz w:val="18"/>
                <w:szCs w:val="18"/>
              </w:rPr>
            </w:pPr>
            <w:r>
              <w:rPr>
                <w:rFonts w:ascii="宋体" w:hAnsi="宋体" w:cs="宋体" w:eastAsia="宋体" w:hint="default"/>
                <w:sz w:val="18"/>
                <w:szCs w:val="18"/>
              </w:rPr>
              <w:t>会计政策变更内容和原因</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551" w:right="9" w:hanging="540"/>
              <w:jc w:val="left"/>
              <w:rPr>
                <w:rFonts w:ascii="宋体" w:hAnsi="宋体" w:cs="宋体" w:eastAsia="宋体" w:hint="default"/>
                <w:sz w:val="18"/>
                <w:szCs w:val="18"/>
              </w:rPr>
            </w:pPr>
            <w:r>
              <w:rPr>
                <w:rFonts w:ascii="宋体" w:hAnsi="宋体" w:cs="宋体" w:eastAsia="宋体" w:hint="default"/>
                <w:sz w:val="18"/>
                <w:szCs w:val="18"/>
              </w:rPr>
              <w:t>本期受影响的报表项 目金额</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87" w:right="0"/>
              <w:jc w:val="left"/>
              <w:rPr>
                <w:rFonts w:ascii="宋体" w:hAnsi="宋体" w:cs="宋体" w:eastAsia="宋体" w:hint="default"/>
                <w:sz w:val="18"/>
                <w:szCs w:val="18"/>
              </w:rPr>
            </w:pPr>
            <w:r>
              <w:rPr>
                <w:rFonts w:ascii="宋体" w:hAnsi="宋体" w:cs="宋体" w:eastAsia="宋体" w:hint="default"/>
                <w:sz w:val="18"/>
                <w:szCs w:val="18"/>
              </w:rPr>
              <w:t>上期重述金额</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 w:right="0"/>
              <w:jc w:val="left"/>
              <w:rPr>
                <w:rFonts w:ascii="宋体" w:hAnsi="宋体" w:cs="宋体" w:eastAsia="宋体" w:hint="default"/>
                <w:sz w:val="18"/>
                <w:szCs w:val="18"/>
              </w:rPr>
            </w:pPr>
            <w:r>
              <w:rPr>
                <w:rFonts w:ascii="宋体" w:hAnsi="宋体" w:cs="宋体" w:eastAsia="宋体" w:hint="default"/>
                <w:sz w:val="18"/>
                <w:szCs w:val="18"/>
              </w:rPr>
              <w:t>上期列报的报表项目及金额</w:t>
            </w:r>
          </w:p>
        </w:tc>
      </w:tr>
      <w:tr>
        <w:trPr>
          <w:trHeight w:val="77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应收票据和应收账款合并列示</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8"/>
              <w:jc w:val="right"/>
              <w:rPr>
                <w:rFonts w:ascii="Times New Roman" w:hAnsi="Times New Roman" w:cs="Times New Roman" w:eastAsia="Times New Roman" w:hint="default"/>
                <w:sz w:val="18"/>
                <w:szCs w:val="18"/>
              </w:rPr>
            </w:pPr>
            <w:r>
              <w:rPr>
                <w:rFonts w:ascii="Times New Roman"/>
                <w:spacing w:val="-1"/>
                <w:sz w:val="18"/>
              </w:rPr>
              <w:t>1,080,681,962.31</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61"/>
              <w:jc w:val="right"/>
              <w:rPr>
                <w:rFonts w:ascii="Times New Roman" w:hAnsi="Times New Roman" w:cs="Times New Roman" w:eastAsia="Times New Roman" w:hint="default"/>
                <w:sz w:val="18"/>
                <w:szCs w:val="18"/>
              </w:rPr>
            </w:pPr>
            <w:r>
              <w:rPr>
                <w:rFonts w:ascii="Times New Roman"/>
                <w:spacing w:val="-1"/>
                <w:sz w:val="18"/>
              </w:rPr>
              <w:t>912,826,896.06</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58"/>
              <w:ind w:left="2" w:right="167"/>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49,895,560.78 </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862,931,335.28</w:t>
            </w:r>
          </w:p>
        </w:tc>
      </w:tr>
      <w:tr>
        <w:trPr>
          <w:trHeight w:val="1133"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应收利息、应收股利并其他应收款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项目列示</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6"/>
              <w:jc w:val="right"/>
              <w:rPr>
                <w:rFonts w:ascii="Times New Roman" w:hAnsi="Times New Roman" w:cs="Times New Roman" w:eastAsia="Times New Roman" w:hint="default"/>
                <w:sz w:val="18"/>
                <w:szCs w:val="18"/>
              </w:rPr>
            </w:pPr>
            <w:r>
              <w:rPr>
                <w:rFonts w:ascii="Times New Roman"/>
                <w:spacing w:val="-1"/>
                <w:sz w:val="18"/>
              </w:rPr>
              <w:t>62,064,165.55</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2"/>
              <w:jc w:val="right"/>
              <w:rPr>
                <w:rFonts w:ascii="Times New Roman" w:hAnsi="Times New Roman" w:cs="Times New Roman" w:eastAsia="Times New Roman" w:hint="default"/>
                <w:sz w:val="18"/>
                <w:szCs w:val="18"/>
              </w:rPr>
            </w:pPr>
            <w:r>
              <w:rPr>
                <w:rFonts w:ascii="Times New Roman"/>
                <w:spacing w:val="-1"/>
                <w:sz w:val="18"/>
              </w:rPr>
              <w:t>78,225,088.96</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13,741,592.64</w:t>
            </w:r>
          </w:p>
          <w:p>
            <w:pPr>
              <w:pStyle w:val="TableParagraph"/>
              <w:spacing w:line="340" w:lineRule="auto" w:before="101"/>
              <w:ind w:left="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58,000.00 </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64,425,496.32</w:t>
            </w:r>
          </w:p>
        </w:tc>
      </w:tr>
      <w:tr>
        <w:trPr>
          <w:trHeight w:val="42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固定资产清理并入固定资产列示</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1,219,297,623.63</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9"/>
              <w:jc w:val="right"/>
              <w:rPr>
                <w:rFonts w:ascii="Times New Roman" w:hAnsi="Times New Roman" w:cs="Times New Roman" w:eastAsia="Times New Roman" w:hint="default"/>
                <w:sz w:val="18"/>
                <w:szCs w:val="18"/>
              </w:rPr>
            </w:pPr>
            <w:r>
              <w:rPr>
                <w:rFonts w:ascii="Times New Roman"/>
                <w:spacing w:val="-1"/>
                <w:sz w:val="18"/>
              </w:rPr>
              <w:t>869,341,393.02</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869,341,393.02</w:t>
            </w:r>
          </w:p>
        </w:tc>
      </w:tr>
      <w:tr>
        <w:trPr>
          <w:trHeight w:val="42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工程物资并入在建工程列示</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316,579,242.27</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9"/>
              <w:jc w:val="right"/>
              <w:rPr>
                <w:rFonts w:ascii="Times New Roman" w:hAnsi="Times New Roman" w:cs="Times New Roman" w:eastAsia="Times New Roman" w:hint="default"/>
                <w:sz w:val="18"/>
                <w:szCs w:val="18"/>
              </w:rPr>
            </w:pPr>
            <w:r>
              <w:rPr>
                <w:rFonts w:ascii="Times New Roman"/>
                <w:spacing w:val="-1"/>
                <w:sz w:val="18"/>
              </w:rPr>
              <w:t>239,139,776.49</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239,139,776.49</w:t>
            </w:r>
          </w:p>
        </w:tc>
      </w:tr>
      <w:tr>
        <w:trPr>
          <w:trHeight w:val="77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应付票据和应付账款合并列示</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1,146,930,079.61</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9"/>
              <w:jc w:val="right"/>
              <w:rPr>
                <w:rFonts w:ascii="Times New Roman" w:hAnsi="Times New Roman" w:cs="Times New Roman" w:eastAsia="Times New Roman" w:hint="default"/>
                <w:sz w:val="18"/>
                <w:szCs w:val="18"/>
              </w:rPr>
            </w:pPr>
            <w:r>
              <w:rPr>
                <w:rFonts w:ascii="Times New Roman"/>
                <w:spacing w:val="-1"/>
                <w:sz w:val="18"/>
              </w:rPr>
              <w:t>925,035,843.83</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58"/>
              <w:ind w:left="2" w:right="167"/>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440,195,708.94 </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484,840,134.89</w:t>
            </w:r>
          </w:p>
        </w:tc>
      </w:tr>
      <w:tr>
        <w:trPr>
          <w:trHeight w:val="739"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应付利息、应付股利计入其他应付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款项目列示</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6"/>
              <w:jc w:val="right"/>
              <w:rPr>
                <w:rFonts w:ascii="Times New Roman" w:hAnsi="Times New Roman" w:cs="Times New Roman" w:eastAsia="Times New Roman" w:hint="default"/>
                <w:sz w:val="18"/>
                <w:szCs w:val="18"/>
              </w:rPr>
            </w:pPr>
            <w:r>
              <w:rPr>
                <w:rFonts w:ascii="Times New Roman"/>
                <w:spacing w:val="-1"/>
                <w:sz w:val="18"/>
              </w:rPr>
              <w:t>18,868,068.27</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9"/>
              <w:jc w:val="right"/>
              <w:rPr>
                <w:rFonts w:ascii="Times New Roman" w:hAnsi="Times New Roman" w:cs="Times New Roman" w:eastAsia="Times New Roman" w:hint="default"/>
                <w:sz w:val="18"/>
                <w:szCs w:val="18"/>
              </w:rPr>
            </w:pPr>
            <w:r>
              <w:rPr>
                <w:rFonts w:ascii="Times New Roman"/>
                <w:spacing w:val="-1"/>
                <w:sz w:val="18"/>
              </w:rPr>
              <w:t>35,532,061.41</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35,532,061.41</w:t>
            </w:r>
          </w:p>
        </w:tc>
      </w:tr>
      <w:tr>
        <w:trPr>
          <w:trHeight w:val="42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管理费用列报调整</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204,079,870.59</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9"/>
              <w:jc w:val="right"/>
              <w:rPr>
                <w:rFonts w:ascii="Times New Roman" w:hAnsi="Times New Roman" w:cs="Times New Roman" w:eastAsia="Times New Roman" w:hint="default"/>
                <w:sz w:val="18"/>
                <w:szCs w:val="18"/>
              </w:rPr>
            </w:pPr>
            <w:r>
              <w:rPr>
                <w:rFonts w:ascii="Times New Roman"/>
                <w:spacing w:val="-1"/>
                <w:sz w:val="18"/>
              </w:rPr>
              <w:t>208,094,696.05</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321,204,115.79</w:t>
            </w:r>
          </w:p>
        </w:tc>
      </w:tr>
      <w:tr>
        <w:trPr>
          <w:trHeight w:val="42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研发费用单独列示</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127,081,637.14</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9"/>
              <w:jc w:val="right"/>
              <w:rPr>
                <w:rFonts w:ascii="Times New Roman" w:hAnsi="Times New Roman" w:cs="Times New Roman" w:eastAsia="Times New Roman" w:hint="default"/>
                <w:sz w:val="18"/>
                <w:szCs w:val="18"/>
              </w:rPr>
            </w:pPr>
            <w:r>
              <w:rPr>
                <w:rFonts w:ascii="Times New Roman"/>
                <w:spacing w:val="-1"/>
                <w:sz w:val="18"/>
              </w:rPr>
              <w:t>113,109,419.74</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984"/>
        <w:jc w:val="left"/>
        <w:rPr>
          <w:rFonts w:ascii="Tahoma" w:hAnsi="Tahoma" w:cs="Tahoma" w:eastAsia="Tahoma" w:hint="default"/>
        </w:rPr>
      </w:pPr>
      <w:r>
        <w:rPr/>
        <w:t>七、报告期内发生重大会计差错更正需追溯重述的情况说明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38"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right="984"/>
        <w:jc w:val="left"/>
        <w:rPr>
          <w:rFonts w:ascii="Tahoma" w:hAnsi="Tahoma" w:cs="Tahoma" w:eastAsia="Tahoma" w:hint="default"/>
        </w:rPr>
      </w:pPr>
      <w:r>
        <w:rPr/>
        <w:t>八、与上年度财务报告相比，合并报表范围发生变化的情况说明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right="0"/>
        <w:jc w:val="both"/>
      </w:pPr>
      <w:r>
        <w:rPr/>
        <w:t>在上年度财务报告编制的基础上，公司本年度将西安美盈森、苏州智谷科技纳入合并报表范围：</w:t>
      </w:r>
    </w:p>
    <w:p>
      <w:pPr>
        <w:pStyle w:val="BodyText"/>
        <w:spacing w:line="300" w:lineRule="auto" w:before="76"/>
        <w:ind w:right="1133"/>
        <w:jc w:val="both"/>
      </w:pPr>
      <w:r>
        <w:rPr>
          <w:spacing w:val="-2"/>
        </w:rPr>
        <w:t>（</w:t>
      </w:r>
      <w:r>
        <w:rPr>
          <w:rFonts w:ascii="Times New Roman" w:hAnsi="Times New Roman" w:cs="Times New Roman" w:eastAsia="Times New Roman" w:hint="default"/>
          <w:spacing w:val="-2"/>
        </w:rPr>
        <w:t>1</w:t>
      </w:r>
      <w:r>
        <w:rPr>
          <w:spacing w:val="-2"/>
        </w:rPr>
        <w:t>）本期公司设立西安美盈森智谷科技有限公司，于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日完成办理工商设立登记手续，并取得统一社会信用代码</w:t>
      </w:r>
      <w:r>
        <w:rPr>
          <w:spacing w:val="-62"/>
        </w:rPr>
        <w:t> </w:t>
      </w:r>
      <w:r>
        <w:rPr>
          <w:spacing w:val="-62"/>
        </w:rPr>
      </w:r>
      <w:r>
        <w:rPr/>
        <w:t>为</w:t>
      </w:r>
      <w:r>
        <w:rPr>
          <w:rFonts w:ascii="Times New Roman" w:hAnsi="Times New Roman" w:cs="Times New Roman" w:eastAsia="Times New Roman" w:hint="default"/>
        </w:rPr>
        <w:t>91610132MA6UR5P56E</w:t>
      </w:r>
      <w:r>
        <w:rPr/>
        <w:t>的企业法人营业执照；按照相应的会计编制规则，公司本期将西安美盈森纳入合并报表范围；</w:t>
      </w:r>
    </w:p>
    <w:p>
      <w:pPr>
        <w:pStyle w:val="BodyText"/>
        <w:spacing w:line="300" w:lineRule="auto" w:before="53"/>
        <w:ind w:right="1129"/>
        <w:jc w:val="both"/>
      </w:pPr>
      <w:r>
        <w:rPr/>
        <w:t>（</w:t>
      </w:r>
      <w:r>
        <w:rPr>
          <w:rFonts w:ascii="Times New Roman" w:hAnsi="Times New Roman" w:cs="Times New Roman" w:eastAsia="Times New Roman" w:hint="default"/>
        </w:rPr>
        <w:t>2</w:t>
      </w:r>
      <w:r>
        <w:rPr/>
        <w:t>）本期由公司全资子公司苏州美盈森设立苏州美盈森智谷科技有限公司，于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日完成办理工商设立登记手续， 并取得统一社会信用代码为</w:t>
      </w:r>
      <w:r>
        <w:rPr>
          <w:rFonts w:ascii="Times New Roman" w:hAnsi="Times New Roman" w:cs="Times New Roman" w:eastAsia="Times New Roman" w:hint="default"/>
        </w:rPr>
        <w:t>91320509MA1WH85UXW</w:t>
      </w:r>
      <w:r>
        <w:rPr/>
        <w:t>的企业法人营业执照；按照相应的会计编制规则，公司本期将苏州智</w:t>
      </w:r>
      <w:r>
        <w:rPr>
          <w:spacing w:val="-48"/>
        </w:rPr>
        <w:t> </w:t>
      </w:r>
      <w:r>
        <w:rPr>
          <w:spacing w:val="-48"/>
        </w:rPr>
      </w:r>
      <w:r>
        <w:rPr/>
        <w:t>谷科技纳入合并报表范围。</w:t>
      </w:r>
    </w:p>
    <w:p>
      <w:pPr>
        <w:spacing w:line="240" w:lineRule="auto" w:before="8"/>
        <w:rPr>
          <w:rFonts w:ascii="宋体" w:hAnsi="宋体" w:cs="宋体" w:eastAsia="宋体" w:hint="default"/>
          <w:sz w:val="21"/>
          <w:szCs w:val="21"/>
        </w:rPr>
      </w:pPr>
    </w:p>
    <w:p>
      <w:pPr>
        <w:pStyle w:val="Heading2"/>
        <w:spacing w:line="240" w:lineRule="auto"/>
        <w:ind w:right="0"/>
        <w:jc w:val="both"/>
        <w:rPr>
          <w:rFonts w:ascii="Tahoma" w:hAnsi="Tahoma" w:cs="Tahoma" w:eastAsia="Tahoma" w:hint="default"/>
        </w:rPr>
      </w:pPr>
      <w:r>
        <w:rPr/>
        <w:t>九、聘任、解聘会计师事务所情况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pPr>
      <w:r>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9"/>
        <w:gridCol w:w="4778"/>
      </w:tblGrid>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75</w:t>
            </w:r>
          </w:p>
        </w:tc>
      </w:tr>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陈鹏、胡宜鹏</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年、胡宜鹏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984"/>
        <w:jc w:val="left"/>
      </w:pPr>
      <w:r>
        <w:rPr/>
        <w:t>当期是否改聘会计师事务所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4"/>
        <w:jc w:val="left"/>
        <w:rPr>
          <w:rFonts w:ascii="Tahoma" w:hAnsi="Tahoma" w:cs="Tahoma" w:eastAsia="Tahoma" w:hint="default"/>
        </w:rPr>
      </w:pPr>
      <w:r>
        <w:rPr/>
        <w:t>十、年度报告披露后面临暂停上市和终止上市情况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4"/>
        <w:jc w:val="left"/>
        <w:rPr>
          <w:rFonts w:ascii="Tahoma" w:hAnsi="Tahoma" w:cs="Tahoma" w:eastAsia="Tahoma" w:hint="default"/>
        </w:rPr>
      </w:pPr>
      <w:r>
        <w:rPr/>
        <w:t>十一、破产重整相关事项</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984"/>
        <w:jc w:val="left"/>
        <w:rPr>
          <w:rFonts w:ascii="Tahoma" w:hAnsi="Tahoma" w:cs="Tahoma" w:eastAsia="Tahoma" w:hint="default"/>
        </w:rPr>
      </w:pPr>
      <w:r>
        <w:rPr/>
        <w:t>十二、重大诉讼、仲裁事项</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1560"/>
        <w:gridCol w:w="1070"/>
        <w:gridCol w:w="1248"/>
        <w:gridCol w:w="941"/>
        <w:gridCol w:w="1373"/>
        <w:gridCol w:w="1248"/>
        <w:gridCol w:w="1063"/>
        <w:gridCol w:w="1066"/>
      </w:tblGrid>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686" w:right="81"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50" w:right="19" w:hanging="327"/>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9" w:right="7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85" w:right="4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2" w:right="79"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70" w:right="107"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2"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070"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公司《关于收</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申请人：公司，被</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到深圳仲裁</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申请人：金之彩、</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委员会撤案</w:t>
            </w:r>
          </w:p>
        </w:tc>
      </w:tr>
      <w:tr>
        <w:trPr>
          <w:trHeight w:val="625"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西藏新天地、欧阳 宣。仲裁事由：金</w:t>
            </w:r>
          </w:p>
        </w:tc>
        <w:tc>
          <w:tcPr>
            <w:tcW w:w="107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3,766.12</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185"/>
              <w:jc w:val="left"/>
              <w:rPr>
                <w:rFonts w:ascii="宋体" w:hAnsi="宋体" w:cs="宋体" w:eastAsia="宋体" w:hint="default"/>
                <w:sz w:val="18"/>
                <w:szCs w:val="18"/>
              </w:rPr>
            </w:pPr>
            <w:r>
              <w:rPr>
                <w:rFonts w:ascii="宋体" w:hAnsi="宋体" w:cs="宋体" w:eastAsia="宋体" w:hint="default"/>
                <w:sz w:val="18"/>
                <w:szCs w:val="18"/>
              </w:rPr>
              <w:t>尚在仲裁 中</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z w:val="18"/>
                <w:szCs w:val="18"/>
              </w:rPr>
              <w:t>尚在仲裁中</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49"/>
              <w:ind w:left="23" w:right="0"/>
              <w:jc w:val="left"/>
              <w:rPr>
                <w:rFonts w:ascii="宋体" w:hAnsi="宋体" w:cs="宋体" w:eastAsia="宋体" w:hint="default"/>
                <w:sz w:val="18"/>
                <w:szCs w:val="18"/>
              </w:rPr>
            </w:pPr>
            <w:r>
              <w:rPr>
                <w:rFonts w:ascii="宋体" w:hAnsi="宋体" w:cs="宋体" w:eastAsia="宋体" w:hint="default"/>
                <w:sz w:val="18"/>
                <w:szCs w:val="18"/>
              </w:rPr>
              <w:t>尚在仲裁中</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12"/>
              <w:ind w:left="24" w:right="82"/>
              <w:jc w:val="left"/>
              <w:rPr>
                <w:rFonts w:ascii="Times New Roman" w:hAnsi="Times New Roman" w:cs="Times New Roman" w:eastAsia="Times New Roman" w:hint="default"/>
                <w:sz w:val="18"/>
                <w:szCs w:val="18"/>
              </w:rPr>
            </w:pPr>
            <w:r>
              <w:rPr>
                <w:rFonts w:ascii="宋体" w:hAnsi="宋体" w:cs="宋体" w:eastAsia="宋体" w:hint="default"/>
                <w:sz w:val="18"/>
                <w:szCs w:val="18"/>
              </w:rPr>
              <w:t>决定书的公 告》于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之彩股权转让合同</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r>
      <w:tr>
        <w:trPr>
          <w:trHeight w:val="320"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纠纷</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12"/>
                <w:sz w:val="18"/>
                <w:szCs w:val="18"/>
              </w:rPr>
              <w:t>日刊载于《证</w:t>
            </w:r>
          </w:p>
        </w:tc>
      </w:tr>
      <w:tr>
        <w:trPr>
          <w:trHeight w:val="314"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070"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券时报》及巨</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宋体" w:hAnsi="宋体" w:cs="宋体" w:eastAsia="宋体" w:hint="default"/>
          <w:sz w:val="27"/>
          <w:szCs w:val="27"/>
        </w:rPr>
      </w:pPr>
      <w:r>
        <w:rPr/>
        <w:pict>
          <v:group style="position:absolute;margin-left:56.16pt;margin-top:71.759995pt;width:479.2pt;height:687.85pt;mso-position-horizontal-relative:page;mso-position-vertical-relative:page;z-index:-1321744" coordorigin="1123,1435" coordsize="9584,13757">
            <v:group style="position:absolute;left:1128;top:1445;width:9569;height:2" coordorigin="1128,1445" coordsize="9569,2">
              <v:shape style="position:absolute;left:1128;top:1445;width:9569;height:2" coordorigin="1128,1445" coordsize="9569,0" path="m1128,1445l10697,1445e" filled="false" stroked="true" strokeweight=".479999pt" strokecolor="#000000">
                <v:path arrowok="t"/>
              </v:shape>
            </v:group>
            <v:group style="position:absolute;left:1133;top:1450;width:2;height:13738" coordorigin="1133,1450" coordsize="2,13738">
              <v:shape style="position:absolute;left:1133;top:1450;width:2;height:13738" coordorigin="1133,1450" coordsize="0,13738" path="m1133,1450l1133,15187e" filled="false" stroked="true" strokeweight=".479999pt" strokecolor="#000000">
                <v:path arrowok="t"/>
              </v:shape>
            </v:group>
            <v:group style="position:absolute;left:1128;top:15182;width:1560;height:2" coordorigin="1128,15182" coordsize="1560,2">
              <v:shape style="position:absolute;left:1128;top:15182;width:1560;height:2" coordorigin="1128,15182" coordsize="1560,0" path="m1128,15182l2688,15182e" filled="false" stroked="true" strokeweight=".479965pt" strokecolor="#000000">
                <v:path arrowok="t"/>
              </v:shape>
            </v:group>
            <v:group style="position:absolute;left:2693;top:1450;width:2;height:13738" coordorigin="2693,1450" coordsize="2,13738">
              <v:shape style="position:absolute;left:2693;top:1450;width:2;height:13738" coordorigin="2693,1450" coordsize="0,13738" path="m2693,1450l2693,15187e" filled="false" stroked="true" strokeweight=".479999pt" strokecolor="#000000">
                <v:path arrowok="t"/>
              </v:shape>
            </v:group>
            <v:group style="position:absolute;left:2698;top:15182;width:1061;height:2" coordorigin="2698,15182" coordsize="1061,2">
              <v:shape style="position:absolute;left:2698;top:15182;width:1061;height:2" coordorigin="2698,15182" coordsize="1061,0" path="m2698,15182l3758,15182e" filled="false" stroked="true" strokeweight=".479965pt" strokecolor="#000000">
                <v:path arrowok="t"/>
              </v:shape>
            </v:group>
            <v:group style="position:absolute;left:3763;top:1450;width:2;height:13738" coordorigin="3763,1450" coordsize="2,13738">
              <v:shape style="position:absolute;left:3763;top:1450;width:2;height:13738" coordorigin="3763,1450" coordsize="0,13738" path="m3763,1450l3763,15187e" filled="false" stroked="true" strokeweight=".479999pt" strokecolor="#000000">
                <v:path arrowok="t"/>
              </v:shape>
            </v:group>
            <v:group style="position:absolute;left:3768;top:15182;width:1239;height:2" coordorigin="3768,15182" coordsize="1239,2">
              <v:shape style="position:absolute;left:3768;top:15182;width:1239;height:2" coordorigin="3768,15182" coordsize="1239,0" path="m3768,15182l5006,15182e" filled="false" stroked="true" strokeweight=".479965pt" strokecolor="#000000">
                <v:path arrowok="t"/>
              </v:shape>
            </v:group>
            <v:group style="position:absolute;left:5011;top:1450;width:2;height:13738" coordorigin="5011,1450" coordsize="2,13738">
              <v:shape style="position:absolute;left:5011;top:1450;width:2;height:13738" coordorigin="5011,1450" coordsize="0,13738" path="m5011,1450l5011,15187e" filled="false" stroked="true" strokeweight=".479988pt" strokecolor="#000000">
                <v:path arrowok="t"/>
              </v:shape>
            </v:group>
            <v:group style="position:absolute;left:5016;top:15182;width:932;height:2" coordorigin="5016,15182" coordsize="932,2">
              <v:shape style="position:absolute;left:5016;top:15182;width:932;height:2" coordorigin="5016,15182" coordsize="932,0" path="m5016,15182l5947,15182e" filled="false" stroked="true" strokeweight=".479965pt" strokecolor="#000000">
                <v:path arrowok="t"/>
              </v:shape>
            </v:group>
            <v:group style="position:absolute;left:5952;top:1450;width:2;height:13738" coordorigin="5952,1450" coordsize="2,13738">
              <v:shape style="position:absolute;left:5952;top:1450;width:2;height:13738" coordorigin="5952,1450" coordsize="0,13738" path="m5952,1450l5952,15187e" filled="false" stroked="true" strokeweight=".479988pt" strokecolor="#000000">
                <v:path arrowok="t"/>
              </v:shape>
            </v:group>
            <v:group style="position:absolute;left:5957;top:15182;width:1364;height:2" coordorigin="5957,15182" coordsize="1364,2">
              <v:shape style="position:absolute;left:5957;top:15182;width:1364;height:2" coordorigin="5957,15182" coordsize="1364,0" path="m5957,15182l7320,15182e" filled="false" stroked="true" strokeweight=".479965pt" strokecolor="#000000">
                <v:path arrowok="t"/>
              </v:shape>
            </v:group>
            <v:group style="position:absolute;left:7325;top:1450;width:2;height:13738" coordorigin="7325,1450" coordsize="2,13738">
              <v:shape style="position:absolute;left:7325;top:1450;width:2;height:13738" coordorigin="7325,1450" coordsize="0,13738" path="m7325,1450l7325,15187e" filled="false" stroked="true" strokeweight=".480011pt" strokecolor="#000000">
                <v:path arrowok="t"/>
              </v:shape>
            </v:group>
            <v:group style="position:absolute;left:7330;top:15182;width:1239;height:2" coordorigin="7330,15182" coordsize="1239,2">
              <v:shape style="position:absolute;left:7330;top:15182;width:1239;height:2" coordorigin="7330,15182" coordsize="1239,0" path="m7330,15182l8568,15182e" filled="false" stroked="true" strokeweight=".479965pt" strokecolor="#000000">
                <v:path arrowok="t"/>
              </v:shape>
            </v:group>
            <v:group style="position:absolute;left:8573;top:1450;width:2;height:13738" coordorigin="8573,1450" coordsize="2,13738">
              <v:shape style="position:absolute;left:8573;top:1450;width:2;height:13738" coordorigin="8573,1450" coordsize="0,13738" path="m8573,1450l8573,15187e" filled="false" stroked="true" strokeweight=".480011pt" strokecolor="#000000">
                <v:path arrowok="t"/>
              </v:shape>
            </v:group>
            <v:group style="position:absolute;left:8578;top:15182;width:1054;height:2" coordorigin="8578,15182" coordsize="1054,2">
              <v:shape style="position:absolute;left:8578;top:15182;width:1054;height:2" coordorigin="8578,15182" coordsize="1054,0" path="m8578,15182l9631,15182e" filled="false" stroked="true" strokeweight=".479965pt" strokecolor="#000000">
                <v:path arrowok="t"/>
              </v:shape>
            </v:group>
            <v:group style="position:absolute;left:9636;top:1450;width:2;height:13738" coordorigin="9636,1450" coordsize="2,13738">
              <v:shape style="position:absolute;left:9636;top:1450;width:2;height:13738" coordorigin="9636,1450" coordsize="0,13738" path="m9636,1450l9636,15187e" filled="false" stroked="true" strokeweight=".479965pt" strokecolor="#000000">
                <v:path arrowok="t"/>
              </v:shape>
            </v:group>
            <v:group style="position:absolute;left:9641;top:15182;width:1056;height:2" coordorigin="9641,15182" coordsize="1056,2">
              <v:shape style="position:absolute;left:9641;top:15182;width:1056;height:2" coordorigin="9641,15182" coordsize="1056,0" path="m9641,15182l10697,15182e" filled="false" stroked="true" strokeweight=".479965pt" strokecolor="#000000">
                <v:path arrowok="t"/>
              </v:shape>
            </v:group>
            <v:group style="position:absolute;left:10702;top:1440;width:2;height:13748" coordorigin="10702,1440" coordsize="2,13748">
              <v:shape style="position:absolute;left:10702;top:1440;width:2;height:13748" coordorigin="10702,1440" coordsize="0,13748" path="m10702,1440l10702,15187e" filled="false" stroked="true" strokeweight=".480011pt" strokecolor="#000000">
                <v:path arrowok="t"/>
              </v:shape>
            </v:group>
            <w10:wrap type="none"/>
          </v:group>
        </w:pict>
      </w:r>
    </w:p>
    <w:p>
      <w:pPr>
        <w:pStyle w:val="BodyText"/>
        <w:spacing w:line="240" w:lineRule="auto" w:before="37"/>
        <w:ind w:left="8684" w:right="0"/>
        <w:jc w:val="both"/>
      </w:pPr>
      <w:r>
        <w:rPr/>
        <w:t>潮资讯网</w:t>
      </w:r>
    </w:p>
    <w:p>
      <w:pPr>
        <w:pStyle w:val="BodyText"/>
        <w:spacing w:line="240" w:lineRule="auto" w:before="76"/>
        <w:ind w:left="0" w:right="1239"/>
        <w:jc w:val="right"/>
        <w:rPr>
          <w:rFonts w:ascii="Times New Roman" w:hAnsi="Times New Roman" w:cs="Times New Roman" w:eastAsia="Times New Roman" w:hint="default"/>
        </w:rPr>
      </w:pPr>
      <w:r>
        <w:rPr>
          <w:spacing w:val="-1"/>
        </w:rPr>
        <w:t>（</w:t>
      </w:r>
      <w:hyperlink r:id="rId14">
        <w:r>
          <w:rPr>
            <w:rFonts w:ascii="Times New Roman" w:hAnsi="Times New Roman" w:cs="Times New Roman" w:eastAsia="Times New Roman" w:hint="default"/>
            <w:spacing w:val="-1"/>
          </w:rPr>
          <w:t>http://www</w:t>
        </w:r>
      </w:hyperlink>
    </w:p>
    <w:p>
      <w:pPr>
        <w:pStyle w:val="BodyText"/>
        <w:spacing w:line="307" w:lineRule="auto" w:before="105"/>
        <w:ind w:left="8684" w:right="1255"/>
        <w:jc w:val="both"/>
      </w:pPr>
      <w:r>
        <w:rPr>
          <w:rFonts w:ascii="Times New Roman" w:hAnsi="Times New Roman" w:cs="Times New Roman" w:eastAsia="Times New Roman" w:hint="default"/>
        </w:rPr>
        <w:t>.cninfo.com.c</w:t>
      </w:r>
      <w:r>
        <w:rPr>
          <w:rFonts w:ascii="Times New Roman" w:hAnsi="Times New Roman" w:cs="Times New Roman" w:eastAsia="Times New Roman" w:hint="default"/>
          <w:w w:val="99"/>
        </w:rPr>
        <w:t> </w:t>
      </w:r>
      <w:r>
        <w:rPr>
          <w:rFonts w:ascii="Times New Roman" w:hAnsi="Times New Roman" w:cs="Times New Roman" w:eastAsia="Times New Roman" w:hint="default"/>
        </w:rPr>
        <w:t>n/</w:t>
      </w:r>
      <w:r>
        <w:rPr/>
        <w:t>） （公告 编号</w:t>
      </w:r>
    </w:p>
    <w:p>
      <w:pPr>
        <w:pStyle w:val="BodyText"/>
        <w:spacing w:line="240" w:lineRule="auto" w:before="26"/>
        <w:ind w:left="0" w:right="1280"/>
        <w:jc w:val="right"/>
      </w:pPr>
      <w:r>
        <w:rPr>
          <w:rFonts w:ascii="Times New Roman" w:hAnsi="Times New Roman" w:cs="Times New Roman" w:eastAsia="Times New Roman" w:hint="default"/>
          <w:spacing w:val="1"/>
        </w:rPr>
        <w:t>2</w:t>
      </w:r>
      <w:r>
        <w:rPr>
          <w:rFonts w:ascii="Times New Roman" w:hAnsi="Times New Roman" w:cs="Times New Roman" w:eastAsia="Times New Roman" w:hint="default"/>
        </w:rPr>
        <w:t>018</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8</w:t>
      </w:r>
      <w:r>
        <w:rPr>
          <w:spacing w:val="-92"/>
        </w:rPr>
        <w:t>）</w:t>
      </w:r>
      <w:r>
        <w:rPr/>
        <w:t>。</w:t>
      </w:r>
    </w:p>
    <w:p>
      <w:pPr>
        <w:pStyle w:val="BodyText"/>
        <w:spacing w:line="316" w:lineRule="auto" w:before="63"/>
        <w:ind w:left="8684" w:right="1214"/>
        <w:jc w:val="left"/>
        <w:rPr>
          <w:rFonts w:ascii="Times New Roman" w:hAnsi="Times New Roman" w:cs="Times New Roman" w:eastAsia="Times New Roman" w:hint="default"/>
        </w:rPr>
      </w:pPr>
      <w:r>
        <w:rPr>
          <w:spacing w:val="-12"/>
        </w:rPr>
        <w:t>公司《控股股</w:t>
      </w:r>
      <w:r>
        <w:rPr/>
        <w:t> 东关于公司 仲裁相关事 项承诺的公 告》于</w:t>
      </w:r>
      <w:r>
        <w:rPr>
          <w:spacing w:val="-45"/>
        </w:rPr>
        <w:t> </w:t>
      </w:r>
      <w:r>
        <w:rPr>
          <w:rFonts w:ascii="Times New Roman" w:hAnsi="Times New Roman" w:cs="Times New Roman" w:eastAsia="Times New Roman" w:hint="default"/>
        </w:rPr>
        <w:t>2016</w:t>
      </w:r>
    </w:p>
    <w:p>
      <w:pPr>
        <w:pStyle w:val="BodyText"/>
        <w:spacing w:line="312" w:lineRule="auto"/>
        <w:ind w:left="8684" w:right="1231"/>
        <w:jc w:val="both"/>
      </w:pP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 </w:t>
      </w:r>
      <w:r>
        <w:rPr>
          <w:spacing w:val="-12"/>
        </w:rPr>
        <w:t>刊载于《证券</w:t>
      </w:r>
      <w:r>
        <w:rPr/>
        <w:t> </w:t>
      </w:r>
      <w:r>
        <w:rPr>
          <w:spacing w:val="-12"/>
        </w:rPr>
        <w:t>时报》及巨潮</w:t>
      </w:r>
      <w:r>
        <w:rPr/>
        <w:t> 资讯网</w:t>
      </w:r>
    </w:p>
    <w:p>
      <w:pPr>
        <w:pStyle w:val="BodyText"/>
        <w:spacing w:line="240" w:lineRule="auto" w:before="22"/>
        <w:ind w:left="0" w:right="1239"/>
        <w:jc w:val="right"/>
        <w:rPr>
          <w:rFonts w:ascii="Times New Roman" w:hAnsi="Times New Roman" w:cs="Times New Roman" w:eastAsia="Times New Roman" w:hint="default"/>
        </w:rPr>
      </w:pPr>
      <w:r>
        <w:rPr>
          <w:spacing w:val="-1"/>
        </w:rPr>
        <w:t>（</w:t>
      </w:r>
      <w:hyperlink r:id="rId14">
        <w:r>
          <w:rPr>
            <w:rFonts w:ascii="Times New Roman" w:hAnsi="Times New Roman" w:cs="Times New Roman" w:eastAsia="Times New Roman" w:hint="default"/>
            <w:spacing w:val="-1"/>
          </w:rPr>
          <w:t>http://www</w:t>
        </w:r>
      </w:hyperlink>
    </w:p>
    <w:p>
      <w:pPr>
        <w:pStyle w:val="BodyText"/>
        <w:spacing w:line="307" w:lineRule="auto" w:before="105"/>
        <w:ind w:left="8684" w:right="1255"/>
        <w:jc w:val="both"/>
      </w:pPr>
      <w:r>
        <w:rPr>
          <w:rFonts w:ascii="Times New Roman" w:hAnsi="Times New Roman" w:cs="Times New Roman" w:eastAsia="Times New Roman" w:hint="default"/>
        </w:rPr>
        <w:t>.cninfo.com.c</w:t>
      </w:r>
      <w:r>
        <w:rPr>
          <w:rFonts w:ascii="Times New Roman" w:hAnsi="Times New Roman" w:cs="Times New Roman" w:eastAsia="Times New Roman" w:hint="default"/>
          <w:w w:val="99"/>
        </w:rPr>
        <w:t> </w:t>
      </w:r>
      <w:r>
        <w:rPr>
          <w:rFonts w:ascii="Times New Roman" w:hAnsi="Times New Roman" w:cs="Times New Roman" w:eastAsia="Times New Roman" w:hint="default"/>
        </w:rPr>
        <w:t>n/</w:t>
      </w:r>
      <w:r>
        <w:rPr/>
        <w:t>） （公告 编号</w:t>
      </w:r>
    </w:p>
    <w:p>
      <w:pPr>
        <w:pStyle w:val="BodyText"/>
        <w:spacing w:line="240" w:lineRule="auto" w:before="26"/>
        <w:ind w:left="0" w:right="1280"/>
        <w:jc w:val="right"/>
      </w:pPr>
      <w:r>
        <w:rPr>
          <w:rFonts w:ascii="Times New Roman" w:hAnsi="Times New Roman" w:cs="Times New Roman" w:eastAsia="Times New Roman" w:hint="default"/>
          <w:spacing w:val="1"/>
        </w:rPr>
        <w:t>2</w:t>
      </w:r>
      <w:r>
        <w:rPr>
          <w:rFonts w:ascii="Times New Roman" w:hAnsi="Times New Roman" w:cs="Times New Roman" w:eastAsia="Times New Roman" w:hint="default"/>
        </w:rPr>
        <w:t>016</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4</w:t>
      </w:r>
      <w:r>
        <w:rPr>
          <w:spacing w:val="-92"/>
        </w:rPr>
        <w:t>）</w:t>
      </w:r>
      <w:r>
        <w:rPr/>
        <w:t>；</w:t>
      </w:r>
    </w:p>
    <w:p>
      <w:pPr>
        <w:pStyle w:val="BodyText"/>
        <w:spacing w:line="316" w:lineRule="auto" w:before="63"/>
        <w:ind w:left="8684" w:right="1214"/>
        <w:jc w:val="left"/>
      </w:pPr>
      <w:r>
        <w:rPr>
          <w:spacing w:val="-12"/>
        </w:rPr>
        <w:t>公司《关于与</w:t>
      </w:r>
      <w:r>
        <w:rPr/>
        <w:t> </w:t>
      </w:r>
      <w:r>
        <w:rPr>
          <w:spacing w:val="-12"/>
        </w:rPr>
        <w:t>欧阳宣、新天</w:t>
      </w:r>
      <w:r>
        <w:rPr/>
        <w:t> </w:t>
      </w:r>
      <w:r>
        <w:rPr>
          <w:spacing w:val="-12"/>
        </w:rPr>
        <w:t>地、金之彩公</w:t>
      </w:r>
      <w:r>
        <w:rPr/>
        <w:t> 司股权转让 合同纠纷仲 裁案相关事 </w:t>
      </w:r>
      <w:r>
        <w:rPr>
          <w:spacing w:val="-12"/>
        </w:rPr>
        <w:t>项的公告》于</w:t>
      </w:r>
      <w:r>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p>
    <w:p>
      <w:pPr>
        <w:pStyle w:val="BodyText"/>
        <w:spacing w:line="248" w:lineRule="exact"/>
        <w:ind w:left="0" w:right="1291"/>
        <w:jc w:val="right"/>
      </w:pP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日刊载于</w:t>
      </w:r>
    </w:p>
    <w:p>
      <w:pPr>
        <w:pStyle w:val="BodyText"/>
        <w:spacing w:line="316" w:lineRule="auto" w:before="63"/>
        <w:ind w:left="8684" w:right="1142"/>
        <w:jc w:val="left"/>
      </w:pPr>
      <w:r>
        <w:rPr/>
        <w:t>《证券时报》 及巨潮资讯</w:t>
      </w:r>
    </w:p>
    <w:p>
      <w:pPr>
        <w:pStyle w:val="BodyText"/>
        <w:spacing w:line="240" w:lineRule="auto" w:before="19"/>
        <w:ind w:left="8684" w:right="0"/>
        <w:jc w:val="both"/>
      </w:pPr>
      <w:r>
        <w:rPr/>
        <w:t>网</w:t>
      </w:r>
    </w:p>
    <w:p>
      <w:pPr>
        <w:pStyle w:val="BodyText"/>
        <w:spacing w:line="240" w:lineRule="auto" w:before="76"/>
        <w:ind w:left="0" w:right="1239"/>
        <w:jc w:val="right"/>
        <w:rPr>
          <w:rFonts w:ascii="Times New Roman" w:hAnsi="Times New Roman" w:cs="Times New Roman" w:eastAsia="Times New Roman" w:hint="default"/>
        </w:rPr>
      </w:pPr>
      <w:r>
        <w:rPr>
          <w:spacing w:val="-1"/>
        </w:rPr>
        <w:t>（</w:t>
      </w:r>
      <w:hyperlink r:id="rId14">
        <w:r>
          <w:rPr>
            <w:rFonts w:ascii="Times New Roman" w:hAnsi="Times New Roman" w:cs="Times New Roman" w:eastAsia="Times New Roman" w:hint="default"/>
            <w:spacing w:val="-1"/>
          </w:rPr>
          <w:t>http://www</w:t>
        </w:r>
      </w:hyperlink>
    </w:p>
    <w:p>
      <w:pPr>
        <w:pStyle w:val="BodyText"/>
        <w:spacing w:line="307" w:lineRule="auto" w:before="105"/>
        <w:ind w:left="8684" w:right="1255"/>
        <w:jc w:val="both"/>
      </w:pPr>
      <w:r>
        <w:rPr>
          <w:rFonts w:ascii="Times New Roman" w:hAnsi="Times New Roman" w:cs="Times New Roman" w:eastAsia="Times New Roman" w:hint="default"/>
        </w:rPr>
        <w:t>.cninfo.com.c</w:t>
      </w:r>
      <w:r>
        <w:rPr>
          <w:rFonts w:ascii="Times New Roman" w:hAnsi="Times New Roman" w:cs="Times New Roman" w:eastAsia="Times New Roman" w:hint="default"/>
          <w:w w:val="99"/>
        </w:rPr>
        <w:t> </w:t>
      </w:r>
      <w:r>
        <w:rPr>
          <w:rFonts w:ascii="Times New Roman" w:hAnsi="Times New Roman" w:cs="Times New Roman" w:eastAsia="Times New Roman" w:hint="default"/>
        </w:rPr>
        <w:t>n/</w:t>
      </w:r>
      <w:r>
        <w:rPr/>
        <w:t>） （公告 编号</w:t>
      </w:r>
    </w:p>
    <w:p>
      <w:pPr>
        <w:pStyle w:val="BodyText"/>
        <w:spacing w:line="240" w:lineRule="auto" w:before="26"/>
        <w:ind w:left="0" w:right="1280"/>
        <w:jc w:val="right"/>
      </w:pPr>
      <w:r>
        <w:rPr>
          <w:rFonts w:ascii="Times New Roman" w:hAnsi="Times New Roman" w:cs="Times New Roman" w:eastAsia="Times New Roman" w:hint="default"/>
          <w:spacing w:val="1"/>
        </w:rPr>
        <w:t>2</w:t>
      </w:r>
      <w:r>
        <w:rPr>
          <w:rFonts w:ascii="Times New Roman" w:hAnsi="Times New Roman" w:cs="Times New Roman" w:eastAsia="Times New Roman" w:hint="default"/>
        </w:rPr>
        <w:t>016</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3</w:t>
      </w:r>
      <w:r>
        <w:rPr>
          <w:spacing w:val="-92"/>
        </w:rPr>
        <w:t>）</w:t>
      </w:r>
      <w:r>
        <w:rPr/>
        <w:t>；</w:t>
      </w:r>
    </w:p>
    <w:p>
      <w:pPr>
        <w:pStyle w:val="BodyText"/>
        <w:spacing w:line="316" w:lineRule="auto" w:before="63"/>
        <w:ind w:left="8684" w:right="1142"/>
        <w:jc w:val="left"/>
        <w:rPr>
          <w:rFonts w:ascii="Times New Roman" w:hAnsi="Times New Roman" w:cs="Times New Roman" w:eastAsia="Times New Roman" w:hint="default"/>
        </w:rPr>
      </w:pPr>
      <w:r>
        <w:rPr>
          <w:spacing w:val="-12"/>
        </w:rPr>
        <w:t>公司《关于与</w:t>
      </w:r>
      <w:r>
        <w:rPr/>
        <w:t> </w:t>
      </w:r>
      <w:r>
        <w:rPr>
          <w:spacing w:val="-12"/>
        </w:rPr>
        <w:t>欧阳宣、新天</w:t>
      </w:r>
      <w:r>
        <w:rPr/>
        <w:t> </w:t>
      </w:r>
      <w:r>
        <w:rPr>
          <w:spacing w:val="-12"/>
        </w:rPr>
        <w:t>地、金之彩公</w:t>
      </w:r>
      <w:r>
        <w:rPr/>
        <w:t> 司股权转让 合同纠纷仲 裁案的公告》 于</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4</w:t>
      </w:r>
    </w:p>
    <w:p>
      <w:pPr>
        <w:spacing w:after="0" w:line="316" w:lineRule="auto"/>
        <w:jc w:val="left"/>
        <w:rPr>
          <w:rFonts w:ascii="Times New Roman" w:hAnsi="Times New Roman" w:cs="Times New Roman" w:eastAsia="Times New Roman" w:hint="default"/>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28.732956pt;margin-top:708pt;width:59.35pt;height:48.85pt;mso-position-horizontal-relative:page;mso-position-vertical-relative:page;z-index:-1321696" type="#_x0000_t202" filled="false" stroked="false">
            <v:textbox inset="0,0,0,0">
              <w:txbxContent>
                <w:p>
                  <w:pPr>
                    <w:pStyle w:val="BodyText"/>
                    <w:spacing w:line="240" w:lineRule="auto" w:before="49"/>
                    <w:ind w:left="0" w:right="0"/>
                    <w:jc w:val="left"/>
                  </w:pPr>
                  <w:r>
                    <w:rPr/>
                    <w:t>；</w:t>
                  </w:r>
                </w:p>
                <w:p>
                  <w:pPr>
                    <w:pStyle w:val="BodyText"/>
                    <w:spacing w:line="240" w:lineRule="auto" w:before="76"/>
                    <w:ind w:left="0" w:right="0"/>
                    <w:jc w:val="left"/>
                  </w:pPr>
                  <w:r>
                    <w:rPr/>
                    <w:t>、</w:t>
                  </w:r>
                </w:p>
              </w:txbxContent>
            </v:textbox>
            <w10:wrap type="none"/>
          </v:shape>
        </w:pict>
      </w:r>
      <w:r>
        <w:rPr/>
        <w:pict>
          <v:shape style="position:absolute;margin-left:56.399998pt;margin-top:72pt;width:479.2pt;height:685.35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070"/>
                    <w:gridCol w:w="1248"/>
                    <w:gridCol w:w="941"/>
                    <w:gridCol w:w="1373"/>
                    <w:gridCol w:w="1248"/>
                    <w:gridCol w:w="1063"/>
                    <w:gridCol w:w="1066"/>
                  </w:tblGrid>
                  <w:tr>
                    <w:trPr>
                      <w:trHeight w:val="323" w:hRule="exact"/>
                    </w:trPr>
                    <w:tc>
                      <w:tcPr>
                        <w:tcW w:w="1560" w:type="dxa"/>
                        <w:vMerge w:val="restart"/>
                        <w:tcBorders>
                          <w:top w:val="single" w:sz="4" w:space="0" w:color="000000"/>
                          <w:left w:val="single" w:sz="4" w:space="0" w:color="000000"/>
                          <w:right w:val="single" w:sz="4" w:space="0" w:color="000000"/>
                        </w:tcBorders>
                      </w:tcPr>
                      <w:p>
                        <w:pPr/>
                      </w:p>
                    </w:tc>
                    <w:tc>
                      <w:tcPr>
                        <w:tcW w:w="1070"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1373"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日刊载</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于《证券时</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报》及巨潮资</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4"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w:t>
                          </w:r>
                        </w:hyperlink>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.cninfo.com.c</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w:t>
                        </w:r>
                        <w:r>
                          <w:rPr>
                            <w:rFonts w:ascii="宋体" w:hAnsi="宋体" w:cs="宋体" w:eastAsia="宋体" w:hint="default"/>
                            <w:sz w:val="18"/>
                            <w:szCs w:val="18"/>
                          </w:rPr>
                          <w:t>） （公告</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52" w:hRule="exact"/>
                    </w:trPr>
                    <w:tc>
                      <w:tcPr>
                        <w:tcW w:w="1560" w:type="dxa"/>
                        <w:vMerge/>
                        <w:tcBorders>
                          <w:left w:val="single" w:sz="4" w:space="0" w:color="000000"/>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016</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63"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070"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公司《关于与</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欧阳宣、新天</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地、金之彩公</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司股权转让</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合同纠纷仲</w:t>
                        </w:r>
                      </w:p>
                    </w:tc>
                  </w:tr>
                  <w:tr>
                    <w:trPr>
                      <w:trHeight w:val="187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4" w:right="84"/>
                          <w:jc w:val="both"/>
                          <w:rPr>
                            <w:rFonts w:ascii="宋体" w:hAnsi="宋体" w:cs="宋体" w:eastAsia="宋体" w:hint="default"/>
                            <w:sz w:val="18"/>
                            <w:szCs w:val="18"/>
                          </w:rPr>
                        </w:pPr>
                        <w:r>
                          <w:rPr>
                            <w:rFonts w:ascii="宋体" w:hAnsi="宋体" w:cs="宋体" w:eastAsia="宋体" w:hint="default"/>
                            <w:sz w:val="18"/>
                            <w:szCs w:val="18"/>
                          </w:rPr>
                          <w:t>申请人：西藏新天 地，被申请人：公 司。仲裁事由：金 之彩股权转让合同 纠纷</w:t>
                        </w:r>
                      </w:p>
                    </w:tc>
                    <w:tc>
                      <w:tcPr>
                        <w:tcW w:w="10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18"/>
                          <w:jc w:val="right"/>
                          <w:rPr>
                            <w:rFonts w:ascii="Times New Roman" w:hAnsi="Times New Roman" w:cs="Times New Roman" w:eastAsia="Times New Roman" w:hint="default"/>
                            <w:sz w:val="18"/>
                            <w:szCs w:val="18"/>
                          </w:rPr>
                        </w:pPr>
                        <w:r>
                          <w:rPr>
                            <w:rFonts w:ascii="Times New Roman"/>
                            <w:spacing w:val="-1"/>
                            <w:sz w:val="18"/>
                          </w:rPr>
                          <w:t>8,627.49</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24" w:right="185"/>
                          <w:jc w:val="left"/>
                          <w:rPr>
                            <w:rFonts w:ascii="宋体" w:hAnsi="宋体" w:cs="宋体" w:eastAsia="宋体" w:hint="default"/>
                            <w:sz w:val="18"/>
                            <w:szCs w:val="18"/>
                          </w:rPr>
                        </w:pPr>
                        <w:r>
                          <w:rPr>
                            <w:rFonts w:ascii="宋体" w:hAnsi="宋体" w:cs="宋体" w:eastAsia="宋体" w:hint="default"/>
                            <w:sz w:val="18"/>
                            <w:szCs w:val="18"/>
                          </w:rPr>
                          <w:t>尚在仲裁 中</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尚在仲裁中</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尚在仲裁中</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裁案有关事 </w:t>
                        </w:r>
                        <w:r>
                          <w:rPr>
                            <w:rFonts w:ascii="宋体" w:hAnsi="宋体" w:cs="宋体" w:eastAsia="宋体" w:hint="default"/>
                            <w:spacing w:val="-12"/>
                            <w:sz w:val="18"/>
                            <w:szCs w:val="18"/>
                          </w:rPr>
                          <w:t>项的公告》于</w:t>
                        </w:r>
                        <w:r>
                          <w:rPr>
                            <w:rFonts w:ascii="宋体" w:hAnsi="宋体" w:cs="宋体" w:eastAsia="宋体" w:hint="default"/>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p>
                      <w:p>
                        <w:pPr>
                          <w:pStyle w:val="TableParagraph"/>
                          <w:spacing w:line="316" w:lineRule="auto"/>
                          <w:ind w:left="24" w:right="21"/>
                          <w:jc w:val="both"/>
                          <w:rPr>
                            <w:rFonts w:ascii="宋体" w:hAnsi="宋体" w:cs="宋体" w:eastAsia="宋体" w:hint="default"/>
                            <w:sz w:val="18"/>
                            <w:szCs w:val="18"/>
                          </w:rPr>
                        </w:pPr>
                        <w:r>
                          <w:rPr>
                            <w:rFonts w:ascii="宋体" w:hAnsi="宋体" w:cs="宋体" w:eastAsia="宋体" w:hint="default"/>
                            <w:spacing w:val="-12"/>
                            <w:sz w:val="18"/>
                            <w:szCs w:val="18"/>
                          </w:rPr>
                          <w:t>日刊载于《证</w:t>
                        </w:r>
                        <w:r>
                          <w:rPr>
                            <w:rFonts w:ascii="宋体" w:hAnsi="宋体" w:cs="宋体" w:eastAsia="宋体" w:hint="default"/>
                            <w:sz w:val="18"/>
                            <w:szCs w:val="18"/>
                          </w:rPr>
                          <w:t> </w:t>
                        </w:r>
                        <w:r>
                          <w:rPr>
                            <w:rFonts w:ascii="宋体" w:hAnsi="宋体" w:cs="宋体" w:eastAsia="宋体" w:hint="default"/>
                            <w:spacing w:val="-12"/>
                            <w:sz w:val="18"/>
                            <w:szCs w:val="18"/>
                          </w:rPr>
                          <w:t>券时报》及巨</w:t>
                        </w:r>
                        <w:r>
                          <w:rPr>
                            <w:rFonts w:ascii="宋体" w:hAnsi="宋体" w:cs="宋体" w:eastAsia="宋体" w:hint="default"/>
                            <w:sz w:val="18"/>
                            <w:szCs w:val="18"/>
                          </w:rPr>
                          <w:t> 潮资讯网</w:t>
                        </w:r>
                      </w:p>
                    </w:tc>
                  </w:tr>
                  <w:tr>
                    <w:trPr>
                      <w:trHeight w:val="314"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w:t>
                          </w:r>
                        </w:hyperlink>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.cninfo.com.c</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w:t>
                        </w:r>
                        <w:r>
                          <w:rPr>
                            <w:rFonts w:ascii="宋体" w:hAnsi="宋体" w:cs="宋体" w:eastAsia="宋体" w:hint="default"/>
                            <w:sz w:val="18"/>
                            <w:szCs w:val="18"/>
                          </w:rPr>
                          <w:t>） （公告</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50"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070"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016</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8</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63"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070"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公司《关于与</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欧阳宣、新天</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地股权转让</w:t>
                        </w:r>
                      </w:p>
                    </w:tc>
                  </w:tr>
                  <w:tr>
                    <w:trPr>
                      <w:trHeight w:val="2809"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4" w:right="19"/>
                          <w:jc w:val="left"/>
                          <w:rPr>
                            <w:rFonts w:ascii="宋体" w:hAnsi="宋体" w:cs="宋体" w:eastAsia="宋体" w:hint="default"/>
                            <w:sz w:val="18"/>
                            <w:szCs w:val="18"/>
                          </w:rPr>
                        </w:pPr>
                        <w:r>
                          <w:rPr>
                            <w:rFonts w:ascii="宋体" w:hAnsi="宋体" w:cs="宋体" w:eastAsia="宋体" w:hint="default"/>
                            <w:sz w:val="18"/>
                            <w:szCs w:val="18"/>
                          </w:rPr>
                          <w:t>申请人：公司；第 一被申请人：欧阳 </w:t>
                        </w:r>
                        <w:r>
                          <w:rPr>
                            <w:rFonts w:ascii="宋体" w:hAnsi="宋体" w:cs="宋体" w:eastAsia="宋体" w:hint="default"/>
                            <w:spacing w:val="-4"/>
                            <w:sz w:val="18"/>
                            <w:szCs w:val="18"/>
                          </w:rPr>
                          <w:t>宣；第二被申请人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西藏新天地投资合 伙企业（有限合 </w:t>
                        </w:r>
                        <w:r>
                          <w:rPr>
                            <w:rFonts w:ascii="宋体" w:hAnsi="宋体" w:cs="宋体" w:eastAsia="宋体" w:hint="default"/>
                            <w:spacing w:val="-13"/>
                            <w:sz w:val="18"/>
                            <w:szCs w:val="18"/>
                          </w:rPr>
                          <w:t>伙）；仲裁事由：金</w:t>
                        </w:r>
                        <w:r>
                          <w:rPr>
                            <w:rFonts w:ascii="宋体" w:hAnsi="宋体" w:cs="宋体" w:eastAsia="宋体" w:hint="default"/>
                            <w:sz w:val="18"/>
                            <w:szCs w:val="18"/>
                          </w:rPr>
                          <w:t> 之彩股权转让合同 纠纷</w:t>
                        </w:r>
                      </w:p>
                    </w:tc>
                    <w:tc>
                      <w:tcPr>
                        <w:tcW w:w="10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24,437.33</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24" w:right="185"/>
                          <w:jc w:val="left"/>
                          <w:rPr>
                            <w:rFonts w:ascii="宋体" w:hAnsi="宋体" w:cs="宋体" w:eastAsia="宋体" w:hint="default"/>
                            <w:sz w:val="18"/>
                            <w:szCs w:val="18"/>
                          </w:rPr>
                        </w:pPr>
                        <w:r>
                          <w:rPr>
                            <w:rFonts w:ascii="宋体" w:hAnsi="宋体" w:cs="宋体" w:eastAsia="宋体" w:hint="default"/>
                            <w:sz w:val="18"/>
                            <w:szCs w:val="18"/>
                          </w:rPr>
                          <w:t>尚在仲裁 中</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尚在仲裁中</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尚在仲裁中</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合同纠纷仲 裁案的公告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312" w:lineRule="auto"/>
                          <w:ind w:left="24"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日刊载 于《证券时 </w:t>
                        </w:r>
                        <w:r>
                          <w:rPr>
                            <w:rFonts w:ascii="宋体" w:hAnsi="宋体" w:cs="宋体" w:eastAsia="宋体" w:hint="default"/>
                            <w:spacing w:val="-12"/>
                            <w:sz w:val="18"/>
                            <w:szCs w:val="18"/>
                          </w:rPr>
                          <w:t>报》及巨潮资</w:t>
                        </w:r>
                        <w:r>
                          <w:rPr>
                            <w:rFonts w:ascii="宋体" w:hAnsi="宋体" w:cs="宋体" w:eastAsia="宋体" w:hint="default"/>
                            <w:sz w:val="18"/>
                            <w:szCs w:val="18"/>
                          </w:rPr>
                          <w:t> 讯网</w:t>
                        </w:r>
                      </w:p>
                      <w:p>
                        <w:pPr>
                          <w:pStyle w:val="TableParagraph"/>
                          <w:spacing w:line="240" w:lineRule="auto" w:before="2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w:t>
                          </w:r>
                        </w:hyperlink>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.cninfo.com.c</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w:t>
                        </w:r>
                        <w:r>
                          <w:rPr>
                            <w:rFonts w:ascii="宋体" w:hAnsi="宋体" w:cs="宋体" w:eastAsia="宋体" w:hint="default"/>
                            <w:sz w:val="18"/>
                            <w:szCs w:val="18"/>
                          </w:rPr>
                          <w:t>） （公告</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52"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070"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98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pacing w:val="-4"/>
                            <w:sz w:val="18"/>
                            <w:szCs w:val="18"/>
                          </w:rPr>
                          <w:t>诉讼原告：欧阳宣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诉讼被告：金之彩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公司；诉讼事由：</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4" w:right="185"/>
                          <w:jc w:val="left"/>
                          <w:rPr>
                            <w:rFonts w:ascii="宋体" w:hAnsi="宋体" w:cs="宋体" w:eastAsia="宋体" w:hint="default"/>
                            <w:sz w:val="18"/>
                            <w:szCs w:val="18"/>
                          </w:rPr>
                        </w:pPr>
                        <w:r>
                          <w:rPr>
                            <w:rFonts w:ascii="宋体" w:hAnsi="宋体" w:cs="宋体" w:eastAsia="宋体" w:hint="default"/>
                            <w:sz w:val="18"/>
                            <w:szCs w:val="18"/>
                          </w:rPr>
                          <w:t>尚在审理 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尚在审理中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尚在审理中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12"/>
                            <w:sz w:val="18"/>
                            <w:szCs w:val="18"/>
                          </w:rPr>
                          <w:t>公司《控股股</w:t>
                        </w:r>
                        <w:r>
                          <w:rPr>
                            <w:rFonts w:ascii="宋体" w:hAnsi="宋体" w:cs="宋体" w:eastAsia="宋体" w:hint="default"/>
                            <w:sz w:val="18"/>
                            <w:szCs w:val="18"/>
                          </w:rPr>
                          <w:t> 东关于公司 相关诉讼事</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BodyText"/>
        <w:spacing w:line="240" w:lineRule="auto"/>
        <w:ind w:left="0" w:right="1159"/>
        <w:jc w:val="right"/>
      </w:pPr>
      <w:r>
        <w:rPr/>
        <w:pict>
          <v:shape style="position:absolute;margin-left:128.732956pt;margin-top:-64.848312pt;width:59.35pt;height:238.1pt;mso-position-horizontal-relative:page;mso-position-vertical-relative:paragraph;z-index:-1321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BodyText"/>
                    <w:spacing w:line="240" w:lineRule="auto"/>
                    <w:ind w:left="0" w:right="0"/>
                    <w:jc w:val="left"/>
                  </w:pPr>
                  <w:r>
                    <w:rPr/>
                    <w:t>：</w:t>
                  </w:r>
                </w:p>
              </w:txbxContent>
            </v:textbox>
            <w10:wrap type="none"/>
          </v:shape>
        </w:pict>
      </w:r>
      <w:r>
        <w:rPr/>
        <w:pict>
          <v:group style="position:absolute;margin-left:135pt;margin-top:-64.848312pt;width:53.05pt;height:287.4pt;mso-position-horizontal-relative:page;mso-position-vertical-relative:paragraph;z-index:1480" coordorigin="2700,-1297" coordsize="1061,5748">
            <v:group style="position:absolute;left:2700;top:-1297;width:1061;height:4762" coordorigin="2700,-1297" coordsize="1061,4762">
              <v:shape style="position:absolute;left:2700;top:-1297;width:1061;height:4762" coordorigin="2700,-1297" coordsize="1061,4762" path="m2700,-1297l3761,-1297,3761,3465,2700,3465,2700,-1297xe" filled="true" fillcolor="#ffffff" stroked="false">
                <v:path arrowok="t"/>
                <v:fill type="solid"/>
              </v:shape>
            </v:group>
            <v:group style="position:absolute;left:2722;top:887;width:1016;height:394" coordorigin="2722,887" coordsize="1016,394">
              <v:shape style="position:absolute;left:2722;top:887;width:1016;height:394" coordorigin="2722,887" coordsize="1016,394" path="m2722,887l3737,887,3737,1281,2722,1281,2722,887xe" filled="true" fillcolor="#ffffff" stroked="false">
                <v:path arrowok="t"/>
                <v:fill type="solid"/>
              </v:shape>
            </v:group>
            <v:group style="position:absolute;left:2700;top:3474;width:1061;height:977" coordorigin="2700,3474" coordsize="1061,977">
              <v:shape style="position:absolute;left:2700;top:3474;width:1061;height:977" coordorigin="2700,3474" coordsize="1061,977" path="m2700,3474l3761,3474,3761,4451,2700,4451,2700,3474xe" filled="true" fillcolor="#ffffff" stroked="false">
                <v:path arrowok="t"/>
                <v:fill type="solid"/>
              </v:shape>
            </v:group>
            <v:group style="position:absolute;left:2722;top:3767;width:1016;height:392" coordorigin="2722,3767" coordsize="1016,392">
              <v:shape style="position:absolute;left:2722;top:3767;width:1016;height:392" coordorigin="2722,3767" coordsize="1016,392" path="m2722,3767l3737,3767,3737,4158,2722,4158,2722,3767xe" filled="true" fillcolor="#ffffff" stroked="false">
                <v:path arrowok="t"/>
                <v:fill type="solid"/>
              </v:shape>
            </v:group>
            <w10:wrap type="none"/>
          </v:group>
        </w:pict>
      </w:r>
      <w:r>
        <w:rPr/>
        <w:t>》</w:t>
      </w:r>
    </w:p>
    <w:p>
      <w:pPr>
        <w:spacing w:after="0" w:line="240" w:lineRule="auto"/>
        <w:jc w:val="righ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37"/>
        <w:ind w:left="0" w:right="1159"/>
        <w:jc w:val="right"/>
      </w:pPr>
      <w:r>
        <w:rPr/>
        <w:pict>
          <v:shape style="position:absolute;margin-left:56.399998pt;margin-top:-248.638275pt;width:479.2pt;height:459.8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070"/>
                    <w:gridCol w:w="1248"/>
                    <w:gridCol w:w="941"/>
                    <w:gridCol w:w="1373"/>
                    <w:gridCol w:w="1248"/>
                    <w:gridCol w:w="1063"/>
                    <w:gridCol w:w="1066"/>
                  </w:tblGrid>
                  <w:tr>
                    <w:trPr>
                      <w:trHeight w:val="322" w:hRule="exact"/>
                    </w:trPr>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金之彩相关董事</w:t>
                        </w:r>
                      </w:p>
                    </w:tc>
                    <w:tc>
                      <w:tcPr>
                        <w:tcW w:w="1070"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1373"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项承诺的公</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会、股东会决议纠</w:t>
                        </w: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纷</w:t>
                        </w: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12"/>
                            <w:sz w:val="18"/>
                            <w:szCs w:val="18"/>
                          </w:rPr>
                          <w:t>日刊载于《证</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券时报》及巨</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潮资讯网</w:t>
                        </w:r>
                      </w:p>
                    </w:tc>
                  </w:tr>
                  <w:tr>
                    <w:trPr>
                      <w:trHeight w:val="314"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w:t>
                          </w:r>
                        </w:hyperlink>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.cninfo.com.c</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w:t>
                        </w:r>
                        <w:r>
                          <w:rPr>
                            <w:rFonts w:ascii="宋体" w:hAnsi="宋体" w:cs="宋体" w:eastAsia="宋体" w:hint="default"/>
                            <w:sz w:val="18"/>
                            <w:szCs w:val="18"/>
                          </w:rPr>
                          <w:t>） （公告</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9</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12"/>
                            <w:sz w:val="18"/>
                            <w:szCs w:val="18"/>
                          </w:rPr>
                          <w:t>公司《关于收</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到应诉通知</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书的公告》于</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日刊载于</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及巨潮资讯</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4"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w:t>
                          </w:r>
                        </w:hyperlink>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.cninfo.com.c</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w:t>
                        </w:r>
                        <w:r>
                          <w:rPr>
                            <w:rFonts w:ascii="宋体" w:hAnsi="宋体" w:cs="宋体" w:eastAsia="宋体" w:hint="default"/>
                            <w:sz w:val="18"/>
                            <w:szCs w:val="18"/>
                          </w:rPr>
                          <w:t>） （公告</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52"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8</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6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报告期内发生的， 截至报告期末尚未 了结的未达到重大 诉讼披露标准的其 他诉讼汇总</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2,342.59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85"/>
                          <w:jc w:val="left"/>
                          <w:rPr>
                            <w:rFonts w:ascii="宋体" w:hAnsi="宋体" w:cs="宋体" w:eastAsia="宋体" w:hint="default"/>
                            <w:sz w:val="18"/>
                            <w:szCs w:val="18"/>
                          </w:rPr>
                        </w:pPr>
                        <w:r>
                          <w:rPr>
                            <w:rFonts w:ascii="宋体" w:hAnsi="宋体" w:cs="宋体" w:eastAsia="宋体" w:hint="default"/>
                            <w:sz w:val="18"/>
                            <w:szCs w:val="18"/>
                          </w:rPr>
                          <w:t>审理中或 未开庭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7"/>
                          <w:jc w:val="both"/>
                          <w:rPr>
                            <w:rFonts w:ascii="宋体" w:hAnsi="宋体" w:cs="宋体" w:eastAsia="宋体" w:hint="default"/>
                            <w:sz w:val="18"/>
                            <w:szCs w:val="18"/>
                          </w:rPr>
                        </w:pPr>
                        <w:r>
                          <w:rPr>
                            <w:rFonts w:ascii="宋体" w:hAnsi="宋体" w:cs="宋体" w:eastAsia="宋体" w:hint="default"/>
                            <w:sz w:val="18"/>
                            <w:szCs w:val="18"/>
                          </w:rPr>
                          <w:t>该等诉讼主要为 买卖合同纠纷， 对公司无重大影 响</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审理中或未开 庭</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26"/>
        <w:ind w:right="984"/>
        <w:jc w:val="left"/>
        <w:rPr>
          <w:rFonts w:ascii="Tahoma" w:hAnsi="Tahoma" w:cs="Tahoma" w:eastAsia="Tahoma" w:hint="default"/>
        </w:rPr>
      </w:pPr>
      <w:r>
        <w:rPr/>
        <w:t>十三、处罚及整改情况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984"/>
        <w:jc w:val="left"/>
        <w:rPr>
          <w:rFonts w:ascii="Tahoma" w:hAnsi="Tahoma" w:cs="Tahoma" w:eastAsia="Tahoma" w:hint="default"/>
        </w:rPr>
      </w:pPr>
      <w:r>
        <w:rPr/>
        <w:t>十四、公司及其控股股东、实际控制人的诚信状况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4"/>
        <w:jc w:val="left"/>
        <w:rPr>
          <w:rFonts w:ascii="Tahoma" w:hAnsi="Tahoma" w:cs="Tahoma" w:eastAsia="Tahoma" w:hint="default"/>
        </w:rPr>
      </w:pPr>
      <w:r>
        <w:rPr/>
        <w:t>十五、公司股权激励计划、员工持股计划或其他员工激励措施的实施情况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214"/>
        <w:jc w:val="left"/>
        <w:rPr>
          <w:rFonts w:ascii="Times New Roman" w:hAnsi="Times New Roman" w:cs="Times New Roman" w:eastAsia="Times New Roman" w:hint="default"/>
        </w:rPr>
      </w:pPr>
      <w:r>
        <w:rPr/>
        <w:t>公司部分董监高及核心骨干人员于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日通过成立的</w:t>
      </w:r>
      <w:r>
        <w:rPr>
          <w:rFonts w:ascii="Times New Roman" w:hAnsi="Times New Roman" w:cs="Times New Roman" w:eastAsia="Times New Roman" w:hint="default"/>
        </w:rPr>
        <w:t>“</w:t>
      </w:r>
      <w:r>
        <w:rPr/>
        <w:t>平安汇通</w:t>
      </w:r>
      <w:r>
        <w:rPr>
          <w:rFonts w:ascii="Times New Roman" w:hAnsi="Times New Roman" w:cs="Times New Roman" w:eastAsia="Times New Roman" w:hint="default"/>
        </w:rPr>
        <w:t>-</w:t>
      </w:r>
      <w:r>
        <w:rPr/>
        <w:t>美盈森</w:t>
      </w:r>
      <w:r>
        <w:rPr>
          <w:rFonts w:ascii="Times New Roman" w:hAnsi="Times New Roman" w:cs="Times New Roman" w:eastAsia="Times New Roman" w:hint="default"/>
        </w:rPr>
        <w:t>-</w:t>
      </w:r>
      <w:r>
        <w:rPr/>
        <w:t>成长</w:t>
      </w:r>
      <w:r>
        <w:rPr>
          <w:rFonts w:ascii="Times New Roman" w:hAnsi="Times New Roman" w:cs="Times New Roman" w:eastAsia="Times New Roman" w:hint="default"/>
        </w:rPr>
        <w:t>1</w:t>
      </w:r>
      <w:r>
        <w:rPr/>
        <w:t>号专项资产管理计划</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t>购入本公司股 票</w:t>
      </w:r>
      <w:r>
        <w:rPr>
          <w:rFonts w:ascii="Times New Roman" w:hAnsi="Times New Roman" w:cs="Times New Roman" w:eastAsia="Times New Roman" w:hint="default"/>
        </w:rPr>
        <w:t>859</w:t>
      </w:r>
      <w:r>
        <w:rPr/>
        <w:t>万股（</w:t>
      </w:r>
      <w:r>
        <w:rPr>
          <w:rFonts w:ascii="Times New Roman" w:hAnsi="Times New Roman" w:cs="Times New Roman" w:eastAsia="Times New Roman" w:hint="default"/>
        </w:rPr>
        <w:t>2014</w:t>
      </w:r>
      <w:r>
        <w:rPr/>
        <w:t>年度权益分派方案实施后变为</w:t>
      </w:r>
      <w:r>
        <w:rPr>
          <w:rFonts w:ascii="Times New Roman" w:hAnsi="Times New Roman" w:cs="Times New Roman" w:eastAsia="Times New Roman" w:hint="default"/>
        </w:rPr>
        <w:t>1718</w:t>
      </w:r>
      <w:r>
        <w:rPr/>
        <w:t>万股），相关情况详见公司于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日及</w:t>
      </w:r>
      <w:r>
        <w:rPr>
          <w:rFonts w:ascii="Times New Roman" w:hAnsi="Times New Roman" w:cs="Times New Roman" w:eastAsia="Times New Roman" w:hint="default"/>
        </w:rPr>
        <w:t>2018</w:t>
      </w:r>
    </w:p>
    <w:p>
      <w:pPr>
        <w:spacing w:after="0" w:line="300" w:lineRule="auto"/>
        <w:jc w:val="left"/>
        <w:rPr>
          <w:rFonts w:ascii="Times New Roman" w:hAnsi="Times New Roman" w:cs="Times New Roman" w:eastAsia="Times New Roman" w:hint="default"/>
        </w:rPr>
        <w:sectPr>
          <w:pgSz w:w="11910" w:h="16840"/>
          <w:pgMar w:header="753" w:footer="982" w:top="1060" w:bottom="1180" w:left="980" w:right="0"/>
        </w:sectPr>
      </w:pPr>
    </w:p>
    <w:p>
      <w:pPr>
        <w:spacing w:line="240" w:lineRule="auto" w:before="10"/>
        <w:rPr>
          <w:rFonts w:ascii="Times New Roman" w:hAnsi="Times New Roman" w:cs="Times New Roman" w:eastAsia="Times New Roman" w:hint="default"/>
          <w:sz w:val="29"/>
          <w:szCs w:val="29"/>
        </w:rPr>
      </w:pPr>
    </w:p>
    <w:p>
      <w:pPr>
        <w:pStyle w:val="BodyText"/>
        <w:spacing w:line="300" w:lineRule="auto" w:before="37"/>
        <w:ind w:right="1046"/>
        <w:jc w:val="both"/>
      </w:pP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日在《证券时报》及巨潮资讯网（</w:t>
      </w:r>
      <w:hyperlink r:id="rId11">
        <w:r>
          <w:rPr>
            <w:rFonts w:ascii="Times New Roman" w:hAnsi="Times New Roman" w:cs="Times New Roman" w:eastAsia="Times New Roman" w:hint="default"/>
          </w:rPr>
          <w:t>www.cninfo.com.cn</w:t>
        </w:r>
      </w:hyperlink>
      <w:r>
        <w:rPr/>
        <w:t>）披露的《关于公司部分董监高及核心骨干人员融资增持公司 股份的公告》（公告编号：</w:t>
      </w:r>
      <w:r>
        <w:rPr>
          <w:rFonts w:ascii="Times New Roman" w:hAnsi="Times New Roman" w:cs="Times New Roman" w:eastAsia="Times New Roman" w:hint="default"/>
        </w:rPr>
        <w:t>2014-026</w:t>
      </w:r>
      <w:r>
        <w:rPr/>
        <w:t>）、《关于公司部分董监高及核心骨干人员融资增持公司股份存续期展期的公告》（公 </w:t>
      </w:r>
      <w:r>
        <w:rPr>
          <w:spacing w:val="-5"/>
        </w:rPr>
        <w:t>告编号：</w:t>
      </w:r>
      <w:r>
        <w:rPr>
          <w:rFonts w:ascii="Times New Roman" w:hAnsi="Times New Roman" w:cs="Times New Roman" w:eastAsia="Times New Roman" w:hint="default"/>
          <w:spacing w:val="-5"/>
        </w:rPr>
        <w:t>2017-076</w:t>
      </w:r>
      <w:r>
        <w:rPr>
          <w:spacing w:val="-5"/>
        </w:rPr>
        <w:t>）及《关于公司部分董监高及核心骨干人员融资增持公司股份存续期展期的公告》（公告编号：</w:t>
      </w:r>
      <w:r>
        <w:rPr>
          <w:rFonts w:ascii="Times New Roman" w:hAnsi="Times New Roman" w:cs="Times New Roman" w:eastAsia="Times New Roman" w:hint="default"/>
          <w:spacing w:val="-5"/>
        </w:rPr>
        <w:t>2018-099</w:t>
      </w:r>
      <w:r>
        <w:rPr>
          <w:spacing w:val="-5"/>
        </w:rPr>
        <w:t>）。</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2"/>
        <w:spacing w:line="240" w:lineRule="auto"/>
        <w:ind w:right="0"/>
        <w:jc w:val="both"/>
        <w:rPr>
          <w:rFonts w:ascii="Tahoma" w:hAnsi="Tahoma" w:cs="Tahoma" w:eastAsia="Tahoma" w:hint="default"/>
        </w:rPr>
      </w:pPr>
      <w:r>
        <w:rPr/>
        <w:t>十六、重大关联交易</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0"/>
        <w:jc w:val="both"/>
        <w:rPr>
          <w:rFonts w:ascii="Tahoma" w:hAnsi="Tahoma" w:cs="Tahoma" w:eastAsia="Tahoma" w:hint="default"/>
        </w:rPr>
      </w:pPr>
      <w:r>
        <w:rPr>
          <w:rFonts w:ascii="Tahoma" w:hAnsi="Tahoma" w:cs="Tahoma" w:eastAsia="Tahoma" w:hint="default"/>
        </w:rPr>
        <w:t>1</w:t>
      </w:r>
      <w:r>
        <w:rPr/>
        <w:t>、与日常经营相关的关联交易</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40" w:lineRule="auto"/>
        <w:ind w:right="6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0"/>
        <w:jc w:val="both"/>
        <w:rPr>
          <w:rFonts w:ascii="Tahoma" w:hAnsi="Tahoma" w:cs="Tahoma" w:eastAsia="Tahoma" w:hint="default"/>
        </w:rPr>
      </w:pPr>
      <w:r>
        <w:rPr>
          <w:rFonts w:ascii="Tahoma" w:hAnsi="Tahoma" w:cs="Tahoma" w:eastAsia="Tahoma" w:hint="default"/>
        </w:rPr>
        <w:t>2</w:t>
      </w:r>
      <w:r>
        <w:rPr/>
        <w:t>、资产或股权收购、出售发生的关联交易</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right="0"/>
        <w:jc w:val="both"/>
        <w:rPr>
          <w:rFonts w:ascii="Tahoma" w:hAnsi="Tahoma" w:cs="Tahoma" w:eastAsia="Tahoma" w:hint="default"/>
        </w:rPr>
      </w:pPr>
      <w:r>
        <w:rPr>
          <w:rFonts w:ascii="Tahoma" w:hAnsi="Tahoma" w:cs="Tahoma" w:eastAsia="Tahoma" w:hint="default"/>
        </w:rPr>
        <w:t>3</w:t>
      </w:r>
      <w:r>
        <w:rPr/>
        <w:t>、共同对外投资的关联交易</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ind w:right="0"/>
        <w:jc w:val="both"/>
        <w:rPr>
          <w:rFonts w:ascii="Tahoma" w:hAnsi="Tahoma" w:cs="Tahoma" w:eastAsia="Tahoma" w:hint="default"/>
        </w:rPr>
      </w:pPr>
      <w:r>
        <w:rPr>
          <w:rFonts w:ascii="Tahoma" w:hAnsi="Tahoma" w:cs="Tahoma" w:eastAsia="Tahoma" w:hint="default"/>
        </w:rPr>
        <w:t>4</w:t>
      </w:r>
      <w:r>
        <w:rPr/>
        <w:t>、关联债权债务往来</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right="0"/>
        <w:jc w:val="both"/>
        <w:rPr>
          <w:rFonts w:ascii="Tahoma" w:hAnsi="Tahoma" w:cs="Tahoma" w:eastAsia="Tahoma" w:hint="default"/>
        </w:rPr>
      </w:pPr>
      <w:r>
        <w:rPr>
          <w:rFonts w:ascii="Tahoma" w:hAnsi="Tahoma" w:cs="Tahoma" w:eastAsia="Tahoma" w:hint="default"/>
        </w:rPr>
        <w:t>5</w:t>
      </w:r>
      <w:r>
        <w:rPr/>
        <w:t>、其他重大关联交易</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both"/>
        <w:rPr>
          <w:rFonts w:ascii="Tahoma" w:hAnsi="Tahoma" w:cs="Tahoma" w:eastAsia="Tahoma" w:hint="default"/>
        </w:rPr>
      </w:pPr>
      <w:r>
        <w:rPr/>
        <w:t>十七、重大合同及其履行情况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0"/>
        <w:jc w:val="both"/>
        <w:rPr>
          <w:rFonts w:ascii="Tahoma" w:hAnsi="Tahoma" w:cs="Tahoma" w:eastAsia="Tahoma" w:hint="default"/>
        </w:rPr>
      </w:pPr>
      <w:r>
        <w:rPr>
          <w:rFonts w:ascii="Tahoma" w:hAnsi="Tahoma" w:cs="Tahoma" w:eastAsia="Tahoma" w:hint="default"/>
        </w:rPr>
        <w:t>1</w:t>
      </w:r>
      <w:r>
        <w:rPr/>
        <w:t>、托管、承包、租赁事项情况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0"/>
        <w:jc w:val="both"/>
        <w:rPr>
          <w:rFonts w:ascii="Tahoma" w:hAnsi="Tahoma" w:cs="Tahoma" w:eastAsia="Tahoma" w:hint="default"/>
        </w:rPr>
      </w:pPr>
      <w:r>
        <w:rPr/>
        <w:t>（</w:t>
      </w:r>
      <w:r>
        <w:rPr>
          <w:rFonts w:ascii="Tahoma" w:hAnsi="Tahoma" w:cs="Tahoma" w:eastAsia="Tahoma" w:hint="default"/>
        </w:rPr>
        <w:t>1</w:t>
      </w:r>
      <w:r>
        <w:rPr/>
        <w:t>）托管情况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公司报告期不存在托管情况。</w:t>
      </w:r>
    </w:p>
    <w:p>
      <w:pPr>
        <w:spacing w:line="240" w:lineRule="auto" w:before="5"/>
        <w:rPr>
          <w:rFonts w:ascii="宋体" w:hAnsi="宋体" w:cs="宋体" w:eastAsia="宋体" w:hint="default"/>
          <w:sz w:val="21"/>
          <w:szCs w:val="21"/>
        </w:rPr>
      </w:pPr>
    </w:p>
    <w:p>
      <w:pPr>
        <w:pStyle w:val="Heading3"/>
        <w:spacing w:line="240" w:lineRule="auto"/>
        <w:ind w:right="0"/>
        <w:jc w:val="both"/>
        <w:rPr>
          <w:rFonts w:ascii="Tahoma" w:hAnsi="Tahoma" w:cs="Tahoma" w:eastAsia="Tahoma" w:hint="default"/>
        </w:rPr>
      </w:pPr>
      <w:r>
        <w:rPr/>
        <w:t>（</w:t>
      </w:r>
      <w:r>
        <w:rPr>
          <w:rFonts w:ascii="Tahoma" w:hAnsi="Tahoma" w:cs="Tahoma" w:eastAsia="Tahoma" w:hint="default"/>
        </w:rPr>
        <w:t>2</w:t>
      </w:r>
      <w:r>
        <w:rPr/>
        <w:t>）承包情况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both"/>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right="984"/>
        <w:jc w:val="left"/>
      </w:pPr>
      <w:r>
        <w:rPr/>
        <w:t>公司报告期不存在承包情况。</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t>（</w:t>
      </w:r>
      <w:r>
        <w:rPr>
          <w:rFonts w:ascii="Tahoma" w:hAnsi="Tahoma" w:cs="Tahoma" w:eastAsia="Tahoma" w:hint="default"/>
        </w:rPr>
        <w:t>3</w:t>
      </w:r>
      <w:r>
        <w:rPr/>
        <w:t>）租赁情况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公司报告期不存在租赁情况。</w:t>
      </w:r>
    </w:p>
    <w:p>
      <w:pPr>
        <w:spacing w:line="240" w:lineRule="auto" w:before="7"/>
        <w:rPr>
          <w:rFonts w:ascii="宋体" w:hAnsi="宋体" w:cs="宋体" w:eastAsia="宋体" w:hint="default"/>
          <w:sz w:val="21"/>
          <w:szCs w:val="21"/>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w:t>
      </w:r>
      <w:r>
        <w:rPr/>
        <w:t>、重大担保</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公司报告期不存在担保情况。</w:t>
      </w:r>
    </w:p>
    <w:p>
      <w:pPr>
        <w:spacing w:line="240" w:lineRule="auto" w:before="7"/>
        <w:rPr>
          <w:rFonts w:ascii="宋体" w:hAnsi="宋体" w:cs="宋体" w:eastAsia="宋体" w:hint="default"/>
          <w:sz w:val="21"/>
          <w:szCs w:val="21"/>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w:t>
      </w:r>
      <w:r>
        <w:rPr/>
        <w:t>、委托他人进行现金资产管理情况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）委托理财情况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spacing w:after="0" w:line="240" w:lineRule="auto"/>
        <w:rPr>
          <w:rFonts w:ascii="Tahoma" w:hAnsi="Tahoma" w:cs="Tahoma" w:eastAsia="Tahoma" w:hint="default"/>
          <w:sz w:val="25"/>
          <w:szCs w:val="25"/>
        </w:rPr>
        <w:sectPr>
          <w:pgSz w:w="11910" w:h="16840"/>
          <w:pgMar w:header="753" w:footer="982" w:top="1060" w:bottom="1180" w:left="980" w:right="0"/>
        </w:sectPr>
      </w:pPr>
    </w:p>
    <w:p>
      <w:pPr>
        <w:pStyle w:val="BodyText"/>
        <w:spacing w:line="340" w:lineRule="auto" w:before="3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ind w:right="0"/>
        <w:jc w:val="left"/>
      </w:pPr>
      <w:r>
        <w:rPr/>
        <w:t>单位：万元</w:t>
      </w:r>
    </w:p>
    <w:p>
      <w:pPr>
        <w:spacing w:after="0" w:line="240" w:lineRule="auto"/>
        <w:jc w:val="left"/>
        <w:sectPr>
          <w:type w:val="continuous"/>
          <w:pgSz w:w="11910" w:h="16840"/>
          <w:pgMar w:top="1060" w:bottom="1180" w:left="980" w:right="0"/>
          <w:cols w:num="2" w:equalWidth="0">
            <w:col w:w="1953" w:space="6785"/>
            <w:col w:w="2192"/>
          </w:cols>
        </w:sectPr>
      </w:pP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867"/>
        <w:gridCol w:w="1963"/>
        <w:gridCol w:w="1980"/>
        <w:gridCol w:w="1910"/>
        <w:gridCol w:w="1846"/>
      </w:tblGrid>
      <w:tr>
        <w:trPr>
          <w:trHeight w:val="402" w:hRule="exact"/>
        </w:trPr>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71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7"/>
                <w:sz w:val="18"/>
                <w:szCs w:val="18"/>
              </w:rPr>
              <w:t>暂时闲置募集资金、自有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83,800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73,800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83,800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73,800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984"/>
        <w:jc w:val="left"/>
      </w:pPr>
      <w:r>
        <w:rPr/>
        <w:t>单项金额重大或安全性较低、流动性较差、不保本的高风险委托理财具体情况</w:t>
      </w:r>
    </w:p>
    <w:p>
      <w:pPr>
        <w:pStyle w:val="BodyText"/>
        <w:spacing w:line="340" w:lineRule="auto" w:before="115"/>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1"/>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）委托贷款情况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984"/>
        <w:jc w:val="left"/>
        <w:rPr>
          <w:rFonts w:ascii="Tahoma" w:hAnsi="Tahoma" w:cs="Tahoma" w:eastAsia="Tahoma" w:hint="default"/>
        </w:rPr>
      </w:pPr>
      <w:r>
        <w:rPr>
          <w:rFonts w:ascii="Tahoma" w:hAnsi="Tahoma" w:cs="Tahoma" w:eastAsia="Tahoma" w:hint="default"/>
        </w:rPr>
        <w:t>4</w:t>
      </w:r>
      <w:r>
        <w:rPr/>
        <w:t>、其他重大合同</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984"/>
        <w:jc w:val="left"/>
        <w:rPr>
          <w:rFonts w:ascii="Tahoma" w:hAnsi="Tahoma" w:cs="Tahoma" w:eastAsia="Tahoma" w:hint="default"/>
        </w:rPr>
      </w:pPr>
      <w:r>
        <w:rPr/>
        <w:t>十八、社会责任情况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、履行社会责任情况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t>公司自设立以来，一直非常重视并积极践行社会责任，努力实现与自然环境、利益相关方的和谐发展、互利共赢。</w:t>
      </w:r>
    </w:p>
    <w:p>
      <w:pPr>
        <w:spacing w:after="0" w:line="240" w:lineRule="auto"/>
        <w:jc w:val="left"/>
        <w:sectPr>
          <w:type w:val="continuous"/>
          <w:pgSz w:w="11910" w:h="16840"/>
          <w:pgMar w:top="1060" w:bottom="1180" w:left="980" w:right="0"/>
        </w:sectPr>
      </w:pPr>
    </w:p>
    <w:p>
      <w:pPr>
        <w:spacing w:line="240" w:lineRule="auto" w:before="4"/>
        <w:rPr>
          <w:rFonts w:ascii="宋体" w:hAnsi="宋体" w:cs="宋体" w:eastAsia="宋体" w:hint="default"/>
          <w:sz w:val="26"/>
          <w:szCs w:val="26"/>
        </w:rPr>
      </w:pPr>
    </w:p>
    <w:p>
      <w:pPr>
        <w:pStyle w:val="BodyText"/>
        <w:spacing w:line="307" w:lineRule="auto" w:before="37"/>
        <w:ind w:right="1130"/>
        <w:jc w:val="both"/>
      </w:pPr>
      <w:r>
        <w:rPr>
          <w:spacing w:val="-2"/>
        </w:rPr>
        <w:t>报告期内，公司通过多种方式践行社会责任：一是加大现金分红力度，推动全体股东共享公司经营发展成果，积极回报广大</w:t>
      </w:r>
      <w:r>
        <w:rPr>
          <w:spacing w:val="-66"/>
        </w:rPr>
        <w:t> </w:t>
      </w:r>
      <w:r>
        <w:rPr>
          <w:spacing w:val="-66"/>
        </w:rPr>
      </w:r>
      <w:r>
        <w:rPr/>
        <w:t>投资者。依据公司制定的股东回报规划和公司实际经营情况，近三年，公司的现金分红累计达</w:t>
      </w:r>
      <w:r>
        <w:rPr>
          <w:rFonts w:ascii="Times New Roman" w:hAnsi="Times New Roman" w:cs="Times New Roman" w:eastAsia="Times New Roman" w:hint="default"/>
        </w:rPr>
        <w:t>601,706,354.09</w:t>
      </w:r>
      <w:r>
        <w:rPr/>
        <w:t>元（含股份回</w:t>
      </w:r>
      <w:r>
        <w:rPr>
          <w:spacing w:val="-57"/>
        </w:rPr>
        <w:t> </w:t>
      </w:r>
      <w:r>
        <w:rPr>
          <w:spacing w:val="-57"/>
        </w:rPr>
      </w:r>
      <w:r>
        <w:rPr/>
        <w:t>购），占归属于股东的净利润比例为</w:t>
      </w:r>
      <w:r>
        <w:rPr>
          <w:rFonts w:ascii="Times New Roman" w:hAnsi="Times New Roman" w:cs="Times New Roman" w:eastAsia="Times New Roman" w:hint="default"/>
        </w:rPr>
        <w:t>61.85%</w:t>
      </w:r>
      <w:r>
        <w:rPr/>
        <w:t>；二是建立了较为完善的公司治理结构，并按照相关法律法规的规定履行信息</w:t>
      </w:r>
      <w:r>
        <w:rPr>
          <w:spacing w:val="-36"/>
        </w:rPr>
        <w:t> </w:t>
      </w:r>
      <w:r>
        <w:rPr>
          <w:spacing w:val="-36"/>
        </w:rPr>
      </w:r>
      <w:r>
        <w:rPr>
          <w:spacing w:val="-2"/>
        </w:rPr>
        <w:t>披露义务、持续提升公司规范运作水平，加强与投资者之间的沟通，保障投资者的知情权；三是秉持绿色制造理念、持续提</w:t>
      </w:r>
      <w:r>
        <w:rPr>
          <w:spacing w:val="-69"/>
        </w:rPr>
        <w:t> </w:t>
      </w:r>
      <w:r>
        <w:rPr>
          <w:spacing w:val="-69"/>
        </w:rPr>
      </w:r>
      <w:r>
        <w:rPr>
          <w:spacing w:val="-2"/>
        </w:rPr>
        <w:t>升公司服务水平，不断提高产品品质，提升客户满意度，为客户创造价值，从而实现与自然环境和谐发展，实现与股东、员</w:t>
      </w:r>
      <w:r>
        <w:rPr>
          <w:spacing w:val="-71"/>
        </w:rPr>
        <w:t> </w:t>
      </w:r>
      <w:r>
        <w:rPr>
          <w:spacing w:val="-71"/>
        </w:rPr>
      </w:r>
      <w:r>
        <w:rPr>
          <w:spacing w:val="-2"/>
        </w:rPr>
        <w:t>工、客户、供应商及利益相关方的互利共赢；四是通过多种方式，帮助、关爱弱势群体，积极践行中央产业扶贫精神。报告</w:t>
      </w:r>
      <w:r>
        <w:rPr>
          <w:spacing w:val="-69"/>
        </w:rPr>
        <w:t> </w:t>
      </w:r>
      <w:r>
        <w:rPr>
          <w:spacing w:val="-69"/>
        </w:rPr>
      </w:r>
      <w:r>
        <w:rPr>
          <w:spacing w:val="-2"/>
        </w:rPr>
        <w:t>期内，公司与深圳市光明区新湖街道办事处联合建立了扶贫车间，吸纳建档立卡贫困户人口</w:t>
      </w:r>
      <w:r>
        <w:rPr>
          <w:rFonts w:ascii="Times New Roman" w:hAnsi="Times New Roman" w:cs="Times New Roman" w:eastAsia="Times New Roman" w:hint="default"/>
          <w:spacing w:val="-2"/>
        </w:rPr>
        <w:t>21</w:t>
      </w:r>
      <w:r>
        <w:rPr>
          <w:spacing w:val="-2"/>
        </w:rPr>
        <w:t>人。公司提供包装技术和订单</w:t>
      </w:r>
      <w:r>
        <w:rPr>
          <w:spacing w:val="-62"/>
        </w:rPr>
        <w:t> </w:t>
      </w:r>
      <w:r>
        <w:rPr>
          <w:spacing w:val="-62"/>
        </w:rPr>
      </w:r>
      <w:r>
        <w:rPr/>
        <w:t>支持，并对扶贫车间员工进行技能培训，以自身实际行动帮助贫困群体解决困难。</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月，公司作为光明区爱心企业代 </w:t>
      </w:r>
      <w:r>
        <w:rPr>
          <w:spacing w:val="-2"/>
        </w:rPr>
        <w:t>表之一，前往西藏林芝市察隅县开展对口支援工作，捐赠了</w:t>
      </w:r>
      <w:r>
        <w:rPr>
          <w:rFonts w:ascii="Times New Roman" w:hAnsi="Times New Roman" w:cs="Times New Roman" w:eastAsia="Times New Roman" w:hint="default"/>
          <w:spacing w:val="-2"/>
        </w:rPr>
        <w:t>20</w:t>
      </w:r>
      <w:r>
        <w:rPr>
          <w:spacing w:val="-2"/>
        </w:rPr>
        <w:t>万元用于察隅县精准扶贫项目建设。作为一家拥有数千名员工</w:t>
      </w:r>
      <w:r>
        <w:rPr>
          <w:spacing w:val="-62"/>
        </w:rPr>
        <w:t> </w:t>
      </w:r>
      <w:r>
        <w:rPr>
          <w:spacing w:val="-62"/>
        </w:rPr>
      </w:r>
      <w:r>
        <w:rPr/>
        <w:t>的大型企业，公司十分关爱员工，通过坚持办好</w:t>
      </w:r>
      <w:r>
        <w:rPr>
          <w:rFonts w:ascii="Times New Roman" w:hAnsi="Times New Roman" w:cs="Times New Roman" w:eastAsia="Times New Roman" w:hint="default"/>
        </w:rPr>
        <w:t>“4</w:t>
      </w:r>
      <w:r>
        <w:rPr/>
        <w:t>点半课堂</w:t>
      </w:r>
      <w:r>
        <w:rPr>
          <w:rFonts w:ascii="Times New Roman" w:hAnsi="Times New Roman" w:cs="Times New Roman" w:eastAsia="Times New Roman" w:hint="default"/>
        </w:rPr>
        <w:t>”</w:t>
      </w:r>
      <w:r>
        <w:rPr/>
        <w:t>、优化员工锻炼、娱乐设施及场所等多种方式让员工共享公司</w:t>
      </w:r>
      <w:r>
        <w:rPr>
          <w:spacing w:val="-73"/>
        </w:rPr>
        <w:t> </w:t>
      </w:r>
      <w:r>
        <w:rPr>
          <w:spacing w:val="-73"/>
        </w:rPr>
      </w:r>
      <w:r>
        <w:rPr/>
        <w:t>发展的成果。</w:t>
      </w:r>
    </w:p>
    <w:p>
      <w:pPr>
        <w:spacing w:line="240" w:lineRule="auto" w:before="4"/>
        <w:rPr>
          <w:rFonts w:ascii="宋体" w:hAnsi="宋体" w:cs="宋体" w:eastAsia="宋体" w:hint="default"/>
          <w:sz w:val="23"/>
          <w:szCs w:val="23"/>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w:t>
      </w:r>
      <w:r>
        <w:rPr/>
        <w:t>、履行精准扶贫社会责任情况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）精准扶贫规划</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984"/>
        <w:jc w:val="left"/>
      </w:pPr>
      <w:r>
        <w:rPr>
          <w:spacing w:val="-2"/>
        </w:rPr>
        <w:t>公司积极响应中央扶贫开发有关精神，总结经验，不断研究和走出一条切合公司实际的产业发展脱贫、转移就业脱贫的精准</w:t>
      </w:r>
      <w:r>
        <w:rPr>
          <w:spacing w:val="-65"/>
        </w:rPr>
        <w:t> </w:t>
      </w:r>
      <w:r>
        <w:rPr>
          <w:spacing w:val="-65"/>
        </w:rPr>
      </w:r>
      <w:r>
        <w:rPr/>
        <w:t>扶贫路子。</w:t>
      </w:r>
    </w:p>
    <w:p>
      <w:pPr>
        <w:spacing w:line="240" w:lineRule="auto" w:before="10"/>
        <w:rPr>
          <w:rFonts w:ascii="宋体" w:hAnsi="宋体" w:cs="宋体" w:eastAsia="宋体" w:hint="default"/>
          <w:sz w:val="22"/>
          <w:szCs w:val="22"/>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）年度精准扶贫概要</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07" w:lineRule="auto"/>
        <w:ind w:right="1034"/>
        <w:jc w:val="left"/>
      </w:pPr>
      <w:r>
        <w:rPr>
          <w:rFonts w:ascii="Times New Roman" w:hAnsi="Times New Roman" w:cs="Times New Roman" w:eastAsia="Times New Roman" w:hint="default"/>
        </w:rPr>
        <w:t>1</w:t>
      </w:r>
      <w:r>
        <w:rPr/>
        <w:t>、公司在革命老区安徽六安经济技术开发区投资建设包装印刷工业 </w:t>
      </w:r>
      <w:r>
        <w:rPr>
          <w:rFonts w:ascii="Times New Roman" w:hAnsi="Times New Roman" w:cs="Times New Roman" w:eastAsia="Times New Roman" w:hint="default"/>
        </w:rPr>
        <w:t>4.0</w:t>
      </w:r>
      <w:r>
        <w:rPr>
          <w:rFonts w:ascii="Times New Roman" w:hAnsi="Times New Roman" w:cs="Times New Roman" w:eastAsia="Times New Roman" w:hint="default"/>
          <w:spacing w:val="8"/>
        </w:rPr>
        <w:t> </w:t>
      </w:r>
      <w:r>
        <w:rPr/>
        <w:t>智慧型工厂</w:t>
      </w:r>
      <w:r>
        <w:rPr>
          <w:rFonts w:ascii="Times New Roman" w:hAnsi="Times New Roman" w:cs="Times New Roman" w:eastAsia="Times New Roman" w:hint="default"/>
        </w:rPr>
        <w:t>(</w:t>
      </w:r>
      <w:r>
        <w:rPr/>
        <w:t>六安</w:t>
      </w:r>
      <w:r>
        <w:rPr>
          <w:rFonts w:ascii="Times New Roman" w:hAnsi="Times New Roman" w:cs="Times New Roman" w:eastAsia="Times New Roman" w:hint="default"/>
        </w:rPr>
        <w:t>)</w:t>
      </w:r>
      <w:r>
        <w:rPr/>
        <w:t>项目，有利于公司贴近服务安徽 </w:t>
      </w:r>
      <w:r>
        <w:rPr>
          <w:spacing w:val="-2"/>
        </w:rPr>
        <w:t>及周边区域客户，增加客户黏性，进一步布局华东区域市场，分享区域内包装市场需求带来的收益。同时，本次投资亦是公</w:t>
      </w:r>
      <w:r>
        <w:rPr>
          <w:spacing w:val="-69"/>
        </w:rPr>
        <w:t> </w:t>
      </w:r>
      <w:r>
        <w:rPr>
          <w:spacing w:val="-69"/>
        </w:rPr>
      </w:r>
      <w:r>
        <w:rPr/>
        <w:t>司积极响应中央扶贫开发有关精神，支持革命老区产业及经济发展的重要举措。上述项目将于</w:t>
      </w:r>
      <w:r>
        <w:rPr>
          <w:rFonts w:ascii="Times New Roman" w:hAnsi="Times New Roman" w:cs="Times New Roman" w:eastAsia="Times New Roman" w:hint="default"/>
        </w:rPr>
        <w:t>2019</w:t>
      </w:r>
      <w:r>
        <w:rPr/>
        <w:t>年上半年逐步投入使用。 </w:t>
      </w:r>
      <w:r>
        <w:rPr>
          <w:rFonts w:ascii="Times New Roman" w:hAnsi="Times New Roman" w:cs="Times New Roman" w:eastAsia="Times New Roman" w:hint="default"/>
        </w:rPr>
        <w:t>2</w:t>
      </w:r>
      <w:r>
        <w:rPr/>
        <w:t>、报告期内，公司与深圳市光明区新湖街道办事处联合建立了扶贫车间，吸纳建档立卡贫困户人口</w:t>
      </w:r>
      <w:r>
        <w:rPr>
          <w:rFonts w:ascii="Times New Roman" w:hAnsi="Times New Roman" w:cs="Times New Roman" w:eastAsia="Times New Roman" w:hint="default"/>
        </w:rPr>
        <w:t>21</w:t>
      </w:r>
      <w:r>
        <w:rPr/>
        <w:t>人。公司提供包装技 术和订单支持，并对扶贫车间员工进行技能培训，以自身实际行动帮助贫困群体解决困难。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月，公司作为光明区爱心企业代表之一，前往西藏林芝市察隅县开展对口支援工作，捐赠了</w:t>
      </w:r>
      <w:r>
        <w:rPr>
          <w:rFonts w:ascii="Times New Roman" w:hAnsi="Times New Roman" w:cs="Times New Roman" w:eastAsia="Times New Roman" w:hint="default"/>
          <w:spacing w:val="-2"/>
        </w:rPr>
        <w:t>20</w:t>
      </w:r>
      <w:r>
        <w:rPr>
          <w:spacing w:val="-2"/>
        </w:rPr>
        <w:t>万元用于察隅县精</w:t>
      </w:r>
      <w:r>
        <w:rPr>
          <w:spacing w:val="-61"/>
        </w:rPr>
        <w:t> </w:t>
      </w:r>
      <w:r>
        <w:rPr/>
        <w:t>准扶贫项目建设。</w:t>
      </w:r>
    </w:p>
    <w:p>
      <w:pPr>
        <w:spacing w:line="240" w:lineRule="auto" w:before="4"/>
        <w:rPr>
          <w:rFonts w:ascii="宋体" w:hAnsi="宋体" w:cs="宋体" w:eastAsia="宋体" w:hint="default"/>
          <w:sz w:val="23"/>
          <w:szCs w:val="23"/>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3</w:t>
      </w:r>
      <w:r>
        <w:rPr/>
        <w:t>）精准扶贫成效</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3595"/>
        <w:gridCol w:w="1459"/>
        <w:gridCol w:w="4514"/>
      </w:tblGrid>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78.02</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帮助建档立卡贫困人口脱贫数</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923"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1.1 </w:t>
            </w:r>
            <w:r>
              <w:rPr>
                <w:rFonts w:ascii="宋体" w:hAnsi="宋体" w:cs="宋体" w:eastAsia="宋体" w:hint="default"/>
                <w:sz w:val="18"/>
                <w:szCs w:val="18"/>
              </w:rPr>
              <w:t>产业发展脱贫项目类型</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产业发展脱贫项目个数</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产业发展脱贫项目投入金额</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58.02</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帮助建档立卡贫困人口脱贫数</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82" w:header="753" w:top="1060" w:bottom="1180" w:left="980" w:right="0"/>
          <w:pgNumType w:start="60"/>
        </w:sectPr>
      </w:pPr>
    </w:p>
    <w:p>
      <w:pPr>
        <w:spacing w:line="240" w:lineRule="auto" w:before="0"/>
        <w:rPr>
          <w:rFonts w:ascii="Tahoma" w:hAnsi="Tahoma" w:cs="Tahoma" w:eastAsia="Tahoma" w:hint="default"/>
          <w:sz w:val="20"/>
          <w:szCs w:val="20"/>
        </w:rPr>
      </w:pPr>
    </w:p>
    <w:p>
      <w:pPr>
        <w:spacing w:line="240" w:lineRule="auto" w:before="11"/>
        <w:rPr>
          <w:rFonts w:ascii="Tahoma" w:hAnsi="Tahoma" w:cs="Tahoma" w:eastAsia="Tahoma" w:hint="default"/>
          <w:sz w:val="10"/>
          <w:szCs w:val="10"/>
        </w:rPr>
      </w:pPr>
    </w:p>
    <w:tbl>
      <w:tblPr>
        <w:tblW w:w="0" w:type="auto"/>
        <w:jc w:val="left"/>
        <w:tblInd w:w="147" w:type="dxa"/>
        <w:tblLayout w:type="fixed"/>
        <w:tblCellMar>
          <w:top w:w="0" w:type="dxa"/>
          <w:left w:w="0" w:type="dxa"/>
          <w:bottom w:w="0" w:type="dxa"/>
          <w:right w:w="0" w:type="dxa"/>
        </w:tblCellMar>
        <w:tblLook w:val="01E0"/>
      </w:tblPr>
      <w:tblGrid>
        <w:gridCol w:w="3595"/>
        <w:gridCol w:w="1459"/>
        <w:gridCol w:w="4514"/>
      </w:tblGrid>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社会扶贫</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923" w:val="left" w:leader="none"/>
              </w:tabs>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2.1 </w:t>
            </w:r>
            <w:r>
              <w:rPr>
                <w:rFonts w:ascii="宋体" w:hAnsi="宋体" w:cs="宋体" w:eastAsia="宋体" w:hint="default"/>
                <w:sz w:val="18"/>
                <w:szCs w:val="18"/>
              </w:rPr>
              <w:t>东西部扶贫协作投入金额</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定点扶贫工作投入金额</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扶贫公益基金投入金额</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ahoma" w:hAnsi="Tahoma" w:cs="Tahoma" w:eastAsia="Tahoma" w:hint="default"/>
          <w:sz w:val="20"/>
          <w:szCs w:val="20"/>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4</w:t>
      </w:r>
      <w:r>
        <w:rPr/>
        <w:t>）后续精准扶贫计划</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00" w:lineRule="auto"/>
        <w:ind w:right="984"/>
        <w:jc w:val="left"/>
      </w:pPr>
      <w:r>
        <w:rPr/>
        <w:t>实现包装印刷工业 </w:t>
      </w:r>
      <w:r>
        <w:rPr>
          <w:rFonts w:ascii="Times New Roman" w:hAnsi="Times New Roman" w:cs="Times New Roman" w:eastAsia="Times New Roman" w:hint="default"/>
        </w:rPr>
        <w:t>4.0 </w:t>
      </w:r>
      <w:r>
        <w:rPr/>
        <w:t>智慧型工厂</w:t>
      </w:r>
      <w:r>
        <w:rPr>
          <w:rFonts w:ascii="Times New Roman" w:hAnsi="Times New Roman" w:cs="Times New Roman" w:eastAsia="Times New Roman" w:hint="default"/>
        </w:rPr>
        <w:t>(</w:t>
      </w:r>
      <w:r>
        <w:rPr/>
        <w:t>六安</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项目投产见效，为革命老区产业及经济发展贡献一份力量；持续探索与当地联合 共建扶贫车间，帮助贫困群众解决就业问题，增加收入，早日脱贫。</w:t>
      </w:r>
    </w:p>
    <w:p>
      <w:pPr>
        <w:spacing w:line="240" w:lineRule="auto" w:before="10"/>
        <w:rPr>
          <w:rFonts w:ascii="宋体" w:hAnsi="宋体" w:cs="宋体" w:eastAsia="宋体" w:hint="default"/>
          <w:sz w:val="23"/>
          <w:szCs w:val="23"/>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w:t>
      </w:r>
      <w:r>
        <w:rPr/>
        <w:t>、环境保护相关的情况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60" w:lineRule="auto"/>
        <w:ind w:right="5714"/>
        <w:jc w:val="left"/>
      </w:pPr>
      <w:r>
        <w:rPr/>
        <w:t>上市公司及其子公司是否属于环境保护部门公布的重点排污单位 是</w:t>
      </w:r>
    </w:p>
    <w:tbl>
      <w:tblPr>
        <w:tblW w:w="0" w:type="auto"/>
        <w:jc w:val="left"/>
        <w:tblInd w:w="147"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1025"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06" w:right="21" w:hanging="180"/>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95" w:right="19" w:hanging="269"/>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92" w:right="21" w:hanging="269"/>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83" w:right="21" w:hanging="360"/>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28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东莞美盈森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2" w:lineRule="exact"/>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彩箱印刷、 丝印、上光 油、清洁工 序产生的废 气（总 </w:t>
            </w:r>
            <w:r>
              <w:rPr>
                <w:rFonts w:ascii="Times New Roman" w:hAnsi="Times New Roman" w:cs="Times New Roman" w:eastAsia="Times New Roman" w:hint="default"/>
                <w:sz w:val="18"/>
                <w:szCs w:val="18"/>
              </w:rPr>
              <w:t>VOCS)</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3" w:right="21"/>
              <w:jc w:val="left"/>
              <w:rPr>
                <w:rFonts w:ascii="宋体" w:hAnsi="宋体" w:cs="宋体" w:eastAsia="宋体" w:hint="default"/>
                <w:sz w:val="18"/>
                <w:szCs w:val="18"/>
              </w:rPr>
            </w:pPr>
            <w:r>
              <w:rPr>
                <w:rFonts w:ascii="宋体" w:hAnsi="宋体" w:cs="宋体" w:eastAsia="宋体" w:hint="default"/>
                <w:sz w:val="18"/>
                <w:szCs w:val="18"/>
              </w:rPr>
              <w:t>收集后经 </w:t>
            </w:r>
            <w:r>
              <w:rPr>
                <w:rFonts w:ascii="Times New Roman" w:hAnsi="Times New Roman" w:cs="Times New Roman" w:eastAsia="Times New Roman" w:hint="default"/>
                <w:sz w:val="18"/>
                <w:szCs w:val="18"/>
              </w:rPr>
              <w:t>UV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光解</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活性炭吸附 一体化净化 器处理，最 后引至楼顶 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米高空排放</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4" w:right="0"/>
              <w:jc w:val="lef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6" w:right="0"/>
              <w:jc w:val="left"/>
              <w:rPr>
                <w:rFonts w:ascii="宋体" w:hAnsi="宋体" w:cs="宋体" w:eastAsia="宋体" w:hint="default"/>
                <w:sz w:val="18"/>
                <w:szCs w:val="18"/>
              </w:rPr>
            </w:pPr>
            <w:r>
              <w:rPr>
                <w:rFonts w:ascii="宋体" w:hAnsi="宋体" w:cs="宋体" w:eastAsia="宋体" w:hint="default"/>
                <w:sz w:val="18"/>
                <w:szCs w:val="18"/>
              </w:rPr>
              <w:t>彩印车间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7" w:lineRule="auto"/>
              <w:ind w:left="24" w:right="21"/>
              <w:jc w:val="both"/>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VOCS</w:t>
            </w:r>
            <w:r>
              <w:rPr>
                <w:rFonts w:ascii="宋体" w:hAnsi="宋体" w:cs="宋体" w:eastAsia="宋体" w:hint="default"/>
                <w:sz w:val="18"/>
                <w:szCs w:val="18"/>
              </w:rPr>
              <w:t>： 标准限值： </w:t>
            </w:r>
            <w:r>
              <w:rPr>
                <w:rFonts w:ascii="Times New Roman" w:hAnsi="Times New Roman" w:cs="Times New Roman" w:eastAsia="Times New Roman" w:hint="default"/>
                <w:sz w:val="18"/>
                <w:szCs w:val="18"/>
              </w:rPr>
              <w:t>80mg/m3</w:t>
            </w:r>
            <w:r>
              <w:rPr>
                <w:rFonts w:ascii="宋体" w:hAnsi="宋体" w:cs="宋体" w:eastAsia="宋体" w:hint="default"/>
                <w:sz w:val="18"/>
                <w:szCs w:val="18"/>
              </w:rPr>
              <w:t>。 实测值：</w:t>
            </w:r>
          </w:p>
          <w:p>
            <w:pPr>
              <w:pStyle w:val="TableParagraph"/>
              <w:spacing w:line="240" w:lineRule="auto" w:before="68"/>
              <w:ind w:left="24" w:right="0"/>
              <w:jc w:val="both"/>
              <w:rPr>
                <w:rFonts w:ascii="Times New Roman" w:hAnsi="Times New Roman" w:cs="Times New Roman" w:eastAsia="Times New Roman" w:hint="default"/>
                <w:sz w:val="18"/>
                <w:szCs w:val="18"/>
              </w:rPr>
            </w:pPr>
            <w:r>
              <w:rPr>
                <w:rFonts w:ascii="Times New Roman"/>
                <w:sz w:val="18"/>
              </w:rPr>
              <w:t>11.1</w:t>
            </w:r>
            <w:r>
              <w:rPr>
                <w:rFonts w:ascii="Times New Roman"/>
                <w:spacing w:val="-14"/>
                <w:sz w:val="18"/>
              </w:rPr>
              <w:t> </w:t>
            </w:r>
            <w:r>
              <w:rPr>
                <w:rFonts w:ascii="Times New Roman"/>
                <w:sz w:val="18"/>
              </w:rPr>
              <w:t>mg/m3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广东省《印 刷行业挥发 性有机化合 物排放标 准》</w:t>
            </w:r>
          </w:p>
          <w:p>
            <w:pPr>
              <w:pStyle w:val="TableParagraph"/>
              <w:spacing w:line="300" w:lineRule="auto" w:before="19"/>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DB44/81 5-2010)</w:t>
            </w:r>
            <w:r>
              <w:rPr>
                <w:rFonts w:ascii="宋体" w:hAnsi="宋体" w:cs="宋体" w:eastAsia="宋体" w:hint="default"/>
                <w:sz w:val="18"/>
                <w:szCs w:val="18"/>
              </w:rPr>
              <w:t>第</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II</w:t>
            </w:r>
          </w:p>
          <w:p>
            <w:pPr>
              <w:pStyle w:val="TableParagraph"/>
              <w:spacing w:line="316" w:lineRule="auto" w:before="13"/>
              <w:ind w:left="24" w:right="19"/>
              <w:jc w:val="left"/>
              <w:rPr>
                <w:rFonts w:ascii="宋体" w:hAnsi="宋体" w:cs="宋体" w:eastAsia="宋体" w:hint="default"/>
                <w:sz w:val="18"/>
                <w:szCs w:val="18"/>
              </w:rPr>
            </w:pPr>
            <w:r>
              <w:rPr>
                <w:rFonts w:ascii="宋体" w:hAnsi="宋体" w:cs="宋体" w:eastAsia="宋体" w:hint="default"/>
                <w:sz w:val="18"/>
                <w:szCs w:val="18"/>
              </w:rPr>
              <w:t>时段排放标 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40"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VOCS</w:t>
            </w:r>
            <w:r>
              <w:rPr>
                <w:rFonts w:ascii="宋体" w:hAnsi="宋体" w:cs="宋体" w:eastAsia="宋体" w:hint="default"/>
                <w:sz w:val="18"/>
                <w:szCs w:val="18"/>
              </w:rPr>
              <w:t>： </w:t>
            </w:r>
            <w:r>
              <w:rPr>
                <w:rFonts w:ascii="Times New Roman" w:hAnsi="Times New Roman" w:cs="Times New Roman" w:eastAsia="Times New Roman" w:hint="default"/>
                <w:sz w:val="18"/>
                <w:szCs w:val="18"/>
              </w:rPr>
              <w:t>1.48t/a</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40" w:lineRule="auto"/>
              <w:ind w:left="24"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VOCS</w:t>
            </w:r>
            <w:r>
              <w:rPr>
                <w:rFonts w:ascii="宋体" w:hAnsi="宋体" w:cs="宋体" w:eastAsia="宋体" w:hint="default"/>
                <w:sz w:val="18"/>
                <w:szCs w:val="18"/>
              </w:rPr>
              <w:t>： </w:t>
            </w:r>
            <w:r>
              <w:rPr>
                <w:rFonts w:ascii="Times New Roman" w:hAnsi="Times New Roman" w:cs="Times New Roman" w:eastAsia="Times New Roman" w:hint="default"/>
                <w:sz w:val="18"/>
                <w:szCs w:val="18"/>
              </w:rPr>
              <w:t>1.66t/a</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1"/>
              <w:jc w:val="both"/>
              <w:rPr>
                <w:rFonts w:ascii="宋体" w:hAnsi="宋体" w:cs="宋体" w:eastAsia="宋体" w:hint="default"/>
                <w:sz w:val="18"/>
                <w:szCs w:val="18"/>
              </w:rPr>
            </w:pPr>
            <w:r>
              <w:rPr>
                <w:rFonts w:ascii="宋体" w:hAnsi="宋体" w:cs="宋体" w:eastAsia="宋体" w:hint="default"/>
                <w:sz w:val="18"/>
                <w:szCs w:val="18"/>
              </w:rPr>
              <w:t>根据每年定 期委托第三 方有资质的 检测公司检 测结果，排 放达标。</w:t>
            </w:r>
          </w:p>
        </w:tc>
      </w:tr>
    </w:tbl>
    <w:p>
      <w:pPr>
        <w:pStyle w:val="BodyText"/>
        <w:spacing w:line="240" w:lineRule="auto" w:before="68"/>
        <w:ind w:right="984"/>
        <w:jc w:val="left"/>
      </w:pPr>
      <w:r>
        <w:rPr/>
        <w:t>防治污染设施的建设和运行情况</w:t>
      </w:r>
    </w:p>
    <w:p>
      <w:pPr>
        <w:pStyle w:val="BodyText"/>
        <w:spacing w:line="316" w:lineRule="auto" w:before="115"/>
        <w:ind w:left="512" w:right="1042"/>
        <w:jc w:val="left"/>
      </w:pPr>
      <w:r>
        <w:rPr/>
        <w:t>（1）关于有机废气防治污染设施的建设和运行情况： </w:t>
      </w:r>
      <w:r>
        <w:rPr>
          <w:spacing w:val="-1"/>
        </w:rPr>
        <w:t>a东莞美盈森建设了废气</w:t>
      </w:r>
      <w:r>
        <w:rPr>
          <w:rFonts w:ascii="Times New Roman" w:hAnsi="Times New Roman" w:cs="Times New Roman" w:eastAsia="Times New Roman" w:hint="default"/>
          <w:spacing w:val="-1"/>
        </w:rPr>
        <w:t>“</w:t>
      </w:r>
      <w:r>
        <w:rPr>
          <w:spacing w:val="-1"/>
        </w:rPr>
        <w:t>收集管道</w:t>
      </w:r>
      <w:r>
        <w:rPr>
          <w:rFonts w:ascii="Times New Roman" w:hAnsi="Times New Roman" w:cs="Times New Roman" w:eastAsia="Times New Roman" w:hint="default"/>
          <w:spacing w:val="-1"/>
        </w:rPr>
        <w:t>”</w:t>
      </w:r>
      <w:r>
        <w:rPr>
          <w:spacing w:val="-1"/>
        </w:rPr>
        <w:t>，废气收集率不小于90%；配置了</w:t>
      </w:r>
      <w:r>
        <w:rPr>
          <w:rFonts w:ascii="Times New Roman" w:hAnsi="Times New Roman" w:cs="Times New Roman" w:eastAsia="Times New Roman" w:hint="default"/>
          <w:spacing w:val="-1"/>
        </w:rPr>
        <w:t>“</w:t>
      </w:r>
      <w:r>
        <w:rPr>
          <w:spacing w:val="-1"/>
        </w:rPr>
        <w:t>UV光解+活性炭吸附一体化净化器</w:t>
      </w:r>
      <w:r>
        <w:rPr>
          <w:rFonts w:ascii="Times New Roman" w:hAnsi="Times New Roman" w:cs="Times New Roman" w:eastAsia="Times New Roman" w:hint="default"/>
          <w:spacing w:val="-1"/>
        </w:rPr>
        <w:t>”</w:t>
      </w:r>
      <w:r>
        <w:rPr>
          <w:spacing w:val="-1"/>
        </w:rPr>
        <w:t>，对彩箱印刷、</w:t>
      </w:r>
    </w:p>
    <w:p>
      <w:pPr>
        <w:pStyle w:val="BodyText"/>
        <w:spacing w:line="300" w:lineRule="auto"/>
        <w:ind w:right="1118"/>
        <w:jc w:val="left"/>
      </w:pPr>
      <w:r>
        <w:rPr/>
        <w:t>丝印、上光油及清洁工序废气进行处理；配置了</w:t>
      </w:r>
      <w:r>
        <w:rPr>
          <w:rFonts w:ascii="Times New Roman" w:hAnsi="Times New Roman" w:cs="Times New Roman" w:eastAsia="Times New Roman" w:hint="default"/>
        </w:rPr>
        <w:t>“</w:t>
      </w:r>
      <w:r>
        <w:rPr/>
        <w:t>引风机</w:t>
      </w:r>
      <w:r>
        <w:rPr>
          <w:rFonts w:ascii="Times New Roman" w:hAnsi="Times New Roman" w:cs="Times New Roman" w:eastAsia="Times New Roman" w:hint="default"/>
        </w:rPr>
        <w:t>”</w:t>
      </w:r>
      <w:r>
        <w:rPr/>
        <w:t>将处理后的废气引至不低于15米高空排放。</w:t>
      </w:r>
      <w:r>
        <w:rPr>
          <w:spacing w:val="-64"/>
        </w:rPr>
        <w:t> </w:t>
      </w:r>
      <w:r>
        <w:rPr/>
        <w:t>b按要求规范建立了有</w:t>
      </w:r>
      <w:r>
        <w:rPr/>
        <w:t> 机废气处理设备运行台账，严格执行有机废气管理要求。c在废气排放口均按要求设置了标识牌。</w:t>
      </w:r>
    </w:p>
    <w:p>
      <w:pPr>
        <w:pStyle w:val="BodyText"/>
        <w:spacing w:line="300" w:lineRule="auto" w:before="31"/>
        <w:ind w:right="1152" w:firstLine="360"/>
        <w:jc w:val="left"/>
      </w:pPr>
      <w:r>
        <w:rPr/>
        <w:t>废气净化排放的工艺流程为</w:t>
      </w:r>
      <w:r>
        <w:rPr>
          <w:rFonts w:ascii="Times New Roman" w:hAnsi="Times New Roman" w:cs="Times New Roman" w:eastAsia="Times New Roman" w:hint="default"/>
        </w:rPr>
        <w:t>“</w:t>
      </w:r>
      <w:r>
        <w:rPr/>
        <w:t>有机废气</w:t>
      </w:r>
      <w:r>
        <w:rPr>
          <w:rFonts w:ascii="Times New Roman" w:hAnsi="Times New Roman" w:cs="Times New Roman" w:eastAsia="Times New Roman" w:hint="default"/>
        </w:rPr>
        <w:t>→</w:t>
      </w:r>
      <w:r>
        <w:rPr/>
        <w:t>吸气罩</w:t>
      </w:r>
      <w:r>
        <w:rPr>
          <w:rFonts w:ascii="Times New Roman" w:hAnsi="Times New Roman" w:cs="Times New Roman" w:eastAsia="Times New Roman" w:hint="default"/>
        </w:rPr>
        <w:t>→</w:t>
      </w:r>
      <w:r>
        <w:rPr/>
        <w:t>抽风管道</w:t>
      </w:r>
      <w:r>
        <w:rPr>
          <w:rFonts w:ascii="Times New Roman" w:hAnsi="Times New Roman" w:cs="Times New Roman" w:eastAsia="Times New Roman" w:hint="default"/>
        </w:rPr>
        <w:t>→</w:t>
      </w:r>
      <w:r>
        <w:rPr/>
        <w:t>UV光解+活性炭吸附一体化净化器</w:t>
      </w:r>
      <w:r>
        <w:rPr>
          <w:rFonts w:ascii="Times New Roman" w:hAnsi="Times New Roman" w:cs="Times New Roman" w:eastAsia="Times New Roman" w:hint="default"/>
        </w:rPr>
        <w:t>→</w:t>
      </w:r>
      <w:r>
        <w:rPr/>
        <w:t>引风机</w:t>
      </w:r>
      <w:r>
        <w:rPr>
          <w:rFonts w:ascii="Times New Roman" w:hAnsi="Times New Roman" w:cs="Times New Roman" w:eastAsia="Times New Roman" w:hint="default"/>
        </w:rPr>
        <w:t>→</w:t>
      </w:r>
      <w:r>
        <w:rPr/>
        <w:t>烟囱</w:t>
      </w:r>
      <w:r>
        <w:rPr>
          <w:rFonts w:ascii="Times New Roman" w:hAnsi="Times New Roman" w:cs="Times New Roman" w:eastAsia="Times New Roman" w:hint="default"/>
        </w:rPr>
        <w:t>→</w:t>
      </w:r>
      <w:r>
        <w:rPr/>
        <w:t>达标 排放</w:t>
      </w:r>
      <w:r>
        <w:rPr>
          <w:rFonts w:ascii="Times New Roman" w:hAnsi="Times New Roman" w:cs="Times New Roman" w:eastAsia="Times New Roman" w:hint="default"/>
        </w:rPr>
        <w:t>”</w:t>
      </w:r>
      <w:r>
        <w:rPr/>
        <w:t>。废气净化后达到广东省《印刷行业挥发性有机化合物排放标准》（DB44/815-2010)第II时段排气筒VOCS排放限制的 要求。各废气处理设施正常运行。</w:t>
      </w:r>
    </w:p>
    <w:p>
      <w:pPr>
        <w:pStyle w:val="BodyText"/>
        <w:spacing w:line="240" w:lineRule="auto" w:before="31"/>
        <w:ind w:left="512" w:right="984"/>
        <w:jc w:val="left"/>
      </w:pPr>
      <w:r>
        <w:rPr/>
        <w:t>（</w:t>
      </w:r>
      <w:r>
        <w:rPr>
          <w:rFonts w:ascii="Times New Roman" w:hAnsi="Times New Roman" w:cs="Times New Roman" w:eastAsia="Times New Roman" w:hint="default"/>
        </w:rPr>
        <w:t>2</w:t>
      </w:r>
      <w:r>
        <w:rPr/>
        <w:t>）关于危险废物防治污染设施的建设和运行情况：</w:t>
      </w:r>
    </w:p>
    <w:p>
      <w:pPr>
        <w:pStyle w:val="BodyText"/>
        <w:spacing w:line="300" w:lineRule="auto" w:before="63"/>
        <w:ind w:right="1133" w:firstLine="360"/>
        <w:jc w:val="both"/>
      </w:pPr>
      <w:r>
        <w:rPr>
          <w:rFonts w:ascii="Times New Roman" w:hAnsi="Times New Roman" w:cs="Times New Roman" w:eastAsia="Times New Roman" w:hint="default"/>
          <w:spacing w:val="-2"/>
        </w:rPr>
        <w:t>a</w:t>
      </w:r>
      <w:r>
        <w:rPr>
          <w:spacing w:val="-2"/>
        </w:rPr>
        <w:t>东莞美盈森建有专用的危废仓，该危废仓符合防雨、防渗漏、防流失要求，能做到分类收集、分类贮存。</w:t>
      </w:r>
      <w:r>
        <w:rPr>
          <w:rFonts w:ascii="Times New Roman" w:hAnsi="Times New Roman" w:cs="Times New Roman" w:eastAsia="Times New Roman" w:hint="default"/>
          <w:spacing w:val="-2"/>
        </w:rPr>
        <w:t>b</w:t>
      </w:r>
      <w:r>
        <w:rPr>
          <w:spacing w:val="-2"/>
        </w:rPr>
        <w:t>按要求规范</w:t>
      </w:r>
      <w:r>
        <w:rPr/>
        <w:t> 危险废物管理台账，严格执行危险废物转移联单制度，合法定期委外转移废物。</w:t>
      </w:r>
      <w:r>
        <w:rPr>
          <w:rFonts w:ascii="Times New Roman" w:hAnsi="Times New Roman" w:cs="Times New Roman" w:eastAsia="Times New Roman" w:hint="default"/>
        </w:rPr>
        <w:t>c</w:t>
      </w:r>
      <w:r>
        <w:rPr/>
        <w:t>制定危险废物管理规定及危险废物管理责 任制度并张贴公告栏。</w:t>
      </w:r>
      <w:r>
        <w:rPr>
          <w:rFonts w:ascii="Times New Roman" w:hAnsi="Times New Roman" w:cs="Times New Roman" w:eastAsia="Times New Roman" w:hint="default"/>
        </w:rPr>
        <w:t>d</w:t>
      </w:r>
      <w:r>
        <w:rPr/>
        <w:t>制定危险废物突发应急预案，配备有相应的应急物资，并定期开展环境应急演练和总结。危险废物 防治设施正常运行。</w:t>
      </w:r>
    </w:p>
    <w:p>
      <w:pPr>
        <w:pStyle w:val="BodyText"/>
        <w:spacing w:line="300" w:lineRule="auto" w:before="31"/>
        <w:ind w:left="512" w:right="6524"/>
        <w:jc w:val="left"/>
      </w:pPr>
      <w:r>
        <w:rPr/>
        <w:t>（</w:t>
      </w:r>
      <w:r>
        <w:rPr>
          <w:rFonts w:ascii="Times New Roman" w:hAnsi="Times New Roman" w:cs="Times New Roman" w:eastAsia="Times New Roman" w:hint="default"/>
        </w:rPr>
        <w:t>3</w:t>
      </w:r>
      <w:r>
        <w:rPr/>
        <w:t>）关于污水防治污染设施的建设和运行情况： 东莞美盈森建设了污水处理站对污水进行处理。</w:t>
      </w:r>
    </w:p>
    <w:p>
      <w:pPr>
        <w:pStyle w:val="BodyText"/>
        <w:spacing w:line="240" w:lineRule="auto" w:before="31"/>
        <w:ind w:left="512" w:right="984"/>
        <w:jc w:val="left"/>
      </w:pPr>
      <w:r>
        <w:rPr/>
        <w:t>污水处理的工艺流程为</w:t>
      </w:r>
      <w:r>
        <w:rPr>
          <w:rFonts w:ascii="Times New Roman" w:hAnsi="Times New Roman" w:cs="Times New Roman" w:eastAsia="Times New Roman" w:hint="default"/>
        </w:rPr>
        <w:t>“</w:t>
      </w:r>
      <w:r>
        <w:rPr/>
        <w:t>调节池</w:t>
      </w:r>
      <w:r>
        <w:rPr>
          <w:rFonts w:ascii="Times New Roman" w:hAnsi="Times New Roman" w:cs="Times New Roman" w:eastAsia="Times New Roman" w:hint="default"/>
        </w:rPr>
        <w:t>+</w:t>
      </w:r>
      <w:r>
        <w:rPr/>
        <w:t>预反应池</w:t>
      </w:r>
      <w:r>
        <w:rPr>
          <w:rFonts w:ascii="Times New Roman" w:hAnsi="Times New Roman" w:cs="Times New Roman" w:eastAsia="Times New Roman" w:hint="default"/>
        </w:rPr>
        <w:t>+</w:t>
      </w:r>
      <w:r>
        <w:rPr/>
        <w:t>混凝沉淀池</w:t>
      </w:r>
      <w:r>
        <w:rPr>
          <w:rFonts w:ascii="Times New Roman" w:hAnsi="Times New Roman" w:cs="Times New Roman" w:eastAsia="Times New Roman" w:hint="default"/>
        </w:rPr>
        <w:t>+</w:t>
      </w:r>
      <w:r>
        <w:rPr/>
        <w:t>斜管沉淀池</w:t>
      </w:r>
      <w:r>
        <w:rPr>
          <w:rFonts w:ascii="Times New Roman" w:hAnsi="Times New Roman" w:cs="Times New Roman" w:eastAsia="Times New Roman" w:hint="default"/>
        </w:rPr>
        <w:t>+PH</w:t>
      </w:r>
      <w:r>
        <w:rPr/>
        <w:t>回调池</w:t>
      </w:r>
      <w:r>
        <w:rPr>
          <w:rFonts w:ascii="Times New Roman" w:hAnsi="Times New Roman" w:cs="Times New Roman" w:eastAsia="Times New Roman" w:hint="default"/>
        </w:rPr>
        <w:t>+</w:t>
      </w:r>
      <w:r>
        <w:rPr/>
        <w:t>水解酸化池</w:t>
      </w:r>
      <w:r>
        <w:rPr>
          <w:rFonts w:ascii="Times New Roman" w:hAnsi="Times New Roman" w:cs="Times New Roman" w:eastAsia="Times New Roman" w:hint="default"/>
        </w:rPr>
        <w:t>+</w:t>
      </w:r>
      <w:r>
        <w:rPr/>
        <w:t>生物接触氧化池</w:t>
      </w:r>
      <w:r>
        <w:rPr>
          <w:rFonts w:ascii="Times New Roman" w:hAnsi="Times New Roman" w:cs="Times New Roman" w:eastAsia="Times New Roman" w:hint="default"/>
        </w:rPr>
        <w:t>+</w:t>
      </w:r>
      <w:r>
        <w:rPr/>
        <w:t>生物沉</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00" w:lineRule="auto" w:before="37"/>
        <w:ind w:right="1132"/>
        <w:jc w:val="both"/>
      </w:pPr>
      <w:r>
        <w:rPr>
          <w:spacing w:val="-3"/>
        </w:rPr>
        <w:t>淀池</w:t>
      </w:r>
      <w:r>
        <w:rPr>
          <w:rFonts w:ascii="Times New Roman" w:hAnsi="Times New Roman" w:cs="Times New Roman" w:eastAsia="Times New Roman" w:hint="default"/>
          <w:spacing w:val="-3"/>
        </w:rPr>
        <w:t>+</w:t>
      </w:r>
      <w:r>
        <w:rPr>
          <w:spacing w:val="-3"/>
        </w:rPr>
        <w:t>中间池</w:t>
      </w:r>
      <w:r>
        <w:rPr>
          <w:rFonts w:ascii="Times New Roman" w:hAnsi="Times New Roman" w:cs="Times New Roman" w:eastAsia="Times New Roman" w:hint="default"/>
          <w:spacing w:val="-3"/>
        </w:rPr>
        <w:t>+</w:t>
      </w:r>
      <w:r>
        <w:rPr>
          <w:spacing w:val="-3"/>
        </w:rPr>
        <w:t>砂滤</w:t>
      </w:r>
      <w:r>
        <w:rPr>
          <w:rFonts w:ascii="Times New Roman" w:hAnsi="Times New Roman" w:cs="Times New Roman" w:eastAsia="Times New Roman" w:hint="default"/>
          <w:spacing w:val="-3"/>
        </w:rPr>
        <w:t>+</w:t>
      </w:r>
      <w:r>
        <w:rPr>
          <w:spacing w:val="-3"/>
        </w:rPr>
        <w:t>碳滤</w:t>
      </w:r>
      <w:r>
        <w:rPr>
          <w:rFonts w:ascii="Times New Roman" w:hAnsi="Times New Roman" w:cs="Times New Roman" w:eastAsia="Times New Roman" w:hint="default"/>
          <w:spacing w:val="-3"/>
        </w:rPr>
        <w:t>”</w:t>
      </w:r>
      <w:r>
        <w:rPr>
          <w:spacing w:val="-3"/>
        </w:rPr>
        <w:t>，其中</w:t>
      </w:r>
      <w:r>
        <w:rPr>
          <w:rFonts w:ascii="Times New Roman" w:hAnsi="Times New Roman" w:cs="Times New Roman" w:eastAsia="Times New Roman" w:hint="default"/>
          <w:spacing w:val="-3"/>
        </w:rPr>
        <w:t>65%</w:t>
      </w:r>
      <w:r>
        <w:rPr>
          <w:spacing w:val="-3"/>
        </w:rPr>
        <w:t>处理达到《城市污水再生利用工业用水水质》（</w:t>
      </w:r>
      <w:r>
        <w:rPr>
          <w:rFonts w:ascii="Times New Roman" w:hAnsi="Times New Roman" w:cs="Times New Roman" w:eastAsia="Times New Roman" w:hint="default"/>
          <w:spacing w:val="-3"/>
        </w:rPr>
        <w:t>GB/T19923-2005)</w:t>
      </w:r>
      <w:r>
        <w:rPr>
          <w:spacing w:val="-3"/>
        </w:rPr>
        <w:t>标准后回用，其余</w:t>
      </w:r>
      <w:r>
        <w:rPr>
          <w:rFonts w:ascii="Times New Roman" w:hAnsi="Times New Roman" w:cs="Times New Roman" w:eastAsia="Times New Roman" w:hint="default"/>
          <w:spacing w:val="-3"/>
        </w:rPr>
        <w:t>35%</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经处理达到广东省《水污染物排放限值》（</w:t>
      </w:r>
      <w:r>
        <w:rPr>
          <w:rFonts w:ascii="Times New Roman" w:hAnsi="Times New Roman" w:cs="Times New Roman" w:eastAsia="Times New Roman" w:hint="default"/>
        </w:rPr>
        <w:t>DB44/26-2001)</w:t>
      </w:r>
      <w:r>
        <w:rPr/>
        <w:t>第二时段一级标准后排放入市政管网。目前，厂区污水处理站各 设备正常运行。</w:t>
      </w:r>
    </w:p>
    <w:p>
      <w:pPr>
        <w:pStyle w:val="BodyText"/>
        <w:spacing w:line="240" w:lineRule="auto" w:before="72"/>
        <w:ind w:right="0"/>
        <w:jc w:val="both"/>
      </w:pPr>
      <w:r>
        <w:rPr/>
        <w:t>建设项目环境影响评价及其他环境保护行政许可情况</w:t>
      </w:r>
    </w:p>
    <w:p>
      <w:pPr>
        <w:pStyle w:val="BodyText"/>
        <w:spacing w:line="319" w:lineRule="auto" w:before="115"/>
        <w:ind w:right="984" w:firstLine="360"/>
        <w:jc w:val="left"/>
      </w:pPr>
      <w:r>
        <w:rPr/>
        <w:t>东莞美盈森在新建、扩建项目时均进行了环境影响评价</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3792</w:t>
      </w:r>
      <w:r>
        <w:rPr/>
        <w:t>号、东环建【</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1676</w:t>
      </w:r>
      <w:r>
        <w:rPr/>
        <w:t>号、东环建【</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1677 </w:t>
      </w:r>
      <w:r>
        <w:rPr>
          <w:spacing w:val="-16"/>
          <w:w w:val="99"/>
        </w:rPr>
        <w:t>号、东环建（桥）【</w:t>
      </w:r>
      <w:r>
        <w:rPr>
          <w:rFonts w:ascii="Times New Roman" w:hAnsi="Times New Roman" w:cs="Times New Roman" w:eastAsia="Times New Roman" w:hint="default"/>
          <w:spacing w:val="-16"/>
          <w:w w:val="99"/>
        </w:rPr>
        <w:t>2016</w:t>
      </w:r>
      <w:r>
        <w:rPr>
          <w:spacing w:val="-16"/>
          <w:w w:val="99"/>
        </w:rPr>
        <w:t>】</w:t>
      </w:r>
      <w:r>
        <w:rPr>
          <w:rFonts w:ascii="Times New Roman" w:hAnsi="Times New Roman" w:cs="Times New Roman" w:eastAsia="Times New Roman" w:hint="default"/>
          <w:spacing w:val="-16"/>
          <w:w w:val="99"/>
        </w:rPr>
        <w:t>41</w:t>
      </w:r>
      <w:r>
        <w:rPr>
          <w:spacing w:val="-16"/>
          <w:w w:val="99"/>
        </w:rPr>
        <w:t>号、东环建【</w:t>
      </w:r>
      <w:r>
        <w:rPr>
          <w:rFonts w:ascii="Times New Roman" w:hAnsi="Times New Roman" w:cs="Times New Roman" w:eastAsia="Times New Roman" w:hint="default"/>
          <w:spacing w:val="-16"/>
          <w:w w:val="99"/>
        </w:rPr>
        <w:t>2017</w:t>
      </w:r>
      <w:r>
        <w:rPr>
          <w:spacing w:val="-16"/>
          <w:w w:val="99"/>
        </w:rPr>
        <w:t>】</w:t>
      </w:r>
      <w:r>
        <w:rPr>
          <w:rFonts w:ascii="Times New Roman" w:hAnsi="Times New Roman" w:cs="Times New Roman" w:eastAsia="Times New Roman" w:hint="default"/>
          <w:spacing w:val="-16"/>
          <w:w w:val="99"/>
        </w:rPr>
        <w:t>5490</w:t>
      </w:r>
      <w:r>
        <w:rPr>
          <w:spacing w:val="-16"/>
          <w:w w:val="99"/>
        </w:rPr>
        <w:t>号</w:t>
      </w:r>
      <w:r>
        <w:rPr>
          <w:rFonts w:ascii="Times New Roman" w:hAnsi="Times New Roman" w:cs="Times New Roman" w:eastAsia="Times New Roman" w:hint="default"/>
          <w:spacing w:val="-16"/>
          <w:w w:val="99"/>
        </w:rPr>
        <w:t>}</w:t>
      </w:r>
      <w:r>
        <w:rPr>
          <w:spacing w:val="-16"/>
          <w:w w:val="99"/>
        </w:rPr>
        <w:t>，并取得了《广东省排放污染物许可证》（许可证编号：</w:t>
      </w:r>
      <w:r>
        <w:rPr>
          <w:rFonts w:ascii="Times New Roman" w:hAnsi="Times New Roman" w:cs="Times New Roman" w:eastAsia="Times New Roman" w:hint="default"/>
          <w:spacing w:val="-16"/>
          <w:w w:val="99"/>
        </w:rPr>
        <w:t>4419572016000021</w:t>
      </w:r>
      <w:r>
        <w:rPr>
          <w:spacing w:val="-16"/>
          <w:w w:val="99"/>
        </w:rPr>
        <w:t>）。</w:t>
      </w:r>
      <w:r>
        <w:rPr>
          <w:spacing w:val="-50"/>
          <w:w w:val="99"/>
        </w:rPr>
        <w:t> </w:t>
      </w:r>
      <w:r>
        <w:rPr>
          <w:spacing w:val="-50"/>
          <w:w w:val="99"/>
        </w:rPr>
      </w:r>
      <w:r>
        <w:rPr/>
        <w:t>突发环境事件应急预案</w:t>
      </w:r>
    </w:p>
    <w:p>
      <w:pPr>
        <w:pStyle w:val="BodyText"/>
        <w:spacing w:line="360" w:lineRule="auto" w:before="58"/>
        <w:ind w:right="4634"/>
        <w:jc w:val="left"/>
      </w:pPr>
      <w:r>
        <w:rPr/>
        <w:t>东莞美盈森内部制定了《环境应急预案》，并对相应的区域配备了应急物资。 环境自行监测方案</w:t>
      </w:r>
    </w:p>
    <w:p>
      <w:pPr>
        <w:pStyle w:val="BodyText"/>
        <w:spacing w:line="300" w:lineRule="auto" w:before="25"/>
        <w:ind w:right="984"/>
        <w:jc w:val="left"/>
      </w:pPr>
      <w:r>
        <w:rPr>
          <w:spacing w:val="-2"/>
        </w:rPr>
        <w:t>东莞美盈森每年委托（不少于</w:t>
      </w:r>
      <w:r>
        <w:rPr>
          <w:rFonts w:ascii="Times New Roman" w:hAnsi="Times New Roman" w:cs="Times New Roman" w:eastAsia="Times New Roman" w:hint="default"/>
          <w:spacing w:val="-2"/>
        </w:rPr>
        <w:t>1</w:t>
      </w:r>
      <w:r>
        <w:rPr>
          <w:spacing w:val="-2"/>
        </w:rPr>
        <w:t>次）第三方有资质的监测单位对废水、废气、噪声进行环境监测，同时，开展日常内部监测，</w:t>
      </w:r>
      <w:r>
        <w:rPr>
          <w:spacing w:val="-66"/>
        </w:rPr>
        <w:t> </w:t>
      </w:r>
      <w:r>
        <w:rPr>
          <w:spacing w:val="-66"/>
        </w:rPr>
      </w:r>
      <w:r>
        <w:rPr/>
        <w:t>定期对污水站标准排放口水质（</w:t>
      </w:r>
      <w:r>
        <w:rPr>
          <w:rFonts w:ascii="Times New Roman" w:hAnsi="Times New Roman" w:cs="Times New Roman" w:eastAsia="Times New Roman" w:hint="default"/>
        </w:rPr>
        <w:t>COD</w:t>
      </w:r>
      <w:r>
        <w:rPr/>
        <w:t>、</w:t>
      </w:r>
      <w:r>
        <w:rPr>
          <w:rFonts w:ascii="Times New Roman" w:hAnsi="Times New Roman" w:cs="Times New Roman" w:eastAsia="Times New Roman" w:hint="default"/>
        </w:rPr>
        <w:t>PH</w:t>
      </w:r>
      <w:r>
        <w:rPr/>
        <w:t>值等）进行检测。</w:t>
      </w:r>
    </w:p>
    <w:p>
      <w:pPr>
        <w:pStyle w:val="BodyText"/>
        <w:spacing w:line="357" w:lineRule="auto" w:before="53"/>
        <w:ind w:right="8774"/>
        <w:jc w:val="left"/>
      </w:pPr>
      <w:r>
        <w:rPr/>
        <w:t>其他应当公开的环境信息 不适用</w:t>
      </w:r>
    </w:p>
    <w:p>
      <w:pPr>
        <w:pStyle w:val="BodyText"/>
        <w:spacing w:line="360" w:lineRule="auto" w:before="29"/>
        <w:ind w:right="9314"/>
        <w:jc w:val="left"/>
      </w:pPr>
      <w:r>
        <w:rPr/>
        <w:t>其他环保相关信息 不适用</w:t>
      </w:r>
    </w:p>
    <w:p>
      <w:pPr>
        <w:spacing w:line="240" w:lineRule="auto" w:before="5"/>
        <w:rPr>
          <w:rFonts w:ascii="宋体" w:hAnsi="宋体" w:cs="宋体" w:eastAsia="宋体" w:hint="default"/>
          <w:sz w:val="18"/>
          <w:szCs w:val="18"/>
        </w:rPr>
      </w:pPr>
    </w:p>
    <w:p>
      <w:pPr>
        <w:pStyle w:val="Heading2"/>
        <w:spacing w:line="240" w:lineRule="auto"/>
        <w:ind w:right="0"/>
        <w:jc w:val="both"/>
        <w:rPr>
          <w:rFonts w:ascii="Tahoma" w:hAnsi="Tahoma" w:cs="Tahoma" w:eastAsia="Tahoma" w:hint="default"/>
        </w:rPr>
      </w:pPr>
      <w:r>
        <w:rPr/>
        <w:t>十九、其他重大事项的说明</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7"/>
        <w:ind w:left="0" w:right="2304"/>
        <w:jc w:val="right"/>
      </w:pPr>
      <w:r>
        <w:rPr/>
        <w:pict>
          <v:shape style="position:absolute;margin-left:55.55999pt;margin-top:-63.958305pt;width:421pt;height:375.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4"/>
                    <w:gridCol w:w="1788"/>
                    <w:gridCol w:w="1418"/>
                    <w:gridCol w:w="4678"/>
                  </w:tblGrid>
                  <w:tr>
                    <w:trPr>
                      <w:trHeight w:val="650" w:hRule="exact"/>
                    </w:trPr>
                    <w:tc>
                      <w:tcPr>
                        <w:tcW w:w="514" w:type="dxa"/>
                        <w:tcBorders>
                          <w:top w:val="nil" w:sz="6" w:space="0" w:color="auto"/>
                          <w:left w:val="nil" w:sz="6" w:space="0" w:color="auto"/>
                          <w:bottom w:val="single" w:sz="6" w:space="0" w:color="000000"/>
                          <w:right w:val="single" w:sz="6" w:space="0" w:color="000000"/>
                        </w:tcBorders>
                      </w:tcPr>
                      <w:p>
                        <w:pPr>
                          <w:pStyle w:val="TableParagraph"/>
                          <w:spacing w:line="240" w:lineRule="auto" w:before="17"/>
                          <w:ind w:left="8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78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left="347" w:right="0"/>
                          <w:jc w:val="left"/>
                          <w:rPr>
                            <w:rFonts w:ascii="宋体" w:hAnsi="宋体" w:cs="宋体" w:eastAsia="宋体" w:hint="default"/>
                            <w:sz w:val="18"/>
                            <w:szCs w:val="18"/>
                          </w:rPr>
                        </w:pPr>
                        <w:r>
                          <w:rPr>
                            <w:rFonts w:ascii="宋体" w:hAnsi="宋体" w:cs="宋体" w:eastAsia="宋体" w:hint="default"/>
                            <w:sz w:val="18"/>
                            <w:szCs w:val="18"/>
                          </w:rPr>
                          <w:t>重大事件类型</w:t>
                        </w:r>
                      </w:p>
                    </w:tc>
                    <w:tc>
                      <w:tcPr>
                        <w:tcW w:w="141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left="34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46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查询索引</w:t>
                        </w:r>
                        <w:r>
                          <w:rPr>
                            <w:rFonts w:ascii="Times New Roman" w:hAnsi="Times New Roman" w:cs="Times New Roman" w:eastAsia="Times New Roman" w:hint="default"/>
                            <w:sz w:val="18"/>
                            <w:szCs w:val="18"/>
                          </w:rPr>
                          <w:t>[</w:t>
                        </w:r>
                        <w:r>
                          <w:rPr>
                            <w:rFonts w:ascii="宋体" w:hAnsi="宋体" w:cs="宋体" w:eastAsia="宋体" w:hint="default"/>
                            <w:sz w:val="18"/>
                            <w:szCs w:val="18"/>
                          </w:rPr>
                          <w:t>详见信息披露指定网站巨潮资讯网</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）的如下公告</w:t>
                        </w:r>
                        <w:r>
                          <w:rPr>
                            <w:rFonts w:ascii="Times New Roman" w:hAnsi="Times New Roman" w:cs="Times New Roman" w:eastAsia="Times New Roman" w:hint="default"/>
                            <w:sz w:val="18"/>
                            <w:szCs w:val="18"/>
                          </w:rPr>
                          <w:t>]</w:t>
                        </w:r>
                      </w:p>
                    </w:tc>
                  </w:tr>
                  <w:tr>
                    <w:trPr>
                      <w:trHeight w:val="650" w:hRule="exact"/>
                    </w:trPr>
                    <w:tc>
                      <w:tcPr>
                        <w:tcW w:w="5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1</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控股子公司股权回购</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8"/>
                          <w:ind w:left="4"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《关于转让汇天云网集团有限公司</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股权暨股权回购完成 股权过户手续的公告》（公告编号：</w:t>
                        </w:r>
                        <w:r>
                          <w:rPr>
                            <w:rFonts w:ascii="Times New Roman" w:hAnsi="Times New Roman" w:cs="Times New Roman" w:eastAsia="Times New Roman" w:hint="default"/>
                            <w:sz w:val="18"/>
                            <w:szCs w:val="18"/>
                          </w:rPr>
                          <w:t>2018-002)</w:t>
                        </w:r>
                      </w:p>
                    </w:tc>
                  </w:tr>
                  <w:tr>
                    <w:trPr>
                      <w:trHeight w:val="336" w:hRule="exact"/>
                    </w:trPr>
                    <w:tc>
                      <w:tcPr>
                        <w:tcW w:w="5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2</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《关于投资设立全资子公司的公告》（公告编号：</w:t>
                        </w:r>
                        <w:r>
                          <w:rPr>
                            <w:rFonts w:ascii="Times New Roman" w:hAnsi="Times New Roman" w:cs="Times New Roman" w:eastAsia="Times New Roman" w:hint="default"/>
                            <w:spacing w:val="-3"/>
                            <w:sz w:val="18"/>
                            <w:szCs w:val="18"/>
                          </w:rPr>
                          <w:t>2018-007</w:t>
                        </w:r>
                      </w:p>
                    </w:tc>
                  </w:tr>
                  <w:tr>
                    <w:trPr>
                      <w:trHeight w:val="648" w:hRule="exact"/>
                    </w:trPr>
                    <w:tc>
                      <w:tcPr>
                        <w:tcW w:w="5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3</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《关于实施智能包装研发生产基地项目的公告</w:t>
                        </w:r>
                        <w:r>
                          <w:rPr>
                            <w:rFonts w:ascii="宋体" w:hAnsi="宋体" w:cs="宋体" w:eastAsia="宋体" w:hint="default"/>
                            <w:spacing w:val="-110"/>
                            <w:sz w:val="18"/>
                            <w:szCs w:val="18"/>
                          </w:rPr>
                          <w:t>》</w:t>
                        </w:r>
                        <w:r>
                          <w:rPr>
                            <w:rFonts w:ascii="宋体" w:hAnsi="宋体" w:cs="宋体" w:eastAsia="宋体" w:hint="default"/>
                            <w:sz w:val="18"/>
                            <w:szCs w:val="18"/>
                          </w:rPr>
                          <w:t>（公告编号</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2018-015</w:t>
                        </w:r>
                        <w:r>
                          <w:rPr>
                            <w:rFonts w:ascii="宋体" w:hAnsi="宋体" w:cs="宋体" w:eastAsia="宋体" w:hint="default"/>
                            <w:sz w:val="18"/>
                            <w:szCs w:val="18"/>
                          </w:rPr>
                          <w:t>）</w:t>
                        </w:r>
                      </w:p>
                    </w:tc>
                  </w:tr>
                  <w:tr>
                    <w:trPr>
                      <w:trHeight w:val="650" w:hRule="exact"/>
                    </w:trPr>
                    <w:tc>
                      <w:tcPr>
                        <w:tcW w:w="5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2"/>
                          <w:ind w:left="26" w:right="0"/>
                          <w:jc w:val="left"/>
                          <w:rPr>
                            <w:rFonts w:ascii="Times New Roman" w:hAnsi="Times New Roman" w:cs="Times New Roman" w:eastAsia="Times New Roman" w:hint="default"/>
                            <w:sz w:val="18"/>
                            <w:szCs w:val="18"/>
                          </w:rPr>
                        </w:pPr>
                        <w:r>
                          <w:rPr>
                            <w:rFonts w:ascii="Times New Roman"/>
                            <w:sz w:val="18"/>
                          </w:rPr>
                          <w:t>4</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pacing w:val="-1"/>
                            <w:sz w:val="18"/>
                            <w:szCs w:val="18"/>
                          </w:rPr>
                          <w:t>《关于实施新材料研发、检验检测及行业企业孵化产业园项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目的公告》（公告编号：</w:t>
                        </w:r>
                        <w:r>
                          <w:rPr>
                            <w:rFonts w:ascii="Times New Roman" w:hAnsi="Times New Roman" w:cs="Times New Roman" w:eastAsia="Times New Roman" w:hint="default"/>
                            <w:sz w:val="18"/>
                            <w:szCs w:val="18"/>
                          </w:rPr>
                          <w:t>2018-016</w:t>
                        </w:r>
                        <w:r>
                          <w:rPr>
                            <w:rFonts w:ascii="宋体" w:hAnsi="宋体" w:cs="宋体" w:eastAsia="宋体" w:hint="default"/>
                            <w:sz w:val="18"/>
                            <w:szCs w:val="18"/>
                          </w:rPr>
                          <w:t>）</w:t>
                        </w:r>
                      </w:p>
                    </w:tc>
                  </w:tr>
                  <w:tr>
                    <w:trPr>
                      <w:trHeight w:val="336" w:hRule="exact"/>
                    </w:trPr>
                    <w:tc>
                      <w:tcPr>
                        <w:tcW w:w="5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5</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《关于会计政策变更的公告》（公告编号：</w:t>
                        </w:r>
                        <w:r>
                          <w:rPr>
                            <w:rFonts w:ascii="Times New Roman" w:hAnsi="Times New Roman" w:cs="Times New Roman" w:eastAsia="Times New Roman" w:hint="default"/>
                            <w:sz w:val="18"/>
                            <w:szCs w:val="18"/>
                          </w:rPr>
                          <w:t>2018-017</w:t>
                        </w:r>
                        <w:r>
                          <w:rPr>
                            <w:rFonts w:ascii="宋体" w:hAnsi="宋体" w:cs="宋体" w:eastAsia="宋体" w:hint="default"/>
                            <w:sz w:val="18"/>
                            <w:szCs w:val="18"/>
                          </w:rPr>
                          <w:t>）</w:t>
                        </w:r>
                      </w:p>
                    </w:tc>
                  </w:tr>
                  <w:tr>
                    <w:trPr>
                      <w:trHeight w:val="650" w:hRule="exact"/>
                    </w:trPr>
                    <w:tc>
                      <w:tcPr>
                        <w:tcW w:w="5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2"/>
                          <w:ind w:left="26" w:right="0"/>
                          <w:jc w:val="left"/>
                          <w:rPr>
                            <w:rFonts w:ascii="Times New Roman" w:hAnsi="Times New Roman" w:cs="Times New Roman" w:eastAsia="Times New Roman" w:hint="default"/>
                            <w:sz w:val="18"/>
                            <w:szCs w:val="18"/>
                          </w:rPr>
                        </w:pPr>
                        <w:r>
                          <w:rPr>
                            <w:rFonts w:ascii="Times New Roman"/>
                            <w:sz w:val="18"/>
                          </w:rPr>
                          <w:t>6</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《关于签署智能包装研发生产基地项目入区协议的公告》</w:t>
                        </w:r>
                      </w:p>
                      <w:p>
                        <w:pPr>
                          <w:pStyle w:val="TableParagraph"/>
                          <w:spacing w:line="240" w:lineRule="auto" w:before="7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2018-021)</w:t>
                        </w:r>
                      </w:p>
                    </w:tc>
                  </w:tr>
                  <w:tr>
                    <w:trPr>
                      <w:trHeight w:val="648" w:hRule="exact"/>
                    </w:trPr>
                    <w:tc>
                      <w:tcPr>
                        <w:tcW w:w="5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7</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4" w:right="146"/>
                          <w:jc w:val="left"/>
                          <w:rPr>
                            <w:rFonts w:ascii="宋体" w:hAnsi="宋体" w:cs="宋体" w:eastAsia="宋体" w:hint="default"/>
                            <w:sz w:val="18"/>
                            <w:szCs w:val="18"/>
                          </w:rPr>
                        </w:pPr>
                        <w:r>
                          <w:rPr>
                            <w:rFonts w:ascii="宋体" w:hAnsi="宋体" w:cs="宋体" w:eastAsia="宋体" w:hint="default"/>
                            <w:sz w:val="18"/>
                            <w:szCs w:val="18"/>
                          </w:rPr>
                          <w:t>公开发行可转换公司 债券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8"/>
                          <w:ind w:left="4" w:right="3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年度公开发行可转换公司债券预案</w:t>
                        </w:r>
                        <w:r>
                          <w:rPr>
                            <w:rFonts w:ascii="Times New Roman" w:hAnsi="Times New Roman" w:cs="Times New Roman" w:eastAsia="Times New Roman" w:hint="default"/>
                            <w:sz w:val="18"/>
                            <w:szCs w:val="18"/>
                          </w:rPr>
                          <w:t>(</w:t>
                        </w:r>
                        <w:r>
                          <w:rPr>
                            <w:rFonts w:ascii="宋体" w:hAnsi="宋体" w:cs="宋体" w:eastAsia="宋体" w:hint="default"/>
                            <w:sz w:val="18"/>
                            <w:szCs w:val="18"/>
                          </w:rPr>
                          <w:t>修订稿</w:t>
                        </w:r>
                        <w:r>
                          <w:rPr>
                            <w:rFonts w:ascii="Times New Roman" w:hAnsi="Times New Roman" w:cs="Times New Roman" w:eastAsia="Times New Roman" w:hint="default"/>
                            <w:sz w:val="18"/>
                            <w:szCs w:val="18"/>
                          </w:rPr>
                          <w:t>)</w:t>
                        </w:r>
                        <w:r>
                          <w:rPr>
                            <w:rFonts w:ascii="宋体" w:hAnsi="宋体" w:cs="宋体" w:eastAsia="宋体" w:hint="default"/>
                            <w:sz w:val="18"/>
                            <w:szCs w:val="18"/>
                          </w:rPr>
                          <w:t>》（公告 编号：</w:t>
                        </w:r>
                        <w:r>
                          <w:rPr>
                            <w:rFonts w:ascii="Times New Roman" w:hAnsi="Times New Roman" w:cs="Times New Roman" w:eastAsia="Times New Roman" w:hint="default"/>
                            <w:sz w:val="18"/>
                            <w:szCs w:val="18"/>
                          </w:rPr>
                          <w:t>2018-030</w:t>
                        </w:r>
                        <w:r>
                          <w:rPr>
                            <w:rFonts w:ascii="宋体" w:hAnsi="宋体" w:cs="宋体" w:eastAsia="宋体" w:hint="default"/>
                            <w:sz w:val="18"/>
                            <w:szCs w:val="18"/>
                          </w:rPr>
                          <w:t>）</w:t>
                        </w:r>
                      </w:p>
                    </w:tc>
                  </w:tr>
                  <w:tr>
                    <w:trPr>
                      <w:trHeight w:val="650" w:hRule="exact"/>
                    </w:trPr>
                    <w:tc>
                      <w:tcPr>
                        <w:tcW w:w="5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8</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4" w:right="146"/>
                          <w:jc w:val="left"/>
                          <w:rPr>
                            <w:rFonts w:ascii="宋体" w:hAnsi="宋体" w:cs="宋体" w:eastAsia="宋体" w:hint="default"/>
                            <w:sz w:val="18"/>
                            <w:szCs w:val="18"/>
                          </w:rPr>
                        </w:pPr>
                        <w:r>
                          <w:rPr>
                            <w:rFonts w:ascii="宋体" w:hAnsi="宋体" w:cs="宋体" w:eastAsia="宋体" w:hint="default"/>
                            <w:sz w:val="18"/>
                            <w:szCs w:val="18"/>
                          </w:rPr>
                          <w:t>募集资金投资项目延 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《关于部分募集资金投资项目延期的公告》（公告编号：</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2018-032</w:t>
                        </w:r>
                        <w:r>
                          <w:rPr>
                            <w:rFonts w:ascii="宋体" w:hAnsi="宋体" w:cs="宋体" w:eastAsia="宋体" w:hint="default"/>
                            <w:sz w:val="18"/>
                            <w:szCs w:val="18"/>
                          </w:rPr>
                          <w:t>）</w:t>
                        </w:r>
                      </w:p>
                    </w:tc>
                  </w:tr>
                  <w:tr>
                    <w:trPr>
                      <w:trHeight w:val="648" w:hRule="exact"/>
                    </w:trPr>
                    <w:tc>
                      <w:tcPr>
                        <w:tcW w:w="5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9</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《关于子公司完成工商注册登记的公告》（公告编号：</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2018-034</w:t>
                        </w:r>
                        <w:r>
                          <w:rPr>
                            <w:rFonts w:ascii="宋体" w:hAnsi="宋体" w:cs="宋体" w:eastAsia="宋体" w:hint="default"/>
                            <w:sz w:val="18"/>
                            <w:szCs w:val="18"/>
                          </w:rPr>
                          <w:t>）</w:t>
                        </w:r>
                      </w:p>
                    </w:tc>
                  </w:tr>
                  <w:tr>
                    <w:trPr>
                      <w:trHeight w:val="648" w:hRule="exact"/>
                    </w:trPr>
                    <w:tc>
                      <w:tcPr>
                        <w:tcW w:w="5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10</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4" w:right="146"/>
                          <w:jc w:val="left"/>
                          <w:rPr>
                            <w:rFonts w:ascii="宋体" w:hAnsi="宋体" w:cs="宋体" w:eastAsia="宋体" w:hint="default"/>
                            <w:sz w:val="18"/>
                            <w:szCs w:val="18"/>
                          </w:rPr>
                        </w:pPr>
                        <w:r>
                          <w:rPr>
                            <w:rFonts w:ascii="宋体" w:hAnsi="宋体" w:cs="宋体" w:eastAsia="宋体" w:hint="default"/>
                            <w:sz w:val="18"/>
                            <w:szCs w:val="18"/>
                          </w:rPr>
                          <w:t>公开发行可转换公司 债券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8"/>
                          <w:ind w:left="4" w:right="155"/>
                          <w:jc w:val="left"/>
                          <w:rPr>
                            <w:rFonts w:ascii="宋体" w:hAnsi="宋体" w:cs="宋体" w:eastAsia="宋体" w:hint="default"/>
                            <w:sz w:val="18"/>
                            <w:szCs w:val="18"/>
                          </w:rPr>
                        </w:pPr>
                        <w:r>
                          <w:rPr>
                            <w:rFonts w:ascii="宋体" w:hAnsi="宋体" w:cs="宋体" w:eastAsia="宋体" w:hint="default"/>
                            <w:sz w:val="18"/>
                            <w:szCs w:val="18"/>
                          </w:rPr>
                          <w:t>《关于终止公司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年度公开发行可转换公司债券事项并 撤回申请文件的公告》（公告编号：</w:t>
                        </w:r>
                        <w:r>
                          <w:rPr>
                            <w:rFonts w:ascii="Times New Roman" w:hAnsi="Times New Roman" w:cs="Times New Roman" w:eastAsia="Times New Roman" w:hint="default"/>
                            <w:sz w:val="18"/>
                            <w:szCs w:val="18"/>
                          </w:rPr>
                          <w:t>2018-037</w:t>
                        </w:r>
                        <w:r>
                          <w:rPr>
                            <w:rFonts w:ascii="宋体" w:hAnsi="宋体" w:cs="宋体" w:eastAsia="宋体" w:hint="default"/>
                            <w:sz w:val="18"/>
                            <w:szCs w:val="18"/>
                          </w:rPr>
                          <w:t>）</w:t>
                        </w:r>
                      </w:p>
                    </w:tc>
                  </w:tr>
                  <w:tr>
                    <w:trPr>
                      <w:trHeight w:val="338" w:hRule="exact"/>
                    </w:trPr>
                    <w:tc>
                      <w:tcPr>
                        <w:tcW w:w="5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2"/>
                          <w:ind w:left="26" w:right="0"/>
                          <w:jc w:val="left"/>
                          <w:rPr>
                            <w:rFonts w:ascii="Times New Roman" w:hAnsi="Times New Roman" w:cs="Times New Roman" w:eastAsia="Times New Roman" w:hint="default"/>
                            <w:sz w:val="18"/>
                            <w:szCs w:val="18"/>
                          </w:rPr>
                        </w:pPr>
                        <w:r>
                          <w:rPr>
                            <w:rFonts w:ascii="Times New Roman"/>
                            <w:sz w:val="18"/>
                          </w:rPr>
                          <w:t>11</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部分变更募集资用途</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《关于部分变更募集资金用途的公告</w:t>
                        </w:r>
                        <w:r>
                          <w:rPr>
                            <w:rFonts w:ascii="宋体" w:hAnsi="宋体" w:cs="宋体" w:eastAsia="宋体" w:hint="default"/>
                            <w:spacing w:val="-173"/>
                            <w:sz w:val="18"/>
                            <w:szCs w:val="18"/>
                          </w:rPr>
                          <w:t>》</w:t>
                        </w:r>
                        <w:r>
                          <w:rPr>
                            <w:rFonts w:ascii="宋体" w:hAnsi="宋体" w:cs="宋体" w:eastAsia="宋体" w:hint="default"/>
                            <w:sz w:val="18"/>
                            <w:szCs w:val="18"/>
                          </w:rPr>
                          <w:t>（公告编号</w:t>
                        </w:r>
                        <w:r>
                          <w:rPr>
                            <w:rFonts w:ascii="宋体" w:hAnsi="宋体" w:cs="宋体" w:eastAsia="宋体" w:hint="default"/>
                            <w:spacing w:val="-89"/>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7</w:t>
                        </w:r>
                      </w:p>
                    </w:tc>
                  </w:tr>
                  <w:tr>
                    <w:trPr>
                      <w:trHeight w:val="648" w:hRule="exact"/>
                    </w:trPr>
                    <w:tc>
                      <w:tcPr>
                        <w:tcW w:w="5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12</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股份回购</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4" w:right="1"/>
                          <w:jc w:val="left"/>
                          <w:rPr>
                            <w:rFonts w:ascii="宋体" w:hAnsi="宋体" w:cs="宋体" w:eastAsia="宋体" w:hint="default"/>
                            <w:sz w:val="18"/>
                            <w:szCs w:val="18"/>
                          </w:rPr>
                        </w:pPr>
                        <w:r>
                          <w:rPr>
                            <w:rFonts w:ascii="宋体" w:hAnsi="宋体" w:cs="宋体" w:eastAsia="宋体" w:hint="default"/>
                            <w:spacing w:val="-1"/>
                            <w:sz w:val="18"/>
                            <w:szCs w:val="18"/>
                          </w:rPr>
                          <w:t>《关于以集中竞价交易方式回购股份预案的公告》（公告编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2018-058</w:t>
                        </w:r>
                        <w:r>
                          <w:rPr>
                            <w:rFonts w:ascii="宋体" w:hAnsi="宋体" w:cs="宋体" w:eastAsia="宋体" w:hint="default"/>
                            <w:sz w:val="18"/>
                            <w:szCs w:val="18"/>
                          </w:rPr>
                          <w:t>）</w:t>
                        </w:r>
                      </w:p>
                    </w:tc>
                  </w:tr>
                </w:tbl>
                <w:p>
                  <w:pPr/>
                </w:p>
              </w:txbxContent>
            </v:textbox>
            <w10:wrap type="none"/>
          </v:shape>
        </w:pict>
      </w:r>
      <w:r>
        <w:rPr/>
        <w:t>）</w:t>
      </w:r>
    </w:p>
    <w:p>
      <w:pPr>
        <w:pStyle w:val="BodyText"/>
        <w:spacing w:line="240" w:lineRule="auto" w:before="100"/>
        <w:ind w:left="0" w:right="230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0" w:right="2304"/>
        <w:jc w:val="right"/>
      </w:pPr>
      <w:r>
        <w:rPr/>
        <w:t>）</w:t>
      </w:r>
    </w:p>
    <w:p>
      <w:pPr>
        <w:spacing w:after="0" w:line="240" w:lineRule="auto"/>
        <w:jc w:val="right"/>
        <w:sectPr>
          <w:pgSz w:w="11910" w:h="16840"/>
          <w:pgMar w:header="753" w:footer="982" w:top="1060" w:bottom="1180" w:left="980" w:right="0"/>
        </w:sectPr>
      </w:pPr>
    </w:p>
    <w:p>
      <w:pPr>
        <w:spacing w:line="240" w:lineRule="auto" w:before="0"/>
        <w:rPr>
          <w:rFonts w:ascii="宋体" w:hAnsi="宋体" w:cs="宋体" w:eastAsia="宋体" w:hint="default"/>
          <w:sz w:val="27"/>
          <w:szCs w:val="27"/>
        </w:rPr>
      </w:pPr>
    </w:p>
    <w:p>
      <w:pPr>
        <w:pStyle w:val="BodyText"/>
        <w:spacing w:line="240" w:lineRule="auto" w:before="37"/>
        <w:ind w:left="0" w:right="2303"/>
        <w:jc w:val="right"/>
      </w:pPr>
      <w:r>
        <w:rPr/>
        <w:pict>
          <v:shape style="position:absolute;margin-left:55.55999pt;margin-top:.961694pt;width:421pt;height:129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4"/>
                    <w:gridCol w:w="1788"/>
                    <w:gridCol w:w="1418"/>
                    <w:gridCol w:w="4678"/>
                  </w:tblGrid>
                  <w:tr>
                    <w:trPr>
                      <w:trHeight w:val="328" w:hRule="exact"/>
                    </w:trPr>
                    <w:tc>
                      <w:tcPr>
                        <w:tcW w:w="514"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sz w:val="18"/>
                          </w:rPr>
                          <w:t>13</w:t>
                        </w:r>
                      </w:p>
                    </w:tc>
                    <w:tc>
                      <w:tcPr>
                        <w:tcW w:w="1788"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闲置自有资金购买理</w:t>
                        </w:r>
                      </w:p>
                    </w:tc>
                    <w:tc>
                      <w:tcPr>
                        <w:tcW w:w="1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《关于使用闲置自有资金购买理财产品的公告</w:t>
                        </w:r>
                        <w:r>
                          <w:rPr>
                            <w:rFonts w:ascii="宋体" w:hAnsi="宋体" w:cs="宋体" w:eastAsia="宋体" w:hint="default"/>
                            <w:spacing w:val="-110"/>
                            <w:sz w:val="18"/>
                            <w:szCs w:val="18"/>
                          </w:rPr>
                          <w:t>》</w:t>
                        </w:r>
                        <w:r>
                          <w:rPr>
                            <w:rFonts w:ascii="宋体" w:hAnsi="宋体" w:cs="宋体" w:eastAsia="宋体" w:hint="default"/>
                            <w:sz w:val="18"/>
                            <w:szCs w:val="18"/>
                          </w:rPr>
                          <w:t>（公告编号</w:t>
                        </w:r>
                      </w:p>
                    </w:tc>
                  </w:tr>
                  <w:tr>
                    <w:trPr>
                      <w:trHeight w:val="322" w:hRule="exact"/>
                    </w:trPr>
                    <w:tc>
                      <w:tcPr>
                        <w:tcW w:w="514" w:type="dxa"/>
                        <w:tcBorders>
                          <w:top w:val="nil" w:sz="6" w:space="0" w:color="auto"/>
                          <w:left w:val="nil" w:sz="6" w:space="0" w:color="auto"/>
                          <w:bottom w:val="single" w:sz="6" w:space="0" w:color="000000"/>
                          <w:right w:val="single" w:sz="6" w:space="0" w:color="000000"/>
                        </w:tcBorders>
                      </w:tcPr>
                      <w:p>
                        <w:pPr/>
                      </w:p>
                    </w:tc>
                    <w:tc>
                      <w:tcPr>
                        <w:tcW w:w="178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1418" w:type="dxa"/>
                        <w:tcBorders>
                          <w:top w:val="nil" w:sz="6" w:space="0" w:color="auto"/>
                          <w:left w:val="single" w:sz="6" w:space="0" w:color="000000"/>
                          <w:bottom w:val="single" w:sz="6" w:space="0" w:color="000000"/>
                          <w:right w:val="single" w:sz="6" w:space="0" w:color="000000"/>
                        </w:tcBorders>
                      </w:tcPr>
                      <w:p>
                        <w:pPr/>
                      </w:p>
                    </w:tc>
                    <w:tc>
                      <w:tcPr>
                        <w:tcW w:w="46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2018-074</w:t>
                        </w:r>
                        <w:r>
                          <w:rPr>
                            <w:rFonts w:ascii="宋体" w:hAnsi="宋体" w:cs="宋体" w:eastAsia="宋体" w:hint="default"/>
                            <w:sz w:val="18"/>
                            <w:szCs w:val="18"/>
                          </w:rPr>
                          <w:t>）</w:t>
                        </w:r>
                      </w:p>
                    </w:tc>
                  </w:tr>
                  <w:tr>
                    <w:trPr>
                      <w:trHeight w:val="328" w:hRule="exact"/>
                    </w:trPr>
                    <w:tc>
                      <w:tcPr>
                        <w:tcW w:w="514" w:type="dxa"/>
                        <w:tcBorders>
                          <w:top w:val="single" w:sz="6" w:space="0" w:color="000000"/>
                          <w:left w:val="nil" w:sz="6" w:space="0" w:color="auto"/>
                          <w:bottom w:val="nil" w:sz="6" w:space="0" w:color="auto"/>
                          <w:right w:val="single" w:sz="6" w:space="0" w:color="000000"/>
                        </w:tcBorders>
                      </w:tcPr>
                      <w:p>
                        <w:pPr>
                          <w:pStyle w:val="TableParagraph"/>
                          <w:spacing w:line="240" w:lineRule="auto" w:before="52"/>
                          <w:ind w:left="26" w:right="0"/>
                          <w:jc w:val="left"/>
                          <w:rPr>
                            <w:rFonts w:ascii="Times New Roman" w:hAnsi="Times New Roman" w:cs="Times New Roman" w:eastAsia="Times New Roman" w:hint="default"/>
                            <w:sz w:val="18"/>
                            <w:szCs w:val="18"/>
                          </w:rPr>
                        </w:pPr>
                        <w:r>
                          <w:rPr>
                            <w:rFonts w:ascii="Times New Roman"/>
                            <w:sz w:val="18"/>
                          </w:rPr>
                          <w:t>14</w:t>
                        </w:r>
                      </w:p>
                    </w:tc>
                    <w:tc>
                      <w:tcPr>
                        <w:tcW w:w="178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部分董监高及核心骨</w:t>
                        </w:r>
                      </w:p>
                    </w:tc>
                    <w:tc>
                      <w:tcPr>
                        <w:tcW w:w="14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46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《关于公司部分董监高及核心骨干人员融资增持公司股份</w:t>
                        </w:r>
                      </w:p>
                    </w:tc>
                  </w:tr>
                  <w:tr>
                    <w:trPr>
                      <w:trHeight w:val="312" w:hRule="exact"/>
                    </w:trPr>
                    <w:tc>
                      <w:tcPr>
                        <w:tcW w:w="514" w:type="dxa"/>
                        <w:tcBorders>
                          <w:top w:val="nil" w:sz="6" w:space="0" w:color="auto"/>
                          <w:left w:val="nil" w:sz="6" w:space="0" w:color="auto"/>
                          <w:bottom w:val="nil" w:sz="6" w:space="0" w:color="auto"/>
                          <w:right w:val="single" w:sz="6" w:space="0" w:color="000000"/>
                        </w:tcBorders>
                      </w:tcPr>
                      <w:p>
                        <w:pPr/>
                      </w:p>
                    </w:tc>
                    <w:tc>
                      <w:tcPr>
                        <w:tcW w:w="1788"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干融资增持股份存续</w:t>
                        </w:r>
                      </w:p>
                    </w:tc>
                    <w:tc>
                      <w:tcPr>
                        <w:tcW w:w="1418" w:type="dxa"/>
                        <w:tcBorders>
                          <w:top w:val="nil" w:sz="6" w:space="0" w:color="auto"/>
                          <w:left w:val="single" w:sz="6" w:space="0" w:color="000000"/>
                          <w:bottom w:val="nil" w:sz="6" w:space="0" w:color="auto"/>
                          <w:right w:val="single" w:sz="6" w:space="0" w:color="000000"/>
                        </w:tcBorders>
                      </w:tcPr>
                      <w:p>
                        <w:pP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存续期展期的公告》（公告编号：</w:t>
                        </w:r>
                        <w:r>
                          <w:rPr>
                            <w:rFonts w:ascii="Times New Roman" w:hAnsi="Times New Roman" w:cs="Times New Roman" w:eastAsia="Times New Roman" w:hint="default"/>
                            <w:sz w:val="18"/>
                            <w:szCs w:val="18"/>
                          </w:rPr>
                          <w:t>2018-099</w:t>
                        </w:r>
                        <w:r>
                          <w:rPr>
                            <w:rFonts w:ascii="宋体" w:hAnsi="宋体" w:cs="宋体" w:eastAsia="宋体" w:hint="default"/>
                            <w:sz w:val="18"/>
                            <w:szCs w:val="18"/>
                          </w:rPr>
                          <w:t>）</w:t>
                        </w:r>
                      </w:p>
                    </w:tc>
                  </w:tr>
                  <w:tr>
                    <w:trPr>
                      <w:trHeight w:val="322" w:hRule="exact"/>
                    </w:trPr>
                    <w:tc>
                      <w:tcPr>
                        <w:tcW w:w="514" w:type="dxa"/>
                        <w:tcBorders>
                          <w:top w:val="nil" w:sz="6" w:space="0" w:color="auto"/>
                          <w:left w:val="nil" w:sz="6" w:space="0" w:color="auto"/>
                          <w:bottom w:val="single" w:sz="6" w:space="0" w:color="000000"/>
                          <w:right w:val="single" w:sz="6" w:space="0" w:color="000000"/>
                        </w:tcBorders>
                      </w:tcPr>
                      <w:p>
                        <w:pPr/>
                      </w:p>
                    </w:tc>
                    <w:tc>
                      <w:tcPr>
                        <w:tcW w:w="178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期展期</w:t>
                        </w:r>
                      </w:p>
                    </w:tc>
                    <w:tc>
                      <w:tcPr>
                        <w:tcW w:w="1418" w:type="dxa"/>
                        <w:tcBorders>
                          <w:top w:val="nil" w:sz="6" w:space="0" w:color="auto"/>
                          <w:left w:val="single" w:sz="6" w:space="0" w:color="000000"/>
                          <w:bottom w:val="single" w:sz="6" w:space="0" w:color="000000"/>
                          <w:right w:val="single" w:sz="6" w:space="0" w:color="000000"/>
                        </w:tcBorders>
                      </w:tcPr>
                      <w:p>
                        <w:pPr/>
                      </w:p>
                    </w:tc>
                    <w:tc>
                      <w:tcPr>
                        <w:tcW w:w="4678" w:type="dxa"/>
                        <w:tcBorders>
                          <w:top w:val="nil" w:sz="6" w:space="0" w:color="auto"/>
                          <w:left w:val="single" w:sz="6" w:space="0" w:color="000000"/>
                          <w:bottom w:val="single" w:sz="6" w:space="0" w:color="000000"/>
                          <w:right w:val="single" w:sz="6" w:space="0" w:color="000000"/>
                        </w:tcBorders>
                      </w:tcPr>
                      <w:p>
                        <w:pPr/>
                      </w:p>
                    </w:tc>
                  </w:tr>
                  <w:tr>
                    <w:trPr>
                      <w:trHeight w:val="326" w:hRule="exact"/>
                    </w:trPr>
                    <w:tc>
                      <w:tcPr>
                        <w:tcW w:w="514" w:type="dxa"/>
                        <w:tcBorders>
                          <w:top w:val="single" w:sz="6" w:space="0" w:color="000000"/>
                          <w:left w:val="nil" w:sz="6" w:space="0" w:color="auto"/>
                          <w:bottom w:val="nil" w:sz="6" w:space="0" w:color="auto"/>
                          <w:right w:val="single" w:sz="6" w:space="0" w:color="000000"/>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15</w:t>
                        </w:r>
                      </w:p>
                    </w:tc>
                    <w:tc>
                      <w:tcPr>
                        <w:tcW w:w="178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增加暂时闲置募集资</w:t>
                        </w:r>
                      </w:p>
                    </w:tc>
                    <w:tc>
                      <w:tcPr>
                        <w:tcW w:w="14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46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left="4" w:right="-22"/>
                          <w:jc w:val="left"/>
                          <w:rPr>
                            <w:rFonts w:ascii="宋体" w:hAnsi="宋体" w:cs="宋体" w:eastAsia="宋体" w:hint="default"/>
                            <w:sz w:val="18"/>
                            <w:szCs w:val="18"/>
                          </w:rPr>
                        </w:pPr>
                        <w:r>
                          <w:rPr>
                            <w:rFonts w:ascii="宋体" w:hAnsi="宋体" w:cs="宋体" w:eastAsia="宋体" w:hint="default"/>
                            <w:sz w:val="18"/>
                            <w:szCs w:val="18"/>
                          </w:rPr>
                          <w:t>《关于增加暂时闲置募集资金购买结构性存款额度的公告》</w:t>
                        </w:r>
                      </w:p>
                    </w:tc>
                  </w:tr>
                  <w:tr>
                    <w:trPr>
                      <w:trHeight w:val="312" w:hRule="exact"/>
                    </w:trPr>
                    <w:tc>
                      <w:tcPr>
                        <w:tcW w:w="514" w:type="dxa"/>
                        <w:tcBorders>
                          <w:top w:val="nil" w:sz="6" w:space="0" w:color="auto"/>
                          <w:left w:val="nil" w:sz="6" w:space="0" w:color="auto"/>
                          <w:bottom w:val="nil" w:sz="6" w:space="0" w:color="auto"/>
                          <w:right w:val="single" w:sz="6" w:space="0" w:color="000000"/>
                        </w:tcBorders>
                      </w:tcPr>
                      <w:p>
                        <w:pPr/>
                      </w:p>
                    </w:tc>
                    <w:tc>
                      <w:tcPr>
                        <w:tcW w:w="1788"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金购买结构性存款额</w:t>
                        </w:r>
                      </w:p>
                    </w:tc>
                    <w:tc>
                      <w:tcPr>
                        <w:tcW w:w="1418" w:type="dxa"/>
                        <w:tcBorders>
                          <w:top w:val="nil" w:sz="6" w:space="0" w:color="auto"/>
                          <w:left w:val="single" w:sz="6" w:space="0" w:color="000000"/>
                          <w:bottom w:val="nil" w:sz="6" w:space="0" w:color="auto"/>
                          <w:right w:val="single" w:sz="6" w:space="0" w:color="000000"/>
                        </w:tcBorders>
                      </w:tcPr>
                      <w:p>
                        <w:pP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2018-106</w:t>
                        </w:r>
                        <w:r>
                          <w:rPr>
                            <w:rFonts w:ascii="宋体" w:hAnsi="宋体" w:cs="宋体" w:eastAsia="宋体" w:hint="default"/>
                            <w:sz w:val="18"/>
                            <w:szCs w:val="18"/>
                          </w:rPr>
                          <w:t>）</w:t>
                        </w:r>
                      </w:p>
                    </w:tc>
                  </w:tr>
                  <w:tr>
                    <w:trPr>
                      <w:trHeight w:val="322" w:hRule="exact"/>
                    </w:trPr>
                    <w:tc>
                      <w:tcPr>
                        <w:tcW w:w="514" w:type="dxa"/>
                        <w:tcBorders>
                          <w:top w:val="nil" w:sz="6" w:space="0" w:color="auto"/>
                          <w:left w:val="nil" w:sz="6" w:space="0" w:color="auto"/>
                          <w:bottom w:val="single" w:sz="6" w:space="0" w:color="000000"/>
                          <w:right w:val="single" w:sz="6" w:space="0" w:color="000000"/>
                        </w:tcBorders>
                      </w:tcPr>
                      <w:p>
                        <w:pPr/>
                      </w:p>
                    </w:tc>
                    <w:tc>
                      <w:tcPr>
                        <w:tcW w:w="178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度</w:t>
                        </w:r>
                      </w:p>
                    </w:tc>
                    <w:tc>
                      <w:tcPr>
                        <w:tcW w:w="1418" w:type="dxa"/>
                        <w:tcBorders>
                          <w:top w:val="nil" w:sz="6" w:space="0" w:color="auto"/>
                          <w:left w:val="single" w:sz="6" w:space="0" w:color="000000"/>
                          <w:bottom w:val="single" w:sz="6" w:space="0" w:color="000000"/>
                          <w:right w:val="single" w:sz="6" w:space="0" w:color="000000"/>
                        </w:tcBorders>
                      </w:tcPr>
                      <w:p>
                        <w:pPr/>
                      </w:p>
                    </w:tc>
                    <w:tc>
                      <w:tcPr>
                        <w:tcW w:w="4678" w:type="dxa"/>
                        <w:tcBorders>
                          <w:top w:val="nil" w:sz="6" w:space="0" w:color="auto"/>
                          <w:left w:val="single" w:sz="6" w:space="0" w:color="000000"/>
                          <w:bottom w:val="single" w:sz="6" w:space="0" w:color="000000"/>
                          <w:right w:val="single" w:sz="6"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spacing w:line="240" w:lineRule="auto" w:before="26"/>
        <w:ind w:right="0"/>
        <w:jc w:val="both"/>
        <w:rPr>
          <w:rFonts w:ascii="Tahoma" w:hAnsi="Tahoma" w:cs="Tahoma" w:eastAsia="Tahoma" w:hint="default"/>
        </w:rPr>
      </w:pPr>
      <w:r>
        <w:rPr/>
        <w:t>二十、公司子公司重大事项</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both"/>
      </w:pPr>
      <w:r>
        <w:rPr>
          <w:rFonts w:ascii="Times New Roman" w:hAnsi="Times New Roman" w:cs="Times New Roman" w:eastAsia="Times New Roman" w:hint="default"/>
        </w:rPr>
        <w:t>1</w:t>
      </w:r>
      <w:r>
        <w:rPr/>
        <w:t>、湖南美盈森</w:t>
      </w:r>
    </w:p>
    <w:p>
      <w:pPr>
        <w:pStyle w:val="BodyText"/>
        <w:spacing w:line="300" w:lineRule="auto" w:before="63"/>
        <w:ind w:right="1132"/>
        <w:jc w:val="both"/>
      </w:pPr>
      <w:r>
        <w:rPr>
          <w:spacing w:val="-2"/>
        </w:rPr>
        <w:t>（</w:t>
      </w:r>
      <w:r>
        <w:rPr>
          <w:rFonts w:ascii="Times New Roman" w:hAnsi="Times New Roman" w:cs="Times New Roman" w:eastAsia="Times New Roman" w:hint="default"/>
          <w:spacing w:val="-2"/>
        </w:rPr>
        <w:t>1</w:t>
      </w:r>
      <w:r>
        <w:rPr>
          <w:spacing w:val="-2"/>
        </w:rPr>
        <w:t>）湖南美盈森于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16</w:t>
      </w:r>
      <w:r>
        <w:rPr>
          <w:spacing w:val="-2"/>
        </w:rPr>
        <w:t>日收到政府补助</w:t>
      </w:r>
      <w:r>
        <w:rPr>
          <w:rFonts w:ascii="Times New Roman" w:hAnsi="Times New Roman" w:cs="Times New Roman" w:eastAsia="Times New Roman" w:hint="default"/>
          <w:spacing w:val="-2"/>
        </w:rPr>
        <w:t>3,160.49</w:t>
      </w:r>
      <w:r>
        <w:rPr>
          <w:spacing w:val="-2"/>
        </w:rPr>
        <w:t>万元。该笔政府补助款相关内容详见公司于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17</w:t>
      </w:r>
      <w:r>
        <w:rPr>
          <w:spacing w:val="-2"/>
        </w:rPr>
        <w:t>日刊载于巨</w:t>
      </w:r>
      <w:r>
        <w:rPr>
          <w:spacing w:val="-53"/>
        </w:rPr>
        <w:t> </w:t>
      </w:r>
      <w:r>
        <w:rPr>
          <w:spacing w:val="-53"/>
        </w:rPr>
      </w:r>
      <w:r>
        <w:rPr/>
        <w:t>潮资讯网（</w:t>
      </w:r>
      <w:hyperlink r:id="rId11">
        <w:r>
          <w:rPr>
            <w:rFonts w:ascii="Times New Roman" w:hAnsi="Times New Roman" w:cs="Times New Roman" w:eastAsia="Times New Roman" w:hint="default"/>
          </w:rPr>
          <w:t>www.cninfo.com.cn</w:t>
        </w:r>
      </w:hyperlink>
      <w:r>
        <w:rPr/>
        <w:t>）及《证券时报》的《关于控股子公司收到政府补助公告》（公告编号：</w:t>
      </w:r>
      <w:r>
        <w:rPr>
          <w:rFonts w:ascii="Times New Roman" w:hAnsi="Times New Roman" w:cs="Times New Roman" w:eastAsia="Times New Roman" w:hint="default"/>
        </w:rPr>
        <w:t>2018-003</w:t>
      </w:r>
      <w:r>
        <w:rPr/>
        <w:t>）；</w:t>
      </w:r>
    </w:p>
    <w:p>
      <w:pPr>
        <w:pStyle w:val="BodyText"/>
        <w:spacing w:line="300" w:lineRule="auto" w:before="13"/>
        <w:ind w:right="1116"/>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日，公司</w:t>
      </w:r>
      <w:r>
        <w:rPr>
          <w:rFonts w:ascii="Times New Roman" w:hAnsi="Times New Roman" w:cs="Times New Roman" w:eastAsia="Times New Roman" w:hint="default"/>
          <w:spacing w:val="-2"/>
        </w:rPr>
        <w:t>2018</w:t>
      </w:r>
      <w:r>
        <w:rPr>
          <w:spacing w:val="-2"/>
        </w:rPr>
        <w:t>年第二次临时股东大会审议通过了《关于部分变更募集资金用途的议案》，将湖南美盈森实</w:t>
      </w:r>
      <w:r>
        <w:rPr>
          <w:spacing w:val="-61"/>
        </w:rPr>
        <w:t> </w:t>
      </w:r>
      <w:r>
        <w:rPr>
          <w:spacing w:val="-61"/>
        </w:rPr>
      </w:r>
      <w:r>
        <w:rPr/>
        <w:t>施的包装印刷工业进出口贸易及保税加工（岳阳）项目相关募集资金中的</w:t>
      </w:r>
      <w:r>
        <w:rPr>
          <w:rFonts w:ascii="Times New Roman" w:hAnsi="Times New Roman" w:cs="Times New Roman" w:eastAsia="Times New Roman" w:hint="default"/>
        </w:rPr>
        <w:t>1</w:t>
      </w:r>
      <w:r>
        <w:rPr/>
        <w:t>亿元变更用于包装印刷工业 </w:t>
      </w:r>
      <w:r>
        <w:rPr>
          <w:rFonts w:ascii="Times New Roman" w:hAnsi="Times New Roman" w:cs="Times New Roman" w:eastAsia="Times New Roman" w:hint="default"/>
        </w:rPr>
        <w:t>4.0</w:t>
      </w:r>
      <w:r>
        <w:rPr>
          <w:rFonts w:ascii="Times New Roman" w:hAnsi="Times New Roman" w:cs="Times New Roman" w:eastAsia="Times New Roman" w:hint="default"/>
          <w:spacing w:val="8"/>
        </w:rPr>
        <w:t> </w:t>
      </w:r>
      <w:r>
        <w:rPr/>
        <w:t>智慧型工厂（长 沙）项目的建设。湖南美盈森注册资本因此由</w:t>
      </w:r>
      <w:r>
        <w:rPr>
          <w:rFonts w:ascii="Times New Roman" w:hAnsi="Times New Roman" w:cs="Times New Roman" w:eastAsia="Times New Roman" w:hint="default"/>
        </w:rPr>
        <w:t>26,000</w:t>
      </w:r>
      <w:r>
        <w:rPr/>
        <w:t>万元减少至</w:t>
      </w:r>
      <w:r>
        <w:rPr>
          <w:rFonts w:ascii="Times New Roman" w:hAnsi="Times New Roman" w:cs="Times New Roman" w:eastAsia="Times New Roman" w:hint="default"/>
        </w:rPr>
        <w:t>16,000</w:t>
      </w:r>
      <w:r>
        <w:rPr/>
        <w:t>万元，并于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日完成了工商变更登记。 </w:t>
      </w:r>
      <w:r>
        <w:rPr>
          <w:rFonts w:ascii="Times New Roman" w:hAnsi="Times New Roman" w:cs="Times New Roman" w:eastAsia="Times New Roman" w:hint="default"/>
        </w:rPr>
        <w:t>2</w:t>
      </w:r>
      <w:r>
        <w:rPr/>
        <w:t>、苏州美盈森</w:t>
      </w:r>
    </w:p>
    <w:p>
      <w:pPr>
        <w:pStyle w:val="BodyText"/>
        <w:spacing w:line="300" w:lineRule="auto" w:before="13"/>
        <w:ind w:right="1132"/>
        <w:jc w:val="both"/>
      </w:pPr>
      <w:r>
        <w:rPr/>
        <w:t>（</w:t>
      </w:r>
      <w:r>
        <w:rPr>
          <w:rFonts w:ascii="Times New Roman" w:hAnsi="Times New Roman" w:cs="Times New Roman" w:eastAsia="Times New Roman" w:hint="default"/>
        </w:rPr>
        <w:t>1</w:t>
      </w:r>
      <w:r>
        <w:rPr/>
        <w:t>）报告期内，苏州美盈森获得由苏州市吴江区人民政府授予的</w:t>
      </w:r>
      <w:r>
        <w:rPr>
          <w:rFonts w:ascii="Times New Roman" w:hAnsi="Times New Roman" w:cs="Times New Roman" w:eastAsia="Times New Roman" w:hint="default"/>
        </w:rPr>
        <w:t>“2017 </w:t>
      </w:r>
      <w:r>
        <w:rPr/>
        <w:t>年度苏州市吴江区成长型十强企业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32"/>
        </w:rPr>
        <w:t> </w:t>
      </w:r>
      <w:r>
        <w:rPr/>
        <w:t>年度苏 </w:t>
      </w:r>
      <w:r>
        <w:rPr>
          <w:spacing w:val="-1"/>
        </w:rPr>
        <w:t>州市吴江区百强企业</w:t>
      </w:r>
      <w:r>
        <w:rPr>
          <w:rFonts w:ascii="Times New Roman" w:hAnsi="Times New Roman" w:cs="Times New Roman" w:eastAsia="Times New Roman" w:hint="default"/>
          <w:spacing w:val="-1"/>
        </w:rPr>
        <w:t>”</w:t>
      </w:r>
      <w:r>
        <w:rPr>
          <w:spacing w:val="-1"/>
        </w:rPr>
        <w:t>及中共吴江经济技术开发区工作委员会（以下简称</w:t>
      </w:r>
      <w:r>
        <w:rPr>
          <w:rFonts w:ascii="Times New Roman" w:hAnsi="Times New Roman" w:cs="Times New Roman" w:eastAsia="Times New Roman" w:hint="default"/>
          <w:spacing w:val="-1"/>
        </w:rPr>
        <w:t>“</w:t>
      </w:r>
      <w:r>
        <w:rPr>
          <w:spacing w:val="-1"/>
        </w:rPr>
        <w:t>中共吴江经开区工作委员会</w:t>
      </w:r>
      <w:r>
        <w:rPr>
          <w:rFonts w:ascii="Times New Roman" w:hAnsi="Times New Roman" w:cs="Times New Roman" w:eastAsia="Times New Roman" w:hint="default"/>
          <w:spacing w:val="-1"/>
        </w:rPr>
        <w:t>”</w:t>
      </w:r>
      <w:r>
        <w:rPr>
          <w:spacing w:val="-1"/>
        </w:rPr>
        <w:t>）授予的</w:t>
      </w:r>
      <w:r>
        <w:rPr>
          <w:rFonts w:ascii="Times New Roman" w:hAnsi="Times New Roman" w:cs="Times New Roman" w:eastAsia="Times New Roman" w:hint="default"/>
          <w:spacing w:val="-1"/>
        </w:rPr>
        <w:t>“2017</w:t>
      </w:r>
      <w:r>
        <w:rPr>
          <w:spacing w:val="-1"/>
        </w:rPr>
        <w:t>年度开</w:t>
      </w:r>
      <w:r>
        <w:rPr>
          <w:spacing w:val="-82"/>
        </w:rPr>
        <w:t> </w:t>
      </w:r>
      <w:r>
        <w:rPr>
          <w:spacing w:val="-82"/>
        </w:rPr>
      </w:r>
      <w:r>
        <w:rPr/>
        <w:t>发区纳税大户</w:t>
      </w:r>
      <w:r>
        <w:rPr>
          <w:rFonts w:ascii="Times New Roman" w:hAnsi="Times New Roman" w:cs="Times New Roman" w:eastAsia="Times New Roman" w:hint="default"/>
        </w:rPr>
        <w:t>”</w:t>
      </w:r>
      <w:r>
        <w:rPr/>
        <w:t>荣誉称号。</w:t>
      </w:r>
    </w:p>
    <w:p>
      <w:pPr>
        <w:pStyle w:val="BodyText"/>
        <w:spacing w:line="300" w:lineRule="auto" w:before="13"/>
        <w:ind w:right="1132"/>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日，苏州美盈森获得由中共吴江经开区工作委员会、吴江经济技术开发区管理委员会授予的</w:t>
      </w:r>
      <w:r>
        <w:rPr>
          <w:rFonts w:ascii="Times New Roman" w:hAnsi="Times New Roman" w:cs="Times New Roman" w:eastAsia="Times New Roman" w:hint="default"/>
        </w:rPr>
        <w:t>“2018</w:t>
      </w:r>
      <w:r>
        <w:rPr/>
        <w:t>年度开</w:t>
      </w:r>
      <w:r>
        <w:rPr>
          <w:spacing w:val="-82"/>
        </w:rPr>
        <w:t> </w:t>
      </w:r>
      <w:r>
        <w:rPr>
          <w:spacing w:val="-82"/>
        </w:rPr>
      </w:r>
      <w:r>
        <w:rPr/>
        <w:t>发区工业销售骨干企业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年度开发区纳税大户</w:t>
      </w:r>
      <w:r>
        <w:rPr>
          <w:rFonts w:ascii="Times New Roman" w:hAnsi="Times New Roman" w:cs="Times New Roman" w:eastAsia="Times New Roman" w:hint="default"/>
        </w:rPr>
        <w:t>”</w:t>
      </w:r>
      <w:r>
        <w:rPr/>
        <w:t>及</w:t>
      </w:r>
      <w:r>
        <w:rPr>
          <w:rFonts w:ascii="Times New Roman" w:hAnsi="Times New Roman" w:cs="Times New Roman" w:eastAsia="Times New Roman" w:hint="default"/>
        </w:rPr>
        <w:t>“2018</w:t>
      </w:r>
      <w:r>
        <w:rPr/>
        <w:t>年度开发区二十大成长型企业</w:t>
      </w:r>
      <w:r>
        <w:rPr>
          <w:rFonts w:ascii="Times New Roman" w:hAnsi="Times New Roman" w:cs="Times New Roman" w:eastAsia="Times New Roman" w:hint="default"/>
        </w:rPr>
        <w:t>”</w:t>
      </w:r>
      <w:r>
        <w:rPr/>
        <w:t>荣誉称号。</w:t>
      </w:r>
    </w:p>
    <w:p>
      <w:pPr>
        <w:pStyle w:val="BodyText"/>
        <w:spacing w:line="240" w:lineRule="auto" w:before="13"/>
        <w:ind w:right="0"/>
        <w:jc w:val="both"/>
      </w:pPr>
      <w:r>
        <w:rPr>
          <w:rFonts w:ascii="Times New Roman" w:hAnsi="Times New Roman" w:cs="Times New Roman" w:eastAsia="Times New Roman" w:hint="default"/>
        </w:rPr>
        <w:t>3</w:t>
      </w:r>
      <w:r>
        <w:rPr/>
        <w:t>、安徽美盈森</w:t>
      </w:r>
    </w:p>
    <w:p>
      <w:pPr>
        <w:pStyle w:val="BodyText"/>
        <w:spacing w:line="300" w:lineRule="auto" w:before="63"/>
        <w:ind w:right="1131"/>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日，公司</w:t>
      </w:r>
      <w:r>
        <w:rPr>
          <w:rFonts w:ascii="Times New Roman" w:hAnsi="Times New Roman" w:cs="Times New Roman" w:eastAsia="Times New Roman" w:hint="default"/>
        </w:rPr>
        <w:t>2018</w:t>
      </w:r>
      <w:r>
        <w:rPr/>
        <w:t>年第二次临时股东大会审议通过了《关于部分变更募集资金用途的议案》，将安徽美盈森实施的 包装印刷工业</w:t>
      </w:r>
      <w:r>
        <w:rPr>
          <w:rFonts w:ascii="Times New Roman" w:hAnsi="Times New Roman" w:cs="Times New Roman" w:eastAsia="Times New Roman" w:hint="default"/>
        </w:rPr>
        <w:t>4.0</w:t>
      </w:r>
      <w:r>
        <w:rPr/>
        <w:t>智慧型工厂（六安）项目相关募集资金中的</w:t>
      </w:r>
      <w:r>
        <w:rPr>
          <w:rFonts w:ascii="Times New Roman" w:hAnsi="Times New Roman" w:cs="Times New Roman" w:eastAsia="Times New Roman" w:hint="default"/>
        </w:rPr>
        <w:t>3.8</w:t>
      </w:r>
      <w:r>
        <w:rPr/>
        <w:t>亿元分别变更用于包装印刷工业 </w:t>
      </w:r>
      <w:r>
        <w:rPr>
          <w:rFonts w:ascii="Times New Roman" w:hAnsi="Times New Roman" w:cs="Times New Roman" w:eastAsia="Times New Roman" w:hint="default"/>
        </w:rPr>
        <w:t>4.0</w:t>
      </w:r>
      <w:r>
        <w:rPr>
          <w:rFonts w:ascii="Times New Roman" w:hAnsi="Times New Roman" w:cs="Times New Roman" w:eastAsia="Times New Roman" w:hint="default"/>
          <w:spacing w:val="3"/>
        </w:rPr>
        <w:t> </w:t>
      </w:r>
      <w:r>
        <w:rPr/>
        <w:t>智慧型工厂（长沙）项 </w:t>
      </w:r>
      <w:r>
        <w:rPr>
          <w:spacing w:val="-1"/>
        </w:rPr>
        <w:t>目和基于装备制造的智慧包装工业</w:t>
      </w:r>
      <w:r>
        <w:rPr>
          <w:rFonts w:ascii="Times New Roman" w:hAnsi="Times New Roman" w:cs="Times New Roman" w:eastAsia="Times New Roman" w:hint="default"/>
          <w:spacing w:val="-1"/>
        </w:rPr>
        <w:t>4.0</w:t>
      </w:r>
      <w:r>
        <w:rPr>
          <w:spacing w:val="-1"/>
        </w:rPr>
        <w:t>产业园项目的建设。安徽美盈森注册资本因此由</w:t>
      </w:r>
      <w:r>
        <w:rPr>
          <w:rFonts w:ascii="Times New Roman" w:hAnsi="Times New Roman" w:cs="Times New Roman" w:eastAsia="Times New Roman" w:hint="default"/>
          <w:spacing w:val="-1"/>
        </w:rPr>
        <w:t>659,469,404.35</w:t>
      </w:r>
      <w:r>
        <w:rPr>
          <w:spacing w:val="-1"/>
        </w:rPr>
        <w:t>元减少至</w:t>
      </w:r>
      <w:r>
        <w:rPr>
          <w:rFonts w:ascii="Times New Roman" w:hAnsi="Times New Roman" w:cs="Times New Roman" w:eastAsia="Times New Roman" w:hint="default"/>
          <w:spacing w:val="-1"/>
        </w:rPr>
        <w:t>279,469,404.35</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元，并于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日完成了工商变更登记。</w:t>
      </w:r>
    </w:p>
    <w:p>
      <w:pPr>
        <w:pStyle w:val="BodyText"/>
        <w:spacing w:line="240" w:lineRule="auto" w:before="13"/>
        <w:ind w:right="0"/>
        <w:jc w:val="both"/>
      </w:pPr>
      <w:r>
        <w:rPr>
          <w:rFonts w:ascii="Times New Roman" w:hAnsi="Times New Roman" w:cs="Times New Roman" w:eastAsia="Times New Roman" w:hint="default"/>
        </w:rPr>
        <w:t>4</w:t>
      </w:r>
      <w:r>
        <w:rPr/>
        <w:t>、苏州智谷</w:t>
      </w:r>
    </w:p>
    <w:p>
      <w:pPr>
        <w:pStyle w:val="BodyText"/>
        <w:spacing w:line="300" w:lineRule="auto" w:before="63"/>
        <w:ind w:right="1133"/>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日，公司</w:t>
      </w:r>
      <w:r>
        <w:rPr>
          <w:rFonts w:ascii="Times New Roman" w:hAnsi="Times New Roman" w:cs="Times New Roman" w:eastAsia="Times New Roman" w:hint="default"/>
        </w:rPr>
        <w:t>2017</w:t>
      </w:r>
      <w:r>
        <w:rPr/>
        <w:t>年第二次临时股东大会审议通过了《关于部分变更募集资金用途的议案》，苏州智谷作为 新增募投项目</w:t>
      </w:r>
      <w:r>
        <w:rPr>
          <w:rFonts w:ascii="Times New Roman" w:hAnsi="Times New Roman" w:cs="Times New Roman" w:eastAsia="Times New Roman" w:hint="default"/>
        </w:rPr>
        <w:t>—</w:t>
      </w:r>
      <w:r>
        <w:rPr/>
        <w:t>高端环保包装生产基地项目的实施主体，注册资本由</w:t>
      </w:r>
      <w:r>
        <w:rPr>
          <w:rFonts w:ascii="Times New Roman" w:hAnsi="Times New Roman" w:cs="Times New Roman" w:eastAsia="Times New Roman" w:hint="default"/>
        </w:rPr>
        <w:t>200,000,000</w:t>
      </w:r>
      <w:r>
        <w:rPr/>
        <w:t>元增加至</w:t>
      </w:r>
      <w:r>
        <w:rPr>
          <w:rFonts w:ascii="Times New Roman" w:hAnsi="Times New Roman" w:cs="Times New Roman" w:eastAsia="Times New Roman" w:hint="default"/>
        </w:rPr>
        <w:t>283,823,529</w:t>
      </w:r>
      <w:r>
        <w:rPr/>
        <w:t>元，并于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日完成了工商变更登记；</w:t>
      </w:r>
    </w:p>
    <w:p>
      <w:pPr>
        <w:pStyle w:val="BodyText"/>
        <w:spacing w:line="300" w:lineRule="auto" w:before="31"/>
        <w:ind w:right="1096"/>
        <w:jc w:val="both"/>
      </w:pPr>
      <w:r>
        <w:rPr/>
        <w:t>（</w:t>
      </w:r>
      <w:r>
        <w:rPr>
          <w:rFonts w:ascii="Times New Roman" w:hAnsi="Times New Roman" w:cs="Times New Roman" w:eastAsia="Times New Roman" w:hint="default"/>
        </w:rPr>
        <w:t>2</w:t>
      </w:r>
      <w:r>
        <w:rPr/>
        <w:t>）苏州智谷于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日与苏州市吴江区国土资源局签订了《国有建设用地使用权出让合同》，取得了位于经济技术</w:t>
      </w:r>
      <w:r>
        <w:rPr>
          <w:spacing w:val="-87"/>
        </w:rPr>
        <w:t> </w:t>
      </w:r>
      <w:r>
        <w:rPr>
          <w:spacing w:val="-87"/>
        </w:rPr>
      </w:r>
      <w:r>
        <w:rPr/>
        <w:t>开发区同津大道东侧、云龙东路北侧的一块面积为</w:t>
      </w:r>
      <w:r>
        <w:rPr>
          <w:rFonts w:ascii="Times New Roman" w:hAnsi="Times New Roman" w:cs="Times New Roman" w:eastAsia="Times New Roman" w:hint="default"/>
        </w:rPr>
        <w:t>49,696</w:t>
      </w:r>
      <w:r>
        <w:rPr/>
        <w:t>平方米的使用年限为</w:t>
      </w:r>
      <w:r>
        <w:rPr>
          <w:rFonts w:ascii="Times New Roman" w:hAnsi="Times New Roman" w:cs="Times New Roman" w:eastAsia="Times New Roman" w:hint="default"/>
        </w:rPr>
        <w:t>50</w:t>
      </w:r>
      <w:r>
        <w:rPr/>
        <w:t>年的工业用地。为配合当地公共工程建设， 经苏州市吴江区人民政府批准，苏州市吴江区国土资源局收回了面积为</w:t>
      </w:r>
      <w:r>
        <w:rPr>
          <w:rFonts w:ascii="Times New Roman" w:hAnsi="Times New Roman" w:cs="Times New Roman" w:eastAsia="Times New Roman" w:hint="default"/>
        </w:rPr>
        <w:t>3843.45</w:t>
      </w:r>
      <w:r>
        <w:rPr/>
        <w:t>㎡一部分土地，收回后，苏州智谷拥有面积</w:t>
      </w:r>
      <w:r>
        <w:rPr>
          <w:spacing w:val="-54"/>
        </w:rPr>
        <w:t> </w:t>
      </w:r>
      <w:r>
        <w:rPr>
          <w:spacing w:val="-54"/>
        </w:rPr>
      </w:r>
      <w:r>
        <w:rPr/>
        <w:t>为</w:t>
      </w:r>
      <w:r>
        <w:rPr>
          <w:rFonts w:ascii="Times New Roman" w:hAnsi="Times New Roman" w:cs="Times New Roman" w:eastAsia="Times New Roman" w:hint="default"/>
        </w:rPr>
        <w:t>45,852.55</w:t>
      </w:r>
      <w:r>
        <w:rPr/>
        <w:t>㎡的土地使用权，该部分土地已于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日取得相关不动产权证书。</w:t>
      </w:r>
    </w:p>
    <w:p>
      <w:pPr>
        <w:pStyle w:val="BodyText"/>
        <w:spacing w:line="240" w:lineRule="auto" w:before="13"/>
        <w:ind w:right="0"/>
        <w:jc w:val="both"/>
      </w:pPr>
      <w:r>
        <w:rPr>
          <w:rFonts w:ascii="Times New Roman" w:hAnsi="Times New Roman" w:cs="Times New Roman" w:eastAsia="Times New Roman" w:hint="default"/>
        </w:rPr>
        <w:t>5</w:t>
      </w:r>
      <w:r>
        <w:rPr/>
        <w:t>、泸美供应链</w:t>
      </w:r>
    </w:p>
    <w:p>
      <w:pPr>
        <w:pStyle w:val="BodyText"/>
        <w:spacing w:line="300" w:lineRule="auto" w:before="63"/>
        <w:ind w:right="1132"/>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月，公司分别与四川中科玻璃有限公司、四川泸州丽鹏制盖有限公司、四川融圣投资管理股份有限公司签订了《股</w:t>
      </w:r>
      <w:r>
        <w:rPr>
          <w:spacing w:val="-85"/>
        </w:rPr>
        <w:t> </w:t>
      </w:r>
      <w:r>
        <w:rPr>
          <w:spacing w:val="-85"/>
        </w:rPr>
      </w:r>
      <w:r>
        <w:rPr/>
        <w:t>权转让协议》，约定公司分别以</w:t>
      </w:r>
      <w:r>
        <w:rPr>
          <w:rFonts w:ascii="Times New Roman" w:hAnsi="Times New Roman" w:cs="Times New Roman" w:eastAsia="Times New Roman" w:hint="default"/>
        </w:rPr>
        <w:t>150</w:t>
      </w:r>
      <w:r>
        <w:rPr/>
        <w:t>万元受让四川中科玻璃有限公司、四川泸州丽鹏制盖有限公司、四川融圣投资管理股份</w:t>
      </w:r>
      <w:r>
        <w:rPr>
          <w:spacing w:val="-87"/>
        </w:rPr>
        <w:t> </w:t>
      </w:r>
      <w:r>
        <w:rPr>
          <w:spacing w:val="-87"/>
        </w:rPr>
      </w:r>
      <w:r>
        <w:rPr/>
        <w:t>有限公司持有的四川泸美供应链管理有限公司</w:t>
      </w:r>
      <w:r>
        <w:rPr>
          <w:rFonts w:ascii="Times New Roman" w:hAnsi="Times New Roman" w:cs="Times New Roman" w:eastAsia="Times New Roman" w:hint="default"/>
        </w:rPr>
        <w:t>13.04%</w:t>
      </w:r>
      <w:r>
        <w:rPr/>
        <w:t>的股权。并于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日完成前述股权转让的股东变更工商登记，</w:t>
      </w:r>
      <w:r>
        <w:rPr>
          <w:spacing w:val="-36"/>
        </w:rPr>
        <w:t> </w:t>
      </w:r>
      <w:r>
        <w:rPr>
          <w:spacing w:val="-36"/>
        </w:rPr>
      </w:r>
      <w:r>
        <w:rPr/>
        <w:t>泸美供应链成为公司全资子公司。</w:t>
      </w:r>
    </w:p>
    <w:p>
      <w:pPr>
        <w:pStyle w:val="BodyText"/>
        <w:spacing w:line="240" w:lineRule="auto" w:before="31"/>
        <w:ind w:right="0"/>
        <w:jc w:val="both"/>
      </w:pPr>
      <w:r>
        <w:rPr>
          <w:rFonts w:ascii="Times New Roman" w:hAnsi="Times New Roman" w:cs="Times New Roman" w:eastAsia="Times New Roman" w:hint="default"/>
        </w:rPr>
        <w:t>6</w:t>
      </w:r>
      <w:r>
        <w:rPr/>
        <w:t>、长沙美盈森</w:t>
      </w:r>
    </w:p>
    <w:p>
      <w:pPr>
        <w:pStyle w:val="BodyText"/>
        <w:spacing w:line="240" w:lineRule="auto" w:before="63"/>
        <w:ind w:right="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日，公司</w:t>
      </w:r>
      <w:r>
        <w:rPr>
          <w:rFonts w:ascii="Times New Roman" w:hAnsi="Times New Roman" w:cs="Times New Roman" w:eastAsia="Times New Roman" w:hint="default"/>
        </w:rPr>
        <w:t>2018 </w:t>
      </w:r>
      <w:r>
        <w:rPr/>
        <w:t>年第二次临时股东大会审议通过了《关于部分变更募集资金用途的议案》，包装印刷工业</w:t>
      </w:r>
      <w:r>
        <w:rPr>
          <w:spacing w:val="-46"/>
        </w:rPr>
        <w:t> </w:t>
      </w:r>
      <w:r>
        <w:rPr>
          <w:rFonts w:ascii="Times New Roman" w:hAnsi="Times New Roman" w:cs="Times New Roman" w:eastAsia="Times New Roman" w:hint="default"/>
        </w:rPr>
        <w:t>4.0 </w:t>
      </w:r>
      <w:r>
        <w:rPr/>
        <w:t>智</w:t>
      </w:r>
    </w:p>
    <w:p>
      <w:pPr>
        <w:spacing w:after="0" w:line="240" w:lineRule="auto"/>
        <w:jc w:val="both"/>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00" w:lineRule="auto" w:before="37"/>
        <w:ind w:right="984"/>
        <w:jc w:val="left"/>
      </w:pPr>
      <w:r>
        <w:rPr>
          <w:spacing w:val="-4"/>
        </w:rPr>
        <w:t>慧型工厂（长沙）项目变更为公司</w:t>
      </w:r>
      <w:r>
        <w:rPr>
          <w:rFonts w:ascii="Times New Roman" w:hAnsi="Times New Roman" w:cs="Times New Roman" w:eastAsia="Times New Roman" w:hint="default"/>
          <w:spacing w:val="-4"/>
        </w:rPr>
        <w:t>2015</w:t>
      </w:r>
      <w:r>
        <w:rPr>
          <w:spacing w:val="-4"/>
        </w:rPr>
        <w:t>年非公开发行股票募投项目，长沙美盈森为该项目实施主体，注册资本由原来的</w:t>
      </w:r>
      <w:r>
        <w:rPr>
          <w:rFonts w:ascii="Times New Roman" w:hAnsi="Times New Roman" w:cs="Times New Roman" w:eastAsia="Times New Roman" w:hint="default"/>
          <w:spacing w:val="-4"/>
        </w:rPr>
        <w:t>10,000</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万元，变更为</w:t>
      </w:r>
      <w:r>
        <w:rPr>
          <w:rFonts w:ascii="Times New Roman" w:hAnsi="Times New Roman" w:cs="Times New Roman" w:eastAsia="Times New Roman" w:hint="default"/>
        </w:rPr>
        <w:t>30,556</w:t>
      </w:r>
      <w:r>
        <w:rPr/>
        <w:t>万元，并于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日办理了工商变更登记。</w:t>
      </w:r>
    </w:p>
    <w:p>
      <w:pPr>
        <w:pStyle w:val="BodyText"/>
        <w:spacing w:line="240" w:lineRule="auto" w:before="13"/>
        <w:ind w:right="984"/>
        <w:jc w:val="left"/>
      </w:pPr>
      <w:r>
        <w:rPr>
          <w:rFonts w:ascii="Times New Roman" w:hAnsi="Times New Roman" w:cs="Times New Roman" w:eastAsia="Times New Roman" w:hint="default"/>
        </w:rPr>
        <w:t>7</w:t>
      </w:r>
      <w:r>
        <w:rPr/>
        <w:t>、佛山美盈森</w:t>
      </w:r>
    </w:p>
    <w:p>
      <w:pPr>
        <w:pStyle w:val="BodyText"/>
        <w:spacing w:line="300" w:lineRule="auto" w:before="63"/>
        <w:ind w:right="1135"/>
        <w:jc w:val="both"/>
      </w:pPr>
      <w:r>
        <w:rPr/>
        <w:t>（</w:t>
      </w:r>
      <w:r>
        <w:rPr>
          <w:rFonts w:ascii="Times New Roman" w:hAnsi="Times New Roman" w:cs="Times New Roman" w:eastAsia="Times New Roman" w:hint="default"/>
        </w:rPr>
        <w:t>1</w:t>
      </w:r>
      <w:r>
        <w:rPr/>
        <w:t>）佛山美盈森作为基于装备制造的智慧包装工业</w:t>
      </w:r>
      <w:r>
        <w:rPr>
          <w:rFonts w:ascii="Times New Roman" w:hAnsi="Times New Roman" w:cs="Times New Roman" w:eastAsia="Times New Roman" w:hint="default"/>
        </w:rPr>
        <w:t>4.0</w:t>
      </w:r>
      <w:r>
        <w:rPr/>
        <w:t>产业园项目实施主体，于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日与佛山市国土资源和城乡规</w:t>
      </w:r>
      <w:r>
        <w:rPr>
          <w:spacing w:val="-59"/>
        </w:rPr>
        <w:t> </w:t>
      </w:r>
      <w:r>
        <w:rPr>
          <w:spacing w:val="-59"/>
        </w:rPr>
      </w:r>
      <w:r>
        <w:rPr>
          <w:spacing w:val="-2"/>
        </w:rPr>
        <w:t>划局签订了《国有建设用地使用权出让合同》，以</w:t>
      </w:r>
      <w:r>
        <w:rPr>
          <w:rFonts w:ascii="Times New Roman" w:hAnsi="Times New Roman" w:cs="Times New Roman" w:eastAsia="Times New Roman" w:hint="default"/>
          <w:spacing w:val="-2"/>
        </w:rPr>
        <w:t>9905</w:t>
      </w:r>
      <w:r>
        <w:rPr>
          <w:spacing w:val="-2"/>
        </w:rPr>
        <w:t>万元取得了位于佛山市高明区明城镇明富路以东、仙峰路以南，面积</w:t>
      </w:r>
      <w:r>
        <w:rPr>
          <w:spacing w:val="-67"/>
        </w:rPr>
        <w:t> </w:t>
      </w:r>
      <w:r>
        <w:rPr>
          <w:spacing w:val="-67"/>
        </w:rPr>
      </w:r>
      <w:r>
        <w:rPr/>
        <w:t>为</w:t>
      </w:r>
      <w:r>
        <w:rPr>
          <w:rFonts w:ascii="Times New Roman" w:hAnsi="Times New Roman" w:cs="Times New Roman" w:eastAsia="Times New Roman" w:hint="default"/>
        </w:rPr>
        <w:t>264,133.79</w:t>
      </w:r>
      <w:r>
        <w:rPr/>
        <w:t>平方米，使用年限为</w:t>
      </w:r>
      <w:r>
        <w:rPr>
          <w:rFonts w:ascii="Times New Roman" w:hAnsi="Times New Roman" w:cs="Times New Roman" w:eastAsia="Times New Roman" w:hint="default"/>
        </w:rPr>
        <w:t>50</w:t>
      </w:r>
      <w:r>
        <w:rPr/>
        <w:t>年的工业用地。</w:t>
      </w:r>
    </w:p>
    <w:p>
      <w:pPr>
        <w:pStyle w:val="BodyText"/>
        <w:spacing w:line="300" w:lineRule="auto" w:before="13"/>
        <w:ind w:right="112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日，公司</w:t>
      </w:r>
      <w:r>
        <w:rPr>
          <w:rFonts w:ascii="Times New Roman" w:hAnsi="Times New Roman" w:cs="Times New Roman" w:eastAsia="Times New Roman" w:hint="default"/>
        </w:rPr>
        <w:t>2018</w:t>
      </w:r>
      <w:r>
        <w:rPr>
          <w:rFonts w:ascii="Times New Roman" w:hAnsi="Times New Roman" w:cs="Times New Roman" w:eastAsia="Times New Roman" w:hint="default"/>
          <w:spacing w:val="39"/>
        </w:rPr>
        <w:t> </w:t>
      </w:r>
      <w:r>
        <w:rPr/>
        <w:t>年第二次临时股东大会审议通过了《关于部分变更募集资金用途的议案》，基于装备制造</w:t>
      </w:r>
      <w:r>
        <w:rPr>
          <w:spacing w:val="-88"/>
        </w:rPr>
        <w:t> </w:t>
      </w:r>
      <w:r>
        <w:rPr>
          <w:spacing w:val="-88"/>
        </w:rPr>
      </w:r>
      <w:r>
        <w:rPr/>
        <w:t>的智慧包装工业 </w:t>
      </w:r>
      <w:r>
        <w:rPr>
          <w:rFonts w:ascii="Times New Roman" w:hAnsi="Times New Roman" w:cs="Times New Roman" w:eastAsia="Times New Roman" w:hint="default"/>
        </w:rPr>
        <w:t>4.0</w:t>
      </w:r>
      <w:r>
        <w:rPr>
          <w:rFonts w:ascii="Times New Roman" w:hAnsi="Times New Roman" w:cs="Times New Roman" w:eastAsia="Times New Roman" w:hint="default"/>
          <w:spacing w:val="8"/>
        </w:rPr>
        <w:t> </w:t>
      </w:r>
      <w:r>
        <w:rPr/>
        <w:t>产业园项目变更为公司</w:t>
      </w:r>
      <w:r>
        <w:rPr>
          <w:rFonts w:ascii="Times New Roman" w:hAnsi="Times New Roman" w:cs="Times New Roman" w:eastAsia="Times New Roman" w:hint="default"/>
        </w:rPr>
        <w:t>2015</w:t>
      </w:r>
      <w:r>
        <w:rPr/>
        <w:t>年非公开发行股票募投项目，佛山美盈森为该项目实施主体。 </w:t>
      </w:r>
      <w:r>
        <w:rPr>
          <w:rFonts w:ascii="Times New Roman" w:hAnsi="Times New Roman" w:cs="Times New Roman" w:eastAsia="Times New Roman" w:hint="default"/>
        </w:rPr>
        <w:t>8</w:t>
      </w:r>
      <w:r>
        <w:rPr/>
        <w:t>、东莞美之兰 报告期内，东莞美盈森与东莞美之兰原股东分别签订了《股东转让出资协议》，原股东将其各自的出资额分别作价</w:t>
      </w:r>
      <w:r>
        <w:rPr>
          <w:rFonts w:ascii="Times New Roman" w:hAnsi="Times New Roman" w:cs="Times New Roman" w:eastAsia="Times New Roman" w:hint="default"/>
        </w:rPr>
        <w:t>1</w:t>
      </w:r>
      <w:r>
        <w:rPr/>
        <w:t>元转让</w:t>
      </w:r>
      <w:r>
        <w:rPr>
          <w:spacing w:val="-85"/>
        </w:rPr>
        <w:t> </w:t>
      </w:r>
      <w:r>
        <w:rPr/>
        <w:t>给东莞美盈森。相关工商变更登记已于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日完成，上述变更完成后，东莞美之兰为东莞美盈森的全资子公司。 </w:t>
      </w:r>
      <w:r>
        <w:rPr>
          <w:rFonts w:ascii="Times New Roman" w:hAnsi="Times New Roman" w:cs="Times New Roman" w:eastAsia="Times New Roman" w:hint="default"/>
        </w:rPr>
        <w:t>9</w:t>
      </w:r>
      <w:r>
        <w:rPr/>
        <w:t>、西安美盈森 西安美盈森于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日与西安市国土资源局签订了《国有建设用地使用权出让合同》，以</w:t>
      </w:r>
      <w:r>
        <w:rPr>
          <w:rFonts w:ascii="Times New Roman" w:hAnsi="Times New Roman" w:cs="Times New Roman" w:eastAsia="Times New Roman" w:hint="default"/>
        </w:rPr>
        <w:t>4,430</w:t>
      </w:r>
      <w:r>
        <w:rPr/>
        <w:t>万元取得了位于皂河</w:t>
      </w:r>
      <w:r>
        <w:rPr>
          <w:spacing w:val="-58"/>
        </w:rPr>
        <w:t> </w:t>
      </w:r>
      <w:r>
        <w:rPr>
          <w:spacing w:val="-58"/>
        </w:rPr>
      </w:r>
      <w:r>
        <w:rPr/>
        <w:t>东路以东、尚稷路以北的一块面积为</w:t>
      </w:r>
      <w:r>
        <w:rPr>
          <w:rFonts w:ascii="Times New Roman" w:hAnsi="Times New Roman" w:cs="Times New Roman" w:eastAsia="Times New Roman" w:hint="default"/>
        </w:rPr>
        <w:t>81,133.66</w:t>
      </w:r>
      <w:r>
        <w:rPr/>
        <w:t>㎡，使用年限为</w:t>
      </w:r>
      <w:r>
        <w:rPr>
          <w:rFonts w:ascii="Times New Roman" w:hAnsi="Times New Roman" w:cs="Times New Roman" w:eastAsia="Times New Roman" w:hint="default"/>
        </w:rPr>
        <w:t>50</w:t>
      </w:r>
      <w:r>
        <w:rPr/>
        <w:t>年的工业用地。该部分土地已于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日取得相关不 动产权证书。</w:t>
      </w:r>
    </w:p>
    <w:p>
      <w:pPr>
        <w:pStyle w:val="BodyText"/>
        <w:spacing w:line="300" w:lineRule="auto" w:before="31"/>
        <w:ind w:right="984"/>
        <w:jc w:val="left"/>
      </w:pPr>
      <w:r>
        <w:rPr>
          <w:rFonts w:ascii="Times New Roman" w:hAnsi="Times New Roman" w:cs="Times New Roman" w:eastAsia="Times New Roman" w:hint="default"/>
        </w:rPr>
        <w:t>10</w:t>
      </w:r>
      <w:r>
        <w:rPr/>
        <w:t>、东莞美盈森 东莞美盈森于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日获得由中共东莞市委员会、东莞市人民政府颁发的</w:t>
      </w:r>
      <w:r>
        <w:rPr>
          <w:rFonts w:ascii="Times New Roman" w:hAnsi="Times New Roman" w:cs="Times New Roman" w:eastAsia="Times New Roman" w:hint="default"/>
        </w:rPr>
        <w:t>“</w:t>
      </w:r>
      <w:r>
        <w:rPr/>
        <w:t>东莞市非公有制企业纳税贡献奖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日领取了由东莞市科学技术局、东莞市知识产权局颁发的</w:t>
      </w:r>
      <w:r>
        <w:rPr>
          <w:rFonts w:ascii="Times New Roman" w:hAnsi="Times New Roman" w:cs="Times New Roman" w:eastAsia="Times New Roman" w:hint="default"/>
        </w:rPr>
        <w:t>“</w:t>
      </w:r>
      <w:r>
        <w:rPr/>
        <w:t>东莞市专利优势企业</w:t>
      </w:r>
      <w:r>
        <w:rPr>
          <w:rFonts w:ascii="Times New Roman" w:hAnsi="Times New Roman" w:cs="Times New Roman" w:eastAsia="Times New Roman" w:hint="default"/>
        </w:rPr>
        <w:t>”</w:t>
      </w:r>
      <w:r>
        <w:rPr/>
        <w:t>证书、由广东卓越质量品牌研究院</w:t>
      </w:r>
      <w:r>
        <w:rPr>
          <w:spacing w:val="-72"/>
        </w:rPr>
        <w:t> </w:t>
      </w:r>
      <w:r>
        <w:rPr>
          <w:spacing w:val="-72"/>
        </w:rPr>
      </w:r>
      <w:r>
        <w:rPr/>
        <w:t>颁发的</w:t>
      </w:r>
      <w:r>
        <w:rPr>
          <w:rFonts w:ascii="Times New Roman" w:hAnsi="Times New Roman" w:cs="Times New Roman" w:eastAsia="Times New Roman" w:hint="default"/>
        </w:rPr>
        <w:t>“2018</w:t>
      </w:r>
      <w:r>
        <w:rPr/>
        <w:t>年度广东省出口名牌企业</w:t>
      </w:r>
      <w:r>
        <w:rPr>
          <w:rFonts w:ascii="Times New Roman" w:hAnsi="Times New Roman" w:cs="Times New Roman" w:eastAsia="Times New Roman" w:hint="default"/>
        </w:rPr>
        <w:t>”</w:t>
      </w:r>
      <w:r>
        <w:rPr/>
        <w:t>和由东莞市桥头镇人民政府颁发的</w:t>
      </w:r>
      <w:r>
        <w:rPr>
          <w:rFonts w:ascii="Times New Roman" w:hAnsi="Times New Roman" w:cs="Times New Roman" w:eastAsia="Times New Roman" w:hint="default"/>
        </w:rPr>
        <w:t>“</w:t>
      </w:r>
      <w:r>
        <w:rPr/>
        <w:t>桥头镇</w:t>
      </w:r>
      <w:r>
        <w:rPr>
          <w:rFonts w:ascii="Times New Roman" w:hAnsi="Times New Roman" w:cs="Times New Roman" w:eastAsia="Times New Roman" w:hint="default"/>
        </w:rPr>
        <w:t>2018</w:t>
      </w:r>
      <w:r>
        <w:rPr/>
        <w:t>年度纳税先进企业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桥头镇</w:t>
      </w:r>
      <w:r>
        <w:rPr>
          <w:rFonts w:ascii="Times New Roman" w:hAnsi="Times New Roman" w:cs="Times New Roman" w:eastAsia="Times New Roman" w:hint="default"/>
        </w:rPr>
        <w:t>2018</w:t>
      </w:r>
      <w:r>
        <w:rPr/>
        <w:t>年</w:t>
      </w:r>
      <w:r>
        <w:rPr>
          <w:spacing w:val="-51"/>
        </w:rPr>
        <w:t> </w:t>
      </w:r>
      <w:r>
        <w:rPr/>
        <w:t>度优秀企业</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桥头镇</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w:t>
      </w:r>
      <w:r>
        <w:rPr/>
        <w:t>倍增计划</w:t>
      </w:r>
      <w:r>
        <w:rPr>
          <w:rFonts w:ascii="Times New Roman" w:hAnsi="Times New Roman" w:cs="Times New Roman" w:eastAsia="Times New Roman" w:hint="default"/>
        </w:rPr>
        <w:t>’</w:t>
      </w:r>
      <w:r>
        <w:rPr/>
        <w:t>优质企业</w:t>
      </w:r>
      <w:r>
        <w:rPr>
          <w:rFonts w:ascii="Times New Roman" w:hAnsi="Times New Roman" w:cs="Times New Roman" w:eastAsia="Times New Roman" w:hint="default"/>
        </w:rPr>
        <w:t>”</w:t>
      </w:r>
      <w:r>
        <w:rPr/>
        <w:t>。</w:t>
      </w:r>
    </w:p>
    <w:p>
      <w:pPr>
        <w:pStyle w:val="BodyText"/>
        <w:spacing w:line="300" w:lineRule="auto" w:before="13"/>
        <w:ind w:right="984"/>
        <w:jc w:val="left"/>
      </w:pPr>
      <w:r>
        <w:rPr>
          <w:rFonts w:ascii="Times New Roman" w:hAnsi="Times New Roman" w:cs="Times New Roman" w:eastAsia="Times New Roman" w:hint="default"/>
        </w:rPr>
        <w:t>11</w:t>
      </w:r>
      <w:r>
        <w:rPr/>
        <w:t>、郑州美盈森 郑州美盈森于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日与新郑市国土资源局签订了《国有建设用地使用权出让合同》，以</w:t>
      </w:r>
      <w:r>
        <w:rPr>
          <w:rFonts w:ascii="Times New Roman" w:hAnsi="Times New Roman" w:cs="Times New Roman" w:eastAsia="Times New Roman" w:hint="default"/>
        </w:rPr>
        <w:t>3,180</w:t>
      </w:r>
      <w:r>
        <w:rPr/>
        <w:t>万元取得了位于新郑市</w:t>
      </w:r>
      <w:r>
        <w:rPr>
          <w:spacing w:val="-54"/>
        </w:rPr>
        <w:t> </w:t>
      </w:r>
      <w:r>
        <w:rPr>
          <w:spacing w:val="-54"/>
        </w:rPr>
      </w:r>
      <w:r>
        <w:rPr/>
        <w:t>新孟路西侧、郑州威纳食品有限公司南侧的一块面积为</w:t>
      </w:r>
      <w:r>
        <w:rPr>
          <w:rFonts w:ascii="Times New Roman" w:hAnsi="Times New Roman" w:cs="Times New Roman" w:eastAsia="Times New Roman" w:hint="default"/>
        </w:rPr>
        <w:t>91,774.37</w:t>
      </w:r>
      <w:r>
        <w:rPr/>
        <w:t>㎡，使用年限为</w:t>
      </w:r>
      <w:r>
        <w:rPr>
          <w:rFonts w:ascii="Times New Roman" w:hAnsi="Times New Roman" w:cs="Times New Roman" w:eastAsia="Times New Roman" w:hint="default"/>
        </w:rPr>
        <w:t>50</w:t>
      </w:r>
      <w:r>
        <w:rPr/>
        <w:t>年的工业用地。</w:t>
      </w:r>
    </w:p>
    <w:p>
      <w:pPr>
        <w:pStyle w:val="BodyText"/>
        <w:spacing w:line="300" w:lineRule="auto" w:before="13"/>
        <w:ind w:right="984"/>
        <w:jc w:val="left"/>
      </w:pPr>
      <w:r>
        <w:rPr>
          <w:rFonts w:ascii="Times New Roman" w:hAnsi="Times New Roman" w:cs="Times New Roman" w:eastAsia="Times New Roman" w:hint="default"/>
        </w:rPr>
        <w:t>12</w:t>
      </w:r>
      <w:r>
        <w:rPr/>
        <w:t>、其他说明 </w:t>
      </w:r>
      <w:r>
        <w:rPr>
          <w:spacing w:val="-2"/>
        </w:rPr>
        <w:t>报告期内，东莞美盈森、苏州美盈森、重庆美盈森、东莞美芯龙以截至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日未分配利润为依据，向公司进行了现</w:t>
      </w:r>
      <w:r>
        <w:rPr>
          <w:spacing w:val="-65"/>
        </w:rPr>
        <w:t> </w:t>
      </w:r>
      <w:r>
        <w:rPr>
          <w:spacing w:val="-65"/>
        </w:rPr>
      </w:r>
      <w:r>
        <w:rPr/>
        <w:t>金分红。具体情况如下：</w:t>
      </w:r>
    </w:p>
    <w:tbl>
      <w:tblPr>
        <w:tblW w:w="0" w:type="auto"/>
        <w:jc w:val="left"/>
        <w:tblInd w:w="145" w:type="dxa"/>
        <w:tblLayout w:type="fixed"/>
        <w:tblCellMar>
          <w:top w:w="0" w:type="dxa"/>
          <w:left w:w="0" w:type="dxa"/>
          <w:bottom w:w="0" w:type="dxa"/>
          <w:right w:w="0" w:type="dxa"/>
        </w:tblCellMar>
        <w:tblLook w:val="01E0"/>
      </w:tblPr>
      <w:tblGrid>
        <w:gridCol w:w="674"/>
        <w:gridCol w:w="2410"/>
        <w:gridCol w:w="5438"/>
      </w:tblGrid>
      <w:tr>
        <w:trPr>
          <w:trHeight w:val="348"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4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向公司分红的金额（元）</w:t>
            </w:r>
          </w:p>
        </w:tc>
      </w:tr>
      <w:tr>
        <w:trPr>
          <w:trHeight w:val="346"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48" w:right="0"/>
              <w:jc w:val="left"/>
              <w:rPr>
                <w:rFonts w:ascii="宋体" w:hAnsi="宋体" w:cs="宋体" w:eastAsia="宋体" w:hint="default"/>
                <w:sz w:val="18"/>
                <w:szCs w:val="18"/>
              </w:rPr>
            </w:pPr>
            <w:r>
              <w:rPr>
                <w:rFonts w:ascii="宋体" w:hAnsi="宋体" w:cs="宋体" w:eastAsia="宋体" w:hint="default"/>
                <w:sz w:val="18"/>
                <w:szCs w:val="18"/>
              </w:rPr>
              <w:t>东莞美盈森</w:t>
            </w:r>
          </w:p>
        </w:tc>
        <w:tc>
          <w:tcPr>
            <w:tcW w:w="5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144,322,446.28</w:t>
            </w:r>
          </w:p>
        </w:tc>
      </w:tr>
      <w:tr>
        <w:trPr>
          <w:trHeight w:val="348"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48" w:right="0"/>
              <w:jc w:val="left"/>
              <w:rPr>
                <w:rFonts w:ascii="宋体" w:hAnsi="宋体" w:cs="宋体" w:eastAsia="宋体" w:hint="default"/>
                <w:sz w:val="18"/>
                <w:szCs w:val="18"/>
              </w:rPr>
            </w:pPr>
            <w:r>
              <w:rPr>
                <w:rFonts w:ascii="宋体" w:hAnsi="宋体" w:cs="宋体" w:eastAsia="宋体" w:hint="default"/>
                <w:sz w:val="18"/>
                <w:szCs w:val="18"/>
              </w:rPr>
              <w:t>苏州美盈森</w:t>
            </w:r>
          </w:p>
        </w:tc>
        <w:tc>
          <w:tcPr>
            <w:tcW w:w="5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208,000,000.00</w:t>
            </w:r>
          </w:p>
        </w:tc>
      </w:tr>
      <w:tr>
        <w:trPr>
          <w:trHeight w:val="346"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48" w:right="0"/>
              <w:jc w:val="left"/>
              <w:rPr>
                <w:rFonts w:ascii="宋体" w:hAnsi="宋体" w:cs="宋体" w:eastAsia="宋体" w:hint="default"/>
                <w:sz w:val="18"/>
                <w:szCs w:val="18"/>
              </w:rPr>
            </w:pPr>
            <w:r>
              <w:rPr>
                <w:rFonts w:ascii="宋体" w:hAnsi="宋体" w:cs="宋体" w:eastAsia="宋体" w:hint="default"/>
                <w:sz w:val="18"/>
                <w:szCs w:val="18"/>
              </w:rPr>
              <w:t>重庆美盈森</w:t>
            </w:r>
          </w:p>
        </w:tc>
        <w:tc>
          <w:tcPr>
            <w:tcW w:w="5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104,100,000.00</w:t>
            </w:r>
          </w:p>
        </w:tc>
      </w:tr>
      <w:tr>
        <w:trPr>
          <w:trHeight w:val="348"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48" w:right="0"/>
              <w:jc w:val="left"/>
              <w:rPr>
                <w:rFonts w:ascii="宋体" w:hAnsi="宋体" w:cs="宋体" w:eastAsia="宋体" w:hint="default"/>
                <w:sz w:val="18"/>
                <w:szCs w:val="18"/>
              </w:rPr>
            </w:pPr>
            <w:r>
              <w:rPr>
                <w:rFonts w:ascii="宋体" w:hAnsi="宋体" w:cs="宋体" w:eastAsia="宋体" w:hint="default"/>
                <w:sz w:val="18"/>
                <w:szCs w:val="18"/>
              </w:rPr>
              <w:t>东莞美芯龙</w:t>
            </w:r>
          </w:p>
        </w:tc>
        <w:tc>
          <w:tcPr>
            <w:tcW w:w="5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5,300,000.00</w:t>
            </w:r>
          </w:p>
        </w:tc>
      </w:tr>
      <w:tr>
        <w:trPr>
          <w:trHeight w:val="348" w:hRule="exact"/>
        </w:trPr>
        <w:tc>
          <w:tcPr>
            <w:tcW w:w="30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461,722,446.28</w:t>
            </w:r>
          </w:p>
        </w:tc>
      </w:tr>
    </w:tbl>
    <w:p>
      <w:pPr>
        <w:spacing w:after="0" w:line="240" w:lineRule="auto"/>
        <w:jc w:val="center"/>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3" w:right="984"/>
        <w:jc w:val="left"/>
        <w:rPr>
          <w:rFonts w:ascii="Tahoma" w:hAnsi="Tahoma" w:cs="Tahoma" w:eastAsia="Tahoma" w:hint="default"/>
        </w:rPr>
      </w:pPr>
      <w:bookmarkStart w:name="_TOC_250006" w:id="7"/>
      <w:r>
        <w:rPr/>
        <w:t>第六节</w:t>
      </w:r>
      <w:r>
        <w:rPr>
          <w:spacing w:val="12"/>
        </w:rPr>
        <w:t> </w:t>
      </w:r>
      <w:r>
        <w:rPr>
          <w:rFonts w:ascii="Tahoma" w:hAnsi="Tahoma" w:cs="Tahoma" w:eastAsia="Tahoma" w:hint="default"/>
          <w:spacing w:val="12"/>
        </w:rPr>
      </w:r>
      <w:r>
        <w:rPr/>
        <w:t>股份变动及股东情况</w:t>
      </w:r>
      <w:r>
        <w:rPr>
          <w:rFonts w:ascii="Tahoma" w:hAnsi="Tahoma" w:cs="Tahoma" w:eastAsia="Tahoma" w:hint="default"/>
          <w:w w:val="79"/>
        </w:rPr>
        <w:t> </w:t>
      </w:r>
      <w:bookmarkEnd w:id="7"/>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1"/>
        <w:rPr>
          <w:rFonts w:ascii="Tahoma" w:hAnsi="Tahoma" w:cs="Tahoma" w:eastAsia="Tahoma" w:hint="default"/>
          <w:sz w:val="20"/>
          <w:szCs w:val="20"/>
        </w:rPr>
      </w:pPr>
    </w:p>
    <w:p>
      <w:pPr>
        <w:pStyle w:val="Heading2"/>
        <w:spacing w:line="240" w:lineRule="auto" w:before="26"/>
        <w:ind w:right="984"/>
        <w:jc w:val="left"/>
        <w:rPr>
          <w:rFonts w:ascii="Tahoma" w:hAnsi="Tahoma" w:cs="Tahoma" w:eastAsia="Tahoma" w:hint="default"/>
        </w:rPr>
      </w:pPr>
      <w:r>
        <w:rPr/>
        <w:t>一、股份变动情况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、股份变动情况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单位：股</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227"/>
        <w:gridCol w:w="823"/>
        <w:gridCol w:w="823"/>
        <w:gridCol w:w="823"/>
        <w:gridCol w:w="821"/>
        <w:gridCol w:w="823"/>
        <w:gridCol w:w="821"/>
        <w:gridCol w:w="823"/>
        <w:gridCol w:w="794"/>
        <w:gridCol w:w="792"/>
      </w:tblGrid>
      <w:tr>
        <w:trPr>
          <w:trHeight w:val="402"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50"/>
              <w:ind w:left="316" w:right="45"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2"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1"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1"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794" w:type="dxa"/>
            <w:vMerge/>
            <w:tcBorders>
              <w:left w:val="single" w:sz="4" w:space="0" w:color="000000"/>
              <w:bottom w:val="single" w:sz="4" w:space="0" w:color="000000"/>
              <w:right w:val="single" w:sz="4" w:space="0" w:color="000000"/>
            </w:tcBorders>
            <w:shd w:val="clear" w:color="auto" w:fill="D3D3D3"/>
          </w:tcPr>
          <w:p>
            <w:pPr/>
          </w:p>
        </w:tc>
        <w:tc>
          <w:tcPr>
            <w:tcW w:w="792"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567,570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-2,220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565,350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0.04%</w:t>
            </w:r>
          </w:p>
        </w:tc>
      </w:tr>
      <w:tr>
        <w:trPr>
          <w:trHeight w:val="403"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567,570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-2,220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-2,220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565,350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0.04%</w:t>
            </w:r>
          </w:p>
        </w:tc>
      </w:tr>
      <w:tr>
        <w:trPr>
          <w:trHeight w:val="401"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567,570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-2,220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-2,220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565,350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0.04%</w:t>
            </w:r>
          </w:p>
        </w:tc>
      </w:tr>
      <w:tr>
        <w:trPr>
          <w:trHeight w:val="401"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1,541,756,</w:t>
            </w:r>
          </w:p>
          <w:p>
            <w:pPr>
              <w:pStyle w:val="TableParagraph"/>
              <w:spacing w:line="240" w:lineRule="auto" w:before="102"/>
              <w:ind w:left="527" w:right="0"/>
              <w:jc w:val="left"/>
              <w:rPr>
                <w:rFonts w:ascii="Times New Roman" w:hAnsi="Times New Roman" w:cs="Times New Roman" w:eastAsia="Times New Roman" w:hint="default"/>
                <w:sz w:val="18"/>
                <w:szCs w:val="18"/>
              </w:rPr>
            </w:pPr>
            <w:r>
              <w:rPr>
                <w:rFonts w:ascii="Times New Roman"/>
                <w:sz w:val="18"/>
              </w:rPr>
              <w:t>115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99.96%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-10,997,7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-10,997,7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1,530,758</w:t>
            </w:r>
          </w:p>
          <w:p>
            <w:pPr>
              <w:pStyle w:val="TableParagraph"/>
              <w:spacing w:line="240" w:lineRule="auto" w:before="102"/>
              <w:ind w:left="446" w:right="0"/>
              <w:jc w:val="left"/>
              <w:rPr>
                <w:rFonts w:ascii="Times New Roman" w:hAnsi="Times New Roman" w:cs="Times New Roman" w:eastAsia="Times New Roman" w:hint="default"/>
                <w:sz w:val="18"/>
                <w:szCs w:val="18"/>
              </w:rPr>
            </w:pPr>
            <w:r>
              <w:rPr>
                <w:rFonts w:ascii="Times New Roman"/>
                <w:sz w:val="18"/>
              </w:rPr>
              <w:t>,335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99.96%</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1,541,756,</w:t>
            </w:r>
          </w:p>
          <w:p>
            <w:pPr>
              <w:pStyle w:val="TableParagraph"/>
              <w:spacing w:line="240" w:lineRule="auto" w:before="105"/>
              <w:ind w:left="527" w:right="0"/>
              <w:jc w:val="left"/>
              <w:rPr>
                <w:rFonts w:ascii="Times New Roman" w:hAnsi="Times New Roman" w:cs="Times New Roman" w:eastAsia="Times New Roman" w:hint="default"/>
                <w:sz w:val="18"/>
                <w:szCs w:val="18"/>
              </w:rPr>
            </w:pPr>
            <w:r>
              <w:rPr>
                <w:rFonts w:ascii="Times New Roman"/>
                <w:sz w:val="18"/>
              </w:rPr>
              <w:t>115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99.96%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-10,997,7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1,530,758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,335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99.96%</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1,542,323,</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685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1,531,323</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,685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股份变动的原因</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3"/>
        <w:ind w:right="1132"/>
        <w:jc w:val="both"/>
      </w:pPr>
      <w:r>
        <w:rPr/>
        <w:t>（</w:t>
      </w:r>
      <w:r>
        <w:rPr>
          <w:rFonts w:ascii="Times New Roman" w:hAnsi="Times New Roman" w:cs="Times New Roman" w:eastAsia="Times New Roman" w:hint="default"/>
        </w:rPr>
        <w:t>1</w:t>
      </w:r>
      <w:r>
        <w:rPr/>
        <w:t>）根据有关规定，公司董事、监事及高级管理人员所持公司股份，自离任人员的离任信息申报之日起六个月后的第一个 </w:t>
      </w:r>
      <w:r>
        <w:rPr>
          <w:spacing w:val="-1"/>
        </w:rPr>
        <w:t>交易日，按</w:t>
      </w:r>
      <w:r>
        <w:rPr>
          <w:rFonts w:ascii="Times New Roman" w:hAnsi="Times New Roman" w:cs="Times New Roman" w:eastAsia="Times New Roman" w:hint="default"/>
          <w:spacing w:val="-1"/>
        </w:rPr>
        <w:t>50%</w:t>
      </w:r>
      <w:r>
        <w:rPr>
          <w:spacing w:val="-1"/>
        </w:rPr>
        <w:t>比例计算该人员在申报离任六个月后的十二个月内可以通过证券交易所挂牌交易出售的额度，自离任人员的</w:t>
      </w:r>
      <w:r>
        <w:rPr/>
        <w:t> </w:t>
      </w:r>
      <w:r>
        <w:rPr>
          <w:spacing w:val="-2"/>
        </w:rPr>
        <w:t>离任信息申报之日起六个月后的十二个月期满，离任人员所持该公司无限售条件股份将全部解锁。报告期内因上述原因解除</w:t>
      </w:r>
      <w:r>
        <w:rPr>
          <w:spacing w:val="-64"/>
        </w:rPr>
        <w:t> </w:t>
      </w:r>
      <w:r>
        <w:rPr>
          <w:spacing w:val="-64"/>
        </w:rPr>
      </w:r>
      <w:r>
        <w:rPr/>
        <w:t>限售条件的股份共计</w:t>
      </w:r>
      <w:r>
        <w:rPr>
          <w:rFonts w:ascii="Times New Roman" w:hAnsi="Times New Roman" w:cs="Times New Roman" w:eastAsia="Times New Roman" w:hint="default"/>
        </w:rPr>
        <w:t>2220</w:t>
      </w:r>
      <w:r>
        <w:rPr/>
        <w:t>股，导致公司报告期末有限售条件股份减少</w:t>
      </w:r>
      <w:r>
        <w:rPr>
          <w:rFonts w:ascii="Times New Roman" w:hAnsi="Times New Roman" w:cs="Times New Roman" w:eastAsia="Times New Roman" w:hint="default"/>
        </w:rPr>
        <w:t>2220</w:t>
      </w:r>
      <w:r>
        <w:rPr/>
        <w:t>股；</w:t>
      </w:r>
    </w:p>
    <w:p>
      <w:pPr>
        <w:pStyle w:val="BodyText"/>
        <w:spacing w:line="340" w:lineRule="auto" w:before="7"/>
        <w:ind w:right="1139"/>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日，公司完成股份回购事项，累计回购公司股份</w:t>
      </w:r>
      <w:r>
        <w:rPr>
          <w:rFonts w:ascii="Times New Roman" w:hAnsi="Times New Roman" w:cs="Times New Roman" w:eastAsia="Times New Roman" w:hint="default"/>
        </w:rPr>
        <w:t>11,000,000</w:t>
      </w:r>
      <w:r>
        <w:rPr/>
        <w:t>股，上述股份已于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日完成注销。 股份变动的批准情况</w:t>
      </w:r>
    </w:p>
    <w:p>
      <w:pPr>
        <w:spacing w:after="0" w:line="340" w:lineRule="auto"/>
        <w:jc w:val="both"/>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3"/>
        <w:ind w:right="1144"/>
        <w:jc w:val="left"/>
      </w:pPr>
      <w:r>
        <w:rPr/>
        <w:t>公司第四届董事会第十七次（临时）会议及</w:t>
      </w:r>
      <w:r>
        <w:rPr>
          <w:rFonts w:ascii="Times New Roman" w:hAnsi="Times New Roman" w:cs="Times New Roman" w:eastAsia="Times New Roman" w:hint="default"/>
        </w:rPr>
        <w:t>2018</w:t>
      </w:r>
      <w:r>
        <w:rPr>
          <w:rFonts w:ascii="Times New Roman" w:hAnsi="Times New Roman" w:cs="Times New Roman" w:eastAsia="Times New Roman" w:hint="default"/>
          <w:spacing w:val="25"/>
        </w:rPr>
        <w:t> </w:t>
      </w:r>
      <w:r>
        <w:rPr/>
        <w:t>年第二次临时股东大会分别审议通过了《关于以集中竞价交易方式回购股 份的议案》，其中明确了回购股份的用途为予以注销。</w:t>
      </w:r>
    </w:p>
    <w:p>
      <w:pPr>
        <w:pStyle w:val="BodyText"/>
        <w:spacing w:line="240" w:lineRule="auto" w:before="72"/>
        <w:ind w:right="984"/>
        <w:jc w:val="left"/>
      </w:pPr>
      <w:r>
        <w:rPr/>
        <w:t>股份变动的过户情况</w:t>
      </w:r>
    </w:p>
    <w:p>
      <w:pPr>
        <w:pStyle w:val="BodyText"/>
        <w:spacing w:line="340" w:lineRule="auto" w:before="115"/>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股份回购的实施进展情况</w:t>
      </w:r>
    </w:p>
    <w:p>
      <w:pPr>
        <w:pStyle w:val="BodyText"/>
        <w:spacing w:line="319" w:lineRule="auto" w:before="39"/>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日召开的</w:t>
      </w:r>
      <w:r>
        <w:rPr>
          <w:rFonts w:ascii="Times New Roman" w:hAnsi="Times New Roman" w:cs="Times New Roman" w:eastAsia="Times New Roman" w:hint="default"/>
          <w:spacing w:val="-2"/>
        </w:rPr>
        <w:t>2018</w:t>
      </w:r>
      <w:r>
        <w:rPr>
          <w:spacing w:val="-2"/>
        </w:rPr>
        <w:t>年第二次临时股东大会审议通过了回购股份事项的相关议案。</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日，股份回购事</w:t>
      </w:r>
      <w:r>
        <w:rPr>
          <w:spacing w:val="-59"/>
        </w:rPr>
        <w:t> </w:t>
      </w:r>
      <w:r>
        <w:rPr>
          <w:spacing w:val="-59"/>
        </w:rPr>
      </w:r>
      <w:r>
        <w:rPr/>
        <w:t>项实施完毕，股份回购实施结果为：回购股份数量</w:t>
      </w:r>
      <w:r>
        <w:rPr>
          <w:rFonts w:ascii="Times New Roman" w:hAnsi="Times New Roman" w:cs="Times New Roman" w:eastAsia="Times New Roman" w:hint="default"/>
        </w:rPr>
        <w:t>11,000,000</w:t>
      </w:r>
      <w:r>
        <w:rPr/>
        <w:t>股，占回购股份方案实施前公司总股本的</w:t>
      </w:r>
      <w:r>
        <w:rPr>
          <w:rFonts w:ascii="Times New Roman" w:hAnsi="Times New Roman" w:cs="Times New Roman" w:eastAsia="Times New Roman" w:hint="default"/>
        </w:rPr>
        <w:t>0.7132%</w:t>
      </w:r>
      <w:r>
        <w:rPr/>
        <w:t>，最高成交</w:t>
      </w:r>
    </w:p>
    <w:p>
      <w:pPr>
        <w:pStyle w:val="BodyText"/>
        <w:spacing w:line="300" w:lineRule="auto"/>
        <w:ind w:right="1186"/>
        <w:jc w:val="left"/>
      </w:pPr>
      <w:r>
        <w:rPr/>
        <w:t>价为</w:t>
      </w:r>
      <w:r>
        <w:rPr>
          <w:rFonts w:ascii="Times New Roman" w:hAnsi="Times New Roman" w:cs="Times New Roman" w:eastAsia="Times New Roman" w:hint="default"/>
        </w:rPr>
        <w:t>5.79</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5.32</w:t>
      </w:r>
      <w:r>
        <w:rPr/>
        <w:t>元</w:t>
      </w:r>
      <w:r>
        <w:rPr>
          <w:rFonts w:ascii="Times New Roman" w:hAnsi="Times New Roman" w:cs="Times New Roman" w:eastAsia="Times New Roman" w:hint="default"/>
        </w:rPr>
        <w:t>/</w:t>
      </w:r>
      <w:r>
        <w:rPr/>
        <w:t>股，支付的总金额为</w:t>
      </w:r>
      <w:r>
        <w:rPr>
          <w:rFonts w:ascii="Times New Roman" w:hAnsi="Times New Roman" w:cs="Times New Roman" w:eastAsia="Times New Roman" w:hint="default"/>
        </w:rPr>
        <w:t>61,008,416.97</w:t>
      </w:r>
      <w:r>
        <w:rPr>
          <w:rFonts w:ascii="Times New Roman" w:hAnsi="Times New Roman" w:cs="Times New Roman" w:eastAsia="Times New Roman" w:hint="default"/>
          <w:spacing w:val="18"/>
        </w:rPr>
        <w:t> </w:t>
      </w:r>
      <w:r>
        <w:rPr/>
        <w:t>元（含交易费用）。上述股份已于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 完成注销。</w:t>
      </w:r>
    </w:p>
    <w:p>
      <w:pPr>
        <w:pStyle w:val="BodyText"/>
        <w:spacing w:line="240" w:lineRule="auto" w:before="72"/>
        <w:ind w:right="984"/>
        <w:jc w:val="left"/>
      </w:pPr>
      <w:r>
        <w:rPr/>
        <w:t>采用集中竞价方式减持回购股份的实施进展情况</w:t>
      </w:r>
    </w:p>
    <w:p>
      <w:pPr>
        <w:pStyle w:val="BodyText"/>
        <w:spacing w:line="340" w:lineRule="auto" w:before="11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240" w:lineRule="auto" w:before="41"/>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4495"/>
        <w:gridCol w:w="1759"/>
        <w:gridCol w:w="1759"/>
      </w:tblGrid>
      <w:tr>
        <w:trPr>
          <w:trHeight w:val="341" w:hRule="exact"/>
        </w:trPr>
        <w:tc>
          <w:tcPr>
            <w:tcW w:w="4495" w:type="dxa"/>
            <w:vMerge w:val="restart"/>
            <w:tcBorders>
              <w:top w:val="nil" w:sz="6" w:space="0" w:color="auto"/>
              <w:left w:val="nil" w:sz="6" w:space="0" w:color="auto"/>
              <w:right w:val="single" w:sz="6" w:space="0" w:color="000000"/>
            </w:tcBorders>
          </w:tcPr>
          <w:p>
            <w:pPr>
              <w:pStyle w:val="TableParagraph"/>
              <w:spacing w:line="240" w:lineRule="auto" w:before="17"/>
              <w:ind w:left="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8" w:type="dxa"/>
            <w:gridSpan w:val="2"/>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r>
      <w:tr>
        <w:trPr>
          <w:trHeight w:val="336" w:hRule="exact"/>
        </w:trPr>
        <w:tc>
          <w:tcPr>
            <w:tcW w:w="4495" w:type="dxa"/>
            <w:vMerge/>
            <w:tcBorders>
              <w:left w:val="nil" w:sz="6" w:space="0" w:color="auto"/>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变动前</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变动后</w:t>
            </w:r>
          </w:p>
        </w:tc>
      </w:tr>
      <w:tr>
        <w:trPr>
          <w:trHeight w:val="336" w:hRule="exact"/>
        </w:trPr>
        <w:tc>
          <w:tcPr>
            <w:tcW w:w="44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股本（股）</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1,542,323,685</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5" w:right="0"/>
              <w:jc w:val="left"/>
              <w:rPr>
                <w:rFonts w:ascii="Times New Roman" w:hAnsi="Times New Roman" w:cs="Times New Roman" w:eastAsia="Times New Roman" w:hint="default"/>
                <w:sz w:val="18"/>
                <w:szCs w:val="18"/>
              </w:rPr>
            </w:pPr>
            <w:r>
              <w:rPr>
                <w:rFonts w:ascii="Times New Roman"/>
                <w:sz w:val="18"/>
              </w:rPr>
              <w:t>1,531,323,685</w:t>
            </w:r>
          </w:p>
        </w:tc>
      </w:tr>
      <w:tr>
        <w:trPr>
          <w:trHeight w:val="338" w:hRule="exact"/>
        </w:trPr>
        <w:tc>
          <w:tcPr>
            <w:tcW w:w="44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0.2601</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0.2608</w:t>
            </w:r>
          </w:p>
        </w:tc>
      </w:tr>
      <w:tr>
        <w:trPr>
          <w:trHeight w:val="336" w:hRule="exact"/>
        </w:trPr>
        <w:tc>
          <w:tcPr>
            <w:tcW w:w="44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0.2601</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0.2608</w:t>
            </w:r>
          </w:p>
        </w:tc>
      </w:tr>
      <w:tr>
        <w:trPr>
          <w:trHeight w:val="338" w:hRule="exact"/>
        </w:trPr>
        <w:tc>
          <w:tcPr>
            <w:tcW w:w="44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归属于公司股东的每股净资产（元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2.9024</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2.9233</w:t>
            </w:r>
          </w:p>
        </w:tc>
      </w:tr>
    </w:tbl>
    <w:p>
      <w:pPr>
        <w:spacing w:line="240" w:lineRule="auto" w:before="10"/>
        <w:rPr>
          <w:rFonts w:ascii="宋体" w:hAnsi="宋体" w:cs="宋体" w:eastAsia="宋体" w:hint="default"/>
          <w:sz w:val="24"/>
          <w:szCs w:val="24"/>
        </w:rPr>
      </w:pPr>
    </w:p>
    <w:p>
      <w:pPr>
        <w:pStyle w:val="BodyText"/>
        <w:spacing w:line="240" w:lineRule="auto" w:before="37"/>
        <w:ind w:right="984"/>
        <w:jc w:val="left"/>
      </w:pPr>
      <w:r>
        <w:rPr/>
        <w:t>公司认为必要或证券监管机构要求披露的其他内容</w:t>
      </w:r>
    </w:p>
    <w:p>
      <w:pPr>
        <w:pStyle w:val="BodyText"/>
        <w:spacing w:line="240" w:lineRule="auto" w:before="115"/>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w:t>
      </w:r>
      <w:r>
        <w:rPr/>
        <w:t>、限售股份变动情况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3"/>
        <w:jc w:val="right"/>
      </w:pPr>
      <w:r>
        <w:rPr/>
        <w:t>单位：股</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88" w:right="45"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63"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董事、监事及高</w:t>
            </w: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级管理人员所持</w:t>
            </w:r>
          </w:p>
        </w:tc>
        <w:tc>
          <w:tcPr>
            <w:tcW w:w="13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公司股份，自离</w:t>
            </w:r>
          </w:p>
        </w:tc>
        <w:tc>
          <w:tcPr>
            <w:tcW w:w="13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任人员的离任信</w:t>
            </w:r>
          </w:p>
        </w:tc>
        <w:tc>
          <w:tcPr>
            <w:tcW w:w="1368"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陈骏德</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2,220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69"/>
              <w:jc w:val="left"/>
              <w:rPr>
                <w:rFonts w:ascii="宋体" w:hAnsi="宋体" w:cs="宋体" w:eastAsia="宋体" w:hint="default"/>
                <w:sz w:val="18"/>
                <w:szCs w:val="18"/>
              </w:rPr>
            </w:pPr>
            <w:r>
              <w:rPr>
                <w:rFonts w:ascii="宋体" w:hAnsi="宋体" w:cs="宋体" w:eastAsia="宋体" w:hint="default"/>
                <w:sz w:val="18"/>
                <w:szCs w:val="18"/>
              </w:rPr>
              <w:t>息申报之日起六 个月后的十二个</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月期满，离任人</w:t>
            </w:r>
          </w:p>
        </w:tc>
        <w:tc>
          <w:tcPr>
            <w:tcW w:w="13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员所持该公司无</w:t>
            </w:r>
          </w:p>
        </w:tc>
        <w:tc>
          <w:tcPr>
            <w:tcW w:w="13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限售条件股份全</w:t>
            </w:r>
          </w:p>
        </w:tc>
        <w:tc>
          <w:tcPr>
            <w:tcW w:w="1368"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部解锁</w:t>
            </w:r>
          </w:p>
        </w:tc>
        <w:tc>
          <w:tcPr>
            <w:tcW w:w="13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363"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高管离任申报半</w:t>
            </w:r>
          </w:p>
        </w:tc>
      </w:tr>
      <w:tr>
        <w:trPr>
          <w:trHeight w:val="313"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年后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解除限</w:t>
            </w:r>
          </w:p>
        </w:tc>
      </w:tr>
      <w:tr>
        <w:trPr>
          <w:trHeight w:val="62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张珍义</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167,850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167,850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董事、高管持股 锁定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72"/>
              <w:jc w:val="left"/>
              <w:rPr>
                <w:rFonts w:ascii="宋体" w:hAnsi="宋体" w:cs="宋体" w:eastAsia="宋体" w:hint="default"/>
                <w:sz w:val="18"/>
                <w:szCs w:val="18"/>
              </w:rPr>
            </w:pPr>
            <w:r>
              <w:rPr>
                <w:rFonts w:ascii="宋体" w:hAnsi="宋体" w:cs="宋体" w:eastAsia="宋体" w:hint="default"/>
                <w:sz w:val="18"/>
                <w:szCs w:val="18"/>
              </w:rPr>
              <w:t>售，离任申报六 个月后的十二个</w:t>
            </w:r>
          </w:p>
        </w:tc>
      </w:tr>
      <w:tr>
        <w:trPr>
          <w:trHeight w:val="311"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月后全部解除限</w:t>
            </w:r>
          </w:p>
        </w:tc>
      </w:tr>
      <w:tr>
        <w:trPr>
          <w:trHeight w:val="350"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售</w:t>
            </w:r>
          </w:p>
        </w:tc>
      </w:tr>
      <w:tr>
        <w:trPr>
          <w:trHeight w:val="364"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高管离任申报半</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年后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解除限</w:t>
            </w:r>
          </w:p>
        </w:tc>
      </w:tr>
      <w:tr>
        <w:trPr>
          <w:trHeight w:val="62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397,500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397,500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4" w:lineRule="auto" w:before="4"/>
              <w:ind w:left="24"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董事、高管持股 锁定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72"/>
              <w:jc w:val="left"/>
              <w:rPr>
                <w:rFonts w:ascii="宋体" w:hAnsi="宋体" w:cs="宋体" w:eastAsia="宋体" w:hint="default"/>
                <w:sz w:val="18"/>
                <w:szCs w:val="18"/>
              </w:rPr>
            </w:pPr>
            <w:r>
              <w:rPr>
                <w:rFonts w:ascii="宋体" w:hAnsi="宋体" w:cs="宋体" w:eastAsia="宋体" w:hint="default"/>
                <w:sz w:val="18"/>
                <w:szCs w:val="18"/>
              </w:rPr>
              <w:t>售，离任申报六 个月后的十二个</w:t>
            </w:r>
          </w:p>
        </w:tc>
      </w:tr>
      <w:tr>
        <w:trPr>
          <w:trHeight w:val="311"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月后全部解除限</w:t>
            </w:r>
          </w:p>
        </w:tc>
      </w:tr>
      <w:tr>
        <w:trPr>
          <w:trHeight w:val="352"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售</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567,570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565,350</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984"/>
        <w:jc w:val="left"/>
        <w:rPr>
          <w:rFonts w:ascii="Tahoma" w:hAnsi="Tahoma" w:cs="Tahoma" w:eastAsia="Tahoma" w:hint="default"/>
        </w:rPr>
      </w:pPr>
      <w:r>
        <w:rPr/>
        <w:t>二、证券发行与上市情况</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、报告期内证券发行（不含优先股）情况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w:t>
      </w:r>
      <w:r>
        <w:rPr/>
        <w:t>、公司股份总数及股东结构的变动、公司资产和负债结构的变动情况说明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9" w:lineRule="auto"/>
        <w:ind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 报告期内，公司实施了股份回购事项，累计回购股份</w:t>
      </w:r>
      <w:r>
        <w:rPr>
          <w:rFonts w:ascii="Times New Roman" w:hAnsi="Times New Roman" w:cs="Times New Roman" w:eastAsia="Times New Roman" w:hint="default"/>
        </w:rPr>
        <w:t>11,000,000</w:t>
      </w:r>
      <w:r>
        <w:rPr/>
        <w:t>股。上述股份已于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日完成注销，公司股份总数 </w:t>
      </w:r>
      <w:r>
        <w:rPr>
          <w:spacing w:val="-1"/>
        </w:rPr>
        <w:t>由</w:t>
      </w:r>
      <w:r>
        <w:rPr>
          <w:rFonts w:ascii="Times New Roman" w:hAnsi="Times New Roman" w:cs="Times New Roman" w:eastAsia="Times New Roman" w:hint="default"/>
          <w:spacing w:val="-1"/>
        </w:rPr>
        <w:t>1,542,323,685</w:t>
      </w:r>
      <w:r>
        <w:rPr>
          <w:spacing w:val="-1"/>
        </w:rPr>
        <w:t>股减少至</w:t>
      </w:r>
      <w:r>
        <w:rPr>
          <w:rFonts w:ascii="Times New Roman" w:hAnsi="Times New Roman" w:cs="Times New Roman" w:eastAsia="Times New Roman" w:hint="default"/>
          <w:spacing w:val="-1"/>
        </w:rPr>
        <w:t>1,531,323,685</w:t>
      </w:r>
      <w:r>
        <w:rPr>
          <w:spacing w:val="-1"/>
        </w:rPr>
        <w:t>股，详细情况参见公司于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15</w:t>
      </w:r>
      <w:r>
        <w:rPr>
          <w:spacing w:val="-1"/>
        </w:rPr>
        <w:t>日刊载于巨潮资讯网（</w:t>
      </w:r>
      <w:hyperlink r:id="rId11">
        <w:r>
          <w:rPr>
            <w:rFonts w:ascii="Times New Roman" w:hAnsi="Times New Roman" w:cs="Times New Roman" w:eastAsia="Times New Roman" w:hint="default"/>
            <w:spacing w:val="-1"/>
          </w:rPr>
          <w:t>www.cninfo.com.cn</w:t>
        </w:r>
      </w:hyperlink>
      <w:r>
        <w:rPr>
          <w:spacing w:val="-1"/>
        </w:rPr>
        <w:t>）和</w:t>
      </w:r>
    </w:p>
    <w:p>
      <w:pPr>
        <w:pStyle w:val="BodyText"/>
        <w:spacing w:line="246" w:lineRule="exact"/>
        <w:ind w:right="984"/>
        <w:jc w:val="left"/>
      </w:pPr>
      <w:r>
        <w:rPr/>
        <w:t>《证券时报》的《关于回购股份注销完成暨股份变动的公告》（公告编号：</w:t>
      </w:r>
      <w:r>
        <w:rPr>
          <w:rFonts w:ascii="Times New Roman" w:hAnsi="Times New Roman" w:cs="Times New Roman" w:eastAsia="Times New Roman" w:hint="default"/>
        </w:rPr>
        <w:t>2018-085</w:t>
      </w:r>
      <w:r>
        <w:rPr/>
        <w:t>）</w:t>
      </w:r>
    </w:p>
    <w:p>
      <w:pPr>
        <w:spacing w:line="240" w:lineRule="auto" w:before="2"/>
        <w:rPr>
          <w:rFonts w:ascii="宋体" w:hAnsi="宋体" w:cs="宋体" w:eastAsia="宋体"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w:t>
      </w:r>
      <w:r>
        <w:rPr/>
        <w:t>、现存的内部职工股情况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4"/>
        <w:jc w:val="left"/>
        <w:rPr>
          <w:rFonts w:ascii="Tahoma" w:hAnsi="Tahoma" w:cs="Tahoma" w:eastAsia="Tahoma" w:hint="default"/>
        </w:rPr>
      </w:pPr>
      <w:r>
        <w:rPr/>
        <w:t>三、股东和实际控制人情况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、公司股东数量及持股情况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133"/>
        <w:jc w:val="right"/>
      </w:pPr>
      <w:r>
        <w:rPr/>
        <w:t>单位：股</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96"/>
        <w:gridCol w:w="1195"/>
        <w:gridCol w:w="1195"/>
        <w:gridCol w:w="1199"/>
        <w:gridCol w:w="1194"/>
        <w:gridCol w:w="1198"/>
      </w:tblGrid>
      <w:tr>
        <w:trPr>
          <w:trHeight w:val="1963" w:hRule="exact"/>
        </w:trPr>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53,364</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8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54,573</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9"/>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24" w:right="2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469"/>
        <w:gridCol w:w="1411"/>
        <w:gridCol w:w="790"/>
        <w:gridCol w:w="785"/>
        <w:gridCol w:w="790"/>
        <w:gridCol w:w="787"/>
        <w:gridCol w:w="840"/>
        <w:gridCol w:w="1349"/>
        <w:gridCol w:w="1349"/>
      </w:tblGrid>
      <w:tr>
        <w:trPr>
          <w:trHeight w:val="402" w:hRule="exact"/>
        </w:trPr>
        <w:tc>
          <w:tcPr>
            <w:tcW w:w="14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28" w:right="2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4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55"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3" w:hRule="exact"/>
        </w:trPr>
        <w:tc>
          <w:tcPr>
            <w:tcW w:w="1469" w:type="dxa"/>
            <w:vMerge/>
            <w:tcBorders>
              <w:left w:val="single" w:sz="4" w:space="0" w:color="000000"/>
              <w:bottom w:val="single" w:sz="4" w:space="0" w:color="000000"/>
              <w:right w:val="single" w:sz="4" w:space="0" w:color="000000"/>
            </w:tcBorders>
            <w:shd w:val="clear" w:color="auto" w:fill="D3D3D3"/>
          </w:tcPr>
          <w:p>
            <w:pPr/>
          </w:p>
        </w:tc>
        <w:tc>
          <w:tcPr>
            <w:tcW w:w="1411"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785"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787" w:type="dxa"/>
            <w:vMerge/>
            <w:tcBorders>
              <w:left w:val="single" w:sz="4" w:space="0" w:color="000000"/>
              <w:bottom w:val="single" w:sz="4" w:space="0" w:color="000000"/>
              <w:right w:val="single" w:sz="4" w:space="0" w:color="000000"/>
            </w:tcBorders>
            <w:shd w:val="clear" w:color="auto" w:fill="D3D3D3"/>
          </w:tcPr>
          <w:p>
            <w:pPr/>
          </w:p>
        </w:tc>
        <w:tc>
          <w:tcPr>
            <w:tcW w:w="840" w:type="dxa"/>
            <w:vMerge/>
            <w:tcBorders>
              <w:left w:val="single" w:sz="4" w:space="0" w:color="000000"/>
              <w:bottom w:val="single" w:sz="4" w:space="0" w:color="000000"/>
              <w:right w:val="single" w:sz="4" w:space="0" w:color="000000"/>
            </w:tcBorders>
            <w:shd w:val="clear" w:color="auto" w:fill="D3D3D3"/>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43.40%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664,546,7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664,546,7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373,456,863</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10.73%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164,289,1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164,289,1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红塔红土基金－ 浙商银行－渤海 国际信托－美盈 森平层投资单一 资金信托</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77,503,97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77,503,97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鞠成立</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23,976,96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23,976,96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中国国际金融股 份有限公司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17,197,00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-899,057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17,197,00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中国工商银行股 份有限公司－景 顺长城精选蓝筹 混合型证券投资 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中国银行股份有 限公司－景顺长 城优选混合型证 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0.88%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13,437,76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13,437,76</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13,437,76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全国社保基金一 零四组合</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11,009,83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11,009,83</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11,009,83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景顺长城基金－ 建设银行－中国 人寿－中国人寿 委托景顺长城基 金股票型组合</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10,500,01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916,400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10,500,01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中国农业银行股 份有限公司－景 顺长城核心竞争 力混合型证券投 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10,000,09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10,000,09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62"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w:t>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pacing w:val="-1"/>
                <w:sz w:val="18"/>
                <w:szCs w:val="18"/>
              </w:rPr>
              <w:t>王海鹏为王治军之兄；中国工商银行股份有限公司－景顺长城精选蓝筹混合型证券投</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880"/>
        <w:gridCol w:w="3991"/>
        <w:gridCol w:w="1349"/>
        <w:gridCol w:w="1349"/>
      </w:tblGrid>
      <w:tr>
        <w:trPr>
          <w:trHeight w:val="358" w:hRule="exact"/>
        </w:trPr>
        <w:tc>
          <w:tcPr>
            <w:tcW w:w="288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明</w:t>
            </w:r>
          </w:p>
        </w:tc>
        <w:tc>
          <w:tcPr>
            <w:tcW w:w="6689" w:type="dxa"/>
            <w:gridSpan w:val="3"/>
            <w:vMerge w:val="restart"/>
            <w:tcBorders>
              <w:top w:val="single" w:sz="4" w:space="0" w:color="000000"/>
              <w:left w:val="single" w:sz="4" w:space="0" w:color="000000"/>
              <w:right w:val="single" w:sz="4" w:space="0" w:color="000000"/>
            </w:tcBorders>
          </w:tcPr>
          <w:p>
            <w:pPr>
              <w:pStyle w:val="TableParagraph"/>
              <w:spacing w:line="316" w:lineRule="auto" w:before="8"/>
              <w:ind w:left="26" w:right="19"/>
              <w:jc w:val="left"/>
              <w:rPr>
                <w:rFonts w:ascii="宋体" w:hAnsi="宋体" w:cs="宋体" w:eastAsia="宋体" w:hint="default"/>
                <w:sz w:val="18"/>
                <w:szCs w:val="18"/>
              </w:rPr>
            </w:pPr>
            <w:r>
              <w:rPr>
                <w:rFonts w:ascii="宋体" w:hAnsi="宋体" w:cs="宋体" w:eastAsia="宋体" w:hint="default"/>
                <w:spacing w:val="-1"/>
                <w:sz w:val="18"/>
                <w:szCs w:val="18"/>
              </w:rPr>
              <w:t>资基金、中国农业银行股份有限公司－景顺长城核心竞争力混合型证券投资基金、景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顺长城基金－建设银行－中国人寿－中国人寿委托景顺长城基金股票型组合、中国银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行股份有限公司－景顺长城优选混合型证券投资基金同属景顺长城基金管理有限公 </w:t>
            </w:r>
            <w:r>
              <w:rPr>
                <w:rFonts w:ascii="宋体" w:hAnsi="宋体" w:cs="宋体" w:eastAsia="宋体" w:hint="default"/>
                <w:spacing w:val="-1"/>
                <w:sz w:val="18"/>
                <w:szCs w:val="18"/>
              </w:rPr>
              <w:t>司旗下基金；除此之外，公司未知其他股东之间是否存在关联关系，也未知其他股东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之间是否属于《上市公司收购管理办法》中规定的一致行动人。</w:t>
            </w:r>
          </w:p>
        </w:tc>
      </w:tr>
      <w:tr>
        <w:trPr>
          <w:trHeight w:val="1253" w:hRule="exact"/>
        </w:trPr>
        <w:tc>
          <w:tcPr>
            <w:tcW w:w="288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89" w:type="dxa"/>
            <w:gridSpan w:val="3"/>
            <w:vMerge/>
            <w:tcBorders>
              <w:left w:val="single" w:sz="4" w:space="0" w:color="000000"/>
              <w:bottom w:val="single" w:sz="4" w:space="0" w:color="000000"/>
              <w:right w:val="single" w:sz="4" w:space="0" w:color="000000"/>
            </w:tcBorders>
          </w:tcPr>
          <w:p>
            <w:pP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991" w:type="dxa"/>
            <w:tcBorders>
              <w:top w:val="single" w:sz="4" w:space="0" w:color="000000"/>
              <w:left w:val="single" w:sz="4" w:space="0" w:color="000000"/>
              <w:bottom w:val="nil" w:sz="6" w:space="0" w:color="auto"/>
              <w:right w:val="single" w:sz="4" w:space="0" w:color="000000"/>
            </w:tcBorders>
            <w:shd w:val="clear" w:color="auto" w:fill="D3D3D3"/>
          </w:tcPr>
          <w:p>
            <w:pPr/>
          </w:p>
        </w:tc>
        <w:tc>
          <w:tcPr>
            <w:tcW w:w="269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880" w:type="dxa"/>
            <w:vMerge/>
            <w:tcBorders>
              <w:left w:val="single" w:sz="4" w:space="0" w:color="000000"/>
              <w:bottom w:val="nil" w:sz="6" w:space="0" w:color="auto"/>
              <w:right w:val="single" w:sz="4" w:space="0" w:color="000000"/>
            </w:tcBorders>
            <w:shd w:val="clear" w:color="auto" w:fill="D3D3D3"/>
          </w:tcPr>
          <w:p>
            <w:pPr/>
          </w:p>
        </w:tc>
        <w:tc>
          <w:tcPr>
            <w:tcW w:w="3991" w:type="dxa"/>
            <w:vMerge/>
            <w:tcBorders>
              <w:left w:val="single" w:sz="4" w:space="0" w:color="000000"/>
              <w:bottom w:val="nil" w:sz="6" w:space="0" w:color="auto"/>
              <w:right w:val="single" w:sz="4" w:space="0" w:color="000000"/>
            </w:tcBorders>
            <w:shd w:val="clear" w:color="auto" w:fill="D3D3D3"/>
          </w:tcPr>
          <w:p>
            <w:pP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0" w:type="dxa"/>
            <w:tcBorders>
              <w:top w:val="nil" w:sz="6" w:space="0" w:color="auto"/>
              <w:left w:val="single" w:sz="4" w:space="0" w:color="000000"/>
              <w:bottom w:val="single" w:sz="4" w:space="0" w:color="000000"/>
              <w:right w:val="single" w:sz="4" w:space="0" w:color="000000"/>
            </w:tcBorders>
            <w:shd w:val="clear" w:color="auto" w:fill="D3D3D3"/>
          </w:tcPr>
          <w:p>
            <w:pPr/>
          </w:p>
        </w:tc>
        <w:tc>
          <w:tcPr>
            <w:tcW w:w="3991" w:type="dxa"/>
            <w:tcBorders>
              <w:top w:val="nil" w:sz="6" w:space="0" w:color="auto"/>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664,546,796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664,546,796</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164,289,120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164,289,120</w:t>
            </w:r>
          </w:p>
        </w:tc>
      </w:tr>
      <w:tr>
        <w:trPr>
          <w:trHeight w:val="1027"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红塔红土基金－浙商银行－渤海国 际信托－美盈森平层投资单一资金 信托</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77,503,974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77,503,974</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鞠成立</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23,976,960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23,976,960</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17,197,000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17,197,000</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中国工商银行股份有限公司－景顺 长城精选蓝筹混合型证券投资基金</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中国银行股份有限公司－景顺长城 优选混合型证券投资基金</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13,437,761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13,437,761</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全国社保基金一零四组合</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11,009,838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11,009,838</w:t>
            </w:r>
          </w:p>
        </w:tc>
      </w:tr>
      <w:tr>
        <w:trPr>
          <w:trHeight w:val="1027"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景顺长城基金－建设银行－中国人 寿－中国人寿委托景顺长城基金股 票型组合</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10,500,012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10,500,012</w:t>
            </w:r>
          </w:p>
        </w:tc>
      </w:tr>
      <w:tr>
        <w:trPr>
          <w:trHeight w:val="102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中国农业银行股份有限公司－景顺 长城核心竞争力混合型证券投资基 金</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10,000,092</w:t>
            </w:r>
          </w:p>
        </w:tc>
      </w:tr>
      <w:tr>
        <w:trPr>
          <w:trHeight w:val="1963"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
                <w:sz w:val="18"/>
                <w:szCs w:val="18"/>
              </w:rPr>
              <w:t>王海鹏为王治军之兄；中国工商银行股份有限公司－景顺长城精选蓝筹混合型证券投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资基金、中国农业银行股份有限公司－景顺长城核心竞争力混合型证券投资基金、景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顺长城基金－建设银行－中国人寿－中国人寿委托景顺长城基金股票型组合、中国银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行股份有限公司－景顺长城优选混合型证券投资基金同属景顺长城基金管理有限公 </w:t>
            </w:r>
            <w:r>
              <w:rPr>
                <w:rFonts w:ascii="宋体" w:hAnsi="宋体" w:cs="宋体" w:eastAsia="宋体" w:hint="default"/>
                <w:spacing w:val="-1"/>
                <w:sz w:val="18"/>
                <w:szCs w:val="18"/>
              </w:rPr>
              <w:t>司旗下基金；除此之外，公司未知其他股东之间是否存在关联关系，也未知其他股东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之间是否属于《上市公司收购管理办法》中规定的一致行动人。</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984"/>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8"/>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103"/>
        <w:ind w:right="98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240" w:lineRule="auto" w:before="101"/>
        <w:ind w:right="984"/>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8"/>
        </w:rPr>
        <w:t> </w:t>
      </w:r>
      <w:r>
        <w:rPr>
          <w:rFonts w:ascii="Times New Roman" w:hAnsi="Times New Roman" w:cs="Times New Roman" w:eastAsia="Times New Roman" w:hint="default"/>
        </w:rPr>
        <w:t>10 </w:t>
      </w:r>
      <w:r>
        <w:rPr/>
        <w:t>名无限售条件普通股股东在报告期内未进行约定购回交易。</w:t>
      </w:r>
    </w:p>
    <w:p>
      <w:pPr>
        <w:spacing w:after="0" w:line="240" w:lineRule="auto"/>
        <w:jc w:val="left"/>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2</w:t>
      </w:r>
      <w:r>
        <w:rPr/>
        <w:t>、公司控股股东情况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57" w:lineRule="auto"/>
        <w:ind w:right="8594"/>
        <w:jc w:val="left"/>
      </w:pPr>
      <w:r>
        <w:rPr/>
        <w:t>控股股东性质：自然人控股 控股股东类型：自然人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37"/>
        <w:ind w:left="0" w:right="1140"/>
        <w:jc w:val="right"/>
      </w:pPr>
      <w:r>
        <w:rPr/>
        <w:pict>
          <v:shape style="position:absolute;margin-left:56.459999pt;margin-top:-56.878281pt;width:479.1pt;height:127.7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6"/>
                    <w:gridCol w:w="2302"/>
                    <w:gridCol w:w="3850"/>
                  </w:tblGrid>
                  <w:tr>
                    <w:trPr>
                      <w:trHeight w:val="401" w:hRule="exact"/>
                    </w:trPr>
                    <w:tc>
                      <w:tcPr>
                        <w:tcW w:w="3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3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left"/>
                          <w:rPr>
                            <w:rFonts w:ascii="宋体" w:hAnsi="宋体" w:cs="宋体" w:eastAsia="宋体" w:hint="default"/>
                            <w:sz w:val="18"/>
                            <w:szCs w:val="18"/>
                          </w:rPr>
                        </w:pPr>
                        <w:r>
                          <w:rPr>
                            <w:rFonts w:ascii="宋体" w:hAnsi="宋体" w:cs="宋体" w:eastAsia="宋体" w:hint="default"/>
                            <w:spacing w:val="-1"/>
                            <w:sz w:val="18"/>
                            <w:szCs w:val="18"/>
                          </w:rPr>
                          <w:t>中共美盈森集团股份有限公司委员会书记、中国包装联合会副会长、东莞市环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保包装行业协会会长，并兼任香港美盈森董事、深圳金之彩董事、佳宝隆董事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中大绿谷董事长兼总经理等职务。</w:t>
                        </w:r>
                      </w:p>
                    </w:tc>
                  </w:tr>
                  <w:tr>
                    <w:trPr>
                      <w:trHeight w:val="715" w:hRule="exact"/>
                    </w:trPr>
                    <w:tc>
                      <w:tcPr>
                        <w:tcW w:w="3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37"/>
        <w:ind w:right="984"/>
        <w:jc w:val="left"/>
      </w:pPr>
      <w:r>
        <w:rPr/>
        <w:t>控股股东报告期内变更</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公司报告期控股股东未发生变更。</w:t>
      </w:r>
    </w:p>
    <w:p>
      <w:pPr>
        <w:spacing w:line="240" w:lineRule="auto" w:before="5"/>
        <w:rPr>
          <w:rFonts w:ascii="宋体" w:hAnsi="宋体" w:cs="宋体" w:eastAsia="宋体" w:hint="default"/>
          <w:sz w:val="21"/>
          <w:szCs w:val="21"/>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w:t>
      </w:r>
      <w:r>
        <w:rPr/>
        <w:t>、公司实际控制人及其一致行动人</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57" w:lineRule="auto"/>
        <w:ind w:right="8414"/>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0" w:right="110"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3"/>
                <w:sz w:val="18"/>
                <w:szCs w:val="18"/>
              </w:rPr>
              <w:t>中共美盈森集团股份有限公司委员会书记、中国包装联合会副会长、东莞市环保包装行业协</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会会长，并兼任香港美盈森董事、深圳金之彩董事、佳宝隆董事、中大绿谷董事长兼总经理</w:t>
            </w:r>
            <w:r>
              <w:rPr>
                <w:rFonts w:ascii="宋体" w:hAnsi="宋体" w:cs="宋体" w:eastAsia="宋体" w:hint="default"/>
                <w:sz w:val="18"/>
                <w:szCs w:val="18"/>
              </w:rPr>
              <w:t> 等职务。</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70"/>
        <w:ind w:right="984"/>
        <w:jc w:val="left"/>
      </w:pPr>
      <w:r>
        <w:rPr/>
        <w:t>实际控制人报告期内变更</w:t>
      </w:r>
    </w:p>
    <w:p>
      <w:pPr>
        <w:pStyle w:val="BodyText"/>
        <w:spacing w:line="35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公司报告期实际控制人未发生变更。 公司与实际控制人之间的产权及控制关系的方框图</w:t>
      </w:r>
    </w:p>
    <w:p>
      <w:pPr>
        <w:spacing w:after="0" w:line="350" w:lineRule="auto"/>
        <w:jc w:val="left"/>
        <w:sectPr>
          <w:footerReference w:type="default" r:id="rId19"/>
          <w:pgSz w:w="11910" w:h="16840"/>
          <w:pgMar w:footer="982" w:header="753" w:top="1060" w:bottom="1180" w:left="980" w:right="0"/>
          <w:pgNumType w:start="7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5085" w:lineRule="exact"/>
        <w:ind w:left="1355" w:right="0" w:firstLine="0"/>
        <w:rPr>
          <w:rFonts w:ascii="宋体" w:hAnsi="宋体" w:cs="宋体" w:eastAsia="宋体" w:hint="default"/>
          <w:sz w:val="20"/>
          <w:szCs w:val="20"/>
        </w:rPr>
      </w:pPr>
      <w:r>
        <w:rPr>
          <w:rFonts w:ascii="宋体" w:hAnsi="宋体" w:cs="宋体" w:eastAsia="宋体" w:hint="default"/>
          <w:position w:val="-101"/>
          <w:sz w:val="20"/>
          <w:szCs w:val="20"/>
        </w:rPr>
        <w:drawing>
          <wp:inline distT="0" distB="0" distL="0" distR="0">
            <wp:extent cx="4591270" cy="32289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0" cstate="print"/>
                    <a:stretch>
                      <a:fillRect/>
                    </a:stretch>
                  </pic:blipFill>
                  <pic:spPr>
                    <a:xfrm>
                      <a:off x="0" y="0"/>
                      <a:ext cx="4591270" cy="3228975"/>
                    </a:xfrm>
                    <a:prstGeom prst="rect">
                      <a:avLst/>
                    </a:prstGeom>
                  </pic:spPr>
                </pic:pic>
              </a:graphicData>
            </a:graphic>
          </wp:inline>
        </w:drawing>
      </w:r>
      <w:r>
        <w:rPr>
          <w:rFonts w:ascii="宋体" w:hAnsi="宋体" w:cs="宋体" w:eastAsia="宋体" w:hint="default"/>
          <w:position w:val="-101"/>
          <w:sz w:val="20"/>
          <w:szCs w:val="20"/>
        </w:rPr>
      </w:r>
    </w:p>
    <w:p>
      <w:pPr>
        <w:spacing w:line="240" w:lineRule="auto" w:before="8"/>
        <w:rPr>
          <w:rFonts w:ascii="宋体" w:hAnsi="宋体" w:cs="宋体" w:eastAsia="宋体" w:hint="default"/>
          <w:sz w:val="19"/>
          <w:szCs w:val="19"/>
        </w:rPr>
      </w:pPr>
    </w:p>
    <w:p>
      <w:pPr>
        <w:pStyle w:val="Heading2"/>
        <w:spacing w:line="240" w:lineRule="auto" w:before="16"/>
        <w:ind w:right="984"/>
        <w:jc w:val="left"/>
      </w:pPr>
      <w:r>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4"/>
        <w:jc w:val="left"/>
        <w:rPr>
          <w:rFonts w:ascii="Tahoma" w:hAnsi="Tahoma" w:cs="Tahoma" w:eastAsia="Tahoma" w:hint="default"/>
        </w:rPr>
      </w:pPr>
      <w:r>
        <w:rPr>
          <w:rFonts w:ascii="Tahoma" w:hAnsi="Tahoma" w:cs="Tahoma" w:eastAsia="Tahoma" w:hint="default"/>
        </w:rPr>
        <w:t>4</w:t>
      </w:r>
      <w:r>
        <w:rPr/>
        <w:t>、其他持股在</w:t>
      </w:r>
      <w:r>
        <w:rPr>
          <w:spacing w:val="-68"/>
        </w:rPr>
        <w:t> </w:t>
      </w:r>
      <w:r>
        <w:rPr>
          <w:rFonts w:ascii="Tahoma" w:hAnsi="Tahoma" w:cs="Tahoma" w:eastAsia="Tahoma" w:hint="default"/>
        </w:rPr>
        <w:t>10%</w:t>
      </w:r>
      <w:r>
        <w:rPr/>
        <w:t>以上的法人股东</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5</w:t>
      </w:r>
      <w:r>
        <w:rPr/>
        <w:t>、控股股东、实际控制人、重组方及其他承诺主体股份限制减持情况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4" w:right="984"/>
        <w:jc w:val="left"/>
        <w:rPr>
          <w:rFonts w:ascii="Tahoma" w:hAnsi="Tahoma" w:cs="Tahoma" w:eastAsia="Tahoma" w:hint="default"/>
        </w:rPr>
      </w:pPr>
      <w:bookmarkStart w:name="_TOC_250005" w:id="8"/>
      <w:r>
        <w:rPr/>
        <w:t>第七节</w:t>
      </w:r>
      <w:r>
        <w:rPr>
          <w:spacing w:val="11"/>
        </w:rPr>
        <w:t> </w:t>
      </w:r>
      <w:r>
        <w:rPr>
          <w:rFonts w:ascii="Tahoma" w:hAnsi="Tahoma" w:cs="Tahoma" w:eastAsia="Tahoma" w:hint="default"/>
          <w:spacing w:val="11"/>
        </w:rPr>
      </w:r>
      <w:r>
        <w:rPr/>
        <w:t>优先股相关情况</w:t>
      </w:r>
      <w:r>
        <w:rPr>
          <w:rFonts w:ascii="Tahoma" w:hAnsi="Tahoma" w:cs="Tahoma" w:eastAsia="Tahoma" w:hint="default"/>
          <w:w w:val="79"/>
        </w:rPr>
        <w:t> </w:t>
      </w:r>
      <w:bookmarkEnd w:id="8"/>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2"/>
        <w:rPr>
          <w:rFonts w:ascii="Tahoma" w:hAnsi="Tahoma" w:cs="Tahoma" w:eastAsia="Tahoma" w:hint="default"/>
          <w:sz w:val="23"/>
          <w:szCs w:val="23"/>
        </w:rPr>
      </w:pPr>
    </w:p>
    <w:p>
      <w:pPr>
        <w:pStyle w:val="BodyText"/>
        <w:spacing w:line="338" w:lineRule="auto" w:before="37"/>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报告期公司不存在优先股。</w:t>
      </w:r>
    </w:p>
    <w:p>
      <w:pPr>
        <w:spacing w:after="0" w:line="338"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984"/>
        <w:jc w:val="left"/>
        <w:rPr>
          <w:rFonts w:ascii="Tahoma" w:hAnsi="Tahoma" w:cs="Tahoma" w:eastAsia="Tahoma" w:hint="default"/>
        </w:rPr>
      </w:pPr>
      <w:bookmarkStart w:name="_TOC_250004" w:id="9"/>
      <w:r>
        <w:rPr/>
        <w:t>第八节</w:t>
      </w:r>
      <w:r>
        <w:rPr>
          <w:spacing w:val="21"/>
        </w:rPr>
        <w:t> </w:t>
      </w:r>
      <w:r>
        <w:rPr>
          <w:rFonts w:ascii="Tahoma" w:hAnsi="Tahoma" w:cs="Tahoma" w:eastAsia="Tahoma" w:hint="default"/>
          <w:spacing w:val="21"/>
        </w:rPr>
      </w:r>
      <w:r>
        <w:rPr/>
        <w:t>董事、监事、高级管理人员和员工情况</w:t>
      </w:r>
      <w:r>
        <w:rPr>
          <w:rFonts w:ascii="Tahoma" w:hAnsi="Tahoma" w:cs="Tahoma" w:eastAsia="Tahoma" w:hint="default"/>
          <w:w w:val="79"/>
        </w:rPr>
        <w:t> </w:t>
      </w:r>
      <w:bookmarkEnd w:id="9"/>
      <w:r>
        <w:rPr>
          <w:rFonts w:ascii="Tahoma" w:hAnsi="Tahoma" w:cs="Tahoma" w:eastAsia="Tahoma" w:hint="default"/>
        </w:rPr>
      </w:r>
    </w:p>
    <w:p>
      <w:pPr>
        <w:spacing w:line="240" w:lineRule="auto" w:before="5"/>
        <w:rPr>
          <w:rFonts w:ascii="Tahoma" w:hAnsi="Tahoma" w:cs="Tahoma" w:eastAsia="Tahoma" w:hint="default"/>
          <w:sz w:val="42"/>
          <w:szCs w:val="42"/>
        </w:rPr>
      </w:pPr>
    </w:p>
    <w:p>
      <w:pPr>
        <w:pStyle w:val="Heading2"/>
        <w:spacing w:line="240" w:lineRule="auto"/>
        <w:ind w:right="984"/>
        <w:jc w:val="left"/>
        <w:rPr>
          <w:rFonts w:ascii="Tahoma" w:hAnsi="Tahoma" w:cs="Tahoma" w:eastAsia="Tahoma" w:hint="default"/>
        </w:rPr>
      </w:pPr>
      <w:r>
        <w:rPr/>
        <w:pict>
          <v:shape style="position:absolute;margin-left:489.511353pt;margin-top:32.975639pt;width:45.6pt;height:50.9pt;mso-position-horizontal-relative:page;mso-position-vertical-relative:paragraph;z-index:-1321528" type="#_x0000_t202" filled="false" stroked="false">
            <v:textbox inset="0,0,0,0">
              <w:txbxContent>
                <w:p>
                  <w:pPr>
                    <w:spacing w:line="240" w:lineRule="auto" w:before="0"/>
                    <w:rPr>
                      <w:rFonts w:ascii="Tahoma" w:hAnsi="Tahoma" w:cs="Tahoma" w:eastAsia="Tahoma" w:hint="default"/>
                      <w:sz w:val="18"/>
                      <w:szCs w:val="18"/>
                    </w:rPr>
                  </w:pPr>
                </w:p>
                <w:p>
                  <w:pPr>
                    <w:spacing w:line="240" w:lineRule="auto" w:before="10"/>
                    <w:rPr>
                      <w:rFonts w:ascii="Tahoma" w:hAnsi="Tahoma" w:cs="Tahoma" w:eastAsia="Tahoma" w:hint="default"/>
                      <w:sz w:val="24"/>
                      <w:szCs w:val="24"/>
                    </w:rPr>
                  </w:pPr>
                </w:p>
                <w:p>
                  <w:pPr>
                    <w:pStyle w:val="BodyText"/>
                    <w:spacing w:line="240" w:lineRule="auto"/>
                    <w:ind w:left="0" w:right="0"/>
                    <w:jc w:val="left"/>
                  </w:pPr>
                  <w:r>
                    <w:rPr/>
                    <w:t>）</w:t>
                  </w:r>
                </w:p>
              </w:txbxContent>
            </v:textbox>
            <w10:wrap type="none"/>
          </v:shape>
        </w:pict>
      </w:r>
      <w:r>
        <w:rPr/>
        <w:t>一、董事、监事和高级管理人员持股变动</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23" w:right="33"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张珍义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223,800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223,800</w:t>
            </w:r>
          </w:p>
        </w:tc>
      </w:tr>
      <w:tr>
        <w:trPr>
          <w:trHeight w:val="133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0"/>
              <w:ind w:right="0"/>
              <w:jc w:val="left"/>
              <w:rPr>
                <w:rFonts w:ascii="Tahoma" w:hAnsi="Tahoma" w:cs="Tahoma" w:eastAsia="Tahoma"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0"/>
              <w:ind w:right="0"/>
              <w:jc w:val="left"/>
              <w:rPr>
                <w:rFonts w:ascii="Tahoma" w:hAnsi="Tahoma" w:cs="Tahoma" w:eastAsia="Tahoma"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0"/>
              <w:ind w:right="0"/>
              <w:jc w:val="left"/>
              <w:rPr>
                <w:rFonts w:ascii="Tahoma" w:hAnsi="Tahoma" w:cs="Tahoma" w:eastAsia="Tahoma"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530,000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530,000</w:t>
            </w:r>
          </w:p>
        </w:tc>
      </w:tr>
      <w:tr>
        <w:trPr>
          <w:trHeight w:val="363"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刘征兵</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蔡少龄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63"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陈利科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刘兰芳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冯达昌</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袁宏贵</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ahoma" w:hAnsi="Tahoma" w:cs="Tahoma" w:eastAsia="Tahoma" w:hint="default"/>
          <w:sz w:val="20"/>
          <w:szCs w:val="20"/>
        </w:rPr>
      </w:pPr>
    </w:p>
    <w:p>
      <w:pPr>
        <w:spacing w:line="240" w:lineRule="auto" w:before="11"/>
        <w:rPr>
          <w:rFonts w:ascii="Tahoma" w:hAnsi="Tahoma" w:cs="Tahoma" w:eastAsia="Tahoma"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7"/>
        <w:gridCol w:w="797"/>
        <w:gridCol w:w="797"/>
        <w:gridCol w:w="799"/>
        <w:gridCol w:w="797"/>
        <w:gridCol w:w="799"/>
        <w:gridCol w:w="797"/>
        <w:gridCol w:w="799"/>
        <w:gridCol w:w="797"/>
      </w:tblGrid>
      <w:tr>
        <w:trPr>
          <w:trHeight w:val="403"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753,800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753,800</w:t>
            </w:r>
          </w:p>
        </w:tc>
      </w:tr>
    </w:tbl>
    <w:p>
      <w:pPr>
        <w:spacing w:line="240" w:lineRule="auto" w:before="7"/>
        <w:rPr>
          <w:rFonts w:ascii="Tahoma" w:hAnsi="Tahoma" w:cs="Tahoma" w:eastAsia="Tahoma" w:hint="default"/>
          <w:sz w:val="19"/>
          <w:szCs w:val="19"/>
        </w:rPr>
      </w:pPr>
    </w:p>
    <w:p>
      <w:pPr>
        <w:pStyle w:val="Heading2"/>
        <w:spacing w:line="240" w:lineRule="auto" w:before="26"/>
        <w:ind w:right="984"/>
        <w:jc w:val="left"/>
        <w:rPr>
          <w:rFonts w:ascii="Tahoma" w:hAnsi="Tahoma" w:cs="Tahoma" w:eastAsia="Tahoma" w:hint="default"/>
        </w:rPr>
      </w:pPr>
      <w:r>
        <w:rPr/>
        <w:t>二、公司董事、监事、高级管理人员变动情况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4"/>
        <w:jc w:val="left"/>
        <w:rPr>
          <w:rFonts w:ascii="Tahoma" w:hAnsi="Tahoma" w:cs="Tahoma" w:eastAsia="Tahoma" w:hint="default"/>
        </w:rPr>
      </w:pPr>
      <w:r>
        <w:rPr/>
        <w:t>三、任职情况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公司现任董事、监事、高级管理人员专业背景、主要工作经历以及目前在公司的主要职责</w:t>
      </w:r>
    </w:p>
    <w:p>
      <w:pPr>
        <w:pStyle w:val="BodyText"/>
        <w:spacing w:line="307" w:lineRule="auto" w:before="115"/>
        <w:ind w:right="1034"/>
        <w:jc w:val="left"/>
      </w:pPr>
      <w:r>
        <w:rPr>
          <w:rFonts w:ascii="Times New Roman" w:hAnsi="Times New Roman" w:cs="Times New Roman" w:eastAsia="Times New Roman" w:hint="default"/>
        </w:rPr>
        <w:t>1</w:t>
      </w:r>
      <w:r>
        <w:rPr/>
        <w:t>、董事会成员 </w:t>
      </w:r>
      <w:r>
        <w:rPr>
          <w:spacing w:val="-2"/>
        </w:rPr>
        <w:t>张珍义先生，</w:t>
      </w:r>
      <w:r>
        <w:rPr>
          <w:rFonts w:ascii="Times New Roman" w:hAnsi="Times New Roman" w:cs="Times New Roman" w:eastAsia="Times New Roman" w:hint="default"/>
          <w:spacing w:val="-2"/>
        </w:rPr>
        <w:t>1958</w:t>
      </w:r>
      <w:r>
        <w:rPr>
          <w:spacing w:val="-2"/>
        </w:rPr>
        <w:t>年生，中国国籍，无境外永久居留权，毕业于沈阳广播电视大学，中专学历。</w:t>
      </w:r>
      <w:r>
        <w:rPr>
          <w:rFonts w:ascii="Times New Roman" w:hAnsi="Times New Roman" w:cs="Times New Roman" w:eastAsia="Times New Roman" w:hint="default"/>
          <w:spacing w:val="-2"/>
        </w:rPr>
        <w:t>1980</w:t>
      </w:r>
      <w:r>
        <w:rPr>
          <w:spacing w:val="-2"/>
        </w:rPr>
        <w:t>年至</w:t>
      </w:r>
      <w:r>
        <w:rPr>
          <w:rFonts w:ascii="Times New Roman" w:hAnsi="Times New Roman" w:cs="Times New Roman" w:eastAsia="Times New Roman" w:hint="default"/>
          <w:spacing w:val="-2"/>
        </w:rPr>
        <w:t>1992</w:t>
      </w:r>
      <w:r>
        <w:rPr>
          <w:spacing w:val="-2"/>
        </w:rPr>
        <w:t>年在中国人民</w:t>
      </w:r>
      <w:r>
        <w:rPr>
          <w:spacing w:val="-61"/>
        </w:rPr>
        <w:t> </w:t>
      </w:r>
      <w:r>
        <w:rPr>
          <w:spacing w:val="-61"/>
        </w:rPr>
      </w:r>
      <w:r>
        <w:rPr>
          <w:spacing w:val="-2"/>
        </w:rPr>
        <w:t>解放军第六四一二厂担任对外协助联络员；</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2002</w:t>
      </w:r>
      <w:r>
        <w:rPr>
          <w:spacing w:val="-2"/>
        </w:rPr>
        <w:t>年在深圳万事得服装有限公司担任经理职务；</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2015</w:t>
      </w:r>
      <w:r>
        <w:rPr>
          <w:spacing w:val="-2"/>
        </w:rPr>
        <w:t>年担任</w:t>
      </w:r>
      <w:r>
        <w:rPr>
          <w:spacing w:val="-59"/>
        </w:rPr>
        <w:t> </w:t>
      </w:r>
      <w:r>
        <w:rPr>
          <w:spacing w:val="-59"/>
        </w:rPr>
      </w:r>
      <w:r>
        <w:rPr>
          <w:spacing w:val="-2"/>
        </w:rPr>
        <w:t>公司销售业务总监和关务负责人；</w:t>
      </w:r>
      <w:r>
        <w:rPr>
          <w:rFonts w:ascii="Times New Roman" w:hAnsi="Times New Roman" w:cs="Times New Roman" w:eastAsia="Times New Roman" w:hint="default"/>
          <w:spacing w:val="-2"/>
        </w:rPr>
        <w:t>2015</w:t>
      </w:r>
      <w:r>
        <w:rPr>
          <w:spacing w:val="-2"/>
        </w:rPr>
        <w:t>年开始担任公司董事长兼总经理。现任公司董事长兼总经理，同时兼任苏州美盈森执</w:t>
      </w:r>
      <w:r>
        <w:rPr>
          <w:spacing w:val="-61"/>
        </w:rPr>
        <w:t> </w:t>
      </w:r>
      <w:r>
        <w:rPr>
          <w:spacing w:val="-61"/>
        </w:rPr>
      </w:r>
      <w:r>
        <w:rPr>
          <w:spacing w:val="-2"/>
        </w:rPr>
        <w:t>行董事兼总经理、武汉美盈森执行董事兼总经理、郑州美盈森执行董事兼总经理、天津美盈森执行董事兼总经理、长沙美盈</w:t>
      </w:r>
      <w:r>
        <w:rPr>
          <w:spacing w:val="-66"/>
        </w:rPr>
        <w:t> </w:t>
      </w:r>
      <w:r>
        <w:rPr>
          <w:spacing w:val="-66"/>
        </w:rPr>
      </w:r>
      <w:r>
        <w:rPr>
          <w:spacing w:val="-2"/>
        </w:rPr>
        <w:t>森董事长兼总经理、中山美盈森执行董事兼总经理、成都美盈森执行董事兼总经理、重庆美盈森执行董事、宜美供应链执行</w:t>
      </w:r>
      <w:r>
        <w:rPr>
          <w:spacing w:val="-66"/>
        </w:rPr>
        <w:t> </w:t>
      </w:r>
      <w:r>
        <w:rPr>
          <w:spacing w:val="-66"/>
        </w:rPr>
      </w:r>
      <w:r>
        <w:rPr>
          <w:spacing w:val="-2"/>
        </w:rPr>
        <w:t>董事、中大绿谷董事、佛山美盈森执行董事兼总经理、湖南美盈森执行董事兼总经理、越南美盈森董事兼总经理、小美集执</w:t>
      </w:r>
      <w:r>
        <w:rPr>
          <w:spacing w:val="-69"/>
        </w:rPr>
        <w:t> </w:t>
      </w:r>
      <w:r>
        <w:rPr>
          <w:spacing w:val="-69"/>
        </w:rPr>
      </w:r>
      <w:r>
        <w:rPr/>
        <w:t>行董事兼总经理、西安美盈森执行董事兼总经理、泸美供应链执行董事兼总经理。 </w:t>
      </w:r>
      <w:r>
        <w:rPr>
          <w:spacing w:val="-2"/>
        </w:rPr>
        <w:t>黄琳女士，</w:t>
      </w:r>
      <w:r>
        <w:rPr>
          <w:rFonts w:ascii="Times New Roman" w:hAnsi="Times New Roman" w:cs="Times New Roman" w:eastAsia="Times New Roman" w:hint="default"/>
          <w:spacing w:val="-2"/>
        </w:rPr>
        <w:t>1969</w:t>
      </w:r>
      <w:r>
        <w:rPr>
          <w:spacing w:val="-2"/>
        </w:rPr>
        <w:t>年生，中国国籍，无境外永久居留权，毕业于江南大学，大学本科学历。</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1996</w:t>
      </w:r>
      <w:r>
        <w:rPr>
          <w:spacing w:val="-2"/>
        </w:rPr>
        <w:t>年在深圳朗氏食品有</w:t>
      </w:r>
      <w:r>
        <w:rPr>
          <w:spacing w:val="-60"/>
        </w:rPr>
        <w:t> </w:t>
      </w:r>
      <w:r>
        <w:rPr>
          <w:spacing w:val="-60"/>
        </w:rPr>
      </w:r>
      <w:r>
        <w:rPr>
          <w:w w:val="95"/>
        </w:rPr>
        <w:t>限公司担任销售工程师；</w:t>
      </w:r>
      <w:r>
        <w:rPr>
          <w:rFonts w:ascii="Times New Roman" w:hAnsi="Times New Roman" w:cs="Times New Roman" w:eastAsia="Times New Roman" w:hint="default"/>
          <w:w w:val="95"/>
        </w:rPr>
        <w:t>1996</w:t>
      </w:r>
      <w:r>
        <w:rPr>
          <w:w w:val="95"/>
        </w:rPr>
        <w:t>年至</w:t>
      </w:r>
      <w:r>
        <w:rPr>
          <w:rFonts w:ascii="Times New Roman" w:hAnsi="Times New Roman" w:cs="Times New Roman" w:eastAsia="Times New Roman" w:hint="default"/>
          <w:w w:val="95"/>
        </w:rPr>
        <w:t>2000</w:t>
      </w:r>
      <w:r>
        <w:rPr>
          <w:w w:val="95"/>
        </w:rPr>
        <w:t>年在深圳怡宝食品饮料有限公司任</w:t>
      </w:r>
      <w:r>
        <w:rPr>
          <w:rFonts w:ascii="Times New Roman" w:hAnsi="Times New Roman" w:cs="Times New Roman" w:eastAsia="Times New Roman" w:hint="default"/>
          <w:w w:val="95"/>
        </w:rPr>
        <w:t>SQE</w:t>
      </w:r>
      <w:r>
        <w:rPr>
          <w:w w:val="95"/>
        </w:rPr>
        <w:t>（即供应商质量工程师）</w:t>
      </w:r>
      <w:r>
        <w:rPr>
          <w:rFonts w:ascii="Times New Roman" w:hAnsi="Times New Roman" w:cs="Times New Roman" w:eastAsia="Times New Roman" w:hint="default"/>
          <w:w w:val="95"/>
        </w:rPr>
        <w:t>/IQC</w:t>
      </w:r>
      <w:r>
        <w:rPr>
          <w:w w:val="95"/>
        </w:rPr>
        <w:t>（即来料质量控</w:t>
      </w:r>
      <w:r>
        <w:rPr>
          <w:spacing w:val="74"/>
          <w:w w:val="95"/>
        </w:rPr>
        <w:t> </w:t>
      </w:r>
      <w:r>
        <w:rPr>
          <w:spacing w:val="74"/>
          <w:w w:val="95"/>
        </w:rPr>
      </w:r>
      <w:r>
        <w:rPr>
          <w:spacing w:val="-3"/>
        </w:rPr>
        <w:t>制）主管；</w:t>
      </w:r>
      <w:r>
        <w:rPr>
          <w:rFonts w:ascii="Times New Roman" w:hAnsi="Times New Roman" w:cs="Times New Roman" w:eastAsia="Times New Roman" w:hint="default"/>
          <w:spacing w:val="-3"/>
        </w:rPr>
        <w:t>2000</w:t>
      </w:r>
      <w:r>
        <w:rPr>
          <w:spacing w:val="-3"/>
        </w:rPr>
        <w:t>年至</w:t>
      </w:r>
      <w:r>
        <w:rPr>
          <w:rFonts w:ascii="Times New Roman" w:hAnsi="Times New Roman" w:cs="Times New Roman" w:eastAsia="Times New Roman" w:hint="default"/>
          <w:spacing w:val="-3"/>
        </w:rPr>
        <w:t>2007</w:t>
      </w:r>
      <w:r>
        <w:rPr>
          <w:spacing w:val="-3"/>
        </w:rPr>
        <w:t>年担任公司管理者代表、品质部经理；</w:t>
      </w:r>
      <w:r>
        <w:rPr>
          <w:rFonts w:ascii="Times New Roman" w:hAnsi="Times New Roman" w:cs="Times New Roman" w:eastAsia="Times New Roman" w:hint="default"/>
          <w:spacing w:val="-3"/>
        </w:rPr>
        <w:t>2007</w:t>
      </w:r>
      <w:r>
        <w:rPr>
          <w:spacing w:val="-3"/>
        </w:rPr>
        <w:t>年起担任公司的副总经理兼董事会秘书。现任公司董事、</w:t>
      </w:r>
      <w:r>
        <w:rPr/>
        <w:t> </w:t>
      </w:r>
      <w:r>
        <w:rPr>
          <w:spacing w:val="-2"/>
        </w:rPr>
        <w:t>副总经理兼董事会秘书，同时兼任重庆美盈森监事、金之彩董事、中大绿谷董事、西安美盈森监事、广州信联智通实业股份</w:t>
      </w:r>
      <w:r>
        <w:rPr>
          <w:spacing w:val="-69"/>
        </w:rPr>
        <w:t> </w:t>
      </w:r>
      <w:r>
        <w:rPr>
          <w:spacing w:val="-69"/>
        </w:rPr>
      </w:r>
      <w:r>
        <w:rPr/>
        <w:t>有限公司董事。 </w:t>
      </w:r>
      <w:r>
        <w:rPr>
          <w:spacing w:val="-2"/>
        </w:rPr>
        <w:t>刘征兵先生，</w:t>
      </w:r>
      <w:r>
        <w:rPr>
          <w:rFonts w:ascii="Times New Roman" w:hAnsi="Times New Roman" w:cs="Times New Roman" w:eastAsia="Times New Roman" w:hint="default"/>
          <w:spacing w:val="-2"/>
        </w:rPr>
        <w:t>1969</w:t>
      </w:r>
      <w:r>
        <w:rPr>
          <w:spacing w:val="-2"/>
        </w:rPr>
        <w:t>年生，中国国籍，无境外永久居留权，毕业于中南大学，博士研究生学历。</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2000</w:t>
      </w:r>
      <w:r>
        <w:rPr>
          <w:spacing w:val="-2"/>
        </w:rPr>
        <w:t>年担任深圳市龙</w:t>
      </w:r>
      <w:r>
        <w:rPr>
          <w:spacing w:val="-61"/>
        </w:rPr>
        <w:t> </w:t>
      </w:r>
      <w:r>
        <w:rPr>
          <w:spacing w:val="-61"/>
        </w:rPr>
      </w:r>
      <w:r>
        <w:rPr>
          <w:spacing w:val="-2"/>
        </w:rPr>
        <w:t>岗区委办公室副科长；</w:t>
      </w:r>
      <w:r>
        <w:rPr>
          <w:rFonts w:ascii="Times New Roman" w:hAnsi="Times New Roman" w:cs="Times New Roman" w:eastAsia="Times New Roman" w:hint="default"/>
          <w:spacing w:val="-2"/>
        </w:rPr>
        <w:t>2000</w:t>
      </w:r>
      <w:r>
        <w:rPr>
          <w:spacing w:val="-2"/>
        </w:rPr>
        <w:t>至</w:t>
      </w:r>
      <w:r>
        <w:rPr>
          <w:rFonts w:ascii="Times New Roman" w:hAnsi="Times New Roman" w:cs="Times New Roman" w:eastAsia="Times New Roman" w:hint="default"/>
          <w:spacing w:val="-2"/>
        </w:rPr>
        <w:t>2001</w:t>
      </w:r>
      <w:r>
        <w:rPr>
          <w:spacing w:val="-2"/>
        </w:rPr>
        <w:t>年担任中共深圳市委宣传部副主任科员；</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2007</w:t>
      </w:r>
      <w:r>
        <w:rPr>
          <w:spacing w:val="-2"/>
        </w:rPr>
        <w:t>年先后担任深圳市人居环境委员会</w:t>
      </w:r>
      <w:r>
        <w:rPr>
          <w:spacing w:val="-59"/>
        </w:rPr>
        <w:t> </w:t>
      </w:r>
      <w:r>
        <w:rPr>
          <w:spacing w:val="-59"/>
        </w:rPr>
      </w:r>
      <w:r>
        <w:rPr>
          <w:spacing w:val="-2"/>
        </w:rPr>
        <w:t>主任科员、副处长；</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2015</w:t>
      </w:r>
      <w:r>
        <w:rPr>
          <w:spacing w:val="-2"/>
        </w:rPr>
        <w:t>年先后担任深圳市光明新区城市建设局副局长、党支部副书记，深圳市光明新区城市建设</w:t>
      </w:r>
      <w:r>
        <w:rPr>
          <w:spacing w:val="-62"/>
        </w:rPr>
        <w:t> </w:t>
      </w:r>
      <w:r>
        <w:rPr>
          <w:spacing w:val="-62"/>
        </w:rPr>
      </w:r>
      <w:r>
        <w:rPr/>
        <w:t>投资有限公司任董事长兼总经理；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月至今担任公司董事长助理。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月担任欣旺达电子股份有限公司独立董事。 现任公司董事、董事长助理，兼任长沙美盈森董事、中大绿谷董事。 </w:t>
      </w:r>
      <w:r>
        <w:rPr>
          <w:spacing w:val="-2"/>
        </w:rPr>
        <w:t>张建军先生，</w:t>
      </w:r>
      <w:r>
        <w:rPr>
          <w:rFonts w:ascii="Times New Roman" w:hAnsi="Times New Roman" w:cs="Times New Roman" w:eastAsia="Times New Roman" w:hint="default"/>
          <w:spacing w:val="-2"/>
        </w:rPr>
        <w:t>1964</w:t>
      </w:r>
      <w:r>
        <w:rPr>
          <w:spacing w:val="-2"/>
        </w:rPr>
        <w:t>年生，中国国籍，无境外永久居留权，毕业于上海财经大学，博士研究生学历，曾荣获深圳市财政局授予</w:t>
      </w:r>
      <w:r>
        <w:rPr>
          <w:spacing w:val="-66"/>
        </w:rPr>
        <w:t> </w:t>
      </w:r>
      <w:r>
        <w:rPr>
          <w:spacing w:val="-66"/>
        </w:rPr>
      </w:r>
      <w:r>
        <w:rPr/>
        <w:t>的</w:t>
      </w:r>
      <w:r>
        <w:rPr>
          <w:rFonts w:ascii="Times New Roman" w:hAnsi="Times New Roman" w:cs="Times New Roman" w:eastAsia="Times New Roman" w:hint="default"/>
        </w:rPr>
        <w:t>“</w:t>
      </w:r>
      <w:r>
        <w:rPr/>
        <w:t>深圳市先进会计工作者</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1985</w:t>
      </w:r>
      <w:r>
        <w:rPr/>
        <w:t>年至</w:t>
      </w:r>
      <w:r>
        <w:rPr>
          <w:rFonts w:ascii="Times New Roman" w:hAnsi="Times New Roman" w:cs="Times New Roman" w:eastAsia="Times New Roman" w:hint="default"/>
        </w:rPr>
        <w:t>1989</w:t>
      </w:r>
      <w:r>
        <w:rPr/>
        <w:t>年在江西财经大学会计系担任助教；</w:t>
      </w:r>
      <w:r>
        <w:rPr>
          <w:rFonts w:ascii="Times New Roman" w:hAnsi="Times New Roman" w:cs="Times New Roman" w:eastAsia="Times New Roman" w:hint="default"/>
        </w:rPr>
        <w:t>1989</w:t>
      </w:r>
      <w:r>
        <w:rPr/>
        <w:t>年至</w:t>
      </w:r>
      <w:r>
        <w:rPr>
          <w:rFonts w:ascii="Times New Roman" w:hAnsi="Times New Roman" w:cs="Times New Roman" w:eastAsia="Times New Roman" w:hint="default"/>
        </w:rPr>
        <w:t>1996</w:t>
      </w:r>
      <w:r>
        <w:rPr/>
        <w:t>年先后于安徽财经大学、 </w:t>
      </w:r>
      <w:r>
        <w:rPr>
          <w:spacing w:val="-2"/>
        </w:rPr>
        <w:t>上海财经大学攻读硕士、博士学位；</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1999</w:t>
      </w:r>
      <w:r>
        <w:rPr>
          <w:spacing w:val="-2"/>
        </w:rPr>
        <w:t>年任江西财经大学会计学院副院长、教授；</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2001</w:t>
      </w:r>
      <w:r>
        <w:rPr>
          <w:spacing w:val="-2"/>
        </w:rPr>
        <w:t>年在鹏元资信评</w:t>
      </w:r>
      <w:r>
        <w:rPr>
          <w:spacing w:val="-58"/>
        </w:rPr>
        <w:t> </w:t>
      </w:r>
      <w:r>
        <w:rPr>
          <w:spacing w:val="-58"/>
        </w:rPr>
      </w:r>
      <w:r>
        <w:rPr>
          <w:spacing w:val="-2"/>
        </w:rPr>
        <w:t>估有限公司担任副总裁；</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2006</w:t>
      </w:r>
      <w:r>
        <w:rPr>
          <w:spacing w:val="-2"/>
        </w:rPr>
        <w:t>年在深圳大学经济学院任职院长、教授；</w:t>
      </w:r>
      <w:r>
        <w:rPr>
          <w:rFonts w:ascii="Times New Roman" w:hAnsi="Times New Roman" w:cs="Times New Roman" w:eastAsia="Times New Roman" w:hint="default"/>
          <w:spacing w:val="-2"/>
        </w:rPr>
        <w:t>2007</w:t>
      </w:r>
      <w:r>
        <w:rPr>
          <w:spacing w:val="-2"/>
        </w:rPr>
        <w:t>年至今在深圳大学会计与财务研究所任</w:t>
      </w:r>
      <w:r>
        <w:rPr>
          <w:spacing w:val="-58"/>
        </w:rPr>
        <w:t> </w:t>
      </w:r>
      <w:r>
        <w:rPr>
          <w:spacing w:val="-58"/>
        </w:rPr>
      </w:r>
      <w:r>
        <w:rPr>
          <w:spacing w:val="-4"/>
        </w:rPr>
        <w:t>职所长、教授。现任公司独立董事，深圳大学会计与财务研究所所长、教授，兼任深圳市飞荣达科技股份有限公司独立董事、</w:t>
      </w:r>
      <w:r>
        <w:rPr>
          <w:spacing w:val="-47"/>
        </w:rPr>
        <w:t> </w:t>
      </w:r>
      <w:r>
        <w:rPr>
          <w:spacing w:val="-47"/>
        </w:rPr>
      </w:r>
      <w:r>
        <w:rPr/>
        <w:t>深圳市捷顺科技实业股份有限公司独立董事和佛山市燃气集团股份有限公司独立董事。 </w:t>
      </w:r>
      <w:r>
        <w:rPr>
          <w:spacing w:val="-2"/>
        </w:rPr>
        <w:t>李伟东先生，</w:t>
      </w:r>
      <w:r>
        <w:rPr>
          <w:rFonts w:ascii="Times New Roman" w:hAnsi="Times New Roman" w:cs="Times New Roman" w:eastAsia="Times New Roman" w:hint="default"/>
          <w:spacing w:val="-2"/>
        </w:rPr>
        <w:t>1968</w:t>
      </w:r>
      <w:r>
        <w:rPr>
          <w:spacing w:val="-2"/>
        </w:rPr>
        <w:t>年生，中国国籍，香港居留权，毕业于香港城市大学，博士研究生学历。</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1994</w:t>
      </w:r>
      <w:r>
        <w:rPr>
          <w:spacing w:val="-2"/>
        </w:rPr>
        <w:t>年在南京中山律师</w:t>
      </w:r>
      <w:r>
        <w:rPr>
          <w:spacing w:val="-61"/>
        </w:rPr>
        <w:t> </w:t>
      </w:r>
      <w:r>
        <w:rPr>
          <w:spacing w:val="-61"/>
        </w:rPr>
      </w:r>
      <w:r>
        <w:rPr/>
        <w:t>事务所任职律师；</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1997</w:t>
      </w:r>
      <w:r>
        <w:rPr/>
        <w:t>年在江苏经纬律师事务所任职律师；自</w:t>
      </w:r>
      <w:r>
        <w:rPr>
          <w:rFonts w:ascii="Times New Roman" w:hAnsi="Times New Roman" w:cs="Times New Roman" w:eastAsia="Times New Roman" w:hint="default"/>
        </w:rPr>
        <w:t>2003</w:t>
      </w:r>
      <w:r>
        <w:rPr/>
        <w:t>年至今担任广东海派律师事务所的执行合伙人。 </w:t>
      </w:r>
      <w:r>
        <w:rPr>
          <w:spacing w:val="-2"/>
        </w:rPr>
        <w:t>现任公司独立董事，兼任广东海派律师事务所执行合伙人、华泰期货有限公司独立董事、福建海西金融租赁有限公司独立董</w:t>
      </w:r>
      <w:r>
        <w:rPr>
          <w:spacing w:val="-62"/>
        </w:rPr>
        <w:t> </w:t>
      </w:r>
      <w:r>
        <w:rPr>
          <w:spacing w:val="-62"/>
        </w:rPr>
      </w:r>
      <w:r>
        <w:rPr>
          <w:spacing w:val="-2"/>
        </w:rPr>
        <w:t>事和平安证券股份有限公司独立董事、中航三鑫股份有限公司独立董事、深圳市联建光电股份有限公司独立董事、远航港口</w:t>
      </w:r>
      <w:r>
        <w:rPr>
          <w:spacing w:val="-62"/>
        </w:rPr>
        <w:t> </w:t>
      </w:r>
      <w:r>
        <w:rPr>
          <w:spacing w:val="-62"/>
        </w:rPr>
      </w:r>
      <w:r>
        <w:rPr/>
        <w:t>发展有限公司独立非执行董事。</w:t>
      </w:r>
    </w:p>
    <w:p>
      <w:pPr>
        <w:spacing w:line="240" w:lineRule="auto" w:before="11"/>
        <w:rPr>
          <w:rFonts w:ascii="宋体" w:hAnsi="宋体" w:cs="宋体" w:eastAsia="宋体" w:hint="default"/>
          <w:sz w:val="25"/>
          <w:szCs w:val="25"/>
        </w:rPr>
      </w:pPr>
    </w:p>
    <w:p>
      <w:pPr>
        <w:pStyle w:val="BodyText"/>
        <w:spacing w:line="300" w:lineRule="auto"/>
        <w:ind w:right="984"/>
        <w:jc w:val="left"/>
      </w:pPr>
      <w:r>
        <w:rPr>
          <w:rFonts w:ascii="Times New Roman" w:hAnsi="Times New Roman" w:cs="Times New Roman" w:eastAsia="Times New Roman" w:hint="default"/>
        </w:rPr>
        <w:t>2</w:t>
      </w:r>
      <w:r>
        <w:rPr/>
        <w:t>、监事会成员 </w:t>
      </w:r>
      <w:r>
        <w:rPr>
          <w:spacing w:val="-2"/>
        </w:rPr>
        <w:t>蔡少龄先生，</w:t>
      </w:r>
      <w:r>
        <w:rPr>
          <w:rFonts w:ascii="Times New Roman" w:hAnsi="Times New Roman" w:cs="Times New Roman" w:eastAsia="Times New Roman" w:hint="default"/>
          <w:spacing w:val="-2"/>
        </w:rPr>
        <w:t>1942</w:t>
      </w:r>
      <w:r>
        <w:rPr>
          <w:spacing w:val="-2"/>
        </w:rPr>
        <w:t>年生，中国国籍，无永久境外居留权，本科学历，高级工程师，参与制定多项行业国家标准，出版了《运</w:t>
      </w:r>
      <w:r>
        <w:rPr>
          <w:spacing w:val="-61"/>
        </w:rPr>
        <w:t> </w:t>
      </w:r>
      <w:r>
        <w:rPr>
          <w:spacing w:val="-61"/>
        </w:rPr>
      </w:r>
      <w:r>
        <w:rPr>
          <w:spacing w:val="-2"/>
        </w:rPr>
        <w:t>输包装设计手册》、《包装技术手册》、《化工百科全书》之包装器材卷等专著。</w:t>
      </w:r>
      <w:r>
        <w:rPr>
          <w:rFonts w:ascii="Times New Roman" w:hAnsi="Times New Roman" w:cs="Times New Roman" w:eastAsia="Times New Roman" w:hint="default"/>
          <w:spacing w:val="-2"/>
        </w:rPr>
        <w:t>1978</w:t>
      </w:r>
      <w:r>
        <w:rPr>
          <w:spacing w:val="-2"/>
        </w:rPr>
        <w:t>至</w:t>
      </w:r>
      <w:r>
        <w:rPr>
          <w:rFonts w:ascii="Times New Roman" w:hAnsi="Times New Roman" w:cs="Times New Roman" w:eastAsia="Times New Roman" w:hint="default"/>
          <w:spacing w:val="-2"/>
        </w:rPr>
        <w:t>1987</w:t>
      </w:r>
      <w:r>
        <w:rPr>
          <w:spacing w:val="-2"/>
        </w:rPr>
        <w:t>年任中国出口商品包装研究所</w:t>
      </w:r>
      <w:r>
        <w:rPr>
          <w:spacing w:val="-62"/>
        </w:rPr>
        <w:t> </w:t>
      </w:r>
      <w:r>
        <w:rPr>
          <w:spacing w:val="-62"/>
        </w:rPr>
      </w:r>
      <w:r>
        <w:rPr>
          <w:spacing w:val="-2"/>
        </w:rPr>
        <w:t>工程师，</w:t>
      </w:r>
      <w:r>
        <w:rPr>
          <w:rFonts w:ascii="Times New Roman" w:hAnsi="Times New Roman" w:cs="Times New Roman" w:eastAsia="Times New Roman" w:hint="default"/>
          <w:spacing w:val="-2"/>
        </w:rPr>
        <w:t>1987</w:t>
      </w:r>
      <w:r>
        <w:rPr>
          <w:spacing w:val="-2"/>
        </w:rPr>
        <w:t>至</w:t>
      </w:r>
      <w:r>
        <w:rPr>
          <w:rFonts w:ascii="Times New Roman" w:hAnsi="Times New Roman" w:cs="Times New Roman" w:eastAsia="Times New Roman" w:hint="default"/>
          <w:spacing w:val="-2"/>
        </w:rPr>
        <w:t>1991</w:t>
      </w:r>
      <w:r>
        <w:rPr>
          <w:spacing w:val="-2"/>
        </w:rPr>
        <w:t>年担任中国包装科研测试中心、国家运输包装质量监督检测中心技术负责人，</w:t>
      </w:r>
      <w:r>
        <w:rPr>
          <w:rFonts w:ascii="Times New Roman" w:hAnsi="Times New Roman" w:cs="Times New Roman" w:eastAsia="Times New Roman" w:hint="default"/>
          <w:spacing w:val="-2"/>
        </w:rPr>
        <w:t>1991</w:t>
      </w:r>
      <w:r>
        <w:rPr>
          <w:spacing w:val="-2"/>
        </w:rPr>
        <w:t>至</w:t>
      </w:r>
      <w:r>
        <w:rPr>
          <w:rFonts w:ascii="Times New Roman" w:hAnsi="Times New Roman" w:cs="Times New Roman" w:eastAsia="Times New Roman" w:hint="default"/>
          <w:spacing w:val="-2"/>
        </w:rPr>
        <w:t>2001</w:t>
      </w:r>
      <w:r>
        <w:rPr>
          <w:spacing w:val="-2"/>
        </w:rPr>
        <w:t>年任美福瓦通</w:t>
      </w:r>
      <w:r>
        <w:rPr>
          <w:spacing w:val="-57"/>
        </w:rPr>
        <w:t> </w:t>
      </w:r>
      <w:r>
        <w:rPr>
          <w:spacing w:val="-57"/>
        </w:rPr>
      </w:r>
      <w:r>
        <w:rPr>
          <w:spacing w:val="-2"/>
        </w:rPr>
        <w:t>纸品（深圳）有限公司质管部经理，</w:t>
      </w:r>
      <w:r>
        <w:rPr>
          <w:rFonts w:ascii="Times New Roman" w:hAnsi="Times New Roman" w:cs="Times New Roman" w:eastAsia="Times New Roman" w:hint="default"/>
          <w:spacing w:val="-2"/>
        </w:rPr>
        <w:t>2001</w:t>
      </w:r>
      <w:r>
        <w:rPr>
          <w:spacing w:val="-2"/>
        </w:rPr>
        <w:t>至</w:t>
      </w:r>
      <w:r>
        <w:rPr>
          <w:rFonts w:ascii="Times New Roman" w:hAnsi="Times New Roman" w:cs="Times New Roman" w:eastAsia="Times New Roman" w:hint="default"/>
          <w:spacing w:val="-2"/>
        </w:rPr>
        <w:t>2002</w:t>
      </w:r>
      <w:r>
        <w:rPr>
          <w:spacing w:val="-2"/>
        </w:rPr>
        <w:t>年任深圳市诺恒管理策划有限公司顾问师，</w:t>
      </w:r>
      <w:r>
        <w:rPr>
          <w:rFonts w:ascii="Times New Roman" w:hAnsi="Times New Roman" w:cs="Times New Roman" w:eastAsia="Times New Roman" w:hint="default"/>
          <w:spacing w:val="-2"/>
        </w:rPr>
        <w:t>2002</w:t>
      </w:r>
      <w:r>
        <w:rPr>
          <w:spacing w:val="-2"/>
        </w:rPr>
        <w:t>至</w:t>
      </w:r>
      <w:r>
        <w:rPr>
          <w:rFonts w:ascii="Times New Roman" w:hAnsi="Times New Roman" w:cs="Times New Roman" w:eastAsia="Times New Roman" w:hint="default"/>
          <w:spacing w:val="-2"/>
        </w:rPr>
        <w:t>2004</w:t>
      </w:r>
      <w:r>
        <w:rPr>
          <w:spacing w:val="-2"/>
        </w:rPr>
        <w:t>年任深圳职业技术学</w:t>
      </w:r>
    </w:p>
    <w:p>
      <w:pPr>
        <w:spacing w:after="0" w:line="30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00" w:lineRule="auto" w:before="37"/>
        <w:ind w:right="984"/>
        <w:jc w:val="left"/>
      </w:pPr>
      <w:r>
        <w:rPr/>
        <w:t>院印刷传播系教师，</w:t>
      </w:r>
      <w:r>
        <w:rPr>
          <w:rFonts w:ascii="Times New Roman" w:hAnsi="Times New Roman" w:cs="Times New Roman" w:eastAsia="Times New Roman" w:hint="default"/>
        </w:rPr>
        <w:t>2004</w:t>
      </w:r>
      <w:r>
        <w:rPr/>
        <w:t>年加入公司，现任公司监事会主席、技术部顾问。 </w:t>
      </w:r>
      <w:r>
        <w:rPr>
          <w:spacing w:val="-2"/>
        </w:rPr>
        <w:t>陈利科先生，</w:t>
      </w:r>
      <w:r>
        <w:rPr>
          <w:rFonts w:ascii="Times New Roman" w:hAnsi="Times New Roman" w:cs="Times New Roman" w:eastAsia="Times New Roman" w:hint="default"/>
          <w:spacing w:val="-2"/>
        </w:rPr>
        <w:t>1976</w:t>
      </w:r>
      <w:r>
        <w:rPr>
          <w:spacing w:val="-2"/>
        </w:rPr>
        <w:t>年生，中国国籍，无永久境外居留权，本科学历。</w:t>
      </w:r>
      <w:r>
        <w:rPr>
          <w:rFonts w:ascii="Times New Roman" w:hAnsi="Times New Roman" w:cs="Times New Roman" w:eastAsia="Times New Roman" w:hint="default"/>
          <w:spacing w:val="-2"/>
        </w:rPr>
        <w:t>2003</w:t>
      </w:r>
      <w:r>
        <w:rPr>
          <w:spacing w:val="-2"/>
        </w:rPr>
        <w:t>年加入公司。现任公司监事、研发部总监，兼任东</w:t>
      </w:r>
      <w:r>
        <w:rPr>
          <w:spacing w:val="-61"/>
        </w:rPr>
        <w:t> </w:t>
      </w:r>
      <w:r>
        <w:rPr>
          <w:spacing w:val="-61"/>
        </w:rPr>
      </w:r>
      <w:r>
        <w:rPr/>
        <w:t>莞美盈森监事、中山美盈森监事。</w:t>
      </w:r>
    </w:p>
    <w:p>
      <w:pPr>
        <w:pStyle w:val="BodyText"/>
        <w:spacing w:line="300" w:lineRule="auto" w:before="31"/>
        <w:ind w:right="1127"/>
        <w:jc w:val="left"/>
      </w:pPr>
      <w:r>
        <w:rPr/>
        <w:t>刘兰芳女士，</w:t>
      </w:r>
      <w:r>
        <w:rPr>
          <w:rFonts w:ascii="Times New Roman" w:hAnsi="Times New Roman" w:cs="Times New Roman" w:eastAsia="Times New Roman" w:hint="default"/>
        </w:rPr>
        <w:t>1984</w:t>
      </w:r>
      <w:r>
        <w:rPr/>
        <w:t>年生，中国国籍，无境外永久居留权，大学本科学历。</w:t>
      </w:r>
      <w:r>
        <w:rPr>
          <w:rFonts w:ascii="Times New Roman" w:hAnsi="Times New Roman" w:cs="Times New Roman" w:eastAsia="Times New Roman" w:hint="default"/>
        </w:rPr>
        <w:t>2008</w:t>
      </w:r>
      <w:r>
        <w:rPr>
          <w:rFonts w:ascii="Times New Roman" w:hAnsi="Times New Roman" w:cs="Times New Roman" w:eastAsia="Times New Roman" w:hint="default"/>
          <w:spacing w:val="42"/>
        </w:rPr>
        <w:t> </w:t>
      </w:r>
      <w:r>
        <w:rPr/>
        <w:t>年加入公司。现任公司职工监事、报关部经</w:t>
      </w:r>
      <w:r>
        <w:rPr>
          <w:spacing w:val="-88"/>
        </w:rPr>
        <w:t> </w:t>
      </w:r>
      <w:r>
        <w:rPr>
          <w:spacing w:val="-88"/>
        </w:rPr>
      </w:r>
      <w:r>
        <w:rPr/>
        <w:t>理，中共美盈森集团股份有限公司委员会委员、工会主席，兼任苏州智谷监事、安徽美盈森监事、湖南美盈森监事。</w:t>
      </w:r>
    </w:p>
    <w:p>
      <w:pPr>
        <w:spacing w:line="240" w:lineRule="auto" w:before="3"/>
        <w:rPr>
          <w:rFonts w:ascii="宋体" w:hAnsi="宋体" w:cs="宋体" w:eastAsia="宋体" w:hint="default"/>
          <w:sz w:val="26"/>
          <w:szCs w:val="26"/>
        </w:rPr>
      </w:pPr>
    </w:p>
    <w:p>
      <w:pPr>
        <w:pStyle w:val="BodyText"/>
        <w:spacing w:line="300" w:lineRule="auto"/>
        <w:ind w:right="6074"/>
        <w:jc w:val="left"/>
      </w:pPr>
      <w:r>
        <w:rPr>
          <w:rFonts w:ascii="Times New Roman" w:hAnsi="Times New Roman" w:cs="Times New Roman" w:eastAsia="Times New Roman" w:hint="default"/>
        </w:rPr>
        <w:t>3</w:t>
      </w:r>
      <w:r>
        <w:rPr/>
        <w:t>、高级管理人员 张珍义先生，任本公司总经理，详见前述董事会成员简历。</w:t>
      </w:r>
    </w:p>
    <w:p>
      <w:pPr>
        <w:pStyle w:val="BodyText"/>
        <w:spacing w:line="307" w:lineRule="auto" w:before="31"/>
        <w:ind w:right="1034"/>
        <w:jc w:val="left"/>
      </w:pPr>
      <w:r>
        <w:rPr/>
        <w:t>黄琳女士，任本公司董事、副总经理兼董事会秘书，详见前述董事会成员简历。 冯达昌先生，</w:t>
      </w:r>
      <w:r>
        <w:rPr>
          <w:rFonts w:ascii="Times New Roman" w:hAnsi="Times New Roman" w:cs="Times New Roman" w:eastAsia="Times New Roman" w:hint="default"/>
        </w:rPr>
        <w:t>1962</w:t>
      </w:r>
      <w:r>
        <w:rPr/>
        <w:t>年生，中国香港籍，工商管理硕士。曾任美福瓦通纸品（深圳）有限公司营销总监。现任公司副总经理， </w:t>
      </w:r>
      <w:r>
        <w:rPr>
          <w:spacing w:val="-4"/>
        </w:rPr>
        <w:t>并兼任香港美盈森董事、重庆美盈森总经理、常富润企业（香港）董事长、常富润科技（深圳）有限公司执行董事和总经理。</w:t>
      </w:r>
      <w:r>
        <w:rPr>
          <w:spacing w:val="-46"/>
        </w:rPr>
        <w:t> </w:t>
      </w:r>
      <w:r>
        <w:rPr>
          <w:spacing w:val="-46"/>
        </w:rPr>
      </w:r>
      <w:r>
        <w:rPr>
          <w:spacing w:val="-2"/>
        </w:rPr>
        <w:t>袁宏贵先生，</w:t>
      </w:r>
      <w:r>
        <w:rPr>
          <w:rFonts w:ascii="Times New Roman" w:hAnsi="Times New Roman" w:cs="Times New Roman" w:eastAsia="Times New Roman" w:hint="default"/>
          <w:spacing w:val="-2"/>
        </w:rPr>
        <w:t>1979</w:t>
      </w:r>
      <w:r>
        <w:rPr>
          <w:spacing w:val="-2"/>
        </w:rPr>
        <w:t>年生，中国国籍，无永久境外居留权，大学专科学历，中国注册会计师协会非执业会员，曾任职深圳市鼎</w:t>
      </w:r>
      <w:r>
        <w:rPr>
          <w:spacing w:val="-66"/>
        </w:rPr>
        <w:t> </w:t>
      </w:r>
      <w:r>
        <w:rPr>
          <w:spacing w:val="-66"/>
        </w:rPr>
      </w:r>
      <w:r>
        <w:rPr>
          <w:spacing w:val="-2"/>
        </w:rPr>
        <w:t>益投资有限公司、同方股份有限公司。</w:t>
      </w:r>
      <w:r>
        <w:rPr>
          <w:rFonts w:ascii="Times New Roman" w:hAnsi="Times New Roman" w:cs="Times New Roman" w:eastAsia="Times New Roman" w:hint="default"/>
          <w:spacing w:val="-2"/>
        </w:rPr>
        <w:t>2010</w:t>
      </w:r>
      <w:r>
        <w:rPr>
          <w:spacing w:val="-2"/>
        </w:rPr>
        <w:t>年加入公司，曾任审计部经理。现任公司财务总监，并兼任小美集监事、美莲检</w:t>
      </w:r>
      <w:r>
        <w:rPr>
          <w:spacing w:val="-66"/>
        </w:rPr>
        <w:t> </w:t>
      </w:r>
      <w:r>
        <w:rPr>
          <w:spacing w:val="-66"/>
        </w:rPr>
      </w:r>
      <w:r>
        <w:rPr/>
        <w:t>测监事、东莞美之兰监事和中大绿谷监事。</w:t>
      </w:r>
    </w:p>
    <w:p>
      <w:pPr>
        <w:pStyle w:val="BodyText"/>
        <w:spacing w:line="240" w:lineRule="auto" w:before="67"/>
        <w:ind w:right="984"/>
        <w:jc w:val="left"/>
      </w:pPr>
      <w:r>
        <w:rPr/>
        <w:t>在股东单位任职情况</w:t>
      </w:r>
    </w:p>
    <w:p>
      <w:pPr>
        <w:pStyle w:val="BodyText"/>
        <w:spacing w:line="240" w:lineRule="auto" w:before="115"/>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7"/>
        <w:ind w:left="0" w:right="1140"/>
        <w:jc w:val="right"/>
      </w:pPr>
      <w:r>
        <w:rPr/>
        <w:pict>
          <v:shape style="position:absolute;margin-left:56.399998pt;margin-top:-72.478294pt;width:479.2pt;height:107.6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7"/>
                    <w:gridCol w:w="3230"/>
                    <w:gridCol w:w="1078"/>
                    <w:gridCol w:w="1212"/>
                    <w:gridCol w:w="1346"/>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4" w:right="81"/>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96" w:right="105"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广州信联智通实业股份有限公司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、公司控股股东王海鹏、第二大股东王治军分别持有广州信联智通实业股份有限公司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9.5%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的股份</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、上述任期终止日期是指本届任期</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37"/>
        <w:ind w:right="984"/>
        <w:jc w:val="left"/>
      </w:pPr>
      <w:r>
        <w:rPr/>
        <w:t>在其他单位任职情况</w:t>
      </w:r>
    </w:p>
    <w:p>
      <w:pPr>
        <w:pStyle w:val="BodyText"/>
        <w:spacing w:line="240" w:lineRule="auto" w:before="115"/>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44"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深圳大学会计与财务研究所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所长、教授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佛山市燃气集团股份有限公司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深圳市捷顺科技实业股份有限公司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深圳市飞荣达科技股份有限公司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广东海派律师事务所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平安证券股份有限公司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华泰期货有限公司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中航三鑫股份有限公司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深圳市联建光电股份有限公司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福建海西金融租赁有限责任公司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冯达昌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常富润企业（香港）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冯达昌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常富润科技（深圳）有限公司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刘征兵</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欣旺达电子股份有限公司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上述任期终止日期指本届任期。</w:t>
            </w:r>
          </w:p>
        </w:tc>
      </w:tr>
    </w:tbl>
    <w:p>
      <w:pPr>
        <w:pStyle w:val="BodyText"/>
        <w:spacing w:line="240" w:lineRule="auto" w:before="49"/>
        <w:ind w:right="984"/>
        <w:jc w:val="left"/>
      </w:pPr>
      <w:r>
        <w:rPr/>
        <w:t>公司现任及报告期内离任董事、监事和高级管理人员近三年证券监管机构处罚的情况</w:t>
      </w:r>
    </w:p>
    <w:p>
      <w:pPr>
        <w:pStyle w:val="BodyText"/>
        <w:spacing w:line="240" w:lineRule="auto" w:before="115"/>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4"/>
        <w:jc w:val="left"/>
        <w:rPr>
          <w:rFonts w:ascii="Tahoma" w:hAnsi="Tahoma" w:cs="Tahoma" w:eastAsia="Tahoma" w:hint="default"/>
        </w:rPr>
      </w:pPr>
      <w:r>
        <w:rPr/>
        <w:t>四、董事、监事、高级管理人员报酬情况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董事、监事、高级管理人员报酬的决策程序、确定依据、实际支付情况</w:t>
      </w:r>
    </w:p>
    <w:p>
      <w:pPr>
        <w:pStyle w:val="BodyText"/>
        <w:spacing w:line="300" w:lineRule="auto" w:before="115"/>
        <w:ind w:right="1124"/>
        <w:jc w:val="left"/>
      </w:pPr>
      <w:r>
        <w:rPr>
          <w:rFonts w:ascii="Times New Roman" w:hAnsi="Times New Roman" w:cs="Times New Roman" w:eastAsia="Times New Roman" w:hint="default"/>
        </w:rPr>
        <w:t>1</w:t>
      </w:r>
      <w:r>
        <w:rPr/>
        <w:t>、决策程序：根据《公司章程》的有关规定，公司董事、监事的津贴由股东大会审议决定；公司高管的报酬由董事会审议 决定。</w:t>
      </w:r>
    </w:p>
    <w:p>
      <w:pPr>
        <w:pStyle w:val="BodyText"/>
        <w:spacing w:line="340" w:lineRule="auto" w:before="31"/>
        <w:ind w:right="2024"/>
        <w:jc w:val="left"/>
      </w:pPr>
      <w:r>
        <w:rPr>
          <w:rFonts w:ascii="Times New Roman" w:hAnsi="Times New Roman" w:cs="Times New Roman" w:eastAsia="Times New Roman" w:hint="default"/>
        </w:rPr>
        <w:t>2</w:t>
      </w:r>
      <w:r>
        <w:rPr/>
        <w:t>、确定依据：公司董事、监事、高管人员的报酬综合考虑公司经营情况、同行上市公司及地区薪酬标准确定。 公司报告期内董事、监事和高级管理人员报酬情况</w:t>
      </w:r>
    </w:p>
    <w:p>
      <w:pPr>
        <w:pStyle w:val="BodyText"/>
        <w:spacing w:line="240" w:lineRule="auto" w:before="41"/>
        <w:ind w:left="0" w:right="1133"/>
        <w:jc w:val="right"/>
      </w:pPr>
      <w:r>
        <w:rPr/>
        <w:pict>
          <v:shape style="position:absolute;margin-left:187.712555pt;margin-top:75.441711pt;width:73.9pt;height:35.3pt;mso-position-horizontal-relative:page;mso-position-vertical-relative:paragraph;z-index:-1321480"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193.800003pt;margin-top:75.441711pt;width:67.8pt;height:35.3pt;mso-position-horizontal-relative:page;mso-position-vertical-relative:paragraph;z-index:-1321456" coordorigin="3876,1509" coordsize="1356,706">
            <v:group style="position:absolute;left:3876;top:1509;width:1356;height:706" coordorigin="3876,1509" coordsize="1356,706">
              <v:shape style="position:absolute;left:3876;top:1509;width:1356;height:706" coordorigin="3876,1509" coordsize="1356,706" path="m3876,1509l5232,1509,5232,2214,3876,2214,3876,1509xe" filled="true" fillcolor="#ffffff" stroked="false">
                <v:path arrowok="t"/>
                <v:fill type="solid"/>
              </v:shape>
            </v:group>
            <v:group style="position:absolute;left:3898;top:1665;width:1311;height:394" coordorigin="3898,1665" coordsize="1311,394">
              <v:shape style="position:absolute;left:3898;top:1665;width:1311;height:394" coordorigin="3898,1665" coordsize="1311,394" path="m3898,1665l5208,1665,5208,2058,3898,2058,3898,1665xe" filled="true" fillcolor="#ffffff" stroked="false">
                <v:path arrowok="t"/>
                <v:fill type="solid"/>
              </v:shape>
            </v:group>
            <w10:wrap type="none"/>
          </v:group>
        </w:pict>
      </w:r>
      <w:r>
        <w:rPr/>
        <w:t>单位：万元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8" w:right="45"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8"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张珍义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刘征兵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蔡少龄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陈利科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刘兰芳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冯达昌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袁宏贵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0" w:right="0"/>
              <w:jc w:val="left"/>
              <w:rPr>
                <w:rFonts w:ascii="Times New Roman" w:hAnsi="Times New Roman" w:cs="Times New Roman" w:eastAsia="Times New Roman" w:hint="default"/>
                <w:sz w:val="18"/>
                <w:szCs w:val="18"/>
              </w:rPr>
            </w:pPr>
            <w:r>
              <w:rPr>
                <w:rFonts w:ascii="Times New Roman"/>
                <w:sz w:val="18"/>
              </w:rPr>
              <w:t>394.22</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984"/>
        <w:jc w:val="left"/>
      </w:pPr>
      <w:r>
        <w:rPr/>
        <w:t>公司董事、高级管理人员报告期内被授予的股权激励情况</w:t>
      </w:r>
    </w:p>
    <w:p>
      <w:pPr>
        <w:pStyle w:val="BodyText"/>
        <w:spacing w:line="240" w:lineRule="auto" w:before="115"/>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4"/>
        <w:jc w:val="left"/>
        <w:rPr>
          <w:rFonts w:ascii="Tahoma" w:hAnsi="Tahoma" w:cs="Tahoma" w:eastAsia="Tahoma" w:hint="default"/>
        </w:rPr>
      </w:pPr>
      <w:r>
        <w:rPr/>
        <w:t>五、公司员工情况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、员工数量、专业构成及教育程度</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3,569</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4,344</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4,344</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4,344</w:t>
            </w:r>
          </w:p>
        </w:tc>
      </w:tr>
    </w:tbl>
    <w:p>
      <w:pPr>
        <w:spacing w:line="240" w:lineRule="auto" w:before="10"/>
        <w:rPr>
          <w:rFonts w:ascii="Tahoma" w:hAnsi="Tahoma" w:cs="Tahoma" w:eastAsia="Tahoma" w:hint="default"/>
          <w:sz w:val="20"/>
          <w:szCs w:val="20"/>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2</w:t>
      </w:r>
      <w:r>
        <w:rPr/>
        <w:t>、薪酬政策</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4454"/>
        <w:jc w:val="left"/>
      </w:pPr>
      <w:r>
        <w:rPr/>
        <w:t>薪资福利： 公司提供有市场竞争力的薪酬待遇，并依绩效考核结果每年提供一次加薪机会。 福利及保险： 公司为员工提供医疗保险、养老保险、失业保险、住房公积金及其他相关福利。</w:t>
      </w:r>
    </w:p>
    <w:p>
      <w:pPr>
        <w:spacing w:line="240" w:lineRule="auto" w:before="10"/>
        <w:rPr>
          <w:rFonts w:ascii="宋体" w:hAnsi="宋体" w:cs="宋体" w:eastAsia="宋体" w:hint="default"/>
          <w:sz w:val="22"/>
          <w:szCs w:val="22"/>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w:t>
      </w:r>
      <w:r>
        <w:rPr/>
        <w:t>、培训计划</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984"/>
        <w:jc w:val="left"/>
      </w:pPr>
      <w:r>
        <w:rPr/>
        <w:t>教育培训： </w:t>
      </w:r>
      <w:r>
        <w:rPr>
          <w:spacing w:val="-2"/>
        </w:rPr>
        <w:t>公司高度重视员工的培训工作，在加强对全体员工高素质培训的同时，有重点有选择地对优秀员工进行培养，并大力支持对</w:t>
      </w:r>
    </w:p>
    <w:p>
      <w:pPr>
        <w:spacing w:after="0" w:line="316"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16" w:lineRule="auto" w:before="37"/>
        <w:ind w:right="2474"/>
        <w:jc w:val="left"/>
      </w:pPr>
      <w:r>
        <w:rPr/>
        <w:t>管理和技术人员的各类高级培训，努力构建学习型企业。 对于新加入的大学生，公司为其提供全方位培训计划，包括集中培训学习、不同岗位实习、岗位实践等。 职业发展：</w:t>
      </w:r>
    </w:p>
    <w:p>
      <w:pPr>
        <w:pStyle w:val="BodyText"/>
        <w:spacing w:line="240" w:lineRule="auto" w:before="19"/>
        <w:ind w:right="984"/>
        <w:jc w:val="left"/>
      </w:pPr>
      <w:r>
        <w:rPr/>
        <w:t>公司重视员工职业发展，不断完善员工的职业发展体系，建立有效的绩效评估管理。</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rFonts w:ascii="Tahoma" w:hAnsi="Tahoma" w:cs="Tahoma" w:eastAsia="Tahoma" w:hint="default"/>
        </w:rPr>
        <w:t>4</w:t>
      </w:r>
      <w:r>
        <w:rPr/>
        <w:t>、劳务外包情况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00"/>
        <w:jc w:val="center"/>
        <w:rPr>
          <w:rFonts w:ascii="Tahoma" w:hAnsi="Tahoma" w:cs="Tahoma" w:eastAsia="Tahoma" w:hint="default"/>
        </w:rPr>
      </w:pPr>
      <w:bookmarkStart w:name="_TOC_250003" w:id="10"/>
      <w:r>
        <w:rPr/>
        <w:t>第九节</w:t>
      </w:r>
      <w:r>
        <w:rPr>
          <w:spacing w:val="7"/>
        </w:rPr>
        <w:t> </w:t>
      </w:r>
      <w:r>
        <w:rPr>
          <w:rFonts w:ascii="Tahoma" w:hAnsi="Tahoma" w:cs="Tahoma" w:eastAsia="Tahoma" w:hint="default"/>
          <w:spacing w:val="7"/>
        </w:rPr>
      </w:r>
      <w:r>
        <w:rPr/>
        <w:t>公司治理</w:t>
      </w:r>
      <w:r>
        <w:rPr>
          <w:rFonts w:ascii="Tahoma" w:hAnsi="Tahoma" w:cs="Tahoma" w:eastAsia="Tahoma" w:hint="default"/>
          <w:w w:val="79"/>
        </w:rPr>
        <w:t> </w:t>
      </w:r>
      <w:bookmarkEnd w:id="10"/>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4"/>
        <w:rPr>
          <w:rFonts w:ascii="Tahoma" w:hAnsi="Tahoma" w:cs="Tahoma" w:eastAsia="Tahoma" w:hint="default"/>
          <w:sz w:val="20"/>
          <w:szCs w:val="20"/>
        </w:rPr>
      </w:pPr>
    </w:p>
    <w:p>
      <w:pPr>
        <w:pStyle w:val="Heading2"/>
        <w:spacing w:line="240" w:lineRule="auto" w:before="26"/>
        <w:ind w:right="984"/>
        <w:jc w:val="left"/>
        <w:rPr>
          <w:rFonts w:ascii="Tahoma" w:hAnsi="Tahoma" w:cs="Tahoma" w:eastAsia="Tahoma" w:hint="default"/>
        </w:rPr>
      </w:pPr>
      <w:r>
        <w:rPr/>
        <w:t>一、公司治理的基本状况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34" w:firstLine="300"/>
        <w:jc w:val="both"/>
      </w:pPr>
      <w:r>
        <w:rPr>
          <w:spacing w:val="-1"/>
        </w:rPr>
        <w:t>公司上市以来，严格按照《公司法》、《证券法》、《上市公司治理准则》和深圳证券交易所《股票上市规则》及《中</w:t>
      </w:r>
      <w:r>
        <w:rPr/>
        <w:t> </w:t>
      </w:r>
      <w:r>
        <w:rPr>
          <w:spacing w:val="-2"/>
        </w:rPr>
        <w:t>小企业板上市公司规范运作指引》等相关法律、法规的规定，认真学习和落实中国证监会、深圳证监局、深圳证券交易所等</w:t>
      </w:r>
      <w:r>
        <w:rPr>
          <w:spacing w:val="-69"/>
        </w:rPr>
        <w:t> </w:t>
      </w:r>
      <w:r>
        <w:rPr>
          <w:spacing w:val="-69"/>
        </w:rPr>
      </w:r>
      <w:r>
        <w:rPr/>
        <w:t>监管机构的相关要求，不断完善公司法人治理结构，建立现代企业制度，持续深入规范公司运作。</w:t>
      </w:r>
    </w:p>
    <w:p>
      <w:pPr>
        <w:pStyle w:val="BodyText"/>
        <w:spacing w:line="240" w:lineRule="auto" w:before="139"/>
        <w:ind w:right="984"/>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日，公司已建立的各项制度及公开信息披露情况如下：</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984"/>
        <w:gridCol w:w="2974"/>
        <w:gridCol w:w="3708"/>
        <w:gridCol w:w="2189"/>
      </w:tblGrid>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ahoma" w:hAnsi="Tahoma" w:cs="Tahoma" w:eastAsia="Tahoma" w:hint="default"/>
                <w:sz w:val="18"/>
                <w:szCs w:val="18"/>
              </w:rPr>
            </w:pPr>
            <w:r>
              <w:rPr>
                <w:rFonts w:ascii="宋体" w:hAnsi="宋体" w:cs="宋体" w:eastAsia="宋体" w:hint="default"/>
                <w:sz w:val="18"/>
                <w:szCs w:val="18"/>
              </w:rPr>
              <w:t>序号</w:t>
            </w:r>
            <w:r>
              <w:rPr>
                <w:rFonts w:ascii="Tahoma" w:hAnsi="Tahoma" w:cs="Tahoma" w:eastAsia="Tahoma" w:hint="default"/>
                <w:w w:val="80"/>
                <w:sz w:val="18"/>
                <w:szCs w:val="18"/>
              </w:rPr>
              <w:t> </w:t>
            </w:r>
            <w:r>
              <w:rPr>
                <w:rFonts w:ascii="Tahoma" w:hAnsi="Tahoma" w:cs="Tahoma" w:eastAsia="Tahoma" w:hint="default"/>
                <w:sz w:val="18"/>
                <w:szCs w:val="18"/>
              </w:rPr>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ahoma" w:hAnsi="Tahoma" w:cs="Tahoma" w:eastAsia="Tahoma" w:hint="default"/>
                <w:sz w:val="18"/>
                <w:szCs w:val="18"/>
              </w:rPr>
            </w:pPr>
            <w:r>
              <w:rPr>
                <w:rFonts w:ascii="宋体" w:hAnsi="宋体" w:cs="宋体" w:eastAsia="宋体" w:hint="default"/>
                <w:sz w:val="18"/>
                <w:szCs w:val="18"/>
              </w:rPr>
              <w:t>制度名称</w:t>
            </w:r>
            <w:r>
              <w:rPr>
                <w:rFonts w:ascii="Tahoma" w:hAnsi="Tahoma" w:cs="Tahoma" w:eastAsia="Tahoma" w:hint="default"/>
                <w:w w:val="80"/>
                <w:sz w:val="18"/>
                <w:szCs w:val="18"/>
              </w:rPr>
              <w:t> </w:t>
            </w:r>
            <w:r>
              <w:rPr>
                <w:rFonts w:ascii="Tahoma" w:hAnsi="Tahoma" w:cs="Tahoma" w:eastAsia="Tahoma" w:hint="default"/>
                <w:sz w:val="18"/>
                <w:szCs w:val="18"/>
              </w:rPr>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ahoma" w:hAnsi="Tahoma" w:cs="Tahoma" w:eastAsia="Tahoma" w:hint="default"/>
                <w:sz w:val="18"/>
                <w:szCs w:val="18"/>
              </w:rPr>
            </w:pPr>
            <w:r>
              <w:rPr>
                <w:rFonts w:ascii="宋体" w:hAnsi="宋体" w:cs="宋体" w:eastAsia="宋体" w:hint="default"/>
                <w:sz w:val="18"/>
                <w:szCs w:val="18"/>
              </w:rPr>
              <w:t>公开信息披露情况</w:t>
            </w:r>
            <w:r>
              <w:rPr>
                <w:rFonts w:ascii="Tahoma" w:hAnsi="Tahoma" w:cs="Tahoma" w:eastAsia="Tahoma" w:hint="default"/>
                <w:w w:val="80"/>
                <w:sz w:val="18"/>
                <w:szCs w:val="18"/>
              </w:rPr>
              <w:t> </w:t>
            </w:r>
            <w:r>
              <w:rPr>
                <w:rFonts w:ascii="Tahoma" w:hAnsi="Tahoma" w:cs="Tahoma" w:eastAsia="Tahoma" w:hint="default"/>
                <w:sz w:val="18"/>
                <w:szCs w:val="18"/>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ahoma" w:hAnsi="Tahoma" w:cs="Tahoma" w:eastAsia="Tahoma" w:hint="default"/>
                <w:sz w:val="18"/>
                <w:szCs w:val="18"/>
              </w:rPr>
            </w:pPr>
            <w:r>
              <w:rPr>
                <w:rFonts w:ascii="宋体" w:hAnsi="宋体" w:cs="宋体" w:eastAsia="宋体" w:hint="default"/>
                <w:sz w:val="18"/>
                <w:szCs w:val="18"/>
              </w:rPr>
              <w:t>生效时间</w:t>
            </w:r>
            <w:r>
              <w:rPr>
                <w:rFonts w:ascii="Tahoma" w:hAnsi="Tahoma" w:cs="Tahoma" w:eastAsia="Tahoma" w:hint="default"/>
                <w:w w:val="80"/>
                <w:sz w:val="18"/>
                <w:szCs w:val="18"/>
              </w:rPr>
              <w:t> </w:t>
            </w:r>
            <w:r>
              <w:rPr>
                <w:rFonts w:ascii="Tahoma" w:hAnsi="Tahoma" w:cs="Tahoma" w:eastAsia="Tahoma" w:hint="default"/>
                <w:sz w:val="18"/>
                <w:szCs w:val="18"/>
              </w:rPr>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资金管理制度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经第一届董事会第八次会议制定</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2009.1.18</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突发事件处理制度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经第一届董事会第十次会议制定并公告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2009.11.15</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重大信息内部报告制度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经第一届董事会第十次会议制定并公告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2009.11.15</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经第一届董事会第十二次会议修订并公告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2009.12.24</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信息披露管理办法</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经第一届董事会第十二次会议修订并公告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2009.12.24</w:t>
            </w:r>
          </w:p>
        </w:tc>
      </w:tr>
      <w:tr>
        <w:trPr>
          <w:trHeight w:val="780"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6</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4"/>
              <w:jc w:val="left"/>
              <w:rPr>
                <w:rFonts w:ascii="宋体" w:hAnsi="宋体" w:cs="宋体" w:eastAsia="宋体" w:hint="default"/>
                <w:sz w:val="18"/>
                <w:szCs w:val="18"/>
              </w:rPr>
            </w:pPr>
            <w:r>
              <w:rPr>
                <w:rFonts w:ascii="宋体" w:hAnsi="宋体" w:cs="宋体" w:eastAsia="宋体" w:hint="default"/>
                <w:sz w:val="18"/>
                <w:szCs w:val="18"/>
              </w:rPr>
              <w:t>董事、监事、高管人员所持本公司股 份及其变动管理制度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年第一次临时股东大会制定并公告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2010.1.10</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7</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印章使用管理办法</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经第二届董事会第二次会议制定并公告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2010.10.26</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8</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会计师事务所选聘制度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年第二次临时股东大会制定并公告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2010.2.9</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9</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经第一届董事会第十四次会议制定并公告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2010.3.23</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10</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审计委员会年报工作规程</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经第一届董事会第十四次会议制定并公告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2010.3.23</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11</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远期结售汇交易内部控制制度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经第一届董事会第十五次会议制定并公告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2010.4.14</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12</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2010.9.21</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13</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对外担保管理办法</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2010.9.21</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14</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2010.9.21</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15</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累积投票制实施细则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2010.9.21</w:t>
            </w:r>
          </w:p>
        </w:tc>
      </w:tr>
      <w:tr>
        <w:trPr>
          <w:trHeight w:val="780"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16</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4"/>
              <w:jc w:val="left"/>
              <w:rPr>
                <w:rFonts w:ascii="宋体" w:hAnsi="宋体" w:cs="宋体" w:eastAsia="宋体" w:hint="default"/>
                <w:sz w:val="18"/>
                <w:szCs w:val="18"/>
              </w:rPr>
            </w:pPr>
            <w:r>
              <w:rPr>
                <w:rFonts w:ascii="宋体" w:hAnsi="宋体" w:cs="宋体" w:eastAsia="宋体" w:hint="default"/>
                <w:sz w:val="18"/>
                <w:szCs w:val="18"/>
              </w:rPr>
              <w:t>可能接触内幕信息的关键岗位人员买 卖公司股票相关规定</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6"/>
              <w:jc w:val="left"/>
              <w:rPr>
                <w:rFonts w:ascii="宋体" w:hAnsi="宋体" w:cs="宋体" w:eastAsia="宋体" w:hint="default"/>
                <w:sz w:val="18"/>
                <w:szCs w:val="18"/>
              </w:rPr>
            </w:pPr>
            <w:r>
              <w:rPr>
                <w:rFonts w:ascii="宋体" w:hAnsi="宋体" w:cs="宋体" w:eastAsia="宋体" w:hint="default"/>
                <w:sz w:val="18"/>
                <w:szCs w:val="18"/>
              </w:rPr>
              <w:t>经第二届董事会第四次（临时）会议制定并公 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2011.1.26</w:t>
            </w:r>
          </w:p>
        </w:tc>
      </w:tr>
      <w:tr>
        <w:trPr>
          <w:trHeight w:val="77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17</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4"/>
              <w:jc w:val="left"/>
              <w:rPr>
                <w:rFonts w:ascii="宋体" w:hAnsi="宋体" w:cs="宋体" w:eastAsia="宋体" w:hint="default"/>
                <w:sz w:val="18"/>
                <w:szCs w:val="18"/>
              </w:rPr>
            </w:pPr>
            <w:r>
              <w:rPr>
                <w:rFonts w:ascii="宋体" w:hAnsi="宋体" w:cs="宋体" w:eastAsia="宋体" w:hint="default"/>
                <w:sz w:val="18"/>
                <w:szCs w:val="18"/>
              </w:rPr>
              <w:t>防范控股股东及关联方资金占用管理 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经第二届董事会第六次会议制定并公告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2011.4.25</w:t>
            </w:r>
          </w:p>
        </w:tc>
      </w:tr>
      <w:tr>
        <w:trPr>
          <w:trHeight w:val="780"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18</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6"/>
              <w:jc w:val="left"/>
              <w:rPr>
                <w:rFonts w:ascii="宋体" w:hAnsi="宋体" w:cs="宋体" w:eastAsia="宋体" w:hint="default"/>
                <w:sz w:val="18"/>
                <w:szCs w:val="18"/>
              </w:rPr>
            </w:pPr>
            <w:r>
              <w:rPr>
                <w:rFonts w:ascii="宋体" w:hAnsi="宋体" w:cs="宋体" w:eastAsia="宋体" w:hint="default"/>
                <w:sz w:val="18"/>
                <w:szCs w:val="18"/>
              </w:rPr>
              <w:t>经第二届董事会第十次（临时）会议修订并公 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2011.9.17</w:t>
            </w:r>
          </w:p>
        </w:tc>
      </w:tr>
    </w:tbl>
    <w:p>
      <w:pPr>
        <w:spacing w:after="0" w:line="240" w:lineRule="auto"/>
        <w:jc w:val="lef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984"/>
        <w:gridCol w:w="2974"/>
        <w:gridCol w:w="3708"/>
        <w:gridCol w:w="2189"/>
      </w:tblGrid>
      <w:tr>
        <w:trPr>
          <w:trHeight w:val="780"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19</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内幕信息知情人报备及登记管理制度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6"/>
              <w:jc w:val="left"/>
              <w:rPr>
                <w:rFonts w:ascii="宋体" w:hAnsi="宋体" w:cs="宋体" w:eastAsia="宋体" w:hint="default"/>
                <w:sz w:val="18"/>
                <w:szCs w:val="18"/>
              </w:rPr>
            </w:pPr>
            <w:r>
              <w:rPr>
                <w:rFonts w:ascii="宋体" w:hAnsi="宋体" w:cs="宋体" w:eastAsia="宋体" w:hint="default"/>
                <w:sz w:val="18"/>
                <w:szCs w:val="18"/>
              </w:rPr>
              <w:t>经第二届董事会第十三次（临时）会议修订并 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2012.1.15</w:t>
            </w:r>
          </w:p>
        </w:tc>
      </w:tr>
      <w:tr>
        <w:trPr>
          <w:trHeight w:val="77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财务会计相关负责人管理制度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6"/>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 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2012.4.23</w:t>
            </w:r>
          </w:p>
        </w:tc>
      </w:tr>
      <w:tr>
        <w:trPr>
          <w:trHeight w:val="780"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21</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董事会审计委员会议事规则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6"/>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 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2012.4.23</w:t>
            </w:r>
          </w:p>
        </w:tc>
      </w:tr>
      <w:tr>
        <w:trPr>
          <w:trHeight w:val="77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22</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董事会提名委员会议事规则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6"/>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 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2012.4.23</w:t>
            </w:r>
          </w:p>
        </w:tc>
      </w:tr>
      <w:tr>
        <w:trPr>
          <w:trHeight w:val="780"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23</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董事会薪酬与考核委员会议事规则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6"/>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 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2012.4.23</w:t>
            </w:r>
          </w:p>
        </w:tc>
      </w:tr>
      <w:tr>
        <w:trPr>
          <w:trHeight w:val="77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24</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6"/>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 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2012.4.23</w:t>
            </w:r>
          </w:p>
        </w:tc>
      </w:tr>
      <w:tr>
        <w:trPr>
          <w:trHeight w:val="780"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25</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财务管理制度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6"/>
              <w:jc w:val="left"/>
              <w:rPr>
                <w:rFonts w:ascii="宋体" w:hAnsi="宋体" w:cs="宋体" w:eastAsia="宋体" w:hint="default"/>
                <w:sz w:val="18"/>
                <w:szCs w:val="18"/>
              </w:rPr>
            </w:pPr>
            <w:r>
              <w:rPr>
                <w:rFonts w:ascii="宋体" w:hAnsi="宋体" w:cs="宋体" w:eastAsia="宋体" w:hint="default"/>
                <w:sz w:val="18"/>
                <w:szCs w:val="18"/>
              </w:rPr>
              <w:t>经第二届董事会第十六次（临时）会议修订并 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2012.8.3</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26</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投资理财管理制度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经第三届董事会第四次会议制定并公告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2014.3.27</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27</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未来三年股东回报规划（</w:t>
            </w:r>
            <w:r>
              <w:rPr>
                <w:rFonts w:ascii="Times New Roman" w:hAnsi="Times New Roman" w:cs="Times New Roman" w:eastAsia="Times New Roman" w:hint="default"/>
                <w:sz w:val="18"/>
                <w:szCs w:val="18"/>
              </w:rPr>
              <w:t>2015-2017</w:t>
            </w:r>
            <w:r>
              <w:rPr>
                <w:rFonts w:ascii="宋体" w:hAnsi="宋体" w:cs="宋体" w:eastAsia="宋体" w:hint="default"/>
                <w:sz w:val="18"/>
                <w:szCs w:val="18"/>
              </w:rPr>
              <w:t>）</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2015.5.20</w:t>
            </w:r>
          </w:p>
        </w:tc>
      </w:tr>
      <w:tr>
        <w:trPr>
          <w:trHeight w:val="780"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28</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子公司管理制度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6"/>
              <w:jc w:val="left"/>
              <w:rPr>
                <w:rFonts w:ascii="宋体" w:hAnsi="宋体" w:cs="宋体" w:eastAsia="宋体" w:hint="default"/>
                <w:sz w:val="18"/>
                <w:szCs w:val="18"/>
              </w:rPr>
            </w:pPr>
            <w:r>
              <w:rPr>
                <w:rFonts w:ascii="宋体" w:hAnsi="宋体" w:cs="宋体" w:eastAsia="宋体" w:hint="default"/>
                <w:sz w:val="18"/>
                <w:szCs w:val="18"/>
              </w:rPr>
              <w:t>经第三届董事会第二十三次（临时）会议修订 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2016.3.12</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29</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董事会战略委员会议事规则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经第四届董事会第一次会议修订并公告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2016.11.22</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30</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信息披露委员会实施细则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经第四届董事会第一次会议制订并公告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2016.11.22</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31</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募集资金管理制度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2016</w:t>
            </w:r>
            <w:r>
              <w:rPr>
                <w:rFonts w:ascii="宋体" w:hAnsi="宋体" w:cs="宋体" w:eastAsia="宋体" w:hint="default"/>
                <w:sz w:val="18"/>
                <w:szCs w:val="18"/>
              </w:rPr>
              <w:t>年第二次临时股东大会修订并公告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2016.11.22</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32</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对外投资管理制度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经第四届董事会第十四次会议修订并公告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2018.5.8</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33</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经第四届董事会第十四次会议修订并公告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2018.5.8</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34</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关联交易管理办法</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年第一次临时股东大会修订并公告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2018.5.22</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35</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年第一次临时股东大会修订并公告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2018.5.22</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36</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独立董事工作制度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年第一次临时股东大会修订并公告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2018.5.22</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37</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经第四届董事会第二十次会议修订并公告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2018.10.29</w:t>
            </w:r>
          </w:p>
        </w:tc>
      </w:tr>
    </w:tbl>
    <w:p>
      <w:pPr>
        <w:pStyle w:val="BodyText"/>
        <w:spacing w:line="316" w:lineRule="auto" w:before="8"/>
        <w:ind w:right="984" w:firstLine="648"/>
        <w:jc w:val="left"/>
      </w:pPr>
      <w:r>
        <w:rPr>
          <w:spacing w:val="-1"/>
        </w:rPr>
        <w:t>截至报告期末，公司认为，公司治理的实际情况基本符合规范性文件的要求，已经形成了决策机构、监督机构与管</w:t>
      </w:r>
      <w:r>
        <w:rPr/>
        <w:t> 理层之间权责分明、各司其职、相互制衡、科学决策、协调运作的法人治理结构。</w:t>
      </w:r>
    </w:p>
    <w:p>
      <w:pPr>
        <w:pStyle w:val="BodyText"/>
        <w:spacing w:line="240" w:lineRule="auto" w:before="139"/>
        <w:ind w:right="984"/>
        <w:jc w:val="left"/>
        <w:rPr>
          <w:rFonts w:ascii="Tahoma" w:hAnsi="Tahoma" w:cs="Tahoma" w:eastAsia="Tahoma" w:hint="default"/>
        </w:rPr>
      </w:pPr>
      <w:r>
        <w:rPr>
          <w:rFonts w:ascii="Tahoma" w:hAnsi="Tahoma" w:cs="Tahoma" w:eastAsia="Tahoma" w:hint="default"/>
        </w:rPr>
        <w:t>1</w:t>
      </w:r>
      <w:r>
        <w:rPr/>
        <w:t>、关于股东与股东大会</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15"/>
          <w:szCs w:val="15"/>
        </w:rPr>
      </w:pPr>
    </w:p>
    <w:p>
      <w:pPr>
        <w:pStyle w:val="BodyText"/>
        <w:spacing w:line="316" w:lineRule="auto"/>
        <w:ind w:right="1132" w:firstLine="300"/>
        <w:jc w:val="both"/>
      </w:pPr>
      <w:r>
        <w:rPr>
          <w:spacing w:val="-1"/>
        </w:rPr>
        <w:t>报告期内，公司严格按照《公司法》、《上市公司股东大会规则》、《公司章程》、《股东大会议事规则》等法律法规</w:t>
      </w:r>
      <w:r>
        <w:rPr/>
        <w:t> </w:t>
      </w:r>
      <w:r>
        <w:rPr>
          <w:spacing w:val="-2"/>
        </w:rPr>
        <w:t>的要求，规范股东大会的召集、召开及表决程序，确保所有股东享有平等地位，充分行使自己权利，并通过聘请律师见证保</w:t>
      </w:r>
      <w:r>
        <w:rPr>
          <w:spacing w:val="-69"/>
        </w:rPr>
        <w:t> </w:t>
      </w:r>
      <w:r>
        <w:rPr>
          <w:spacing w:val="-69"/>
        </w:rPr>
      </w:r>
      <w:r>
        <w:rPr/>
        <w:t>证会议召集、召开和表决程序的合法性，维护了公司和股东的合法权益。</w:t>
      </w:r>
    </w:p>
    <w:p>
      <w:pPr>
        <w:pStyle w:val="BodyText"/>
        <w:spacing w:line="240" w:lineRule="auto" w:before="139"/>
        <w:ind w:right="984"/>
        <w:jc w:val="left"/>
        <w:rPr>
          <w:rFonts w:ascii="Tahoma" w:hAnsi="Tahoma" w:cs="Tahoma" w:eastAsia="Tahoma" w:hint="default"/>
        </w:rPr>
      </w:pPr>
      <w:r>
        <w:rPr>
          <w:rFonts w:ascii="Tahoma" w:hAnsi="Tahoma" w:cs="Tahoma" w:eastAsia="Tahoma" w:hint="default"/>
        </w:rPr>
        <w:t>2</w:t>
      </w:r>
      <w:r>
        <w:rPr/>
        <w:t>、关于控股股东与公司关系</w:t>
      </w:r>
      <w:r>
        <w:rPr>
          <w:rFonts w:ascii="Tahoma" w:hAnsi="Tahoma" w:cs="Tahoma" w:eastAsia="Tahoma" w:hint="default"/>
          <w:w w:val="80"/>
        </w:rPr>
        <w:t> </w:t>
      </w:r>
      <w:r>
        <w:rPr>
          <w:rFonts w:ascii="Tahoma" w:hAnsi="Tahoma" w:cs="Tahoma" w:eastAsia="Tahoma" w:hint="default"/>
        </w:rPr>
      </w:r>
    </w:p>
    <w:p>
      <w:pPr>
        <w:spacing w:after="0" w:line="240" w:lineRule="auto"/>
        <w:jc w:val="left"/>
        <w:rPr>
          <w:rFonts w:ascii="Tahoma" w:hAnsi="Tahoma" w:cs="Tahoma" w:eastAsia="Tahoma" w:hint="default"/>
        </w:rPr>
        <w:sectPr>
          <w:footerReference w:type="default" r:id="rId21"/>
          <w:pgSz w:w="11910" w:h="16840"/>
          <w:pgMar w:footer="982" w:header="753" w:top="1060" w:bottom="1180" w:left="980" w:right="0"/>
          <w:pgNumType w:start="80"/>
        </w:sectPr>
      </w:pPr>
    </w:p>
    <w:p>
      <w:pPr>
        <w:spacing w:line="240" w:lineRule="auto" w:before="6"/>
        <w:rPr>
          <w:rFonts w:ascii="Tahoma" w:hAnsi="Tahoma" w:cs="Tahoma" w:eastAsia="Tahoma" w:hint="default"/>
          <w:sz w:val="28"/>
          <w:szCs w:val="28"/>
        </w:rPr>
      </w:pPr>
    </w:p>
    <w:p>
      <w:pPr>
        <w:pStyle w:val="BodyText"/>
        <w:spacing w:line="316" w:lineRule="auto" w:before="37"/>
        <w:ind w:right="984" w:firstLine="300"/>
        <w:jc w:val="left"/>
      </w:pPr>
      <w:r>
        <w:rPr/>
        <w:t>公司控股股东为自然人王海鹏先生，作为控股股东，王海鹏先生对公司依法通过股东大会行使出资人的权利；王海鹏先 </w:t>
      </w:r>
      <w:r>
        <w:rPr>
          <w:spacing w:val="-4"/>
        </w:rPr>
        <w:t>生还在公司控股子公司中大绿谷担任董事长兼总经理。在任职期间，王海鹏先生严格履行公司有关制度所赋予的权利和义务，</w:t>
      </w:r>
      <w:r>
        <w:rPr>
          <w:spacing w:val="-44"/>
        </w:rPr>
        <w:t> </w:t>
      </w:r>
      <w:r>
        <w:rPr>
          <w:spacing w:val="-44"/>
        </w:rPr>
      </w:r>
      <w:r>
        <w:rPr>
          <w:spacing w:val="-4"/>
        </w:rPr>
        <w:t>参与日常经营管理。公司重大事项及生产经营相关决策均按照公司内部控制制度由公司经营层、董事会、股东大会讨论决定，</w:t>
      </w:r>
      <w:r>
        <w:rPr>
          <w:spacing w:val="-44"/>
        </w:rPr>
        <w:t> </w:t>
      </w:r>
      <w:r>
        <w:rPr>
          <w:spacing w:val="-44"/>
        </w:rPr>
      </w:r>
      <w:r>
        <w:rPr/>
        <w:t>不存在控股股东及实际控制人控制公司的情况。</w:t>
      </w:r>
    </w:p>
    <w:p>
      <w:pPr>
        <w:pStyle w:val="BodyText"/>
        <w:spacing w:line="240" w:lineRule="auto" w:before="139"/>
        <w:ind w:right="984"/>
        <w:jc w:val="left"/>
        <w:rPr>
          <w:rFonts w:ascii="Tahoma" w:hAnsi="Tahoma" w:cs="Tahoma" w:eastAsia="Tahoma" w:hint="default"/>
        </w:rPr>
      </w:pPr>
      <w:r>
        <w:rPr>
          <w:rFonts w:ascii="Tahoma" w:hAnsi="Tahoma" w:cs="Tahoma" w:eastAsia="Tahoma" w:hint="default"/>
        </w:rPr>
        <w:t>3</w:t>
      </w:r>
      <w:r>
        <w:rPr/>
        <w:t>、关于董事与董事会</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15"/>
          <w:szCs w:val="15"/>
        </w:rPr>
      </w:pPr>
    </w:p>
    <w:p>
      <w:pPr>
        <w:pStyle w:val="BodyText"/>
        <w:spacing w:line="309" w:lineRule="auto"/>
        <w:ind w:right="1051" w:firstLine="300"/>
        <w:jc w:val="both"/>
      </w:pPr>
      <w:r>
        <w:rPr/>
        <w:t>报告期内，公司董事会成员</w:t>
      </w:r>
      <w:r>
        <w:rPr>
          <w:rFonts w:ascii="Times New Roman" w:hAnsi="Times New Roman" w:cs="Times New Roman" w:eastAsia="Times New Roman" w:hint="default"/>
        </w:rPr>
        <w:t>5</w:t>
      </w:r>
      <w:r>
        <w:rPr/>
        <w:t>人，其中独立董事</w:t>
      </w:r>
      <w:r>
        <w:rPr>
          <w:rFonts w:ascii="Times New Roman" w:hAnsi="Times New Roman" w:cs="Times New Roman" w:eastAsia="Times New Roman" w:hint="default"/>
        </w:rPr>
        <w:t>2</w:t>
      </w:r>
      <w:r>
        <w:rPr/>
        <w:t>人，董事会的人数及人员构成符合法律、法规和《公司章程》的要求。 公司全体董事能够依据《董事会议事规则》、深圳证券交易所《中小企业板上市公司规范运作指引》等法律法规开展工作， 认真出席董事会和股东大会，积极参加培训，学习有关法律法规。独立董事能够不受影响地独立履行职责。</w:t>
      </w:r>
    </w:p>
    <w:p>
      <w:pPr>
        <w:pStyle w:val="BodyText"/>
        <w:spacing w:line="316" w:lineRule="auto" w:before="144"/>
        <w:ind w:right="984" w:firstLine="300"/>
        <w:jc w:val="left"/>
      </w:pPr>
      <w:r>
        <w:rPr>
          <w:spacing w:val="-1"/>
        </w:rPr>
        <w:t>截至报告期末，公司董事会下设四个专门委员会，即审计委员会、提名委员会、薪酬与考核委员会及战略委员会，并制</w:t>
      </w:r>
      <w:r>
        <w:rPr/>
        <w:t> 定各委员会议事规则，指导各委员会有效运行。</w:t>
      </w:r>
    </w:p>
    <w:p>
      <w:pPr>
        <w:pStyle w:val="BodyText"/>
        <w:spacing w:line="240" w:lineRule="auto" w:before="139"/>
        <w:ind w:right="984"/>
        <w:jc w:val="left"/>
        <w:rPr>
          <w:rFonts w:ascii="Tahoma" w:hAnsi="Tahoma" w:cs="Tahoma" w:eastAsia="Tahoma" w:hint="default"/>
        </w:rPr>
      </w:pPr>
      <w:r>
        <w:rPr>
          <w:rFonts w:ascii="Tahoma" w:hAnsi="Tahoma" w:cs="Tahoma" w:eastAsia="Tahoma" w:hint="default"/>
        </w:rPr>
        <w:t>4</w:t>
      </w:r>
      <w:r>
        <w:rPr/>
        <w:t>、关于监事与监事会</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15"/>
          <w:szCs w:val="15"/>
        </w:rPr>
      </w:pPr>
    </w:p>
    <w:p>
      <w:pPr>
        <w:pStyle w:val="BodyText"/>
        <w:spacing w:line="309" w:lineRule="auto"/>
        <w:ind w:right="984" w:firstLine="300"/>
        <w:jc w:val="left"/>
      </w:pPr>
      <w:r>
        <w:rPr>
          <w:spacing w:val="-4"/>
        </w:rPr>
        <w:t>报告期内，公司监事会成员</w:t>
      </w:r>
      <w:r>
        <w:rPr>
          <w:rFonts w:ascii="Times New Roman" w:hAnsi="Times New Roman" w:cs="Times New Roman" w:eastAsia="Times New Roman" w:hint="default"/>
          <w:spacing w:val="-4"/>
        </w:rPr>
        <w:t>3</w:t>
      </w:r>
      <w:r>
        <w:rPr>
          <w:spacing w:val="-4"/>
        </w:rPr>
        <w:t>人，其中</w:t>
      </w:r>
      <w:r>
        <w:rPr>
          <w:rFonts w:ascii="Times New Roman" w:hAnsi="Times New Roman" w:cs="Times New Roman" w:eastAsia="Times New Roman" w:hint="default"/>
          <w:spacing w:val="-4"/>
        </w:rPr>
        <w:t>1</w:t>
      </w:r>
      <w:r>
        <w:rPr>
          <w:spacing w:val="-4"/>
        </w:rPr>
        <w:t>人为职工代表，监事会的人数及构成符合法律、法规的要求。公司监事会依据《公</w:t>
      </w:r>
      <w:r>
        <w:rPr/>
        <w:t> </w:t>
      </w:r>
      <w:r>
        <w:rPr>
          <w:spacing w:val="-4"/>
        </w:rPr>
        <w:t>司章程》、《监事会议事规则》等法律法规认真履行自己的职责，按规定的程序召开了监事会，对公司重大事项、财务状况、</w:t>
      </w:r>
      <w:r>
        <w:rPr>
          <w:spacing w:val="-44"/>
        </w:rPr>
        <w:t> </w:t>
      </w:r>
      <w:r>
        <w:rPr>
          <w:spacing w:val="-44"/>
        </w:rPr>
      </w:r>
      <w:r>
        <w:rPr/>
        <w:t>募集资金使用、董事和高级管理人员履行职责的合法合规性进行监督，维护公司及股东的合法权益。</w:t>
      </w:r>
    </w:p>
    <w:p>
      <w:pPr>
        <w:pStyle w:val="BodyText"/>
        <w:spacing w:line="240" w:lineRule="auto" w:before="144"/>
        <w:ind w:right="984"/>
        <w:jc w:val="left"/>
        <w:rPr>
          <w:rFonts w:ascii="Tahoma" w:hAnsi="Tahoma" w:cs="Tahoma" w:eastAsia="Tahoma" w:hint="default"/>
        </w:rPr>
      </w:pPr>
      <w:r>
        <w:rPr>
          <w:rFonts w:ascii="Tahoma" w:hAnsi="Tahoma" w:cs="Tahoma" w:eastAsia="Tahoma" w:hint="default"/>
        </w:rPr>
        <w:t>5</w:t>
      </w:r>
      <w:r>
        <w:rPr/>
        <w:t>、关于绩效评价与激励约束机制</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15"/>
          <w:szCs w:val="15"/>
        </w:rPr>
      </w:pPr>
    </w:p>
    <w:p>
      <w:pPr>
        <w:pStyle w:val="BodyText"/>
        <w:spacing w:line="316" w:lineRule="auto"/>
        <w:ind w:right="984" w:firstLine="300"/>
        <w:jc w:val="left"/>
      </w:pPr>
      <w:r>
        <w:rPr>
          <w:spacing w:val="-1"/>
        </w:rPr>
        <w:t>公司董事、监事和高级管理人员的聘任公开、透明，符合相关法律法规的规定，并已初步建立董事、监事和高级管理人</w:t>
      </w:r>
      <w:r>
        <w:rPr/>
        <w:t> 员的绩效评价标准和激励约束机制。</w:t>
      </w:r>
    </w:p>
    <w:p>
      <w:pPr>
        <w:pStyle w:val="BodyText"/>
        <w:spacing w:line="240" w:lineRule="auto" w:before="139"/>
        <w:ind w:right="984"/>
        <w:jc w:val="left"/>
        <w:rPr>
          <w:rFonts w:ascii="Tahoma" w:hAnsi="Tahoma" w:cs="Tahoma" w:eastAsia="Tahoma" w:hint="default"/>
        </w:rPr>
      </w:pPr>
      <w:r>
        <w:rPr>
          <w:rFonts w:ascii="Tahoma" w:hAnsi="Tahoma" w:cs="Tahoma" w:eastAsia="Tahoma" w:hint="default"/>
        </w:rPr>
        <w:t>6</w:t>
      </w:r>
      <w:r>
        <w:rPr/>
        <w:t>、关于相关利益者</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15"/>
          <w:szCs w:val="15"/>
        </w:rPr>
      </w:pPr>
    </w:p>
    <w:p>
      <w:pPr>
        <w:pStyle w:val="BodyText"/>
        <w:spacing w:line="316" w:lineRule="auto"/>
        <w:ind w:right="984" w:firstLine="480"/>
        <w:jc w:val="left"/>
      </w:pPr>
      <w:r>
        <w:rPr/>
        <w:t>公司充分尊重和维护相关利益者的合法权益，加强与各方的沟通与交流，实现社会、股东、公司、员工等各方面利益 </w:t>
      </w:r>
      <w:r>
        <w:rPr>
          <w:spacing w:val="-4"/>
        </w:rPr>
        <w:t>的协调平衡，诚信对待客户和供应商，认真培养每一位员工，坚持与相关利益者互利共赢的原则，共同推动公司持续、健康、</w:t>
      </w:r>
      <w:r>
        <w:rPr>
          <w:spacing w:val="-46"/>
        </w:rPr>
        <w:t> </w:t>
      </w:r>
      <w:r>
        <w:rPr>
          <w:spacing w:val="-46"/>
        </w:rPr>
      </w:r>
      <w:r>
        <w:rPr/>
        <w:t>快速发展。</w:t>
      </w:r>
    </w:p>
    <w:p>
      <w:pPr>
        <w:pStyle w:val="BodyText"/>
        <w:spacing w:line="240" w:lineRule="auto" w:before="139"/>
        <w:ind w:right="984"/>
        <w:jc w:val="left"/>
        <w:rPr>
          <w:rFonts w:ascii="Tahoma" w:hAnsi="Tahoma" w:cs="Tahoma" w:eastAsia="Tahoma" w:hint="default"/>
        </w:rPr>
      </w:pPr>
      <w:r>
        <w:rPr>
          <w:rFonts w:ascii="Tahoma" w:hAnsi="Tahoma" w:cs="Tahoma" w:eastAsia="Tahoma" w:hint="default"/>
        </w:rPr>
        <w:t>7</w:t>
      </w:r>
      <w:r>
        <w:rPr/>
        <w:t>、关于信息披露与透明度</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15"/>
          <w:szCs w:val="15"/>
        </w:rPr>
      </w:pPr>
    </w:p>
    <w:p>
      <w:pPr>
        <w:pStyle w:val="BodyText"/>
        <w:spacing w:line="240" w:lineRule="auto"/>
        <w:ind w:left="452" w:right="984"/>
        <w:jc w:val="left"/>
      </w:pPr>
      <w:r>
        <w:rPr/>
        <w:t>公司严格按照有关法律法规及公司《信息披露管理办法》、《投资者关系管理制度》、《信息披露委员会实施细则》、</w:t>
      </w:r>
    </w:p>
    <w:p>
      <w:pPr>
        <w:pStyle w:val="BodyText"/>
        <w:spacing w:line="316" w:lineRule="auto" w:before="76"/>
        <w:ind w:right="984"/>
        <w:jc w:val="left"/>
      </w:pPr>
      <w:r>
        <w:rPr>
          <w:spacing w:val="-2"/>
        </w:rPr>
        <w:t>《内幕信息知情人报备和登记管理制度》等系列制度的要求，真实、准确、完整、及时、公平地披露信息，确保所有股东有</w:t>
      </w:r>
      <w:r>
        <w:rPr>
          <w:spacing w:val="-65"/>
        </w:rPr>
        <w:t> </w:t>
      </w:r>
      <w:r>
        <w:rPr>
          <w:spacing w:val="-65"/>
        </w:rPr>
      </w:r>
      <w:r>
        <w:rPr/>
        <w:t>平等的机会获得信息。</w:t>
      </w:r>
    </w:p>
    <w:p>
      <w:pPr>
        <w:pStyle w:val="BodyText"/>
        <w:spacing w:line="316" w:lineRule="auto" w:before="139"/>
        <w:ind w:right="1132"/>
        <w:jc w:val="both"/>
      </w:pPr>
      <w:r>
        <w:rPr>
          <w:spacing w:val="-2"/>
        </w:rPr>
        <w:t>公司指定董事会秘书负责公司的信息披露事务与投资者关系的管理，证券部为信息披露事务和投资者关系管理执行部门。公</w:t>
      </w:r>
      <w:r>
        <w:rPr>
          <w:spacing w:val="-64"/>
        </w:rPr>
        <w:t> </w:t>
      </w:r>
      <w:r>
        <w:rPr>
          <w:spacing w:val="-64"/>
        </w:rPr>
      </w:r>
      <w:r>
        <w:rPr>
          <w:spacing w:val="-2"/>
        </w:rPr>
        <w:t>司注重与投资者沟通交流，通过电话、电子邮件、投资者关系互动平台、现场调研等各种方式，加强与投资者的沟通。公司</w:t>
      </w:r>
      <w:r>
        <w:rPr>
          <w:spacing w:val="-67"/>
        </w:rPr>
        <w:t> </w:t>
      </w:r>
      <w:r>
        <w:rPr>
          <w:spacing w:val="-67"/>
        </w:rPr>
      </w:r>
      <w:r>
        <w:rPr>
          <w:spacing w:val="-2"/>
        </w:rPr>
        <w:t>指定《证券时报》和巨潮资讯网为公司信息披露媒体，接受各方监督，不断加强信息披露管理，确保信息披露的透明度、完</w:t>
      </w:r>
      <w:r>
        <w:rPr>
          <w:spacing w:val="-71"/>
        </w:rPr>
        <w:t> </w:t>
      </w:r>
      <w:r>
        <w:rPr>
          <w:spacing w:val="-71"/>
        </w:rPr>
      </w:r>
      <w:r>
        <w:rPr/>
        <w:t>整性和公平性。</w:t>
      </w:r>
    </w:p>
    <w:p>
      <w:pPr>
        <w:pStyle w:val="BodyText"/>
        <w:spacing w:line="240" w:lineRule="auto" w:before="59"/>
        <w:ind w:right="984"/>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984"/>
        <w:jc w:val="left"/>
        <w:rPr>
          <w:rFonts w:ascii="Tahoma" w:hAnsi="Tahoma" w:cs="Tahoma" w:eastAsia="Tahoma" w:hint="default"/>
        </w:rPr>
      </w:pPr>
      <w:r>
        <w:rPr/>
        <w:t>二、公司相对于控股股东在业务、人员、资产、机构、财务等方面的独立情况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07" w:lineRule="auto"/>
        <w:ind w:right="984"/>
        <w:jc w:val="left"/>
      </w:pPr>
      <w:r>
        <w:rPr>
          <w:rFonts w:ascii="Times New Roman" w:hAnsi="Times New Roman" w:cs="Times New Roman" w:eastAsia="Times New Roman" w:hint="default"/>
        </w:rPr>
        <w:t>1</w:t>
      </w:r>
      <w:r>
        <w:rPr/>
        <w:t>、资产独立 </w:t>
      </w:r>
      <w:r>
        <w:rPr>
          <w:spacing w:val="-2"/>
        </w:rPr>
        <w:t>本公司资产独立，不存在资产、资金被控股股东占用的情形，不存在以资产、权益为控股股东担保的情形，本公司现有的资</w:t>
      </w:r>
      <w:r>
        <w:rPr>
          <w:spacing w:val="-69"/>
        </w:rPr>
        <w:t> </w:t>
      </w:r>
      <w:r>
        <w:rPr>
          <w:spacing w:val="-69"/>
        </w:rPr>
      </w:r>
      <w:r>
        <w:rPr/>
        <w:t>产独立、完整，没有以其资产为股东或个人债务以及其他法人或自然人提供任何形式的担保。</w:t>
      </w:r>
    </w:p>
    <w:p>
      <w:pPr>
        <w:pStyle w:val="BodyText"/>
        <w:spacing w:line="240" w:lineRule="auto" w:before="26"/>
        <w:ind w:right="984"/>
        <w:jc w:val="left"/>
      </w:pPr>
      <w:r>
        <w:rPr>
          <w:rFonts w:ascii="Times New Roman" w:hAnsi="Times New Roman" w:cs="Times New Roman" w:eastAsia="Times New Roman" w:hint="default"/>
        </w:rPr>
        <w:t>2</w:t>
      </w:r>
      <w:r>
        <w:rPr/>
        <w:t>、人员独立</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16" w:lineRule="auto" w:before="37"/>
        <w:ind w:right="1132"/>
        <w:jc w:val="both"/>
      </w:pPr>
      <w:r>
        <w:rPr>
          <w:spacing w:val="-2"/>
        </w:rPr>
        <w:t>本公司总经理、副总经理、财务总监、董事会秘书等高级管理人员专职在公司工作、领取薪酬，不存在在控股股东及其控制</w:t>
      </w:r>
      <w:r>
        <w:rPr>
          <w:spacing w:val="-69"/>
        </w:rPr>
        <w:t> </w:t>
      </w:r>
      <w:r>
        <w:rPr>
          <w:spacing w:val="-69"/>
        </w:rPr>
      </w:r>
      <w:r>
        <w:rPr>
          <w:spacing w:val="-2"/>
        </w:rPr>
        <w:t>的其他企业中兼任除董事、监事之外职务及领取薪酬的情形。本公司财务人员不存在在控股股东及其控制的其他企业中兼职</w:t>
      </w:r>
      <w:r>
        <w:rPr>
          <w:spacing w:val="-64"/>
        </w:rPr>
        <w:t> </w:t>
      </w:r>
      <w:r>
        <w:rPr>
          <w:spacing w:val="-64"/>
        </w:rPr>
      </w:r>
      <w:r>
        <w:rPr/>
        <w:t>的情形。</w:t>
      </w:r>
    </w:p>
    <w:p>
      <w:pPr>
        <w:pStyle w:val="BodyText"/>
        <w:spacing w:line="309" w:lineRule="auto" w:before="19"/>
        <w:ind w:right="984"/>
        <w:jc w:val="left"/>
      </w:pPr>
      <w:r>
        <w:rPr>
          <w:rFonts w:ascii="Times New Roman" w:hAnsi="Times New Roman" w:cs="Times New Roman" w:eastAsia="Times New Roman" w:hint="default"/>
        </w:rPr>
        <w:t>3</w:t>
      </w:r>
      <w:r>
        <w:rPr/>
        <w:t>、财务独立 </w:t>
      </w:r>
      <w:r>
        <w:rPr>
          <w:spacing w:val="-2"/>
        </w:rPr>
        <w:t>本公司设有独立的财务会计部门，配备了专门的财务人员，建立了独立的会计核算体系和财务管理制度。本公司独立在银行</w:t>
      </w:r>
      <w:r>
        <w:rPr>
          <w:spacing w:val="-64"/>
        </w:rPr>
        <w:t> </w:t>
      </w:r>
      <w:r>
        <w:rPr>
          <w:spacing w:val="-64"/>
        </w:rPr>
      </w:r>
      <w:r>
        <w:rPr/>
        <w:t>开户，依法独立纳税，独立做出财务决策，不存在资金被控股股东及其控制的其他企业占用的情形。</w:t>
      </w:r>
    </w:p>
    <w:p>
      <w:pPr>
        <w:pStyle w:val="BodyText"/>
        <w:spacing w:line="309" w:lineRule="auto" w:before="24"/>
        <w:ind w:right="984"/>
        <w:jc w:val="left"/>
      </w:pPr>
      <w:r>
        <w:rPr>
          <w:rFonts w:ascii="Times New Roman" w:hAnsi="Times New Roman" w:cs="Times New Roman" w:eastAsia="Times New Roman" w:hint="default"/>
        </w:rPr>
        <w:t>4</w:t>
      </w:r>
      <w:r>
        <w:rPr/>
        <w:t>、机构独立 </w:t>
      </w:r>
      <w:r>
        <w:rPr>
          <w:spacing w:val="-4"/>
        </w:rPr>
        <w:t>本公司依法设立股东大会、董事会、监事会等机构，各项规章制度完善，法人治理结构规范有效。本公司建立了独立于股东、</w:t>
      </w:r>
      <w:r>
        <w:rPr>
          <w:spacing w:val="-45"/>
        </w:rPr>
        <w:t> </w:t>
      </w:r>
      <w:r>
        <w:rPr>
          <w:spacing w:val="-45"/>
        </w:rPr>
      </w:r>
      <w:r>
        <w:rPr/>
        <w:t>适应自身发展需要的组织机构，各部门职能明确，形成了独立且完善的管理机构。</w:t>
      </w:r>
    </w:p>
    <w:p>
      <w:pPr>
        <w:pStyle w:val="BodyText"/>
        <w:spacing w:line="328" w:lineRule="auto" w:before="24"/>
        <w:ind w:right="984"/>
        <w:jc w:val="left"/>
      </w:pPr>
      <w:r>
        <w:rPr>
          <w:rFonts w:ascii="Times New Roman" w:hAnsi="Times New Roman" w:cs="Times New Roman" w:eastAsia="Times New Roman" w:hint="default"/>
        </w:rPr>
        <w:t>5</w:t>
      </w:r>
      <w:r>
        <w:rPr/>
        <w:t>、业务独立 </w:t>
      </w:r>
      <w:r>
        <w:rPr>
          <w:spacing w:val="-2"/>
        </w:rPr>
        <w:t>本公司具有独立完整的业务体系和直接面向市场经营的能力，拥有独立的生产经营场所，独立对外签订合同，开展业务，不</w:t>
      </w:r>
      <w:r>
        <w:rPr>
          <w:spacing w:val="-65"/>
        </w:rPr>
        <w:t> </w:t>
      </w:r>
      <w:r>
        <w:rPr>
          <w:spacing w:val="-65"/>
        </w:rPr>
      </w:r>
      <w:r>
        <w:rPr/>
        <w:t>存在对公司控股股东及其控制的其他企业或者第三方重大依赖的情形，与控股股东及其控制的其他企业不存在同业竞争。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3"/>
        <w:ind w:right="984"/>
        <w:jc w:val="left"/>
        <w:rPr>
          <w:rFonts w:ascii="Tahoma" w:hAnsi="Tahoma" w:cs="Tahoma" w:eastAsia="Tahoma" w:hint="default"/>
        </w:rPr>
      </w:pPr>
      <w:r>
        <w:rPr/>
        <w:t>三、同业竞争情况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4"/>
        <w:jc w:val="left"/>
        <w:rPr>
          <w:rFonts w:ascii="Tahoma" w:hAnsi="Tahoma" w:cs="Tahoma" w:eastAsia="Tahoma" w:hint="default"/>
        </w:rPr>
      </w:pPr>
      <w:r>
        <w:rPr/>
        <w:t>四、报告期内召开的年度股东大会和临时股东大会的有关情况</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、本报告期股东大会情况</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9"/>
        <w:rPr>
          <w:rFonts w:ascii="Tahoma" w:hAnsi="Tahoma" w:cs="Tahoma" w:eastAsia="Tahoma" w:hint="default"/>
          <w:sz w:val="17"/>
          <w:szCs w:val="17"/>
        </w:rPr>
      </w:pPr>
    </w:p>
    <w:p>
      <w:pPr>
        <w:pStyle w:val="BodyText"/>
        <w:spacing w:line="240" w:lineRule="auto"/>
        <w:ind w:left="0" w:right="1159"/>
        <w:jc w:val="right"/>
      </w:pPr>
      <w:r>
        <w:rPr/>
        <w:pict>
          <v:shape style="position:absolute;margin-left:56.399998pt;margin-top:-54.168259pt;width:479.05pt;height:344.0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4"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公司于巨潮资讯网</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2">
                          <w:r>
                            <w:rPr>
                              <w:rFonts w:ascii="Times New Roman" w:hAnsi="Times New Roman" w:cs="Times New Roman" w:eastAsia="Times New Roman" w:hint="default"/>
                              <w:sz w:val="18"/>
                              <w:szCs w:val="18"/>
                            </w:rPr>
                            <w:t>www.cninfo.com.</w:t>
                          </w:r>
                        </w:hyperlink>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）及《证券时报</w:t>
                        </w:r>
                      </w:p>
                    </w:tc>
                  </w:tr>
                  <w:tr>
                    <w:trPr>
                      <w:trHeight w:val="313"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5"/>
                          <w:jc w:val="right"/>
                          <w:rPr>
                            <w:rFonts w:ascii="Times New Roman" w:hAnsi="Times New Roman" w:cs="Times New Roman" w:eastAsia="Times New Roman" w:hint="default"/>
                            <w:sz w:val="18"/>
                            <w:szCs w:val="18"/>
                          </w:rPr>
                        </w:pPr>
                        <w:r>
                          <w:rPr>
                            <w:rFonts w:ascii="Times New Roman"/>
                            <w:sz w:val="18"/>
                          </w:rPr>
                          <w:t>54.03%</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披露的《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10"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股东大会决议公告</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52"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2018-025</w:t>
                        </w:r>
                        <w:r>
                          <w:rPr>
                            <w:rFonts w:ascii="宋体" w:hAnsi="宋体" w:cs="宋体" w:eastAsia="宋体" w:hint="default"/>
                            <w:sz w:val="18"/>
                            <w:szCs w:val="18"/>
                          </w:rPr>
                          <w:t>）</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公司于巨潮资讯网</w:t>
                        </w:r>
                      </w:p>
                    </w:tc>
                  </w:tr>
                  <w:tr>
                    <w:trPr>
                      <w:trHeight w:val="313"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2">
                          <w:r>
                            <w:rPr>
                              <w:rFonts w:ascii="Times New Roman" w:hAnsi="Times New Roman" w:cs="Times New Roman" w:eastAsia="Times New Roman" w:hint="default"/>
                              <w:sz w:val="18"/>
                              <w:szCs w:val="18"/>
                            </w:rPr>
                            <w:t>www.cninfo.com.</w:t>
                          </w:r>
                        </w:hyperlink>
                      </w:p>
                    </w:tc>
                  </w:tr>
                  <w:tr>
                    <w:trPr>
                      <w:trHeight w:val="935"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15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sz w:val="18"/>
                          </w:rPr>
                          <w:t>53.89%</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2"/>
                          <w:ind w:left="24"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）及《证券时报 披露的《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一次临时股东大会</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决议公告</w:t>
                        </w:r>
                        <w:r>
                          <w:rPr>
                            <w:rFonts w:ascii="宋体" w:hAnsi="宋体" w:cs="宋体" w:eastAsia="宋体" w:hint="default"/>
                            <w:spacing w:val="-92"/>
                            <w:sz w:val="18"/>
                            <w:szCs w:val="18"/>
                          </w:rPr>
                          <w:t>》</w:t>
                        </w:r>
                        <w:r>
                          <w:rPr>
                            <w:rFonts w:ascii="宋体" w:hAnsi="宋体" w:cs="宋体" w:eastAsia="宋体" w:hint="default"/>
                            <w:sz w:val="18"/>
                            <w:szCs w:val="18"/>
                          </w:rPr>
                          <w:t>（公告编</w:t>
                        </w:r>
                      </w:p>
                    </w:tc>
                  </w:tr>
                  <w:tr>
                    <w:trPr>
                      <w:trHeight w:val="350"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2018-039</w:t>
                        </w:r>
                        <w:r>
                          <w:rPr>
                            <w:rFonts w:ascii="宋体" w:hAnsi="宋体" w:cs="宋体" w:eastAsia="宋体" w:hint="default"/>
                            <w:sz w:val="18"/>
                            <w:szCs w:val="18"/>
                          </w:rPr>
                          <w:t>）</w:t>
                        </w:r>
                      </w:p>
                    </w:tc>
                  </w:tr>
                  <w:tr>
                    <w:trPr>
                      <w:trHeight w:val="364"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公司于巨潮资讯网</w:t>
                        </w:r>
                      </w:p>
                    </w:tc>
                  </w:tr>
                  <w:tr>
                    <w:trPr>
                      <w:trHeight w:val="30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2">
                          <w:r>
                            <w:rPr>
                              <w:rFonts w:ascii="Times New Roman" w:hAnsi="Times New Roman" w:cs="Times New Roman" w:eastAsia="Times New Roman" w:hint="default"/>
                              <w:sz w:val="18"/>
                              <w:szCs w:val="18"/>
                            </w:rPr>
                            <w:t>www.cninfo.com.</w:t>
                          </w:r>
                        </w:hyperlink>
                      </w:p>
                    </w:tc>
                  </w:tr>
                  <w:tr>
                    <w:trPr>
                      <w:trHeight w:val="63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53.95%</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4"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）及《证券时报 披露的《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tc>
                  </w:tr>
                  <w:tr>
                    <w:trPr>
                      <w:trHeight w:val="311"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二次临时股东大会</w:t>
                        </w:r>
                      </w:p>
                    </w:tc>
                  </w:tr>
                  <w:tr>
                    <w:trPr>
                      <w:trHeight w:val="312"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决议公告</w:t>
                        </w:r>
                        <w:r>
                          <w:rPr>
                            <w:rFonts w:ascii="宋体" w:hAnsi="宋体" w:cs="宋体" w:eastAsia="宋体" w:hint="default"/>
                            <w:spacing w:val="-92"/>
                            <w:sz w:val="18"/>
                            <w:szCs w:val="18"/>
                          </w:rPr>
                          <w:t>》</w:t>
                        </w:r>
                        <w:r>
                          <w:rPr>
                            <w:rFonts w:ascii="宋体" w:hAnsi="宋体" w:cs="宋体" w:eastAsia="宋体" w:hint="default"/>
                            <w:sz w:val="18"/>
                            <w:szCs w:val="18"/>
                          </w:rPr>
                          <w:t>（公告编</w:t>
                        </w:r>
                      </w:p>
                    </w:tc>
                  </w:tr>
                </w:tbl>
                <w:p>
                  <w:pPr/>
                </w:p>
              </w:txbxContent>
            </v:textbox>
            <w10:wrap type="none"/>
          </v:shape>
        </w:pict>
      </w:r>
      <w:r>
        <w:rPr/>
        <w:t>》</w:t>
      </w:r>
    </w:p>
    <w:p>
      <w:pPr>
        <w:spacing w:line="240" w:lineRule="auto" w:before="11"/>
        <w:rPr>
          <w:rFonts w:ascii="宋体" w:hAnsi="宋体" w:cs="宋体" w:eastAsia="宋体" w:hint="default"/>
          <w:sz w:val="26"/>
          <w:szCs w:val="26"/>
        </w:rPr>
      </w:pPr>
    </w:p>
    <w:p>
      <w:pPr>
        <w:pStyle w:val="BodyText"/>
        <w:spacing w:line="240" w:lineRule="auto" w:before="37"/>
        <w:ind w:left="0" w:right="114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37"/>
        <w:ind w:left="0" w:right="1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0" w:right="1159"/>
        <w:jc w:val="right"/>
      </w:pPr>
      <w:r>
        <w:rPr/>
        <w:t>》</w:t>
      </w:r>
    </w:p>
    <w:p>
      <w:pPr>
        <w:spacing w:after="0" w:line="240" w:lineRule="auto"/>
        <w:jc w:val="right"/>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2018-064</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2</w:t>
      </w:r>
      <w:r>
        <w:rPr/>
        <w:t>、表决权恢复的优先股股东请求召开临时股东大会</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4"/>
        <w:jc w:val="left"/>
        <w:rPr>
          <w:rFonts w:ascii="Tahoma" w:hAnsi="Tahoma" w:cs="Tahoma" w:eastAsia="Tahoma" w:hint="default"/>
        </w:rPr>
      </w:pPr>
      <w:r>
        <w:rPr/>
        <w:t>五、报告期内独立董事履行职责的情况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、独立董事出席董事会及股东大会的情况</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2"/>
        <w:gridCol w:w="1164"/>
        <w:gridCol w:w="1162"/>
        <w:gridCol w:w="1164"/>
        <w:gridCol w:w="1164"/>
      </w:tblGrid>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1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38" w:right="33"/>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307" w:right="33"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36" w:right="33"/>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487" w:right="33"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984"/>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984"/>
        <w:jc w:val="left"/>
        <w:rPr>
          <w:rFonts w:ascii="Tahoma" w:hAnsi="Tahoma" w:cs="Tahoma" w:eastAsia="Tahoma" w:hint="default"/>
        </w:rPr>
      </w:pPr>
      <w:r>
        <w:rPr>
          <w:rFonts w:ascii="Tahoma" w:hAnsi="Tahoma" w:cs="Tahoma" w:eastAsia="Tahoma" w:hint="default"/>
        </w:rPr>
        <w:t>2</w:t>
      </w:r>
      <w:r>
        <w:rPr/>
        <w:t>、独立董事对公司有关事项提出异议的情况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独立董事对公司有关事项是否提出异议</w:t>
      </w:r>
    </w:p>
    <w:p>
      <w:pPr>
        <w:pStyle w:val="BodyText"/>
        <w:spacing w:line="240" w:lineRule="auto" w:before="117"/>
        <w:ind w:right="984"/>
        <w:jc w:val="left"/>
      </w:pPr>
      <w:r>
        <w:rPr>
          <w:rFonts w:ascii="Times New Roman" w:hAnsi="Times New Roman" w:cs="Times New Roman" w:eastAsia="Times New Roman" w:hint="default"/>
        </w:rPr>
        <w:t>□</w:t>
      </w:r>
      <w:r>
        <w:rPr/>
        <w:t>是</w:t>
      </w:r>
      <w:r>
        <w:rPr>
          <w:spacing w:val="-2"/>
        </w:rPr>
        <w:t> </w:t>
      </w:r>
      <w:r>
        <w:rPr>
          <w:rFonts w:ascii="Times New Roman" w:hAnsi="Times New Roman" w:cs="Times New Roman" w:eastAsia="Times New Roman" w:hint="default"/>
        </w:rPr>
        <w:t>√</w:t>
      </w:r>
      <w:r>
        <w:rPr/>
        <w:t>否</w:t>
      </w:r>
    </w:p>
    <w:p>
      <w:pPr>
        <w:spacing w:line="240" w:lineRule="auto" w:before="13"/>
        <w:rPr>
          <w:rFonts w:ascii="宋体" w:hAnsi="宋体" w:cs="宋体" w:eastAsia="宋体" w:hint="default"/>
          <w:sz w:val="25"/>
          <w:szCs w:val="25"/>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w:t>
      </w:r>
      <w:r>
        <w:rPr/>
        <w:t>、独立董事履行职责的其他说明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否 独立董事对公司有关建议被采纳或未被采纳的说明</w:t>
      </w:r>
    </w:p>
    <w:p>
      <w:pPr>
        <w:pStyle w:val="BodyText"/>
        <w:spacing w:line="307" w:lineRule="auto" w:before="39"/>
        <w:ind w:right="1130"/>
        <w:jc w:val="left"/>
      </w:pPr>
      <w:r>
        <w:rPr>
          <w:spacing w:val="-2"/>
        </w:rPr>
        <w:t>报告期内，公司独立董事忠实勤勉、依法严格履行了职责，亲自出席了公司召开的董事会会议并独立、客观的发表独立董事</w:t>
      </w:r>
      <w:r>
        <w:rPr>
          <w:spacing w:val="-64"/>
        </w:rPr>
        <w:t> </w:t>
      </w:r>
      <w:r>
        <w:rPr>
          <w:spacing w:val="-64"/>
        </w:rPr>
      </w:r>
      <w:r>
        <w:rPr>
          <w:spacing w:val="-2"/>
        </w:rPr>
        <w:t>意见；定期了解公司经营情况，关注外部环境变化对公司造成的影响，对公司的发展战略、内部控制、重大经营决策等提供</w:t>
      </w:r>
      <w:r>
        <w:rPr>
          <w:spacing w:val="-69"/>
        </w:rPr>
        <w:t> </w:t>
      </w:r>
      <w:r>
        <w:rPr>
          <w:spacing w:val="-69"/>
        </w:rPr>
      </w:r>
      <w:r>
        <w:rPr/>
        <w:t>了专业性意见，提高了决策的科学性。 </w:t>
      </w:r>
      <w:r>
        <w:rPr>
          <w:spacing w:val="-2"/>
        </w:rPr>
        <w:t>报告期内，独立董事张建军、李伟东对公司累计和当期对外担保情况、关于</w:t>
      </w:r>
      <w:r>
        <w:rPr>
          <w:rFonts w:ascii="Times New Roman" w:hAnsi="Times New Roman" w:cs="Times New Roman" w:eastAsia="Times New Roman" w:hint="default"/>
          <w:spacing w:val="-2"/>
        </w:rPr>
        <w:t>2017</w:t>
      </w:r>
      <w:r>
        <w:rPr>
          <w:spacing w:val="-2"/>
        </w:rPr>
        <w:t>年度内部控制自我评价报告、</w:t>
      </w:r>
      <w:r>
        <w:rPr>
          <w:rFonts w:ascii="Times New Roman" w:hAnsi="Times New Roman" w:cs="Times New Roman" w:eastAsia="Times New Roman" w:hint="default"/>
          <w:spacing w:val="-2"/>
        </w:rPr>
        <w:t>2017</w:t>
      </w:r>
      <w:r>
        <w:rPr>
          <w:spacing w:val="-2"/>
        </w:rPr>
        <w:t>年度募集</w:t>
      </w:r>
      <w:r>
        <w:rPr>
          <w:spacing w:val="-59"/>
        </w:rPr>
        <w:t> </w:t>
      </w:r>
      <w:r>
        <w:rPr>
          <w:spacing w:val="-59"/>
        </w:rPr>
      </w:r>
      <w:r>
        <w:rPr>
          <w:spacing w:val="-2"/>
        </w:rPr>
        <w:t>资金存放与使用、实际控制人与其他关联方占用资金情况、</w:t>
      </w:r>
      <w:r>
        <w:rPr>
          <w:rFonts w:ascii="Times New Roman" w:hAnsi="Times New Roman" w:cs="Times New Roman" w:eastAsia="Times New Roman" w:hint="default"/>
          <w:spacing w:val="-2"/>
        </w:rPr>
        <w:t>2017</w:t>
      </w:r>
      <w:r>
        <w:rPr>
          <w:spacing w:val="-2"/>
        </w:rPr>
        <w:t>年度利润分配预案、续聘会计师事务所、公司《未来三年股</w:t>
      </w:r>
      <w:r>
        <w:rPr>
          <w:spacing w:val="-65"/>
        </w:rPr>
        <w:t> </w:t>
      </w:r>
      <w:r>
        <w:rPr>
          <w:spacing w:val="-65"/>
        </w:rPr>
      </w:r>
      <w:r>
        <w:rPr/>
        <w:t>东回报规划（</w:t>
      </w:r>
      <w:r>
        <w:rPr>
          <w:rFonts w:ascii="Times New Roman" w:hAnsi="Times New Roman" w:cs="Times New Roman" w:eastAsia="Times New Roman" w:hint="default"/>
        </w:rPr>
        <w:t>2018-2020</w:t>
      </w:r>
      <w:r>
        <w:rPr/>
        <w:t>）》、会计政策变更、终止</w:t>
      </w:r>
      <w:r>
        <w:rPr>
          <w:rFonts w:ascii="Times New Roman" w:hAnsi="Times New Roman" w:cs="Times New Roman" w:eastAsia="Times New Roman" w:hint="default"/>
        </w:rPr>
        <w:t>2017</w:t>
      </w:r>
      <w:r>
        <w:rPr/>
        <w:t>年度公开发行可转换公司债券并撤回申请文件、前次募集资金使用 </w:t>
      </w:r>
      <w:r>
        <w:rPr>
          <w:spacing w:val="-2"/>
        </w:rPr>
        <w:t>情况报告、部分募集资金投资项目延期、</w:t>
      </w:r>
      <w:r>
        <w:rPr>
          <w:rFonts w:ascii="Times New Roman" w:hAnsi="Times New Roman" w:cs="Times New Roman" w:eastAsia="Times New Roman" w:hint="default"/>
          <w:spacing w:val="-2"/>
        </w:rPr>
        <w:t>2018</w:t>
      </w:r>
      <w:r>
        <w:rPr>
          <w:spacing w:val="-2"/>
        </w:rPr>
        <w:t>年半年度募集资金存放与使用、以集中竞价交易方式回购股份、部分变更募集</w:t>
      </w:r>
      <w:r>
        <w:rPr>
          <w:spacing w:val="-64"/>
        </w:rPr>
        <w:t> </w:t>
      </w:r>
      <w:r>
        <w:rPr>
          <w:spacing w:val="-64"/>
        </w:rPr>
      </w:r>
      <w:r>
        <w:rPr/>
        <w:t>资金用途、使用部分暂时闲置募集资金购买结构性存款等事项发表了独立意见。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1"/>
        <w:ind w:right="984"/>
        <w:jc w:val="left"/>
        <w:rPr>
          <w:rFonts w:ascii="Tahoma" w:hAnsi="Tahoma" w:cs="Tahoma" w:eastAsia="Tahoma" w:hint="default"/>
        </w:rPr>
      </w:pPr>
      <w:r>
        <w:rPr/>
        <w:t>六、董事会下设专门委员会在报告期内履行职责情况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1</w:t>
      </w:r>
      <w:r>
        <w:rPr/>
        <w:t>、审计委员会的履职情况</w:t>
      </w:r>
    </w:p>
    <w:p>
      <w:pPr>
        <w:pStyle w:val="BodyText"/>
        <w:spacing w:line="240" w:lineRule="auto" w:before="63"/>
        <w:ind w:right="984"/>
        <w:jc w:val="left"/>
      </w:pPr>
      <w:r>
        <w:rPr/>
        <w:t>（</w:t>
      </w:r>
      <w:r>
        <w:rPr>
          <w:rFonts w:ascii="Times New Roman" w:hAnsi="Times New Roman" w:cs="Times New Roman" w:eastAsia="Times New Roman" w:hint="default"/>
        </w:rPr>
        <w:t>1</w:t>
      </w:r>
      <w:r>
        <w:rPr/>
        <w:t>）报告期召开会议的情况</w:t>
      </w:r>
    </w:p>
    <w:p>
      <w:pPr>
        <w:pStyle w:val="BodyText"/>
        <w:spacing w:line="240" w:lineRule="auto" w:before="63"/>
        <w:ind w:right="984"/>
        <w:jc w:val="left"/>
      </w:pPr>
      <w:r>
        <w:rPr>
          <w:rFonts w:ascii="Times New Roman" w:hAnsi="Times New Roman" w:cs="Times New Roman" w:eastAsia="Times New Roman" w:hint="default"/>
        </w:rPr>
        <w:t>2018</w:t>
      </w:r>
      <w:r>
        <w:rPr/>
        <w:t>年，董事会审计委员会共召开</w:t>
      </w:r>
      <w:r>
        <w:rPr>
          <w:rFonts w:ascii="Times New Roman" w:hAnsi="Times New Roman" w:cs="Times New Roman" w:eastAsia="Times New Roman" w:hint="default"/>
        </w:rPr>
        <w:t>6</w:t>
      </w:r>
      <w:r>
        <w:rPr/>
        <w:t>次会议，分别如下：</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right="984"/>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日召开第四届董事会审计委员会第九次会议，审议通过《审计部</w:t>
      </w:r>
      <w:r>
        <w:rPr>
          <w:rFonts w:ascii="Times New Roman" w:hAnsi="Times New Roman" w:cs="Times New Roman" w:eastAsia="Times New Roman" w:hint="default"/>
        </w:rPr>
        <w:t>2017</w:t>
      </w:r>
      <w:r>
        <w:rPr/>
        <w:t>年度工作总结》的议案</w:t>
      </w:r>
    </w:p>
    <w:p>
      <w:pPr>
        <w:pStyle w:val="BodyText"/>
        <w:spacing w:line="300" w:lineRule="auto" w:before="63"/>
        <w:ind w:right="4544"/>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日召开第四届董事会审计委员会第十次会议，审议通过以下议案：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2017</w:t>
      </w:r>
      <w:r>
        <w:rPr/>
        <w:t>年年度财务报告》</w:t>
      </w:r>
    </w:p>
    <w:p>
      <w:pPr>
        <w:pStyle w:val="BodyText"/>
        <w:spacing w:line="300" w:lineRule="auto" w:before="13"/>
        <w:ind w:right="4364"/>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2017</w:t>
      </w:r>
      <w:r>
        <w:rPr/>
        <w:t>年第四季度有关事项的检查报告》 </w:t>
      </w:r>
      <w:r>
        <w:rPr>
          <w:rFonts w:ascii="Times New Roman" w:hAnsi="Times New Roman" w:cs="Times New Roman" w:eastAsia="Times New Roman" w:hint="default"/>
        </w:rPr>
        <w:t>C</w:t>
      </w:r>
      <w:r>
        <w:rPr/>
        <w:t>《关于大信会计师事务所（特殊普通合伙）</w:t>
      </w:r>
      <w:r>
        <w:rPr>
          <w:rFonts w:ascii="Times New Roman" w:hAnsi="Times New Roman" w:cs="Times New Roman" w:eastAsia="Times New Roman" w:hint="default"/>
        </w:rPr>
        <w:t>2017</w:t>
      </w:r>
      <w:r>
        <w:rPr/>
        <w:t>年度审计工作总结》 </w:t>
      </w:r>
      <w:r>
        <w:rPr>
          <w:rFonts w:ascii="Times New Roman" w:hAnsi="Times New Roman" w:cs="Times New Roman" w:eastAsia="Times New Roman" w:hint="default"/>
        </w:rPr>
        <w:t>D</w:t>
      </w:r>
      <w:r>
        <w:rPr/>
        <w:t>《</w:t>
      </w:r>
      <w:r>
        <w:rPr>
          <w:rFonts w:ascii="Times New Roman" w:hAnsi="Times New Roman" w:cs="Times New Roman" w:eastAsia="Times New Roman" w:hint="default"/>
        </w:rPr>
        <w:t>2017</w:t>
      </w:r>
      <w:r>
        <w:rPr/>
        <w:t>年度内部控制自我评价报告》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日召开第四届董事会审计委员会第十一次会议，审议通过以下议案：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2018</w:t>
      </w:r>
      <w:r>
        <w:rPr/>
        <w:t>年第一季度财务报告》</w:t>
      </w:r>
    </w:p>
    <w:p>
      <w:pPr>
        <w:pStyle w:val="BodyText"/>
        <w:spacing w:line="300" w:lineRule="auto" w:before="13"/>
        <w:ind w:right="4454"/>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2018</w:t>
      </w:r>
      <w:r>
        <w:rPr/>
        <w:t>年第一季度有关事项的检查报告》 </w:t>
      </w:r>
      <w:r>
        <w:rPr>
          <w:rFonts w:ascii="Times New Roman" w:hAnsi="Times New Roman" w:cs="Times New Roman" w:eastAsia="Times New Roman" w:hint="default"/>
        </w:rPr>
        <w:t>C</w:t>
      </w:r>
      <w:r>
        <w:rPr/>
        <w:t>《审计部</w:t>
      </w:r>
      <w:r>
        <w:rPr>
          <w:rFonts w:ascii="Times New Roman" w:hAnsi="Times New Roman" w:cs="Times New Roman" w:eastAsia="Times New Roman" w:hint="default"/>
        </w:rPr>
        <w:t>2018</w:t>
      </w:r>
      <w:r>
        <w:rPr/>
        <w:t>年第一季度工作总结及</w:t>
      </w:r>
      <w:r>
        <w:rPr>
          <w:rFonts w:ascii="Times New Roman" w:hAnsi="Times New Roman" w:cs="Times New Roman" w:eastAsia="Times New Roman" w:hint="default"/>
        </w:rPr>
        <w:t>2018</w:t>
      </w:r>
      <w:r>
        <w:rPr/>
        <w:t>年第二季度工作计划》；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日召开第四届董事会审计委员会第十二次会议，审议通过以下议案：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2018</w:t>
      </w:r>
      <w:r>
        <w:rPr/>
        <w:t>年半年度财务报告》</w:t>
      </w:r>
    </w:p>
    <w:p>
      <w:pPr>
        <w:pStyle w:val="BodyText"/>
        <w:spacing w:line="300" w:lineRule="auto" w:before="13"/>
        <w:ind w:right="4274"/>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2018</w:t>
      </w:r>
      <w:r>
        <w:rPr/>
        <w:t>年第二季度有关事项的检查报告》 </w:t>
      </w:r>
      <w:r>
        <w:rPr>
          <w:rFonts w:ascii="Times New Roman" w:hAnsi="Times New Roman" w:cs="Times New Roman" w:eastAsia="Times New Roman" w:hint="default"/>
        </w:rPr>
        <w:t>C</w:t>
      </w:r>
      <w:r>
        <w:rPr/>
        <w:t>《审计部</w:t>
      </w:r>
      <w:r>
        <w:rPr>
          <w:rFonts w:ascii="Times New Roman" w:hAnsi="Times New Roman" w:cs="Times New Roman" w:eastAsia="Times New Roman" w:hint="default"/>
        </w:rPr>
        <w:t>2018</w:t>
      </w:r>
      <w:r>
        <w:rPr/>
        <w:t>年第二季度工作总结及</w:t>
      </w:r>
      <w:r>
        <w:rPr>
          <w:rFonts w:ascii="Times New Roman" w:hAnsi="Times New Roman" w:cs="Times New Roman" w:eastAsia="Times New Roman" w:hint="default"/>
        </w:rPr>
        <w:t>2018</w:t>
      </w:r>
      <w:r>
        <w:rPr/>
        <w:t>年第三季度工作计划》的议案；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日召开第四届董事会审计委员会第十三次会议，审议通过以下议案：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2018</w:t>
      </w:r>
      <w:r>
        <w:rPr/>
        <w:t>年第三季度财务报告》</w:t>
      </w:r>
    </w:p>
    <w:p>
      <w:pPr>
        <w:pStyle w:val="BodyText"/>
        <w:spacing w:line="300" w:lineRule="auto" w:before="13"/>
        <w:ind w:right="5054"/>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2018</w:t>
      </w:r>
      <w:r>
        <w:rPr/>
        <w:t>年第三季度有关事项的检查报告》 </w:t>
      </w:r>
      <w:r>
        <w:rPr>
          <w:rFonts w:ascii="Times New Roman" w:hAnsi="Times New Roman" w:cs="Times New Roman" w:eastAsia="Times New Roman" w:hint="default"/>
        </w:rPr>
        <w:t>C</w:t>
      </w:r>
      <w:r>
        <w:rPr/>
        <w:t>《审计部</w:t>
      </w:r>
      <w:r>
        <w:rPr>
          <w:rFonts w:ascii="Times New Roman" w:hAnsi="Times New Roman" w:cs="Times New Roman" w:eastAsia="Times New Roman" w:hint="default"/>
        </w:rPr>
        <w:t>2018</w:t>
      </w:r>
      <w:r>
        <w:rPr/>
        <w:t>年第三季度工作总结及</w:t>
      </w:r>
      <w:r>
        <w:rPr>
          <w:rFonts w:ascii="Times New Roman" w:hAnsi="Times New Roman" w:cs="Times New Roman" w:eastAsia="Times New Roman" w:hint="default"/>
        </w:rPr>
        <w:t>2018</w:t>
      </w:r>
      <w:r>
        <w:rPr/>
        <w:t>年第四季度工作计划》的议案</w:t>
      </w:r>
    </w:p>
    <w:p>
      <w:pPr>
        <w:pStyle w:val="BodyText"/>
        <w:spacing w:line="300" w:lineRule="auto" w:before="13"/>
        <w:ind w:right="984"/>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日召开第四届董事会审计委员会第十四次会议，审议通过《审计部</w:t>
      </w:r>
      <w:r>
        <w:rPr>
          <w:rFonts w:ascii="Times New Roman" w:hAnsi="Times New Roman" w:cs="Times New Roman" w:eastAsia="Times New Roman" w:hint="default"/>
          <w:spacing w:val="-2"/>
        </w:rPr>
        <w:t>2018</w:t>
      </w:r>
      <w:r>
        <w:rPr>
          <w:spacing w:val="-2"/>
        </w:rPr>
        <w:t>年度工作总结及</w:t>
      </w:r>
      <w:r>
        <w:rPr>
          <w:rFonts w:ascii="Times New Roman" w:hAnsi="Times New Roman" w:cs="Times New Roman" w:eastAsia="Times New Roman" w:hint="default"/>
          <w:spacing w:val="-2"/>
        </w:rPr>
        <w:t>2019</w:t>
      </w:r>
      <w:r>
        <w:rPr>
          <w:spacing w:val="-2"/>
        </w:rPr>
        <w:t>年度工作计划》的</w:t>
      </w:r>
      <w:r>
        <w:rPr>
          <w:spacing w:val="-56"/>
        </w:rPr>
        <w:t> </w:t>
      </w:r>
      <w:r>
        <w:rPr>
          <w:spacing w:val="-56"/>
        </w:rPr>
      </w:r>
      <w:r>
        <w:rPr/>
        <w:t>议案</w:t>
      </w:r>
    </w:p>
    <w:p>
      <w:pPr>
        <w:pStyle w:val="BodyText"/>
        <w:spacing w:line="307" w:lineRule="auto" w:before="31"/>
        <w:ind w:right="984"/>
        <w:jc w:val="left"/>
      </w:pPr>
      <w:r>
        <w:rPr/>
        <w:t>（</w:t>
      </w:r>
      <w:r>
        <w:rPr>
          <w:rFonts w:ascii="Times New Roman" w:hAnsi="Times New Roman" w:cs="Times New Roman" w:eastAsia="Times New Roman" w:hint="default"/>
        </w:rPr>
        <w:t>2</w:t>
      </w:r>
      <w:r>
        <w:rPr/>
        <w:t>）开展年报工作的情况 </w:t>
      </w:r>
      <w:r>
        <w:rPr>
          <w:spacing w:val="-2"/>
        </w:rPr>
        <w:t>公司</w:t>
      </w:r>
      <w:r>
        <w:rPr>
          <w:rFonts w:ascii="Times New Roman" w:hAnsi="Times New Roman" w:cs="Times New Roman" w:eastAsia="Times New Roman" w:hint="default"/>
          <w:spacing w:val="-2"/>
        </w:rPr>
        <w:t>2018</w:t>
      </w:r>
      <w:r>
        <w:rPr>
          <w:spacing w:val="-2"/>
        </w:rPr>
        <w:t>年度报告审计工作期间，公司审计委员会与年报审计会计师事务所公司高管财务人员就年报审计事项保持沟通，并</w:t>
      </w:r>
      <w:r>
        <w:rPr>
          <w:spacing w:val="-63"/>
        </w:rPr>
        <w:t> </w:t>
      </w:r>
      <w:r>
        <w:rPr>
          <w:spacing w:val="-63"/>
        </w:rPr>
      </w:r>
      <w:r>
        <w:rPr>
          <w:spacing w:val="-2"/>
        </w:rPr>
        <w:t>就相关问题深入交换意见。审计委员会分别在年审注册会计师进场前年审注册会计师出具初步意见后年审注册会计师出具审</w:t>
      </w:r>
      <w:r>
        <w:rPr>
          <w:spacing w:val="-63"/>
        </w:rPr>
        <w:t> </w:t>
      </w:r>
      <w:r>
        <w:rPr>
          <w:spacing w:val="-63"/>
        </w:rPr>
      </w:r>
      <w:r>
        <w:rPr/>
        <w:t>计报告后召开会议，对报表发表书面意见。</w:t>
      </w:r>
    </w:p>
    <w:p>
      <w:pPr>
        <w:pStyle w:val="BodyText"/>
        <w:spacing w:line="324" w:lineRule="auto" w:before="26"/>
        <w:ind w:right="1034"/>
        <w:jc w:val="left"/>
      </w:pPr>
      <w:r>
        <w:rPr/>
        <w:t>（</w:t>
      </w:r>
      <w:r>
        <w:rPr>
          <w:rFonts w:ascii="Times New Roman" w:hAnsi="Times New Roman" w:cs="Times New Roman" w:eastAsia="Times New Roman" w:hint="default"/>
        </w:rPr>
        <w:t>3</w:t>
      </w:r>
      <w:r>
        <w:rPr/>
        <w:t>）关于会计师事务所从事上年度公司审计工作的总结和续聘建议 大信会计师事务所（特殊普通合伙）在为公司提供审计服务的过程中，审计人员能够严格遵守《中国注册会计师审计准则》 相关要求，保持独立性和严谨性，在审计过程中，注册会计师积极保持与审计委员会委员独立董事公司高管等人员的沟通， </w:t>
      </w:r>
      <w:r>
        <w:rPr>
          <w:spacing w:val="-2"/>
        </w:rPr>
        <w:t>坚持以公允客观的态度进行审计，完成了所有必要的审计程序，表现了良好的职业操守和专业素质。为保持审计工作开展的</w:t>
      </w:r>
      <w:r>
        <w:rPr>
          <w:spacing w:val="-62"/>
        </w:rPr>
        <w:t> </w:t>
      </w:r>
      <w:r>
        <w:rPr>
          <w:spacing w:val="-62"/>
        </w:rPr>
      </w:r>
      <w:r>
        <w:rPr/>
        <w:t>连续性，董事会审计委员会建议续聘大信会计师事务所（特殊普通合伙）为公司</w:t>
      </w:r>
      <w:r>
        <w:rPr>
          <w:rFonts w:ascii="Times New Roman" w:hAnsi="Times New Roman" w:cs="Times New Roman" w:eastAsia="Times New Roman" w:hint="default"/>
        </w:rPr>
        <w:t>2019</w:t>
      </w:r>
      <w:r>
        <w:rPr/>
        <w:t>年度财务审计机构。</w:t>
      </w:r>
    </w:p>
    <w:p>
      <w:pPr>
        <w:spacing w:line="240" w:lineRule="auto" w:before="3"/>
        <w:rPr>
          <w:rFonts w:ascii="宋体" w:hAnsi="宋体" w:cs="宋体" w:eastAsia="宋体" w:hint="default"/>
          <w:sz w:val="26"/>
          <w:szCs w:val="26"/>
        </w:rPr>
      </w:pPr>
    </w:p>
    <w:p>
      <w:pPr>
        <w:pStyle w:val="BodyText"/>
        <w:spacing w:line="240" w:lineRule="auto"/>
        <w:ind w:right="984"/>
        <w:jc w:val="left"/>
      </w:pPr>
      <w:r>
        <w:rPr>
          <w:rFonts w:ascii="Times New Roman" w:hAnsi="Times New Roman" w:cs="Times New Roman" w:eastAsia="Times New Roman" w:hint="default"/>
        </w:rPr>
        <w:t>2</w:t>
      </w:r>
      <w:r>
        <w:rPr/>
        <w:t>、战略委员会的履职情况</w:t>
      </w:r>
    </w:p>
    <w:p>
      <w:pPr>
        <w:pStyle w:val="BodyText"/>
        <w:spacing w:line="300" w:lineRule="auto" w:before="63"/>
        <w:ind w:right="4874"/>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日召开的战略委员会</w:t>
      </w:r>
      <w:r>
        <w:rPr>
          <w:rFonts w:ascii="Times New Roman" w:hAnsi="Times New Roman" w:cs="Times New Roman" w:eastAsia="Times New Roman" w:hint="default"/>
        </w:rPr>
        <w:t>2018</w:t>
      </w:r>
      <w:r>
        <w:rPr/>
        <w:t>年第一次会议，审议通过如下议案： </w:t>
      </w:r>
      <w:r>
        <w:rPr>
          <w:rFonts w:ascii="Times New Roman" w:hAnsi="Times New Roman" w:cs="Times New Roman" w:eastAsia="Times New Roman" w:hint="default"/>
        </w:rPr>
        <w:t>A</w:t>
      </w:r>
      <w:r>
        <w:rPr>
          <w:rFonts w:ascii="Times New Roman" w:hAnsi="Times New Roman" w:cs="Times New Roman" w:eastAsia="Times New Roman" w:hint="default"/>
          <w:spacing w:val="24"/>
        </w:rPr>
        <w:t> </w:t>
      </w:r>
      <w:r>
        <w:rPr/>
        <w:t>《关于实施智能包装研发生产基地项目的议案》； </w:t>
      </w:r>
      <w:r>
        <w:rPr>
          <w:rFonts w:ascii="Times New Roman" w:hAnsi="Times New Roman" w:cs="Times New Roman" w:eastAsia="Times New Roman" w:hint="default"/>
        </w:rPr>
        <w:t>B</w:t>
      </w:r>
      <w:r>
        <w:rPr/>
        <w:t>《关于实施新材料研发、检验检测及行业企业孵化产业园项目的议案》；</w:t>
      </w:r>
    </w:p>
    <w:p>
      <w:pPr>
        <w:pStyle w:val="BodyText"/>
        <w:spacing w:line="240" w:lineRule="auto" w:before="13"/>
        <w:ind w:right="984"/>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日召开的战略委员会</w:t>
      </w:r>
      <w:r>
        <w:rPr>
          <w:rFonts w:ascii="Times New Roman" w:hAnsi="Times New Roman" w:cs="Times New Roman" w:eastAsia="Times New Roman" w:hint="default"/>
        </w:rPr>
        <w:t>2018</w:t>
      </w:r>
      <w:r>
        <w:rPr/>
        <w:t>年第二次会议，审议通过了《关于注销深圳市汇天云网科技有限公司的议案》。</w:t>
      </w:r>
    </w:p>
    <w:p>
      <w:pPr>
        <w:spacing w:line="240" w:lineRule="auto" w:before="3"/>
        <w:rPr>
          <w:rFonts w:ascii="宋体" w:hAnsi="宋体" w:cs="宋体" w:eastAsia="宋体" w:hint="default"/>
          <w:sz w:val="24"/>
          <w:szCs w:val="24"/>
        </w:rPr>
      </w:pPr>
    </w:p>
    <w:p>
      <w:pPr>
        <w:pStyle w:val="Heading2"/>
        <w:spacing w:line="240" w:lineRule="auto"/>
        <w:ind w:right="984"/>
        <w:jc w:val="left"/>
        <w:rPr>
          <w:rFonts w:ascii="Tahoma" w:hAnsi="Tahoma" w:cs="Tahoma" w:eastAsia="Tahoma" w:hint="default"/>
        </w:rPr>
      </w:pPr>
      <w:r>
        <w:rPr/>
        <w:t>七、监事会工作情况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监事会在报告期内的监督活动中发现公司是否存在风险</w:t>
      </w:r>
    </w:p>
    <w:p>
      <w:pPr>
        <w:pStyle w:val="BodyText"/>
        <w:spacing w:line="340" w:lineRule="auto" w:before="115"/>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监事会对报告期内的监督事项无异议。</w:t>
      </w:r>
    </w:p>
    <w:p>
      <w:pPr>
        <w:spacing w:after="0" w:line="340" w:lineRule="auto"/>
        <w:jc w:val="left"/>
        <w:sectPr>
          <w:pgSz w:w="11910" w:h="16840"/>
          <w:pgMar w:header="753"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4"/>
        <w:jc w:val="left"/>
        <w:rPr>
          <w:rFonts w:ascii="Tahoma" w:hAnsi="Tahoma" w:cs="Tahoma" w:eastAsia="Tahoma" w:hint="default"/>
        </w:rPr>
      </w:pPr>
      <w:r>
        <w:rPr/>
        <w:t>八、高级管理人员的考评及激励情况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984"/>
        <w:jc w:val="left"/>
      </w:pPr>
      <w:r>
        <w:rPr>
          <w:spacing w:val="-2"/>
        </w:rPr>
        <w:t>公司建立了高级管理人员的选择、考评、激励与约束机制，公司高管人员全部由董事会聘任，对董事会负责，承担董事会下</w:t>
      </w:r>
      <w:r>
        <w:rPr>
          <w:spacing w:val="-66"/>
        </w:rPr>
        <w:t> </w:t>
      </w:r>
      <w:r>
        <w:rPr>
          <w:spacing w:val="-66"/>
        </w:rPr>
      </w:r>
      <w:r>
        <w:rPr/>
        <w:t>达的经营指标，董事会负责对高级管理人员进行考评、确定薪酬。</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984"/>
        <w:jc w:val="left"/>
        <w:rPr>
          <w:rFonts w:ascii="Tahoma" w:hAnsi="Tahoma" w:cs="Tahoma" w:eastAsia="Tahoma" w:hint="default"/>
        </w:rPr>
      </w:pPr>
      <w:r>
        <w:rPr/>
        <w:t>九、内部控制评价报告</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、报告期内发现的内部控制重大缺陷的具体情况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3"/>
        <w:rPr>
          <w:rFonts w:ascii="宋体" w:hAnsi="宋体" w:cs="宋体" w:eastAsia="宋体" w:hint="default"/>
          <w:sz w:val="25"/>
          <w:szCs w:val="25"/>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w:t>
      </w:r>
      <w:r>
        <w:rPr/>
        <w:t>、内控自我评价报告</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17"/>
          <w:szCs w:val="17"/>
        </w:rPr>
      </w:pPr>
    </w:p>
    <w:p>
      <w:pPr>
        <w:pStyle w:val="BodyText"/>
        <w:spacing w:line="240" w:lineRule="auto"/>
        <w:ind w:left="0" w:right="1164"/>
        <w:jc w:val="right"/>
      </w:pPr>
      <w:r>
        <w:rPr/>
        <w:pict>
          <v:shape style="position:absolute;margin-left:376.656616pt;margin-top:-127.248276pt;width:158.2pt;height:175.7pt;mso-position-horizontal-relative:page;mso-position-vertical-relative:paragraph;z-index:-13214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BodyText"/>
                    <w:spacing w:line="240" w:lineRule="auto"/>
                    <w:ind w:left="0" w:right="0"/>
                    <w:jc w:val="left"/>
                  </w:pPr>
                  <w:r>
                    <w:rPr/>
                    <w:t>；</w:t>
                  </w:r>
                </w:p>
              </w:txbxContent>
            </v:textbox>
            <w10:wrap type="none"/>
          </v:shape>
        </w:pict>
      </w:r>
      <w:r>
        <w:rPr/>
        <w:pict>
          <v:shape style="position:absolute;margin-left:56.399998pt;margin-top:-295.128265pt;width:479.9pt;height:482.3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4" w:type="dxa"/>
                        <w:gridSpan w:val="2"/>
                        <w:vMerge w:val="restart"/>
                        <w:tcBorders>
                          <w:top w:val="single" w:sz="4" w:space="0" w:color="000000"/>
                          <w:left w:val="single" w:sz="4" w:space="0" w:color="000000"/>
                          <w:right w:val="single" w:sz="4" w:space="0" w:color="000000"/>
                        </w:tcBorders>
                      </w:tcPr>
                      <w:p>
                        <w:pPr>
                          <w:pStyle w:val="TableParagraph"/>
                          <w:spacing w:line="297"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日刊载于巨潮资讯网的《内部控制评价报告》（公告编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2019-031</w:t>
                        </w:r>
                        <w:r>
                          <w:rPr>
                            <w:rFonts w:ascii="宋体" w:hAnsi="宋体" w:cs="宋体" w:eastAsia="宋体" w:hint="default"/>
                            <w:sz w:val="18"/>
                            <w:szCs w:val="18"/>
                          </w:rPr>
                          <w:t>）</w:t>
                        </w:r>
                      </w:p>
                    </w:tc>
                  </w:tr>
                  <w:tr>
                    <w:trPr>
                      <w:trHeight w:val="391"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vMerge/>
                        <w:tcBorders>
                          <w:left w:val="single" w:sz="4" w:space="0" w:color="000000"/>
                          <w:right w:val="single" w:sz="4" w:space="0" w:color="000000"/>
                        </w:tcBorders>
                      </w:tcPr>
                      <w:p>
                        <w:pPr/>
                      </w:p>
                    </w:tc>
                  </w:tr>
                  <w:tr>
                    <w:trPr>
                      <w:trHeight w:val="161"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4" w:type="dxa"/>
                        <w:gridSpan w:val="2"/>
                        <w:vMerge/>
                        <w:tcBorders>
                          <w:left w:val="single" w:sz="4" w:space="0" w:color="000000"/>
                          <w:bottom w:val="single" w:sz="4" w:space="0" w:color="000000"/>
                          <w:right w:val="single" w:sz="4" w:space="0" w:color="000000"/>
                        </w:tcBorders>
                      </w:tcPr>
                      <w:p>
                        <w:pP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78.58%</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88.74%</w:t>
                        </w:r>
                      </w:p>
                    </w:tc>
                  </w:tr>
                  <w:tr>
                    <w:trPr>
                      <w:trHeight w:val="403"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565"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2" w:type="dxa"/>
                        <w:vMerge w:val="restart"/>
                        <w:tcBorders>
                          <w:top w:val="single" w:sz="4" w:space="0" w:color="000000"/>
                          <w:left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7" w:lineRule="auto"/>
                          <w:ind w:left="24" w:right="9"/>
                          <w:jc w:val="left"/>
                          <w:rPr>
                            <w:rFonts w:ascii="宋体" w:hAnsi="宋体" w:cs="宋体" w:eastAsia="宋体" w:hint="default"/>
                            <w:sz w:val="18"/>
                            <w:szCs w:val="18"/>
                          </w:rPr>
                        </w:pPr>
                        <w:r>
                          <w:rPr>
                            <w:rFonts w:ascii="宋体" w:hAnsi="宋体" w:cs="宋体" w:eastAsia="宋体" w:hint="default"/>
                            <w:sz w:val="18"/>
                            <w:szCs w:val="18"/>
                          </w:rPr>
                          <w:t>定性标准</w:t>
                        </w:r>
                        <w:r>
                          <w:rPr>
                            <w:rFonts w:ascii="宋体" w:hAnsi="宋体" w:cs="宋体" w:eastAsia="宋体" w:hint="default"/>
                            <w:spacing w:val="29"/>
                            <w:sz w:val="18"/>
                            <w:szCs w:val="18"/>
                          </w:rPr>
                          <w:t> </w:t>
                        </w:r>
                        <w:r>
                          <w:rPr>
                            <w:rFonts w:ascii="宋体" w:hAnsi="宋体" w:cs="宋体" w:eastAsia="宋体" w:hint="default"/>
                            <w:sz w:val="18"/>
                            <w:szCs w:val="18"/>
                          </w:rPr>
                          <w:t>公司若发生以下情况，则表明</w:t>
                        </w:r>
                        <w:r>
                          <w:rPr>
                            <w:rFonts w:ascii="宋体" w:hAnsi="宋体" w:cs="宋体" w:eastAsia="宋体" w:hint="default"/>
                            <w:sz w:val="18"/>
                            <w:szCs w:val="18"/>
                          </w:rPr>
                          <w:t> </w:t>
                        </w:r>
                        <w:r>
                          <w:rPr>
                            <w:rFonts w:ascii="宋体" w:hAnsi="宋体" w:cs="宋体" w:eastAsia="宋体" w:hint="default"/>
                            <w:spacing w:val="-4"/>
                            <w:sz w:val="18"/>
                            <w:szCs w:val="18"/>
                          </w:rPr>
                          <w:t>可能存在</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重大缺陷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迹象：</w:t>
                        </w:r>
                        <w:r>
                          <w:rPr>
                            <w:rFonts w:ascii="Times New Roman" w:hAnsi="Times New Roman" w:cs="Times New Roman" w:eastAsia="Times New Roman" w:hint="default"/>
                            <w:spacing w:val="-4"/>
                            <w:sz w:val="18"/>
                            <w:szCs w:val="18"/>
                          </w:rPr>
                          <w:t>A</w:t>
                        </w:r>
                        <w:r>
                          <w:rPr>
                            <w:rFonts w:ascii="宋体" w:hAnsi="宋体" w:cs="宋体" w:eastAsia="宋体" w:hint="default"/>
                            <w:spacing w:val="-4"/>
                            <w:sz w:val="18"/>
                            <w:szCs w:val="18"/>
                          </w:rPr>
                          <w:t>、由于财务工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作出现重大失误，导致对已公布的财务报 告进行重大更正；</w:t>
                        </w:r>
                        <w:r>
                          <w:rPr>
                            <w:rFonts w:ascii="Times New Roman" w:hAnsi="Times New Roman" w:cs="Times New Roman" w:eastAsia="Times New Roman" w:hint="default"/>
                            <w:sz w:val="18"/>
                            <w:szCs w:val="18"/>
                          </w:rPr>
                          <w:t>B</w:t>
                        </w:r>
                        <w:r>
                          <w:rPr>
                            <w:rFonts w:ascii="宋体" w:hAnsi="宋体" w:cs="宋体" w:eastAsia="宋体" w:hint="default"/>
                            <w:sz w:val="18"/>
                            <w:szCs w:val="18"/>
                          </w:rPr>
                          <w:t>、董事、监事和高级 </w:t>
                        </w:r>
                        <w:r>
                          <w:rPr>
                            <w:rFonts w:ascii="宋体" w:hAnsi="宋体" w:cs="宋体" w:eastAsia="宋体" w:hint="default"/>
                            <w:spacing w:val="-4"/>
                            <w:sz w:val="18"/>
                            <w:szCs w:val="18"/>
                          </w:rPr>
                          <w:t>管理层的舞弊行为，给公司造成重大影响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z w:val="18"/>
                            <w:szCs w:val="18"/>
                          </w:rPr>
                          <w:t>C</w:t>
                        </w:r>
                        <w:r>
                          <w:rPr>
                            <w:rFonts w:ascii="宋体" w:hAnsi="宋体" w:cs="宋体" w:eastAsia="宋体" w:hint="default"/>
                            <w:sz w:val="18"/>
                            <w:szCs w:val="18"/>
                          </w:rPr>
                          <w:t>、审计委员会对财务报告内部控制监督 </w:t>
                        </w:r>
                        <w:r>
                          <w:rPr>
                            <w:rFonts w:ascii="宋体" w:hAnsi="宋体" w:cs="宋体" w:eastAsia="宋体" w:hint="default"/>
                            <w:spacing w:val="-2"/>
                            <w:sz w:val="18"/>
                            <w:szCs w:val="18"/>
                          </w:rPr>
                          <w:t>无效；</w:t>
                        </w:r>
                        <w:r>
                          <w:rPr>
                            <w:rFonts w:ascii="Times New Roman" w:hAnsi="Times New Roman" w:cs="Times New Roman" w:eastAsia="Times New Roman" w:hint="default"/>
                            <w:spacing w:val="-2"/>
                            <w:sz w:val="18"/>
                            <w:szCs w:val="18"/>
                          </w:rPr>
                          <w:t>D</w:t>
                        </w:r>
                        <w:r>
                          <w:rPr>
                            <w:rFonts w:ascii="宋体" w:hAnsi="宋体" w:cs="宋体" w:eastAsia="宋体" w:hint="default"/>
                            <w:spacing w:val="-2"/>
                            <w:sz w:val="18"/>
                            <w:szCs w:val="18"/>
                          </w:rPr>
                          <w:t>、内部审计职能无效；</w:t>
                        </w:r>
                        <w:r>
                          <w:rPr>
                            <w:rFonts w:ascii="Times New Roman" w:hAnsi="Times New Roman" w:cs="Times New Roman" w:eastAsia="Times New Roman" w:hint="default"/>
                            <w:spacing w:val="-2"/>
                            <w:sz w:val="18"/>
                            <w:szCs w:val="18"/>
                          </w:rPr>
                          <w:t>E</w:t>
                        </w:r>
                        <w:r>
                          <w:rPr>
                            <w:rFonts w:ascii="宋体" w:hAnsi="宋体" w:cs="宋体" w:eastAsia="宋体" w:hint="default"/>
                            <w:spacing w:val="-2"/>
                            <w:sz w:val="18"/>
                            <w:szCs w:val="18"/>
                          </w:rPr>
                          <w:t>、重大缺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陷没有得到整改。</w:t>
                        </w:r>
                      </w:p>
                    </w:tc>
                    <w:tc>
                      <w:tcPr>
                        <w:tcW w:w="3053" w:type="dxa"/>
                        <w:vMerge w:val="restart"/>
                        <w:tcBorders>
                          <w:top w:val="single" w:sz="4" w:space="0" w:color="000000"/>
                          <w:left w:val="single" w:sz="10" w:space="0" w:color="FFFFFF"/>
                          <w:right w:val="single" w:sz="10" w:space="0" w:color="FFFFFF"/>
                        </w:tcBorders>
                      </w:tcPr>
                      <w:p>
                        <w:pPr>
                          <w:pStyle w:val="TableParagraph"/>
                          <w:spacing w:line="309" w:lineRule="auto" w:before="49"/>
                          <w:ind w:left="19" w:right="11"/>
                          <w:jc w:val="left"/>
                          <w:rPr>
                            <w:rFonts w:ascii="宋体" w:hAnsi="宋体" w:cs="宋体" w:eastAsia="宋体" w:hint="default"/>
                            <w:sz w:val="18"/>
                            <w:szCs w:val="18"/>
                          </w:rPr>
                        </w:pPr>
                        <w:r>
                          <w:rPr>
                            <w:rFonts w:ascii="宋体" w:hAnsi="宋体" w:cs="宋体" w:eastAsia="宋体" w:hint="default"/>
                            <w:spacing w:val="-4"/>
                            <w:sz w:val="18"/>
                            <w:szCs w:val="18"/>
                          </w:rPr>
                          <w:t>公司若存在以下迹象，则表明非财务报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告内部控制可能存在</w:t>
                        </w:r>
                        <w:r>
                          <w:rPr>
                            <w:rFonts w:ascii="Times New Roman" w:hAnsi="Times New Roman" w:cs="Times New Roman" w:eastAsia="Times New Roman" w:hint="default"/>
                            <w:sz w:val="18"/>
                            <w:szCs w:val="18"/>
                          </w:rPr>
                          <w:t>"</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宋体" w:hAnsi="宋体" w:cs="宋体" w:eastAsia="宋体" w:hint="default"/>
                            <w:sz w:val="18"/>
                            <w:szCs w:val="18"/>
                          </w:rPr>
                          <w:t>、 </w:t>
                        </w:r>
                        <w:r>
                          <w:rPr>
                            <w:rFonts w:ascii="宋体" w:hAnsi="宋体" w:cs="宋体" w:eastAsia="宋体" w:hint="default"/>
                            <w:spacing w:val="-4"/>
                            <w:sz w:val="18"/>
                            <w:szCs w:val="18"/>
                          </w:rPr>
                          <w:t>违反国家法律、法规或规范性文件，造</w:t>
                        </w:r>
                        <w:r>
                          <w:rPr>
                            <w:rFonts w:ascii="宋体" w:hAnsi="宋体" w:cs="宋体" w:eastAsia="宋体" w:hint="default"/>
                            <w:sz w:val="18"/>
                            <w:szCs w:val="18"/>
                          </w:rPr>
                          <w:t> 成恶劣后果；</w:t>
                        </w:r>
                        <w:r>
                          <w:rPr>
                            <w:rFonts w:ascii="Times New Roman" w:hAnsi="Times New Roman" w:cs="Times New Roman" w:eastAsia="Times New Roman" w:hint="default"/>
                            <w:sz w:val="18"/>
                            <w:szCs w:val="18"/>
                          </w:rPr>
                          <w:t>B</w:t>
                        </w:r>
                        <w:r>
                          <w:rPr>
                            <w:rFonts w:ascii="宋体" w:hAnsi="宋体" w:cs="宋体" w:eastAsia="宋体" w:hint="default"/>
                            <w:sz w:val="18"/>
                            <w:szCs w:val="18"/>
                          </w:rPr>
                          <w:t>、重要业务模块缺乏制 </w:t>
                        </w:r>
                        <w:r>
                          <w:rPr>
                            <w:rFonts w:ascii="宋体" w:hAnsi="宋体" w:cs="宋体" w:eastAsia="宋体" w:hint="default"/>
                            <w:spacing w:val="-4"/>
                            <w:sz w:val="18"/>
                            <w:szCs w:val="18"/>
                          </w:rPr>
                          <w:t>度管控或制度系统性失效，导致经营管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理过程中出现重大漏洞，对公司持续经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营能力造成恶劣影响；</w:t>
                        </w:r>
                        <w:r>
                          <w:rPr>
                            <w:rFonts w:ascii="Times New Roman" w:hAnsi="Times New Roman" w:cs="Times New Roman" w:eastAsia="Times New Roman" w:hint="default"/>
                            <w:sz w:val="18"/>
                            <w:szCs w:val="18"/>
                          </w:rPr>
                          <w:t>C</w:t>
                        </w:r>
                        <w:r>
                          <w:rPr>
                            <w:rFonts w:ascii="宋体" w:hAnsi="宋体" w:cs="宋体" w:eastAsia="宋体" w:hint="default"/>
                            <w:sz w:val="18"/>
                            <w:szCs w:val="18"/>
                          </w:rPr>
                          <w:t>、决策程序不 科学导致的重大决策失误；</w:t>
                        </w:r>
                        <w:r>
                          <w:rPr>
                            <w:rFonts w:ascii="Times New Roman" w:hAnsi="Times New Roman" w:cs="Times New Roman" w:eastAsia="Times New Roman" w:hint="default"/>
                            <w:sz w:val="18"/>
                            <w:szCs w:val="18"/>
                          </w:rPr>
                          <w:t>D</w:t>
                        </w:r>
                        <w:r>
                          <w:rPr>
                            <w:rFonts w:ascii="宋体" w:hAnsi="宋体" w:cs="宋体" w:eastAsia="宋体" w:hint="default"/>
                            <w:sz w:val="18"/>
                            <w:szCs w:val="18"/>
                          </w:rPr>
                          <w:t>、高级管 理人员及核心技术人员流失异常严重 </w:t>
                        </w:r>
                        <w:r>
                          <w:rPr>
                            <w:rFonts w:ascii="Times New Roman" w:hAnsi="Times New Roman" w:cs="Times New Roman" w:eastAsia="Times New Roman" w:hint="default"/>
                            <w:sz w:val="18"/>
                            <w:szCs w:val="18"/>
                          </w:rPr>
                          <w:t>E</w:t>
                        </w:r>
                        <w:r>
                          <w:rPr>
                            <w:rFonts w:ascii="宋体" w:hAnsi="宋体" w:cs="宋体" w:eastAsia="宋体" w:hint="default"/>
                            <w:sz w:val="18"/>
                            <w:szCs w:val="18"/>
                          </w:rPr>
                          <w:t>、内部审计评价结果为</w:t>
                        </w:r>
                        <w:r>
                          <w:rPr>
                            <w:rFonts w:ascii="Times New Roman" w:hAnsi="Times New Roman" w:cs="Times New Roman" w:eastAsia="Times New Roman" w:hint="default"/>
                            <w:sz w:val="18"/>
                            <w:szCs w:val="18"/>
                          </w:rPr>
                          <w:t>"</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的 事项没有得到整改。</w:t>
                        </w:r>
                      </w:p>
                    </w:tc>
                  </w:tr>
                  <w:tr>
                    <w:trPr>
                      <w:trHeight w:val="394"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4" w:space="0" w:color="000000"/>
                          <w:right w:val="single" w:sz="10" w:space="0" w:color="FFFFFF"/>
                        </w:tcBorders>
                      </w:tcPr>
                      <w:p>
                        <w:pPr/>
                      </w:p>
                    </w:tc>
                    <w:tc>
                      <w:tcPr>
                        <w:tcW w:w="3053" w:type="dxa"/>
                        <w:vMerge/>
                        <w:tcBorders>
                          <w:left w:val="single" w:sz="10" w:space="0" w:color="FFFFFF"/>
                          <w:right w:val="single" w:sz="10" w:space="0" w:color="FFFFFF"/>
                        </w:tcBorders>
                      </w:tcPr>
                      <w:p>
                        <w:pPr/>
                      </w:p>
                    </w:tc>
                  </w:tr>
                  <w:tr>
                    <w:trPr>
                      <w:trHeight w:val="1565"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2" w:type="dxa"/>
                        <w:vMerge/>
                        <w:tcBorders>
                          <w:left w:val="single" w:sz="4" w:space="0" w:color="000000"/>
                          <w:bottom w:val="single" w:sz="4" w:space="0" w:color="000000"/>
                          <w:right w:val="single" w:sz="10" w:space="0" w:color="FFFFFF"/>
                        </w:tcBorders>
                      </w:tcPr>
                      <w:p>
                        <w:pPr/>
                      </w:p>
                    </w:tc>
                    <w:tc>
                      <w:tcPr>
                        <w:tcW w:w="3053" w:type="dxa"/>
                        <w:vMerge/>
                        <w:tcBorders>
                          <w:left w:val="single" w:sz="10" w:space="0" w:color="FFFFFF"/>
                          <w:bottom w:val="single" w:sz="4" w:space="0" w:color="000000"/>
                          <w:right w:val="single" w:sz="10" w:space="0" w:color="FFFFFF"/>
                        </w:tcBorders>
                      </w:tcPr>
                      <w:p>
                        <w:pPr/>
                      </w:p>
                    </w:tc>
                  </w:tr>
                  <w:tr>
                    <w:trPr>
                      <w:trHeight w:val="785"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2" w:type="dxa"/>
                        <w:vMerge w:val="restart"/>
                        <w:tcBorders>
                          <w:top w:val="single" w:sz="4" w:space="0" w:color="000000"/>
                          <w:left w:val="single" w:sz="4" w:space="0" w:color="000000"/>
                          <w:right w:val="single" w:sz="4" w:space="0" w:color="000000"/>
                        </w:tcBorders>
                      </w:tcPr>
                      <w:p>
                        <w:pPr>
                          <w:pStyle w:val="TableParagraph"/>
                          <w:spacing w:line="302"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一般缺陷：错报金额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 重要缺陷：资产总额的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 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。备注：定量标准中所指的财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务指标值均为公司最近一期经审计的合并 报表数据。</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both"/>
                          <w:rPr>
                            <w:rFonts w:ascii="宋体" w:hAnsi="宋体" w:cs="宋体" w:eastAsia="宋体" w:hint="default"/>
                            <w:sz w:val="18"/>
                            <w:szCs w:val="18"/>
                          </w:rPr>
                        </w:pPr>
                        <w:r>
                          <w:rPr>
                            <w:rFonts w:ascii="宋体" w:hAnsi="宋体" w:cs="宋体" w:eastAsia="宋体" w:hint="default"/>
                            <w:sz w:val="18"/>
                            <w:szCs w:val="18"/>
                          </w:rPr>
                          <w:t>一般缺陷：损失金额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p>
                      <w:p>
                        <w:pPr>
                          <w:pStyle w:val="TableParagraph"/>
                          <w:spacing w:line="240" w:lineRule="auto" w:before="60"/>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；重要缺陷：营业收入总额的</w:t>
                        </w:r>
                      </w:p>
                      <w:p>
                        <w:pPr>
                          <w:pStyle w:val="TableParagraph"/>
                          <w:spacing w:line="300" w:lineRule="auto" w:before="63"/>
                          <w:ind w:left="26" w:right="-5"/>
                          <w:jc w:val="both"/>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重大缺陷：损失金额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91"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785"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2"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after="0" w:line="240" w:lineRule="auto"/>
        <w:jc w:val="right"/>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3"/>
        <w:gridCol w:w="6374"/>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984"/>
        <w:jc w:val="left"/>
        <w:rPr>
          <w:rFonts w:ascii="Tahoma" w:hAnsi="Tahoma" w:cs="Tahoma" w:eastAsia="Tahoma" w:hint="default"/>
        </w:rPr>
      </w:pPr>
      <w:r>
        <w:rPr/>
        <w:t>十、内部控制审计报告或鉴证报告</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内部控制鉴证报告</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0"/>
        <w:gridCol w:w="6907"/>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我们认为，贵公司按照《企业内部控制基本规范》和相关规定于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日在所有重大方面保持了有效的财务报 告内部控制。</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日刊载于巨潮资讯网（</w:t>
            </w:r>
            <w:r>
              <w:rPr>
                <w:rFonts w:ascii="Times New Roman" w:hAnsi="Times New Roman" w:cs="Times New Roman" w:eastAsia="Times New Roman" w:hint="default"/>
                <w:spacing w:val="-3"/>
                <w:sz w:val="18"/>
                <w:szCs w:val="18"/>
              </w:rPr>
              <w:t>www.cninfo.com.cn)</w:t>
            </w:r>
            <w:r>
              <w:rPr>
                <w:rFonts w:ascii="宋体" w:hAnsi="宋体" w:cs="宋体" w:eastAsia="宋体" w:hint="default"/>
                <w:spacing w:val="-3"/>
                <w:sz w:val="18"/>
                <w:szCs w:val="18"/>
              </w:rPr>
              <w:t>的《内部控制鉴证</w:t>
            </w:r>
            <w:r>
              <w:rPr>
                <w:rFonts w:ascii="宋体" w:hAnsi="宋体" w:cs="宋体" w:eastAsia="宋体" w:hint="default"/>
                <w:sz w:val="18"/>
                <w:szCs w:val="18"/>
              </w:rPr>
              <w:t> 报告》</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984"/>
        <w:jc w:val="left"/>
      </w:pPr>
      <w:r>
        <w:rPr/>
        <w:t>会计师事务所是否出具非标准意见的内部控制鉴证报告</w:t>
      </w:r>
    </w:p>
    <w:p>
      <w:pPr>
        <w:pStyle w:val="BodyText"/>
        <w:spacing w:line="340" w:lineRule="auto" w:before="115"/>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98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4" w:right="984"/>
        <w:jc w:val="left"/>
        <w:rPr>
          <w:rFonts w:ascii="Tahoma" w:hAnsi="Tahoma" w:cs="Tahoma" w:eastAsia="Tahoma" w:hint="default"/>
        </w:rPr>
      </w:pPr>
      <w:bookmarkStart w:name="_TOC_250002" w:id="11"/>
      <w:r>
        <w:rPr/>
        <w:t>第十节</w:t>
      </w:r>
      <w:r>
        <w:rPr>
          <w:spacing w:val="11"/>
        </w:rPr>
        <w:t> </w:t>
      </w:r>
      <w:r>
        <w:rPr>
          <w:rFonts w:ascii="Tahoma" w:hAnsi="Tahoma" w:cs="Tahoma" w:eastAsia="Tahoma" w:hint="default"/>
          <w:spacing w:val="11"/>
        </w:rPr>
      </w:r>
      <w:r>
        <w:rPr/>
        <w:t>公司债券相关情况</w:t>
      </w:r>
      <w:r>
        <w:rPr>
          <w:rFonts w:ascii="Tahoma" w:hAnsi="Tahoma" w:cs="Tahoma" w:eastAsia="Tahoma" w:hint="default"/>
          <w:w w:val="79"/>
        </w:rPr>
        <w:t> </w:t>
      </w:r>
      <w:bookmarkEnd w:id="11"/>
      <w:r>
        <w:rPr>
          <w:rFonts w:ascii="Tahoma" w:hAnsi="Tahoma" w:cs="Tahoma" w:eastAsia="Tahoma" w:hint="default"/>
        </w:rPr>
      </w:r>
    </w:p>
    <w:p>
      <w:pPr>
        <w:spacing w:line="240" w:lineRule="auto" w:before="3"/>
        <w:rPr>
          <w:rFonts w:ascii="Tahoma" w:hAnsi="Tahoma" w:cs="Tahoma" w:eastAsia="Tahoma" w:hint="default"/>
          <w:sz w:val="46"/>
          <w:szCs w:val="46"/>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6" w:right="984"/>
        <w:jc w:val="left"/>
        <w:rPr>
          <w:rFonts w:ascii="Tahoma" w:hAnsi="Tahoma" w:cs="Tahoma" w:eastAsia="Tahoma" w:hint="default"/>
        </w:rPr>
      </w:pPr>
      <w:bookmarkStart w:name="_TOC_250001" w:id="12"/>
      <w:r>
        <w:rPr>
          <w:spacing w:val="2"/>
        </w:rPr>
        <w:t>第十一节</w:t>
      </w:r>
      <w:r>
        <w:rPr>
          <w:spacing w:val="1"/>
        </w:rPr>
        <w:t> </w:t>
      </w:r>
      <w:r>
        <w:rPr>
          <w:rFonts w:ascii="Tahoma" w:hAnsi="Tahoma" w:cs="Tahoma" w:eastAsia="Tahoma" w:hint="default"/>
          <w:spacing w:val="1"/>
        </w:rPr>
      </w:r>
      <w:r>
        <w:rPr/>
        <w:t>财务报告</w:t>
      </w:r>
      <w:r>
        <w:rPr>
          <w:rFonts w:ascii="Tahoma" w:hAnsi="Tahoma" w:cs="Tahoma" w:eastAsia="Tahoma" w:hint="default"/>
          <w:w w:val="79"/>
        </w:rPr>
        <w:t> </w:t>
      </w:r>
      <w:bookmarkEnd w:id="12"/>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4"/>
        <w:rPr>
          <w:rFonts w:ascii="Tahoma" w:hAnsi="Tahoma" w:cs="Tahoma" w:eastAsia="Tahoma" w:hint="default"/>
          <w:sz w:val="20"/>
          <w:szCs w:val="20"/>
        </w:rPr>
      </w:pPr>
    </w:p>
    <w:p>
      <w:pPr>
        <w:pStyle w:val="Heading2"/>
        <w:spacing w:line="240" w:lineRule="auto" w:before="26"/>
        <w:ind w:right="984"/>
        <w:jc w:val="left"/>
        <w:rPr>
          <w:rFonts w:ascii="Tahoma" w:hAnsi="Tahoma" w:cs="Tahoma" w:eastAsia="Tahoma" w:hint="default"/>
        </w:rPr>
      </w:pPr>
      <w:r>
        <w:rPr/>
        <w:t>一、审计报告</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大信审字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5-00118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陈鹏、胡宜鹏</w:t>
            </w:r>
          </w:p>
        </w:tc>
      </w:tr>
    </w:tbl>
    <w:p>
      <w:pPr>
        <w:pStyle w:val="BodyText"/>
        <w:spacing w:line="240" w:lineRule="auto" w:before="49"/>
        <w:ind w:left="0" w:right="980"/>
        <w:jc w:val="center"/>
      </w:pPr>
      <w:r>
        <w:rPr/>
        <w:t>审计报告正文</w:t>
      </w:r>
    </w:p>
    <w:p>
      <w:pPr>
        <w:pStyle w:val="BodyText"/>
        <w:spacing w:line="240" w:lineRule="auto" w:before="115"/>
        <w:ind w:left="512" w:right="984"/>
        <w:jc w:val="left"/>
      </w:pPr>
      <w:r>
        <w:rPr/>
        <w:t>一、审计意见</w:t>
      </w:r>
    </w:p>
    <w:p>
      <w:pPr>
        <w:pStyle w:val="BodyText"/>
        <w:spacing w:line="300" w:lineRule="auto" w:before="76"/>
        <w:ind w:right="984" w:firstLine="360"/>
        <w:jc w:val="left"/>
      </w:pPr>
      <w:r>
        <w:rPr>
          <w:spacing w:val="-2"/>
        </w:rPr>
        <w:t>我们审计了美盈森集团股份有限公司（以下简称</w:t>
      </w:r>
      <w:r>
        <w:rPr>
          <w:rFonts w:ascii="Times New Roman" w:hAnsi="Times New Roman" w:cs="Times New Roman" w:eastAsia="Times New Roman" w:hint="default"/>
          <w:spacing w:val="-2"/>
        </w:rPr>
        <w:t>“</w:t>
      </w:r>
      <w:r>
        <w:rPr>
          <w:spacing w:val="-2"/>
        </w:rPr>
        <w:t>贵公司</w:t>
      </w:r>
      <w:r>
        <w:rPr>
          <w:rFonts w:ascii="Times New Roman" w:hAnsi="Times New Roman" w:cs="Times New Roman" w:eastAsia="Times New Roman" w:hint="default"/>
          <w:spacing w:val="-2"/>
        </w:rPr>
        <w:t>”</w:t>
      </w:r>
      <w:r>
        <w:rPr>
          <w:spacing w:val="-2"/>
        </w:rPr>
        <w:t>）的财务报表，包括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w:t>
      </w:r>
      <w:r>
        <w:rPr/>
        <w:t> 表，</w:t>
      </w:r>
      <w:r>
        <w:rPr>
          <w:rFonts w:ascii="Times New Roman" w:hAnsi="Times New Roman" w:cs="Times New Roman" w:eastAsia="Times New Roman" w:hint="default"/>
        </w:rPr>
        <w:t>2018</w:t>
      </w:r>
      <w:r>
        <w:rPr/>
        <w:t>年度的合并及母公司利润表、合并及母公司现金流量表、合并及母公司股东权益变动表，以及财务报表附注。</w:t>
      </w:r>
    </w:p>
    <w:p>
      <w:pPr>
        <w:pStyle w:val="BodyText"/>
        <w:spacing w:line="300" w:lineRule="auto" w:before="13"/>
        <w:ind w:right="984" w:firstLine="360"/>
        <w:jc w:val="left"/>
      </w:pPr>
      <w:r>
        <w:rPr>
          <w:spacing w:val="-2"/>
        </w:rPr>
        <w:t>我们认为，后附的财务报表在所有重大方面按照企业会计准则的规定编制，公允反映了贵公司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r>
        <w:rPr/>
        <w:t> 母公司财务状况以及</w:t>
      </w:r>
      <w:r>
        <w:rPr>
          <w:rFonts w:ascii="Times New Roman" w:hAnsi="Times New Roman" w:cs="Times New Roman" w:eastAsia="Times New Roman" w:hint="default"/>
        </w:rPr>
        <w:t>2018</w:t>
      </w:r>
      <w:r>
        <w:rPr/>
        <w:t>年度的合并及母公司经营成果和现金流量。</w:t>
      </w:r>
    </w:p>
    <w:p>
      <w:pPr>
        <w:spacing w:line="240" w:lineRule="auto" w:before="11"/>
        <w:rPr>
          <w:rFonts w:ascii="宋体" w:hAnsi="宋体" w:cs="宋体" w:eastAsia="宋体" w:hint="default"/>
          <w:sz w:val="24"/>
          <w:szCs w:val="24"/>
        </w:rPr>
      </w:pPr>
    </w:p>
    <w:p>
      <w:pPr>
        <w:pStyle w:val="BodyText"/>
        <w:spacing w:line="316" w:lineRule="auto"/>
        <w:ind w:left="512" w:right="984"/>
        <w:jc w:val="left"/>
      </w:pPr>
      <w:r>
        <w:rPr/>
        <w:t>二、形成审计意见的基础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984"/>
        <w:jc w:val="left"/>
      </w:pPr>
      <w:r>
        <w:rPr>
          <w:spacing w:val="-2"/>
        </w:rPr>
        <w:t>阐述了我们在这些准则下的责任。按照中国注册会计师职业道德守则，我们独立于贵公司，并履行了职业道德方面的其他责</w:t>
      </w:r>
      <w:r>
        <w:rPr>
          <w:spacing w:val="-62"/>
        </w:rPr>
        <w:t> </w:t>
      </w:r>
      <w:r>
        <w:rPr>
          <w:spacing w:val="-62"/>
        </w:rPr>
      </w:r>
      <w:r>
        <w:rPr/>
        <w:t>任。</w:t>
      </w:r>
    </w:p>
    <w:p>
      <w:pPr>
        <w:pStyle w:val="BodyText"/>
        <w:spacing w:line="240" w:lineRule="auto" w:before="19"/>
        <w:ind w:left="512" w:right="984"/>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3"/>
        <w:ind w:left="512" w:right="984"/>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240" w:lineRule="auto" w:before="19"/>
        <w:ind w:right="984"/>
        <w:jc w:val="left"/>
      </w:pPr>
      <w:r>
        <w:rPr/>
        <w:t>审计并形成审计意见为背景，我们不对这些事项单独发表意见。</w:t>
      </w:r>
    </w:p>
    <w:p>
      <w:pPr>
        <w:pStyle w:val="BodyText"/>
        <w:spacing w:line="240" w:lineRule="auto" w:before="76"/>
        <w:ind w:left="512" w:right="984"/>
        <w:jc w:val="left"/>
      </w:pPr>
      <w:r>
        <w:rPr/>
        <w:t>（一）营业收入确认</w:t>
      </w:r>
    </w:p>
    <w:p>
      <w:pPr>
        <w:pStyle w:val="BodyText"/>
        <w:spacing w:line="300" w:lineRule="auto" w:before="76"/>
        <w:ind w:left="512" w:right="984"/>
        <w:jc w:val="left"/>
      </w:pPr>
      <w:r>
        <w:rPr>
          <w:rFonts w:ascii="Times New Roman" w:hAnsi="Times New Roman" w:cs="Times New Roman" w:eastAsia="Times New Roman" w:hint="default"/>
        </w:rPr>
        <w:t>1</w:t>
      </w:r>
      <w:r>
        <w:rPr/>
        <w:t>、事项描述 </w:t>
      </w:r>
      <w:r>
        <w:rPr>
          <w:spacing w:val="-1"/>
        </w:rPr>
        <w:t>如贵公司财务报表附注五（二十九）所述，贵公司</w:t>
      </w:r>
      <w:r>
        <w:rPr>
          <w:rFonts w:ascii="Times New Roman" w:hAnsi="Times New Roman" w:cs="Times New Roman" w:eastAsia="Times New Roman" w:hint="default"/>
          <w:spacing w:val="-1"/>
        </w:rPr>
        <w:t>2018</w:t>
      </w:r>
      <w:r>
        <w:rPr>
          <w:spacing w:val="-1"/>
        </w:rPr>
        <w:t>年度实现营业收入</w:t>
      </w:r>
      <w:r>
        <w:rPr>
          <w:rFonts w:ascii="Times New Roman" w:hAnsi="Times New Roman" w:cs="Times New Roman" w:eastAsia="Times New Roman" w:hint="default"/>
          <w:spacing w:val="-1"/>
        </w:rPr>
        <w:t>324,894.55</w:t>
      </w:r>
      <w:r>
        <w:rPr>
          <w:spacing w:val="-1"/>
        </w:rPr>
        <w:t>万元，较上年同期增长</w:t>
      </w:r>
      <w:r>
        <w:rPr>
          <w:rFonts w:ascii="Times New Roman" w:hAnsi="Times New Roman" w:cs="Times New Roman" w:eastAsia="Times New Roman" w:hint="default"/>
          <w:spacing w:val="-1"/>
        </w:rPr>
        <w:t>13.70%</w:t>
      </w:r>
      <w:r>
        <w:rPr>
          <w:spacing w:val="-1"/>
        </w:rPr>
        <w:t>。由</w:t>
      </w:r>
    </w:p>
    <w:p>
      <w:pPr>
        <w:pStyle w:val="BodyText"/>
        <w:spacing w:line="316" w:lineRule="auto" w:before="13"/>
        <w:ind w:right="984"/>
        <w:jc w:val="left"/>
      </w:pPr>
      <w:r>
        <w:rPr>
          <w:spacing w:val="-2"/>
        </w:rPr>
        <w:t>于营业收入是贵公司的关键业绩指标之一，且收入规模继续扩大，产生错报的固有风险较高，因此我们将营业收入确认确定</w:t>
      </w:r>
      <w:r>
        <w:rPr>
          <w:spacing w:val="-62"/>
        </w:rPr>
        <w:t> </w:t>
      </w:r>
      <w:r>
        <w:rPr>
          <w:spacing w:val="-62"/>
        </w:rPr>
      </w:r>
      <w:r>
        <w:rPr/>
        <w:t>为关键审计事项。</w:t>
      </w:r>
    </w:p>
    <w:p>
      <w:pPr>
        <w:pStyle w:val="BodyText"/>
        <w:spacing w:line="240" w:lineRule="auto" w:before="19"/>
        <w:ind w:left="512" w:right="984"/>
        <w:jc w:val="left"/>
      </w:pPr>
      <w:r>
        <w:rPr>
          <w:rFonts w:ascii="Times New Roman" w:hAnsi="Times New Roman" w:cs="Times New Roman" w:eastAsia="Times New Roman" w:hint="default"/>
        </w:rPr>
        <w:t>2</w:t>
      </w:r>
      <w:r>
        <w:rPr/>
        <w:t>、审计应对</w:t>
      </w:r>
    </w:p>
    <w:p>
      <w:pPr>
        <w:pStyle w:val="BodyText"/>
        <w:spacing w:line="300" w:lineRule="auto" w:before="63"/>
        <w:ind w:right="1124" w:firstLine="360"/>
        <w:jc w:val="left"/>
      </w:pPr>
      <w:r>
        <w:rPr/>
        <w:t>（</w:t>
      </w:r>
      <w:r>
        <w:rPr>
          <w:rFonts w:ascii="Times New Roman" w:hAnsi="Times New Roman" w:cs="Times New Roman" w:eastAsia="Times New Roman" w:hint="default"/>
        </w:rPr>
        <w:t>1</w:t>
      </w:r>
      <w:r>
        <w:rPr/>
        <w:t>）对贵公司销售与收款内部控制循环实施控制测试，评价控制的设计有效性，并执行测试程序，确定相关控制是否 得到有效执行；</w:t>
      </w:r>
    </w:p>
    <w:p>
      <w:pPr>
        <w:pStyle w:val="BodyText"/>
        <w:spacing w:line="300" w:lineRule="auto" w:before="31"/>
        <w:ind w:right="1124" w:firstLine="360"/>
        <w:jc w:val="left"/>
      </w:pPr>
      <w:r>
        <w:rPr/>
        <w:t>（</w:t>
      </w:r>
      <w:r>
        <w:rPr>
          <w:rFonts w:ascii="Times New Roman" w:hAnsi="Times New Roman" w:cs="Times New Roman" w:eastAsia="Times New Roman" w:hint="default"/>
        </w:rPr>
        <w:t>2</w:t>
      </w:r>
      <w:r>
        <w:rPr/>
        <w:t>）了解贵公司的财务核算制度的设计和执行情况，复核收入确认政策，检查贵公司报告期内财务核算政策、收入确 认政策的一贯性；</w:t>
      </w:r>
    </w:p>
    <w:p>
      <w:pPr>
        <w:pStyle w:val="BodyText"/>
        <w:spacing w:line="240" w:lineRule="auto" w:before="31"/>
        <w:ind w:left="512" w:right="984"/>
        <w:jc w:val="left"/>
      </w:pPr>
      <w:r>
        <w:rPr/>
        <w:t>（</w:t>
      </w:r>
      <w:r>
        <w:rPr>
          <w:rFonts w:ascii="Times New Roman" w:hAnsi="Times New Roman" w:cs="Times New Roman" w:eastAsia="Times New Roman" w:hint="default"/>
        </w:rPr>
        <w:t>3</w:t>
      </w:r>
      <w:r>
        <w:rPr/>
        <w:t>）了解行业动态，分析前后端市场的变化对公司所处行业的总体影响；</w:t>
      </w:r>
    </w:p>
    <w:p>
      <w:pPr>
        <w:pStyle w:val="BodyText"/>
        <w:spacing w:line="300" w:lineRule="auto" w:before="63"/>
        <w:ind w:right="984" w:firstLine="360"/>
        <w:jc w:val="left"/>
      </w:pPr>
      <w:r>
        <w:rPr>
          <w:spacing w:val="-2"/>
        </w:rPr>
        <w:t>（</w:t>
      </w:r>
      <w:r>
        <w:rPr>
          <w:rFonts w:ascii="Times New Roman" w:hAnsi="Times New Roman" w:cs="Times New Roman" w:eastAsia="Times New Roman" w:hint="default"/>
          <w:spacing w:val="-2"/>
        </w:rPr>
        <w:t>4</w:t>
      </w:r>
      <w:r>
        <w:rPr>
          <w:spacing w:val="-2"/>
        </w:rPr>
        <w:t>）对营业收入实施分析性程序，结合销售合同、订单所销售的产品类别，对比分析营业收入的月份、年度、分产品、</w:t>
      </w:r>
      <w:r>
        <w:rPr/>
        <w:t> 分客户的变化，分析主要产品的售价、成本及毛利变动的合理性；</w:t>
      </w:r>
    </w:p>
    <w:p>
      <w:pPr>
        <w:pStyle w:val="BodyText"/>
        <w:spacing w:line="240" w:lineRule="auto" w:before="31"/>
        <w:ind w:left="512" w:right="984"/>
        <w:jc w:val="left"/>
      </w:pPr>
      <w:r>
        <w:rPr/>
        <w:t>（</w:t>
      </w:r>
      <w:r>
        <w:rPr>
          <w:rFonts w:ascii="Times New Roman" w:hAnsi="Times New Roman" w:cs="Times New Roman" w:eastAsia="Times New Roman" w:hint="default"/>
        </w:rPr>
        <w:t>5</w:t>
      </w:r>
      <w:r>
        <w:rPr/>
        <w:t>）结合对应收账款的审计，选择主要客户对报告期销售额实施独立函证程序，并结合期后回款等分析其真实性；</w:t>
      </w:r>
    </w:p>
    <w:p>
      <w:pPr>
        <w:pStyle w:val="BodyText"/>
        <w:spacing w:line="240" w:lineRule="auto" w:before="63"/>
        <w:ind w:left="512" w:right="984"/>
        <w:jc w:val="left"/>
      </w:pPr>
      <w:r>
        <w:rPr/>
        <w:t>（</w:t>
      </w:r>
      <w:r>
        <w:rPr>
          <w:rFonts w:ascii="Times New Roman" w:hAnsi="Times New Roman" w:cs="Times New Roman" w:eastAsia="Times New Roman" w:hint="default"/>
        </w:rPr>
        <w:t>6</w:t>
      </w:r>
      <w:r>
        <w:rPr/>
        <w:t>）采用抽样测试方式抽取检查样本，依据抽样总体、实际执行的重要性水平、保证系数等测算抽样规模，抽样检查</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16" w:lineRule="auto" w:before="37"/>
        <w:ind w:right="1130"/>
        <w:jc w:val="both"/>
      </w:pPr>
      <w:r>
        <w:rPr>
          <w:spacing w:val="-2"/>
        </w:rPr>
        <w:t>产品的出库单、运输单、客户签收单、报关单、发票等内外部证据，对营业收入的真实性、完整性及是否存在收入跨期现象</w:t>
      </w:r>
      <w:r>
        <w:rPr>
          <w:spacing w:val="-68"/>
        </w:rPr>
        <w:t> </w:t>
      </w:r>
      <w:r>
        <w:rPr>
          <w:spacing w:val="-68"/>
        </w:rPr>
      </w:r>
      <w:r>
        <w:rPr>
          <w:spacing w:val="-2"/>
        </w:rPr>
        <w:t>等执行细节测试。选取样本检查销售合同或订单，识别与商品所有权上的风险和报酬转移相关的合同条款与条件，评价营业</w:t>
      </w:r>
      <w:r>
        <w:rPr>
          <w:spacing w:val="-62"/>
        </w:rPr>
        <w:t> </w:t>
      </w:r>
      <w:r>
        <w:rPr>
          <w:spacing w:val="-62"/>
        </w:rPr>
      </w:r>
      <w:r>
        <w:rPr/>
        <w:t>收入确认时点是否符合企业会计准则的相关规定。</w:t>
      </w:r>
    </w:p>
    <w:p>
      <w:pPr>
        <w:pStyle w:val="BodyText"/>
        <w:spacing w:line="240" w:lineRule="auto" w:before="19"/>
        <w:ind w:left="512" w:right="984"/>
        <w:jc w:val="left"/>
      </w:pPr>
      <w:r>
        <w:rPr/>
        <w:t>（二）存货的账面价值</w:t>
      </w:r>
    </w:p>
    <w:p>
      <w:pPr>
        <w:pStyle w:val="BodyText"/>
        <w:spacing w:line="300" w:lineRule="auto" w:before="76"/>
        <w:ind w:left="512" w:right="984"/>
        <w:jc w:val="left"/>
      </w:pPr>
      <w:r>
        <w:rPr>
          <w:rFonts w:ascii="Times New Roman" w:hAnsi="Times New Roman" w:cs="Times New Roman" w:eastAsia="Times New Roman" w:hint="default"/>
        </w:rPr>
        <w:t>1</w:t>
      </w:r>
      <w:r>
        <w:rPr/>
        <w:t>、事项描述 </w:t>
      </w:r>
      <w:r>
        <w:rPr>
          <w:spacing w:val="-1"/>
        </w:rPr>
        <w:t>如贵公司财务报表附注五（五）所述，贵公司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日存货余额为</w:t>
      </w:r>
      <w:r>
        <w:rPr>
          <w:rFonts w:ascii="Times New Roman" w:hAnsi="Times New Roman" w:cs="Times New Roman" w:eastAsia="Times New Roman" w:hint="default"/>
          <w:spacing w:val="-1"/>
        </w:rPr>
        <w:t>66,719.89</w:t>
      </w:r>
      <w:r>
        <w:rPr>
          <w:spacing w:val="-1"/>
        </w:rPr>
        <w:t>万元，较年初增加</w:t>
      </w:r>
      <w:r>
        <w:rPr>
          <w:rFonts w:ascii="Times New Roman" w:hAnsi="Times New Roman" w:cs="Times New Roman" w:eastAsia="Times New Roman" w:hint="default"/>
          <w:spacing w:val="-1"/>
        </w:rPr>
        <w:t>2.02%</w:t>
      </w:r>
      <w:r>
        <w:rPr>
          <w:spacing w:val="-1"/>
        </w:rPr>
        <w:t>。由于贵公</w:t>
      </w:r>
    </w:p>
    <w:p>
      <w:pPr>
        <w:pStyle w:val="BodyText"/>
        <w:spacing w:line="316" w:lineRule="auto" w:before="13"/>
        <w:ind w:right="1130"/>
        <w:jc w:val="both"/>
      </w:pPr>
      <w:r>
        <w:rPr>
          <w:spacing w:val="-2"/>
        </w:rPr>
        <w:t>司的存货期末余额较大，是否与贵公司仓储能力及生产能力相匹配，与收入对应的销售成本结转是否完整准确，存货的存在</w:t>
      </w:r>
      <w:r>
        <w:rPr>
          <w:spacing w:val="-62"/>
        </w:rPr>
        <w:t> </w:t>
      </w:r>
      <w:r>
        <w:rPr>
          <w:spacing w:val="-62"/>
        </w:rPr>
      </w:r>
      <w:r>
        <w:rPr/>
        <w:t>认定是否可以确认，因此，我们将存货的存在性、计价和分摊确定为关键审计事项。</w:t>
      </w:r>
    </w:p>
    <w:p>
      <w:pPr>
        <w:pStyle w:val="BodyText"/>
        <w:spacing w:line="240" w:lineRule="auto" w:before="19"/>
        <w:ind w:left="512" w:right="984"/>
        <w:jc w:val="left"/>
      </w:pPr>
      <w:r>
        <w:rPr>
          <w:rFonts w:ascii="Times New Roman" w:hAnsi="Times New Roman" w:cs="Times New Roman" w:eastAsia="Times New Roman" w:hint="default"/>
        </w:rPr>
        <w:t>2</w:t>
      </w:r>
      <w:r>
        <w:rPr/>
        <w:t>、审计应对</w:t>
      </w:r>
    </w:p>
    <w:p>
      <w:pPr>
        <w:pStyle w:val="BodyText"/>
        <w:spacing w:line="300" w:lineRule="auto" w:before="63"/>
        <w:ind w:right="984" w:firstLine="360"/>
        <w:jc w:val="left"/>
      </w:pPr>
      <w:r>
        <w:rPr>
          <w:spacing w:val="-2"/>
        </w:rPr>
        <w:t>（</w:t>
      </w:r>
      <w:r>
        <w:rPr>
          <w:rFonts w:ascii="Times New Roman" w:hAnsi="Times New Roman" w:cs="Times New Roman" w:eastAsia="Times New Roman" w:hint="default"/>
          <w:spacing w:val="-2"/>
        </w:rPr>
        <w:t>1</w:t>
      </w:r>
      <w:r>
        <w:rPr>
          <w:spacing w:val="-2"/>
        </w:rPr>
        <w:t>）对贵公司采购与付款循环、生产与仓储等内部控制循环实施控制测试，评价控制的设计有效性，并执行测试程序，</w:t>
      </w:r>
      <w:r>
        <w:rPr/>
        <w:t> 确定相关控制是否得到有效执行；</w:t>
      </w:r>
    </w:p>
    <w:p>
      <w:pPr>
        <w:pStyle w:val="BodyText"/>
        <w:spacing w:line="300" w:lineRule="auto" w:before="31"/>
        <w:ind w:right="984" w:firstLine="360"/>
        <w:jc w:val="left"/>
      </w:pPr>
      <w:r>
        <w:rPr>
          <w:spacing w:val="-2"/>
        </w:rPr>
        <w:t>（</w:t>
      </w:r>
      <w:r>
        <w:rPr>
          <w:rFonts w:ascii="Times New Roman" w:hAnsi="Times New Roman" w:cs="Times New Roman" w:eastAsia="Times New Roman" w:hint="default"/>
          <w:spacing w:val="-2"/>
        </w:rPr>
        <w:t>2</w:t>
      </w:r>
      <w:r>
        <w:rPr>
          <w:spacing w:val="-2"/>
        </w:rPr>
        <w:t>）根据贵公司所处的行业状况，前端供应链、后端销售链条对其存货采购的影响，结合贵公司存货的分类构成情况，</w:t>
      </w:r>
      <w:r>
        <w:rPr/>
        <w:t> 分析存货前后期结构变化情况是否合理；</w:t>
      </w:r>
    </w:p>
    <w:p>
      <w:pPr>
        <w:pStyle w:val="BodyText"/>
        <w:spacing w:line="240" w:lineRule="auto" w:before="31"/>
        <w:ind w:left="512" w:right="984"/>
        <w:jc w:val="left"/>
      </w:pPr>
      <w:r>
        <w:rPr/>
        <w:t>（</w:t>
      </w:r>
      <w:r>
        <w:rPr>
          <w:rFonts w:ascii="Times New Roman" w:hAnsi="Times New Roman" w:cs="Times New Roman" w:eastAsia="Times New Roman" w:hint="default"/>
        </w:rPr>
        <w:t>3</w:t>
      </w:r>
      <w:r>
        <w:rPr/>
        <w:t>）对贵公司期末存货执行监盘程序；</w:t>
      </w:r>
    </w:p>
    <w:p>
      <w:pPr>
        <w:pStyle w:val="BodyText"/>
        <w:spacing w:line="300" w:lineRule="auto" w:before="63"/>
        <w:ind w:right="1124" w:firstLine="360"/>
        <w:jc w:val="left"/>
      </w:pPr>
      <w:r>
        <w:rPr/>
        <w:t>（</w:t>
      </w:r>
      <w:r>
        <w:rPr>
          <w:rFonts w:ascii="Times New Roman" w:hAnsi="Times New Roman" w:cs="Times New Roman" w:eastAsia="Times New Roman" w:hint="default"/>
        </w:rPr>
        <w:t>4</w:t>
      </w:r>
      <w:r>
        <w:rPr/>
        <w:t>）查阅公司使用主要原材料的市场价格变化情况，结合应付账款审计，核实采购成本的正确性以及期末存货的合理 性；</w:t>
      </w:r>
    </w:p>
    <w:p>
      <w:pPr>
        <w:pStyle w:val="BodyText"/>
        <w:spacing w:line="300" w:lineRule="auto" w:before="31"/>
        <w:ind w:right="1124" w:firstLine="360"/>
        <w:jc w:val="left"/>
      </w:pPr>
      <w:r>
        <w:rPr/>
        <w:t>（</w:t>
      </w:r>
      <w:r>
        <w:rPr>
          <w:rFonts w:ascii="Times New Roman" w:hAnsi="Times New Roman" w:cs="Times New Roman" w:eastAsia="Times New Roman" w:hint="default"/>
        </w:rPr>
        <w:t>5</w:t>
      </w:r>
      <w:r>
        <w:rPr/>
        <w:t>）根据签署的销售合同、订单情况，结合公司的销售计划、生产能力、生产周期、客户备货需求，分析公司前后各 期的主要库存产品周转率，核实期末存货的合理性；</w:t>
      </w:r>
    </w:p>
    <w:p>
      <w:pPr>
        <w:pStyle w:val="BodyText"/>
        <w:spacing w:line="240" w:lineRule="auto" w:before="31"/>
        <w:ind w:left="512" w:right="984"/>
        <w:jc w:val="left"/>
      </w:pPr>
      <w:r>
        <w:rPr/>
        <w:t>（</w:t>
      </w:r>
      <w:r>
        <w:rPr>
          <w:rFonts w:ascii="Times New Roman" w:hAnsi="Times New Roman" w:cs="Times New Roman" w:eastAsia="Times New Roman" w:hint="default"/>
        </w:rPr>
        <w:t>6</w:t>
      </w:r>
      <w:r>
        <w:rPr/>
        <w:t>）对贵公司各项存货入库及出库执行截止性测试，选取样本，对各项存货的发出进行计价测试；</w:t>
      </w:r>
    </w:p>
    <w:p>
      <w:pPr>
        <w:pStyle w:val="BodyText"/>
        <w:spacing w:line="240" w:lineRule="auto" w:before="63"/>
        <w:ind w:left="512" w:right="984"/>
        <w:jc w:val="left"/>
      </w:pPr>
      <w:r>
        <w:rPr/>
        <w:t>（</w:t>
      </w:r>
      <w:r>
        <w:rPr>
          <w:rFonts w:ascii="Times New Roman" w:hAnsi="Times New Roman" w:cs="Times New Roman" w:eastAsia="Times New Roman" w:hint="default"/>
        </w:rPr>
        <w:t>7</w:t>
      </w:r>
      <w:r>
        <w:rPr/>
        <w:t>）复核贵公司的生产成本计算过程及销售成本结转过程，关注存货结转和销售出库是否匹配之情形；</w:t>
      </w:r>
    </w:p>
    <w:p>
      <w:pPr>
        <w:pStyle w:val="BodyText"/>
        <w:spacing w:line="240" w:lineRule="auto" w:before="63"/>
        <w:ind w:left="512" w:right="984"/>
        <w:jc w:val="left"/>
      </w:pPr>
      <w:r>
        <w:rPr/>
        <w:t>（</w:t>
      </w:r>
      <w:r>
        <w:rPr>
          <w:rFonts w:ascii="Times New Roman" w:hAnsi="Times New Roman" w:cs="Times New Roman" w:eastAsia="Times New Roman" w:hint="default"/>
        </w:rPr>
        <w:t>8</w:t>
      </w:r>
      <w:r>
        <w:rPr/>
        <w:t>）结合监盘程序和存货计价测试程序，对贵公司期末存货执行减值测试。</w:t>
      </w:r>
    </w:p>
    <w:p>
      <w:pPr>
        <w:pStyle w:val="BodyText"/>
        <w:spacing w:line="240" w:lineRule="auto" w:before="63"/>
        <w:ind w:left="512" w:right="984"/>
        <w:jc w:val="left"/>
      </w:pPr>
      <w:r>
        <w:rPr/>
        <w:t>（三）投资性房地产的估值</w:t>
      </w:r>
    </w:p>
    <w:p>
      <w:pPr>
        <w:pStyle w:val="BodyText"/>
        <w:spacing w:line="300" w:lineRule="auto" w:before="76"/>
        <w:ind w:left="512" w:right="984"/>
        <w:jc w:val="left"/>
      </w:pPr>
      <w:r>
        <w:rPr>
          <w:rFonts w:ascii="Times New Roman" w:hAnsi="Times New Roman" w:cs="Times New Roman" w:eastAsia="Times New Roman" w:hint="default"/>
        </w:rPr>
        <w:t>1</w:t>
      </w:r>
      <w:r>
        <w:rPr/>
        <w:t>、事项描述 </w:t>
      </w:r>
      <w:r>
        <w:rPr>
          <w:spacing w:val="-2"/>
        </w:rPr>
        <w:t>如贵公司财务报表附注五（八）所述，贵公司投资性房地产期末余额为</w:t>
      </w:r>
      <w:r>
        <w:rPr>
          <w:rFonts w:ascii="Times New Roman" w:hAnsi="Times New Roman" w:cs="Times New Roman" w:eastAsia="Times New Roman" w:hint="default"/>
          <w:spacing w:val="-2"/>
        </w:rPr>
        <w:t>50,689.90</w:t>
      </w:r>
      <w:r>
        <w:rPr>
          <w:spacing w:val="-2"/>
        </w:rPr>
        <w:t>万元。贵公司投资性房地产采用公允价</w:t>
      </w:r>
    </w:p>
    <w:p>
      <w:pPr>
        <w:pStyle w:val="BodyText"/>
        <w:spacing w:line="316" w:lineRule="auto" w:before="13"/>
        <w:ind w:right="1132"/>
        <w:jc w:val="both"/>
      </w:pPr>
      <w:r>
        <w:rPr>
          <w:spacing w:val="-2"/>
        </w:rPr>
        <w:t>值模式进行后续计量。公允价值的确定受各种因素的影响且需要依赖专业评估机构的评估结果，因此，我们将投资性房地产</w:t>
      </w:r>
      <w:r>
        <w:rPr>
          <w:spacing w:val="-64"/>
        </w:rPr>
        <w:t> </w:t>
      </w:r>
      <w:r>
        <w:rPr>
          <w:spacing w:val="-64"/>
        </w:rPr>
      </w:r>
      <w:r>
        <w:rPr/>
        <w:t>按公允价值变动产生损益的准确性及合理性确定为关键审计事项。</w:t>
      </w:r>
    </w:p>
    <w:p>
      <w:pPr>
        <w:pStyle w:val="BodyText"/>
        <w:spacing w:line="240" w:lineRule="auto" w:before="19"/>
        <w:ind w:left="512" w:right="984"/>
        <w:jc w:val="left"/>
      </w:pPr>
      <w:r>
        <w:rPr>
          <w:rFonts w:ascii="Times New Roman" w:hAnsi="Times New Roman" w:cs="Times New Roman" w:eastAsia="Times New Roman" w:hint="default"/>
        </w:rPr>
        <w:t>2</w:t>
      </w:r>
      <w:r>
        <w:rPr/>
        <w:t>、审计应对</w:t>
      </w:r>
    </w:p>
    <w:p>
      <w:pPr>
        <w:pStyle w:val="BodyText"/>
        <w:spacing w:line="300" w:lineRule="auto" w:before="63"/>
        <w:ind w:right="1124" w:firstLine="360"/>
        <w:jc w:val="left"/>
      </w:pPr>
      <w:r>
        <w:rPr/>
        <w:t>（</w:t>
      </w:r>
      <w:r>
        <w:rPr>
          <w:rFonts w:ascii="Times New Roman" w:hAnsi="Times New Roman" w:cs="Times New Roman" w:eastAsia="Times New Roman" w:hint="default"/>
        </w:rPr>
        <w:t>1</w:t>
      </w:r>
      <w:r>
        <w:rPr/>
        <w:t>）根据贵公司管理层的管理能力和相关意图，检查贵公司对投资性房地产的分类和采用的计量属性是否适当，是否 符合企业会计准则的相关规定；与贵公司管理层讨论投资性房地产后续计量模式选用的依据是否充分；</w:t>
      </w:r>
    </w:p>
    <w:p>
      <w:pPr>
        <w:pStyle w:val="BodyText"/>
        <w:spacing w:line="300" w:lineRule="auto" w:before="31"/>
        <w:ind w:right="1124" w:firstLine="360"/>
        <w:jc w:val="left"/>
      </w:pPr>
      <w:r>
        <w:rPr/>
        <w:t>（</w:t>
      </w:r>
      <w:r>
        <w:rPr>
          <w:rFonts w:ascii="Times New Roman" w:hAnsi="Times New Roman" w:cs="Times New Roman" w:eastAsia="Times New Roman" w:hint="default"/>
        </w:rPr>
        <w:t>2</w:t>
      </w:r>
      <w:r>
        <w:rPr/>
        <w:t>）获取投资性房地产明细表，结合实地盘点及查阅产权证书等相关文件资料，检查测试投资性房地产期末的存在及 权利和义务认定；</w:t>
      </w:r>
    </w:p>
    <w:p>
      <w:pPr>
        <w:pStyle w:val="BodyText"/>
        <w:spacing w:line="240" w:lineRule="auto" w:before="31"/>
        <w:ind w:left="512" w:right="984"/>
        <w:jc w:val="left"/>
      </w:pPr>
      <w:r>
        <w:rPr/>
        <w:t>（</w:t>
      </w:r>
      <w:r>
        <w:rPr>
          <w:rFonts w:ascii="Times New Roman" w:hAnsi="Times New Roman" w:cs="Times New Roman" w:eastAsia="Times New Roman" w:hint="default"/>
        </w:rPr>
        <w:t>3</w:t>
      </w:r>
      <w:r>
        <w:rPr/>
        <w:t>）评价由贵公司管理层聘请的外部评估机构的独立性、客观性、经验、资质及专业胜任能力等；</w:t>
      </w:r>
    </w:p>
    <w:p>
      <w:pPr>
        <w:pStyle w:val="BodyText"/>
        <w:spacing w:line="300" w:lineRule="auto" w:before="63"/>
        <w:ind w:right="1124" w:firstLine="360"/>
        <w:jc w:val="left"/>
      </w:pPr>
      <w:r>
        <w:rPr/>
        <w:t>（</w:t>
      </w:r>
      <w:r>
        <w:rPr>
          <w:rFonts w:ascii="Times New Roman" w:hAnsi="Times New Roman" w:cs="Times New Roman" w:eastAsia="Times New Roman" w:hint="default"/>
        </w:rPr>
        <w:t>4</w:t>
      </w:r>
      <w:r>
        <w:rPr/>
        <w:t>）获取并复核沃克森（北京）国际资产评估有限公司出具的评估报告，对评估选用的评估方法及重要的评估参数与 评估师进行沟通，并结合当地房地产市场的实际情况了解公允价值的确定依据是否充分、合理；</w:t>
      </w:r>
    </w:p>
    <w:p>
      <w:pPr>
        <w:pStyle w:val="BodyText"/>
        <w:spacing w:line="240" w:lineRule="auto" w:before="31"/>
        <w:ind w:left="512" w:right="984"/>
        <w:jc w:val="left"/>
      </w:pPr>
      <w:r>
        <w:rPr/>
        <w:t>（</w:t>
      </w:r>
      <w:r>
        <w:rPr>
          <w:rFonts w:ascii="Times New Roman" w:hAnsi="Times New Roman" w:cs="Times New Roman" w:eastAsia="Times New Roman" w:hint="default"/>
        </w:rPr>
        <w:t>5</w:t>
      </w:r>
      <w:r>
        <w:rPr/>
        <w:t>）评估管理层对投资性房地产的估计结果，以及在财务报表附注中披露的充分性。</w:t>
      </w:r>
    </w:p>
    <w:p>
      <w:pPr>
        <w:spacing w:line="240" w:lineRule="auto" w:before="0"/>
        <w:rPr>
          <w:rFonts w:ascii="宋体" w:hAnsi="宋体" w:cs="宋体" w:eastAsia="宋体" w:hint="default"/>
          <w:sz w:val="18"/>
          <w:szCs w:val="18"/>
        </w:rPr>
      </w:pPr>
    </w:p>
    <w:p>
      <w:pPr>
        <w:pStyle w:val="BodyText"/>
        <w:spacing w:line="316" w:lineRule="auto" w:before="139"/>
        <w:ind w:left="512" w:right="984"/>
        <w:jc w:val="left"/>
      </w:pPr>
      <w:r>
        <w:rPr/>
        <w:t>四、其他信息 </w:t>
      </w:r>
      <w:r>
        <w:rPr>
          <w:spacing w:val="-2"/>
        </w:rPr>
        <w:t>贵公司管理层（以下简称管理层）对其他信息负责。其他信息包括贵公司</w:t>
      </w:r>
      <w:r>
        <w:rPr>
          <w:rFonts w:ascii="Times New Roman" w:hAnsi="Times New Roman" w:cs="Times New Roman" w:eastAsia="Times New Roman" w:hint="default"/>
          <w:spacing w:val="-2"/>
        </w:rPr>
        <w:t>2018</w:t>
      </w:r>
      <w:r>
        <w:rPr>
          <w:spacing w:val="-2"/>
        </w:rPr>
        <w:t>年年度报告中涵盖的信息，但不包括财务</w:t>
      </w:r>
    </w:p>
    <w:p>
      <w:pPr>
        <w:pStyle w:val="BodyText"/>
        <w:spacing w:line="316" w:lineRule="auto"/>
        <w:ind w:left="512" w:right="984" w:hanging="360"/>
        <w:jc w:val="left"/>
      </w:pPr>
      <w:r>
        <w:rPr/>
        <w:t>报表和我们的审计报告。 我们对财务报表发表的审计意见并不涵盖其他信息，我们也不对其他信息发表任何形式的鉴证结论。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2" w:right="984"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984"/>
        <w:jc w:val="left"/>
      </w:pPr>
      <w:r>
        <w:rPr/>
        <w:t>报告。</w:t>
      </w:r>
    </w:p>
    <w:p>
      <w:pPr>
        <w:spacing w:after="0" w:line="240"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p>
      <w:pPr>
        <w:pStyle w:val="BodyText"/>
        <w:spacing w:line="316" w:lineRule="auto"/>
        <w:ind w:left="512" w:right="984"/>
        <w:jc w:val="left"/>
      </w:pPr>
      <w:r>
        <w:rPr/>
        <w:t>五、管理层和治理层对财务报表的责任 </w:t>
      </w:r>
      <w:r>
        <w:rPr>
          <w:spacing w:val="-2"/>
        </w:rPr>
        <w:t>管理层负责按照企业会计准则的规定编制财务报表，使其实现公允反映，并设计、执行和维护必要的内部控制，以使财</w:t>
      </w:r>
    </w:p>
    <w:p>
      <w:pPr>
        <w:pStyle w:val="BodyText"/>
        <w:spacing w:line="316" w:lineRule="auto" w:before="19"/>
        <w:ind w:left="512" w:right="984" w:hanging="360"/>
        <w:jc w:val="left"/>
      </w:pPr>
      <w:r>
        <w:rPr/>
        <w:t>务报表不存在由于舞弊或错误导致的重大错报。 </w:t>
      </w:r>
      <w:r>
        <w:rPr>
          <w:spacing w:val="-2"/>
        </w:rPr>
        <w:t>在编制财务报表时，管理层负责评估贵公司的持续经营能力，披露与持续经营相关的事项（如适用），并运用持续经营</w:t>
      </w:r>
    </w:p>
    <w:p>
      <w:pPr>
        <w:pStyle w:val="BodyText"/>
        <w:spacing w:line="316" w:lineRule="auto" w:before="19"/>
        <w:ind w:left="512" w:right="5174" w:hanging="360"/>
        <w:jc w:val="left"/>
      </w:pPr>
      <w:r>
        <w:rPr/>
        <w:t>假设，除非管理层计划清算贵公司、终止运营或别无其他现实的选择。 治理层负责监督贵公司的财务报告过程。</w:t>
      </w:r>
    </w:p>
    <w:p>
      <w:pPr>
        <w:spacing w:line="240" w:lineRule="auto" w:before="4"/>
        <w:rPr>
          <w:rFonts w:ascii="宋体" w:hAnsi="宋体" w:cs="宋体" w:eastAsia="宋体" w:hint="default"/>
          <w:sz w:val="25"/>
          <w:szCs w:val="25"/>
        </w:rPr>
      </w:pPr>
    </w:p>
    <w:p>
      <w:pPr>
        <w:pStyle w:val="BodyText"/>
        <w:spacing w:line="316" w:lineRule="auto"/>
        <w:ind w:left="512" w:right="984"/>
        <w:jc w:val="left"/>
      </w:pPr>
      <w:r>
        <w:rPr/>
        <w:t>六、注册会计师对财务报表审计的责任 </w:t>
      </w:r>
      <w:r>
        <w:rPr>
          <w:spacing w:val="-2"/>
        </w:rPr>
        <w:t>我们的目标是对财务报表整体是否不存在由于舞弊或错误导致的重大错报获取合理保证，并出具包含审计意见的审计报</w:t>
      </w:r>
    </w:p>
    <w:p>
      <w:pPr>
        <w:pStyle w:val="BodyText"/>
        <w:spacing w:line="316" w:lineRule="auto" w:before="19"/>
        <w:ind w:right="1130"/>
        <w:jc w:val="both"/>
      </w:pPr>
      <w:r>
        <w:rPr>
          <w:spacing w:val="-2"/>
        </w:rPr>
        <w:t>告。合理保证是高水平的保证，但并不能保证按照审计准则执行的审计在某一重大错报存在时总能发现。错报可能由于舞弊</w:t>
      </w:r>
      <w:r>
        <w:rPr>
          <w:spacing w:val="-62"/>
        </w:rPr>
        <w:t> </w:t>
      </w:r>
      <w:r>
        <w:rPr>
          <w:spacing w:val="-62"/>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2" w:right="984"/>
        <w:jc w:val="left"/>
      </w:pPr>
      <w:r>
        <w:rPr/>
        <w:t>在按照审计准则执行审计工作的过程中，我们运用职业判断，并保持职业怀疑。同时，我们也执行以下工作：</w:t>
      </w:r>
    </w:p>
    <w:p>
      <w:pPr>
        <w:pStyle w:val="BodyText"/>
        <w:spacing w:line="316" w:lineRule="auto" w:before="76"/>
        <w:ind w:right="1051"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512" w:right="984"/>
        <w:jc w:val="left"/>
      </w:pPr>
      <w:r>
        <w:rPr/>
        <w:t>（二）了解与审计相关的内部控制，以设计恰当的审计程序。</w:t>
      </w:r>
    </w:p>
    <w:p>
      <w:pPr>
        <w:pStyle w:val="BodyText"/>
        <w:spacing w:line="240" w:lineRule="auto" w:before="76"/>
        <w:ind w:left="512" w:right="984"/>
        <w:jc w:val="left"/>
      </w:pPr>
      <w:r>
        <w:rPr/>
        <w:t>（三）评价管理层选用会计政策的恰当性和作出会计估计及相关披露的合理性。</w:t>
      </w:r>
    </w:p>
    <w:p>
      <w:pPr>
        <w:pStyle w:val="BodyText"/>
        <w:spacing w:line="316" w:lineRule="auto" w:before="76"/>
        <w:ind w:right="1130" w:firstLine="360"/>
        <w:jc w:val="both"/>
      </w:pPr>
      <w:r>
        <w:rPr>
          <w:spacing w:val="-2"/>
        </w:rPr>
        <w:t>（四）对管理层使用持续经营假设的恰当性得出结论。同时，根据获取的审计证据，就可能导致对贵公司持续经营能力</w:t>
      </w:r>
      <w:r>
        <w:rPr/>
        <w:t>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2"/>
        </w:rPr>
        <w:t> </w:t>
      </w:r>
      <w:r>
        <w:rPr>
          <w:spacing w:val="-62"/>
        </w:rPr>
      </w:r>
      <w:r>
        <w:rPr/>
        <w:t>截至审计报告日可获得的信息。然而，未来的事项或情况可能导致贵公司不能持续经营。</w:t>
      </w:r>
    </w:p>
    <w:p>
      <w:pPr>
        <w:pStyle w:val="BodyText"/>
        <w:spacing w:line="240" w:lineRule="auto" w:before="19"/>
        <w:ind w:left="512" w:right="984"/>
        <w:jc w:val="left"/>
      </w:pPr>
      <w:r>
        <w:rPr/>
        <w:t>（五）评价财务报表的总体列报、结构和内容（包括披露），并评价财务报表是否公允反映相关交易和事项。</w:t>
      </w:r>
    </w:p>
    <w:p>
      <w:pPr>
        <w:pStyle w:val="BodyText"/>
        <w:spacing w:line="316" w:lineRule="auto" w:before="76"/>
        <w:ind w:right="1044" w:firstLine="360"/>
        <w:jc w:val="both"/>
      </w:pPr>
      <w:r>
        <w:rPr>
          <w:spacing w:val="-4"/>
        </w:rPr>
        <w:t>（六）就贵公司中实体或业务活动的财务信息获取充分、恰当的审计证据，以对财务报表发表审计意见。我们负责指导、</w:t>
      </w:r>
      <w:r>
        <w:rPr/>
        <w:t> 监督和执行集团审计，并对审计意见承担全部责任。</w:t>
      </w:r>
    </w:p>
    <w:p>
      <w:pPr>
        <w:pStyle w:val="BodyText"/>
        <w:spacing w:line="316" w:lineRule="auto" w:before="19"/>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132" w:firstLine="360"/>
        <w:jc w:val="both"/>
      </w:pPr>
      <w:r>
        <w:rPr>
          <w:spacing w:val="-2"/>
        </w:rPr>
        <w:t>我们还就遵守与独立性相关的职业道德要求向治理层提供声明，并与治理层沟通可能被合理认为影响我们独立性的所有</w:t>
      </w:r>
      <w:r>
        <w:rPr/>
        <w:t> 关系和其他事项，以及相关的防范措施（如适用）。</w:t>
      </w:r>
    </w:p>
    <w:p>
      <w:pPr>
        <w:pStyle w:val="BodyText"/>
        <w:spacing w:line="316" w:lineRule="auto" w:before="19"/>
        <w:ind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2"/>
        </w:rPr>
        <w:t> </w:t>
      </w:r>
      <w:r>
        <w:rPr>
          <w:spacing w:val="-62"/>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tabs>
          <w:tab w:pos="3829" w:val="left" w:leader="none"/>
        </w:tabs>
        <w:spacing w:line="240" w:lineRule="auto" w:before="132"/>
        <w:ind w:left="517" w:right="984"/>
        <w:jc w:val="left"/>
      </w:pPr>
      <w:r>
        <w:rPr/>
        <w:t>大信会计师事务所（特殊普通合伙）</w:t>
        <w:tab/>
        <w:t>中国注册会计师：</w:t>
      </w:r>
    </w:p>
    <w:p>
      <w:pPr>
        <w:pStyle w:val="BodyText"/>
        <w:spacing w:line="240" w:lineRule="auto" w:before="76"/>
        <w:ind w:left="0" w:right="3445"/>
        <w:jc w:val="center"/>
      </w:pPr>
      <w:r>
        <w:rPr/>
        <w:t>（项目合伙人）</w:t>
      </w:r>
    </w:p>
    <w:p>
      <w:pPr>
        <w:spacing w:line="240" w:lineRule="auto" w:before="0"/>
        <w:rPr>
          <w:rFonts w:ascii="宋体" w:hAnsi="宋体" w:cs="宋体" w:eastAsia="宋体" w:hint="default"/>
          <w:sz w:val="18"/>
          <w:szCs w:val="18"/>
        </w:rPr>
      </w:pPr>
    </w:p>
    <w:p>
      <w:pPr>
        <w:pStyle w:val="BodyText"/>
        <w:tabs>
          <w:tab w:pos="2147" w:val="left" w:leader="none"/>
        </w:tabs>
        <w:spacing w:line="240" w:lineRule="auto" w:before="153"/>
        <w:ind w:left="0" w:right="4868"/>
        <w:jc w:val="center"/>
      </w:pPr>
      <w:r>
        <w:rPr/>
        <w:t>中国</w:t>
      </w:r>
      <w:r>
        <w:rPr>
          <w:rFonts w:ascii="Times New Roman" w:hAnsi="Times New Roman" w:cs="Times New Roman" w:eastAsia="Times New Roman" w:hint="default"/>
        </w:rPr>
        <w:t>·</w:t>
      </w:r>
      <w:r>
        <w:rPr/>
        <w:t>北京</w:t>
        <w:tab/>
        <w:t>中国注册会计师：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spacing w:line="240" w:lineRule="auto"/>
        <w:ind w:left="0" w:right="1133"/>
        <w:jc w:val="right"/>
      </w:pPr>
      <w:r>
        <w:rPr>
          <w:spacing w:val="-1"/>
        </w:rPr>
        <w:t>二</w:t>
      </w:r>
      <w:r>
        <w:rPr>
          <w:rFonts w:ascii="Times New Roman" w:hAnsi="Times New Roman" w:cs="Times New Roman" w:eastAsia="Times New Roman" w:hint="default"/>
          <w:spacing w:val="-1"/>
        </w:rPr>
        <w:t>○</w:t>
      </w:r>
      <w:r>
        <w:rPr>
          <w:spacing w:val="-1"/>
        </w:rPr>
        <w:t>一九年四月八日</w:t>
      </w:r>
    </w:p>
    <w:p>
      <w:pPr>
        <w:spacing w:after="0" w:line="240" w:lineRule="auto"/>
        <w:jc w:val="right"/>
        <w:sectPr>
          <w:footerReference w:type="default" r:id="rId23"/>
          <w:pgSz w:w="11910" w:h="16840"/>
          <w:pgMar w:footer="982" w:header="753" w:top="1060" w:bottom="1180" w:left="980" w:right="0"/>
          <w:pgNumType w:start="9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984"/>
        <w:jc w:val="left"/>
        <w:rPr>
          <w:rFonts w:ascii="Tahoma" w:hAnsi="Tahoma" w:cs="Tahoma" w:eastAsia="Tahoma" w:hint="default"/>
        </w:rPr>
      </w:pPr>
      <w:r>
        <w:rPr/>
        <w:t>二、财务报表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984"/>
        <w:jc w:val="left"/>
        <w:rPr>
          <w:rFonts w:ascii="Tahoma" w:hAnsi="Tahoma" w:cs="Tahoma" w:eastAsia="Tahoma" w:hint="default"/>
        </w:rPr>
      </w:pPr>
      <w:r>
        <w:rPr>
          <w:rFonts w:ascii="Tahoma" w:hAnsi="Tahoma" w:cs="Tahoma" w:eastAsia="Tahoma" w:hint="default"/>
        </w:rPr>
        <w:t>1</w:t>
      </w:r>
      <w:r>
        <w:rPr/>
        <w:t>、合并资产负债表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spacing w:after="0" w:line="240" w:lineRule="auto"/>
        <w:rPr>
          <w:rFonts w:ascii="Tahoma" w:hAnsi="Tahoma" w:cs="Tahoma" w:eastAsia="Tahoma" w:hint="default"/>
          <w:sz w:val="25"/>
          <w:szCs w:val="25"/>
        </w:rPr>
        <w:sectPr>
          <w:pgSz w:w="11910" w:h="16840"/>
          <w:pgMar w:header="753" w:footer="982" w:top="1060" w:bottom="1180" w:left="980" w:right="0"/>
        </w:sectPr>
      </w:pPr>
    </w:p>
    <w:p>
      <w:pPr>
        <w:pStyle w:val="BodyText"/>
        <w:spacing w:line="240" w:lineRule="auto" w:before="37"/>
        <w:ind w:right="-20"/>
        <w:jc w:val="left"/>
      </w:pPr>
      <w:r>
        <w:rPr/>
        <w:t>编制单位：美盈森集团股份有限公司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4"/>
        <w:ind w:right="-15"/>
        <w:jc w:val="left"/>
      </w:pPr>
      <w:r>
        <w:rPr>
          <w:rFonts w:ascii="Times New Roman" w:hAnsi="Times New Roman" w:cs="Times New Roman" w:eastAsia="Times New Roman" w:hint="default"/>
        </w:rPr>
        <w:t>2018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0"/>
          <w:cols w:num="3" w:equalWidth="0">
            <w:col w:w="3033" w:space="1042"/>
            <w:col w:w="1641" w:space="3202"/>
            <w:col w:w="2012"/>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3"/>
        <w:gridCol w:w="3406"/>
        <w:gridCol w:w="2969"/>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989,511,500.82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2,153,297,209.95</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2" w:right="9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06" w:type="dxa"/>
            <w:tcBorders>
              <w:top w:val="single" w:sz="4" w:space="0" w:color="000000"/>
              <w:left w:val="single" w:sz="12" w:space="0" w:color="D3D3D3"/>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1,080,681,962.31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912,826,896.06</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82,564,300.79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49,895,560.78</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55"/>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998,117,661.52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862,931,335.28</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10,432,849.35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8,409,621.27</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62,064,165.55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78,225,088.96</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4,129,312.56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13,741,592.64</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55"/>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58,000.00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667,198,889.53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654,017,797.83</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834,823,280.60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54,378,871.46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194"/>
        <w:gridCol w:w="3406"/>
        <w:gridCol w:w="2969"/>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3,644,712,648.16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3,861,155,485.53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506,898,981.88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443,625,472.96</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1,219,297,623.63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869,341,393.02</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316,579,242.27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239,139,776.49</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2,193,167.57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898,195.61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418,615,032.91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393,082,038.34</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29,979,249.25</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17,960,376.84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21,376,467.49</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15,395,055.68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13,552,508.18</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227,257,564.10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58,068,958.54</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2,725,197,044.88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2,070,064,059.88</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6,369,909,693.04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5,931,219,545.41</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399,000,000.00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353,833,483.99</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7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9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06" w:type="dxa"/>
            <w:tcBorders>
              <w:top w:val="single" w:sz="4" w:space="0" w:color="000000"/>
              <w:left w:val="single" w:sz="12" w:space="0" w:color="D3D3D3"/>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7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1,146,930,079.61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925,035,843.83</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17,838,529.73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14,418,270.55</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7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36,901,696.03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33,791,110.57</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38,879,868.72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35,734,764.86</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18,868,068.27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35,532,061.41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106,125.89</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5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1,658,418,242.36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1,398,345,535.21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3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94,495,789.66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55,387,556.34</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29,367,629.61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22,060,223.58</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123,863,419.27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77,447,779.92</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1,782,281,661.63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1,475,793,315.13</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1,531,323,685.00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1,542,323,685.00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3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1,243,220,158.45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1,292,346,249.52</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71,680,309.56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65,491,525.17</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163,895,427.21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122,519,041.42</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3"/>
        <w:gridCol w:w="3406"/>
        <w:gridCol w:w="2969"/>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1,466,366,406.97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1,307,039,303.05</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4,476,485,987.19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4,329,719,804.16</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111,142,044.22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125,706,426.12</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4,587,628,031.41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4,455,426,230.28</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6,369,909,693.04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5,931,219,545.41</w:t>
            </w:r>
          </w:p>
        </w:tc>
      </w:tr>
    </w:tbl>
    <w:p>
      <w:pPr>
        <w:spacing w:line="240" w:lineRule="auto" w:before="7"/>
        <w:rPr>
          <w:rFonts w:ascii="Times New Roman" w:hAnsi="Times New Roman" w:cs="Times New Roman" w:eastAsia="Times New Roman" w:hint="default"/>
          <w:sz w:val="23"/>
          <w:szCs w:val="23"/>
        </w:rPr>
      </w:pPr>
    </w:p>
    <w:p>
      <w:pPr>
        <w:pStyle w:val="BodyText"/>
        <w:tabs>
          <w:tab w:pos="3424" w:val="left" w:leader="none"/>
          <w:tab w:pos="7567" w:val="left" w:leader="none"/>
        </w:tabs>
        <w:spacing w:line="240" w:lineRule="auto" w:before="37"/>
        <w:ind w:left="0" w:right="1224"/>
        <w:jc w:val="right"/>
      </w:pPr>
      <w:r>
        <w:rPr/>
        <w:t>法定代表人：张珍义</w:t>
        <w:tab/>
      </w:r>
      <w:r>
        <w:rPr>
          <w:spacing w:val="-1"/>
        </w:rPr>
        <w:t>主管会计工作负责人：袁宏贵</w:t>
        <w:tab/>
      </w:r>
      <w:r>
        <w:rPr/>
        <w:t>会计机构负责人：袁宏贵</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rFonts w:ascii="Tahoma" w:hAnsi="Tahoma" w:cs="Tahoma" w:eastAsia="Tahoma" w:hint="default"/>
        </w:rPr>
        <w:t>2</w:t>
      </w:r>
      <w:r>
        <w:rPr/>
        <w:t>、母公司资产负债表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133"/>
        <w:jc w:val="right"/>
      </w:pPr>
      <w:r>
        <w:rPr/>
        <w:t>单位：元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300"/>
        <w:gridCol w:w="3302"/>
        <w:gridCol w:w="2966"/>
      </w:tblGrid>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159,419,430.50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353,543,335.70</w:t>
            </w:r>
          </w:p>
        </w:tc>
      </w:tr>
      <w:tr>
        <w:trPr>
          <w:trHeight w:val="71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02" w:type="dxa"/>
            <w:tcBorders>
              <w:top w:val="single" w:sz="4" w:space="0" w:color="000000"/>
              <w:left w:val="single" w:sz="10" w:space="0" w:color="D3D3D3"/>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429,192,318.38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333,010,163.90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52,760,172.07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39,040,513.76</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6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376,432,146.31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293,969,650.14</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636,088.60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1,689,769.64</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154,678,569.64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290,395,348.33</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771,659.04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953,436.21</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6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145,159,578.83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125,031,618.52</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11,703,471.89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11,603,245.21</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900,789,457.84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1,115,273,481.30</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2,993,760,245.88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2,828,179,770.00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432,733,859.20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400,191,742.00</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300"/>
        <w:gridCol w:w="3302"/>
        <w:gridCol w:w="2966"/>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245,631,446.05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42,407,759.17</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578,789.81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152,328,322.37</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10,389,965.57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10,627,862.45</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2,440,467.91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2,222,518.13</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3,938,349.30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2,707,708.52</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4,378,826.77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3,778,026.77</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3,694,851,950.49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3,443,443,709.41</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4,595,641,408.33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4,558,717,190.71</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303,833,483.99</w:t>
            </w:r>
          </w:p>
        </w:tc>
      </w:tr>
      <w:tr>
        <w:trPr>
          <w:trHeight w:val="71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02" w:type="dxa"/>
            <w:tcBorders>
              <w:top w:val="single" w:sz="4" w:space="0" w:color="000000"/>
              <w:left w:val="single" w:sz="10" w:space="0" w:color="D3D3D3"/>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610,497,287.17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442,244,490.93</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8,402,054.28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2,615,651.25</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10,649,429.60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9,459,292.97</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8,050,390.68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6,666,200.96</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37,355,809.74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98,616,313.22</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106,125.89</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6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740,954,971.47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863,435,433.32</w:t>
            </w: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300"/>
        <w:gridCol w:w="3302"/>
        <w:gridCol w:w="2966"/>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7,815,334.37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5,545,334.33</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24,668,139.68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19,786,822.10</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32,483,474.05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25,332,156.43</w:t>
            </w: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773,438,445.52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888,767,589.75</w:t>
            </w: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1,531,323,685.00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1,542,323,685.00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1,242,337,832.55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1,292,346,249.52</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46,677,973.38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46,677,973.38</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163,895,427.21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122,519,041.42</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837,968,044.67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666,082,651.64</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3,822,202,962.81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3,669,949,600.96</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4,595,641,408.33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4,558,717,190.71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3</w:t>
      </w:r>
      <w:r>
        <w:rPr/>
        <w:t>、合并利润表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3,248,945,549.35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2,857,419,302.97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3,248,945,549.35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2,857,419,302.97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90"/>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2,840,561,381.29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2,466,547,450.01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2,196,210,059.84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1,871,965,806.93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90"/>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36,415,790.55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28,900,381.93</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238,380,120.95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221,410,455.45</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204,079,870.59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208,094,696.05</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127,081,637.14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113,109,419.74</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-19,246,519.93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-2,055,215.49</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16,165,646.29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6,285,449.22</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19,732,308.16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34,860,015.00</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57,640,422.15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25,121,905.40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11,322,409.50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6,453,118.98</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12,908,667.30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7,798,221.01</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42,352,887.72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5,094,445.69</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-969,614.68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-1,030,508.43</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0"/>
              <w:jc w:val="right"/>
              <w:rPr>
                <w:rFonts w:ascii="宋体" w:hAnsi="宋体" w:cs="宋体" w:eastAsia="宋体" w:hint="default"/>
                <w:sz w:val="18"/>
                <w:szCs w:val="18"/>
              </w:rPr>
            </w:pPr>
            <w:r>
              <w:rPr>
                <w:rFonts w:ascii="宋体" w:hAnsi="宋体" w:cs="宋体" w:eastAsia="宋体" w:hint="default"/>
                <w:spacing w:val="-1"/>
                <w:sz w:val="18"/>
                <w:szCs w:val="18"/>
              </w:rPr>
              <w:t>三、营业利润（亏损以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473,998,517.90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409,187,130.21</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748,528.51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1,803,176.59</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6,484,189.09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3,047,182.89</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468,262,857.32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407,943,123.91</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75,806,933.56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63,122,980.65</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0"/>
              <w:jc w:val="right"/>
              <w:rPr>
                <w:rFonts w:ascii="宋体" w:hAnsi="宋体" w:cs="宋体" w:eastAsia="宋体" w:hint="default"/>
                <w:sz w:val="18"/>
                <w:szCs w:val="18"/>
              </w:rPr>
            </w:pPr>
            <w:r>
              <w:rPr>
                <w:rFonts w:ascii="宋体" w:hAnsi="宋体" w:cs="宋体" w:eastAsia="宋体" w:hint="default"/>
                <w:spacing w:val="-1"/>
                <w:sz w:val="18"/>
                <w:szCs w:val="18"/>
              </w:rPr>
              <w:t>五、净利润（净亏损以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392,455,923.76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344,820,143.26</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392,455,923.76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348,644,087.43</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5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-3,823,944.17</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401,205,568.76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348,186,315.19</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-8,749,645.00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-3,366,171.93</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6,188,784.39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55,576,667.09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6,188,784.39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55,576,667.09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6,188,784.39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55,576,667.09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2,924,626.65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-2,992,619.35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3,264,157.74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58,569,286.44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398,644,708.15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400,396,810.35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407,394,353.15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403,762,982.28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-8,749,645.00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-3,366,171.93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0.2608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0.2258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0.2608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0.2258</w:t>
            </w:r>
          </w:p>
        </w:tc>
      </w:tr>
    </w:tbl>
    <w:p>
      <w:pPr>
        <w:pStyle w:val="BodyText"/>
        <w:tabs>
          <w:tab w:pos="3577" w:val="left" w:leader="none"/>
          <w:tab w:pos="7719" w:val="left" w:leader="none"/>
        </w:tabs>
        <w:spacing w:line="595" w:lineRule="auto" w:before="49"/>
        <w:ind w:right="1224"/>
        <w:jc w:val="both"/>
        <w:rPr>
          <w:rFonts w:ascii="Tahoma" w:hAnsi="Tahoma" w:cs="Tahoma" w:eastAsia="Tahoma"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法定代表人：张珍义</w:t>
        <w:tab/>
      </w:r>
      <w:r>
        <w:rPr>
          <w:spacing w:val="-1"/>
        </w:rPr>
        <w:t>主管会计工作负责人：袁宏贵</w:t>
        <w:tab/>
      </w:r>
      <w:r>
        <w:rPr/>
        <w:t>会计机构负责人：袁宏贵</w:t>
      </w:r>
      <w:r>
        <w:rPr/>
        <w:t> </w:t>
      </w:r>
      <w:r>
        <w:rPr>
          <w:rFonts w:ascii="Tahoma" w:hAnsi="Tahoma" w:cs="Tahoma" w:eastAsia="Tahoma" w:hint="default"/>
          <w:sz w:val="21"/>
          <w:szCs w:val="21"/>
        </w:rPr>
        <w:t>4</w:t>
      </w:r>
      <w:r>
        <w:rPr>
          <w:sz w:val="21"/>
          <w:szCs w:val="21"/>
        </w:rPr>
        <w:t>、母公司利润表</w:t>
      </w:r>
      <w:r>
        <w:rPr>
          <w:rFonts w:ascii="Tahoma" w:hAnsi="Tahoma" w:cs="Tahoma" w:eastAsia="Tahoma" w:hint="default"/>
          <w:w w:val="80"/>
          <w:sz w:val="21"/>
          <w:szCs w:val="21"/>
        </w:rPr>
        <w:t> </w:t>
      </w:r>
      <w:r>
        <w:rPr>
          <w:rFonts w:ascii="Tahoma" w:hAnsi="Tahoma" w:cs="Tahoma" w:eastAsia="Tahoma" w:hint="default"/>
          <w:sz w:val="21"/>
          <w:szCs w:val="21"/>
        </w:rPr>
      </w:r>
    </w:p>
    <w:p>
      <w:pPr>
        <w:pStyle w:val="BodyText"/>
        <w:spacing w:line="207" w:lineRule="exact"/>
        <w:ind w:left="0" w:right="1133"/>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1,012,287,403.46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803,439,317.01</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740,591,013.58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563,571,564.29</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5,428,232.19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4,829,542.32</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65,687,768.28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55,610,078.09</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47,455,290.11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51,292,234.64</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35,455,764.61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28,925,971.50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-1,642,702.45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188,917.83</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8,154,231.44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3,556,910.43</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3,164,088.37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13,615,918.17</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184,005,880.71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5,586,624.01</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3,974,463.02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1,947,637.91</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461,722,446.28</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32,542,117.20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2,553,010.00</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96,261.28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-556,058.94</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433,641,444.21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97,378,973.30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103,915.99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407,283.29</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303,669.44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751,174.60</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433,441,690.76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97,035,081.99</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19,677,832.89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13,911,929.84</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413,763,857.87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83,123,152.15</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5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413,763,857.87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83,123,152.15</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46,677,973.38</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46,677,973.38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46,677,973.38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413,763,857.87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129,801,125.53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5</w:t>
      </w:r>
      <w:r>
        <w:rPr/>
        <w:t>、合并现金流量表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3,256,972,278.16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2,706,429,698.32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982" w:header="753" w:top="1060" w:bottom="1180" w:left="980" w:right="0"/>
          <w:pgNumType w:start="1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16,976,678.52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14,195,795.85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104,203,781.13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122,376,547.28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3,378,152,737.81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2,843,002,041.45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2,228,362,800.27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1,772,353,118.06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440,107,690.70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476,914,365.48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220,733,216.90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199,941,839.53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215,022,462.56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129,637,400.83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3,104,226,170.43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2,578,846,723.90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273,926,567.38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264,155,317.55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848,953,949.78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15,942,563.82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10,555,191.76</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5,233,182.79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787,520.00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-21,068,377.94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864,742,324.33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-4,338,294.12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582,751,591.38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561,540,699.29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1,570,500,001.00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2,153,251,592.38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562,540,699.29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-1,288,509,268.05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-566,878,993.41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74,100,000.00</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480,158,060.93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373,833,483.99</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480,158,060.93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447,933,483.99</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353,833,483.99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6,797,556.34</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222,002,690.37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40,216,559.39</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5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61,102,523.12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2,101,687.87</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636,938,697.48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49,115,803.60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-156,780,636.55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398,817,680.39</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7,577,628.09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-19,324,386.81</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-1,163,785,709.13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76,769,617.72</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2,153,297,209.95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2,076,527,592.23</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989,511,500.82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2,153,297,209.95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6</w:t>
      </w:r>
      <w:r>
        <w:rPr/>
        <w:t>、母公司现金流量表</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977,274,387.68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777,545,708.35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32,735.92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94,227.31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22,795,256.47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41,426,790.57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1,000,102,380.07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819,066,726.23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691,031,974.68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534,547,402.98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76,324,659.24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74,261,327.53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51,578,222.13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52,963,920.77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87,739,634.78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48,818,400.88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906,674,490.83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710,591,052.16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93,427,889.24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108,475,674.07</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892,997,500.00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461,722,446.28</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369,700.00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1,354,916,946.28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369,700.00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37,877,109.12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149,182,612.37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1,233,469,404.35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502,305,300.00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644,141,358.70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354,883,704.75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1,915,487,872.17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1,006,371,617.12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-560,570,925.89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-1,006,001,917.12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93,772,226.41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303,833,483.99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752,727,375.73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201,437,776.68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846,499,602.14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505,271,260.67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303,833,483.99</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209,803,771.80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37,488,020.60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61,102,523.12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1,448,440.05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574,739,778.91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38,936,460.65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271,759,823.23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466,334,800.02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1,259,308.22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-2,088,974.33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-194,123,905.20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-433,280,417.36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353,543,335.70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786,823,753.06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159,419,430.50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353,543,335.70</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7</w:t>
      </w:r>
      <w:r>
        <w:rPr/>
        <w:t>、合并所有者权益变动表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t>本期金额</w:t>
      </w:r>
    </w:p>
    <w:p>
      <w:pPr>
        <w:pStyle w:val="BodyText"/>
        <w:spacing w:line="240" w:lineRule="auto" w:before="115"/>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60"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0" w:type="dxa"/>
            <w:vMerge/>
            <w:tcBorders>
              <w:left w:val="single" w:sz="4" w:space="0" w:color="000000"/>
              <w:bottom w:val="single" w:sz="4" w:space="0" w:color="000000"/>
              <w:right w:val="single" w:sz="4" w:space="0" w:color="000000"/>
            </w:tcBorders>
            <w:shd w:val="clear" w:color="auto" w:fill="D3D3D3"/>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323,68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46,249.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65,491,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525.17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122,519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,041.42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39,303.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125,706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,426.12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26,230.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323,68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1,292,3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46,249.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65,491,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525.17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122,519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,041.42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1,307,0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39,303.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125,706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,426.12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4,455,4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26,230.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-49,126,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091.07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6,188,7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84.39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41,376,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385.79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159,327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,103.92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-14,564,</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381.90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132,201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,801.13</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6,188,7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84.39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401,205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,568.76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-8,749,6</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45.00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398,644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,708.15</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-50,008,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416.97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-4,932,4</w:t>
            </w:r>
          </w:p>
          <w:p>
            <w:pPr>
              <w:pStyle w:val="TableParagraph"/>
              <w:spacing w:line="240" w:lineRule="auto" w:before="105"/>
              <w:ind w:left="235" w:right="0"/>
              <w:jc w:val="left"/>
              <w:rPr>
                <w:rFonts w:ascii="Times New Roman" w:hAnsi="Times New Roman" w:cs="Times New Roman" w:eastAsia="Times New Roman" w:hint="default"/>
                <w:sz w:val="18"/>
                <w:szCs w:val="18"/>
              </w:rPr>
            </w:pPr>
            <w:r>
              <w:rPr>
                <w:rFonts w:ascii="Times New Roman"/>
                <w:sz w:val="18"/>
              </w:rPr>
              <w:t>11.00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-65,940,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827.97</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-50,008,</w:t>
            </w:r>
          </w:p>
          <w:p>
            <w:pPr>
              <w:pStyle w:val="TableParagraph"/>
              <w:spacing w:line="240" w:lineRule="auto" w:before="102"/>
              <w:ind w:left="113" w:right="0"/>
              <w:jc w:val="center"/>
              <w:rPr>
                <w:rFonts w:ascii="Times New Roman" w:hAnsi="Times New Roman" w:cs="Times New Roman" w:eastAsia="Times New Roman" w:hint="default"/>
                <w:sz w:val="18"/>
                <w:szCs w:val="18"/>
              </w:rPr>
            </w:pPr>
            <w:r>
              <w:rPr>
                <w:rFonts w:ascii="Times New Roman"/>
                <w:sz w:val="18"/>
              </w:rPr>
              <w:t>416.97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-4,932,4</w:t>
            </w:r>
          </w:p>
          <w:p>
            <w:pPr>
              <w:pStyle w:val="TableParagraph"/>
              <w:spacing w:line="240" w:lineRule="auto" w:before="102"/>
              <w:ind w:left="235" w:right="0"/>
              <w:jc w:val="left"/>
              <w:rPr>
                <w:rFonts w:ascii="Times New Roman" w:hAnsi="Times New Roman" w:cs="Times New Roman" w:eastAsia="Times New Roman" w:hint="default"/>
                <w:sz w:val="18"/>
                <w:szCs w:val="18"/>
              </w:rPr>
            </w:pPr>
            <w:r>
              <w:rPr>
                <w:rFonts w:ascii="Times New Roman"/>
                <w:sz w:val="18"/>
              </w:rPr>
              <w:t>11.00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-65,940,</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827.97</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41,376,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385.79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8,464.8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2,079.0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41,376,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385.79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-41,376,</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385.79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-200,50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2,079.0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2,079.0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882,325</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-882,32</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5.90</w:t>
            </w: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882,325</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-882,32</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5.90</w:t>
            </w: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1,531,</w:t>
            </w:r>
          </w:p>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323,68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1,243,2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20,158.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71,680,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309.56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163,895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,427.21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1,466,3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66,406.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pacing w:val="-3"/>
                <w:sz w:val="18"/>
              </w:rPr>
              <w:t>111,142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,044.22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4,587,6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28,031.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r>
    </w:tbl>
    <w:p>
      <w:pPr>
        <w:pStyle w:val="BodyText"/>
        <w:spacing w:line="240" w:lineRule="auto" w:before="49"/>
        <w:ind w:right="984"/>
        <w:jc w:val="left"/>
      </w:pPr>
      <w:r>
        <w:rPr/>
        <w:t>上期金额</w:t>
      </w:r>
    </w:p>
    <w:p>
      <w:pPr>
        <w:pStyle w:val="BodyText"/>
        <w:spacing w:line="240" w:lineRule="auto" w:before="115"/>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403" w:hRule="exact"/>
        </w:trPr>
        <w:tc>
          <w:tcPr>
            <w:tcW w:w="14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36"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436"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3D3D3"/>
          </w:tcPr>
          <w:p>
            <w:pPr/>
          </w:p>
        </w:tc>
        <w:tc>
          <w:tcPr>
            <w:tcW w:w="658" w:type="dxa"/>
            <w:vMerge/>
            <w:tcBorders>
              <w:left w:val="single" w:sz="4" w:space="0" w:color="000000"/>
              <w:right w:val="single" w:sz="4" w:space="0" w:color="000000"/>
            </w:tcBorders>
            <w:shd w:val="clear" w:color="auto" w:fill="D3D3D3"/>
          </w:tcPr>
          <w:p>
            <w:pPr/>
          </w:p>
        </w:tc>
      </w:tr>
      <w:tr>
        <w:trPr>
          <w:trHeight w:val="713" w:hRule="exact"/>
        </w:trPr>
        <w:tc>
          <w:tcPr>
            <w:tcW w:w="1436"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7"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9" w:type="dxa"/>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658"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323,68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1,292,3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46,249.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9,914,8</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58.08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114,206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,726.21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96,424.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84,094,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882.90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4,043,9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82,825.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323,68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1,292,3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46,249.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9,914,8</w:t>
            </w:r>
          </w:p>
          <w:p>
            <w:pPr>
              <w:pStyle w:val="TableParagraph"/>
              <w:spacing w:line="240" w:lineRule="auto" w:before="102"/>
              <w:ind w:left="210" w:right="0"/>
              <w:jc w:val="center"/>
              <w:rPr>
                <w:rFonts w:ascii="Times New Roman" w:hAnsi="Times New Roman" w:cs="Times New Roman" w:eastAsia="Times New Roman" w:hint="default"/>
                <w:sz w:val="18"/>
                <w:szCs w:val="18"/>
              </w:rPr>
            </w:pPr>
            <w:r>
              <w:rPr>
                <w:rFonts w:ascii="Times New Roman"/>
                <w:sz w:val="18"/>
              </w:rPr>
              <w:t>58.08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114,206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,726.21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1,001,0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96,424.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84,094,</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882.90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4,043,9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82,825.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55,576,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667.09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8,312,3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15.21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305,942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,878.91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41,611,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543.22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411,443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,404.43</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55,576,</w:t>
            </w:r>
          </w:p>
          <w:p>
            <w:pPr>
              <w:pStyle w:val="TableParagraph"/>
              <w:spacing w:line="240" w:lineRule="auto" w:before="102"/>
              <w:ind w:left="141" w:right="0"/>
              <w:jc w:val="left"/>
              <w:rPr>
                <w:rFonts w:ascii="Times New Roman" w:hAnsi="Times New Roman" w:cs="Times New Roman" w:eastAsia="Times New Roman" w:hint="default"/>
                <w:sz w:val="18"/>
                <w:szCs w:val="18"/>
              </w:rPr>
            </w:pPr>
            <w:r>
              <w:rPr>
                <w:rFonts w:ascii="Times New Roman"/>
                <w:sz w:val="18"/>
              </w:rPr>
              <w:t>667.09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348,186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,315.19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-3,366,</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171.93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400,396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,810.35</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44,977,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715.15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44,977,</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715.15</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44,977,</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715.15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44,977,</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715.15</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center"/>
              <w:rPr>
                <w:rFonts w:ascii="Times New Roman" w:hAnsi="Times New Roman" w:cs="Times New Roman" w:eastAsia="Times New Roman" w:hint="default"/>
                <w:sz w:val="18"/>
                <w:szCs w:val="18"/>
              </w:rPr>
            </w:pPr>
            <w:r>
              <w:rPr>
                <w:rFonts w:ascii="Times New Roman"/>
                <w:sz w:val="18"/>
              </w:rPr>
              <w:t>8,312,3</w:t>
            </w:r>
          </w:p>
          <w:p>
            <w:pPr>
              <w:pStyle w:val="TableParagraph"/>
              <w:spacing w:line="240" w:lineRule="auto" w:before="102"/>
              <w:ind w:left="205" w:right="0"/>
              <w:jc w:val="center"/>
              <w:rPr>
                <w:rFonts w:ascii="Times New Roman" w:hAnsi="Times New Roman" w:cs="Times New Roman" w:eastAsia="Times New Roman" w:hint="default"/>
                <w:sz w:val="18"/>
                <w:szCs w:val="18"/>
              </w:rPr>
            </w:pPr>
            <w:r>
              <w:rPr>
                <w:rFonts w:ascii="Times New Roman"/>
                <w:sz w:val="18"/>
              </w:rPr>
              <w:t>15.21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-42,243,</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436.28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-33,931,</w:t>
            </w:r>
          </w:p>
          <w:p>
            <w:pPr>
              <w:pStyle w:val="TableParagraph"/>
              <w:spacing w:line="240" w:lineRule="auto" w:before="102"/>
              <w:ind w:left="111" w:right="0"/>
              <w:jc w:val="center"/>
              <w:rPr>
                <w:rFonts w:ascii="Times New Roman" w:hAnsi="Times New Roman" w:cs="Times New Roman" w:eastAsia="Times New Roman" w:hint="default"/>
                <w:sz w:val="18"/>
                <w:szCs w:val="18"/>
              </w:rPr>
            </w:pPr>
            <w:r>
              <w:rPr>
                <w:rFonts w:ascii="Times New Roman"/>
                <w:sz w:val="18"/>
              </w:rPr>
              <w:t>121.07</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8,312,3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15.21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-8,312,3</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15.21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-33,931,</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121.07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-33,931,</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121.07</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323,68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1,292,3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46,249.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65,491,</w:t>
            </w:r>
          </w:p>
          <w:p>
            <w:pPr>
              <w:pStyle w:val="TableParagraph"/>
              <w:spacing w:line="240" w:lineRule="auto" w:before="102"/>
              <w:ind w:left="141" w:right="0"/>
              <w:jc w:val="left"/>
              <w:rPr>
                <w:rFonts w:ascii="Times New Roman" w:hAnsi="Times New Roman" w:cs="Times New Roman" w:eastAsia="Times New Roman" w:hint="default"/>
                <w:sz w:val="18"/>
                <w:szCs w:val="18"/>
              </w:rPr>
            </w:pPr>
            <w:r>
              <w:rPr>
                <w:rFonts w:ascii="Times New Roman"/>
                <w:sz w:val="18"/>
              </w:rPr>
              <w:t>525.17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122,519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,041.42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1,307,0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39,303.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125,706</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,426.12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4,455,4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26,230.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8</w:t>
      </w:r>
      <w:r>
        <w:rPr/>
        <w:t>、母公司所有者权益变动表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t>本期金额</w:t>
      </w:r>
    </w:p>
    <w:p>
      <w:pPr>
        <w:pStyle w:val="BodyText"/>
        <w:spacing w:line="240" w:lineRule="auto" w:before="115"/>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40"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2"/>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2"/>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2"/>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2"/>
              <w:ind w:left="115" w:right="21"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1,542,32</w:t>
            </w:r>
          </w:p>
          <w:p>
            <w:pPr>
              <w:pStyle w:val="TableParagraph"/>
              <w:spacing w:line="240" w:lineRule="auto" w:before="102"/>
              <w:ind w:left="31" w:right="0"/>
              <w:jc w:val="left"/>
              <w:rPr>
                <w:rFonts w:ascii="Times New Roman" w:hAnsi="Times New Roman" w:cs="Times New Roman" w:eastAsia="Times New Roman" w:hint="default"/>
                <w:sz w:val="18"/>
                <w:szCs w:val="18"/>
              </w:rPr>
            </w:pPr>
            <w:r>
              <w:rPr>
                <w:rFonts w:ascii="Times New Roman"/>
                <w:sz w:val="18"/>
              </w:rPr>
              <w:t>3,685.00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1,292,346</w:t>
            </w:r>
          </w:p>
          <w:p>
            <w:pPr>
              <w:pStyle w:val="TableParagraph"/>
              <w:spacing w:line="240" w:lineRule="auto" w:before="102"/>
              <w:ind w:left="205" w:right="0"/>
              <w:jc w:val="center"/>
              <w:rPr>
                <w:rFonts w:ascii="Times New Roman" w:hAnsi="Times New Roman" w:cs="Times New Roman" w:eastAsia="Times New Roman" w:hint="default"/>
                <w:sz w:val="18"/>
                <w:szCs w:val="18"/>
              </w:rPr>
            </w:pPr>
            <w:r>
              <w:rPr>
                <w:rFonts w:ascii="Times New Roman"/>
                <w:sz w:val="18"/>
              </w:rPr>
              <w:t>,249.52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46,677,97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3.38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122,519,0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41.42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666,082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,651.64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3,669,949</w:t>
            </w:r>
          </w:p>
          <w:p>
            <w:pPr>
              <w:pStyle w:val="TableParagraph"/>
              <w:spacing w:line="240" w:lineRule="auto" w:before="102"/>
              <w:ind w:left="189" w:right="0"/>
              <w:jc w:val="center"/>
              <w:rPr>
                <w:rFonts w:ascii="Times New Roman" w:hAnsi="Times New Roman" w:cs="Times New Roman" w:eastAsia="Times New Roman" w:hint="default"/>
                <w:sz w:val="18"/>
                <w:szCs w:val="18"/>
              </w:rPr>
            </w:pPr>
            <w:r>
              <w:rPr>
                <w:rFonts w:ascii="Times New Roman"/>
                <w:sz w:val="18"/>
              </w:rPr>
              <w:t>,600.96</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1,542,32</w:t>
            </w:r>
          </w:p>
          <w:p>
            <w:pPr>
              <w:pStyle w:val="TableParagraph"/>
              <w:spacing w:line="240" w:lineRule="auto" w:before="102"/>
              <w:ind w:left="31" w:right="0"/>
              <w:jc w:val="left"/>
              <w:rPr>
                <w:rFonts w:ascii="Times New Roman" w:hAnsi="Times New Roman" w:cs="Times New Roman" w:eastAsia="Times New Roman" w:hint="default"/>
                <w:sz w:val="18"/>
                <w:szCs w:val="18"/>
              </w:rPr>
            </w:pPr>
            <w:r>
              <w:rPr>
                <w:rFonts w:ascii="Times New Roman"/>
                <w:sz w:val="18"/>
              </w:rPr>
              <w:t>3,685.00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1,292,346</w:t>
            </w:r>
          </w:p>
          <w:p>
            <w:pPr>
              <w:pStyle w:val="TableParagraph"/>
              <w:spacing w:line="240" w:lineRule="auto" w:before="102"/>
              <w:ind w:left="205" w:right="0"/>
              <w:jc w:val="center"/>
              <w:rPr>
                <w:rFonts w:ascii="Times New Roman" w:hAnsi="Times New Roman" w:cs="Times New Roman" w:eastAsia="Times New Roman" w:hint="default"/>
                <w:sz w:val="18"/>
                <w:szCs w:val="18"/>
              </w:rPr>
            </w:pPr>
            <w:r>
              <w:rPr>
                <w:rFonts w:ascii="Times New Roman"/>
                <w:sz w:val="18"/>
              </w:rPr>
              <w:t>,249.52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46,677,97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3.38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122,519,0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41.42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666,082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,651.64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3,669,949</w:t>
            </w:r>
          </w:p>
          <w:p>
            <w:pPr>
              <w:pStyle w:val="TableParagraph"/>
              <w:spacing w:line="240" w:lineRule="auto" w:before="102"/>
              <w:ind w:left="189" w:right="0"/>
              <w:jc w:val="center"/>
              <w:rPr>
                <w:rFonts w:ascii="Times New Roman" w:hAnsi="Times New Roman" w:cs="Times New Roman" w:eastAsia="Times New Roman" w:hint="default"/>
                <w:sz w:val="18"/>
                <w:szCs w:val="18"/>
              </w:rPr>
            </w:pPr>
            <w:r>
              <w:rPr>
                <w:rFonts w:ascii="Times New Roman"/>
                <w:sz w:val="18"/>
              </w:rPr>
              <w:t>,600.96</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-50,008,4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41,376,38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171,885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,393.03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152,253,3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61.85</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（一）综合收益总</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7" w:right="0"/>
              <w:jc w:val="left"/>
              <w:rPr>
                <w:rFonts w:ascii="Times New Roman" w:hAnsi="Times New Roman" w:cs="Times New Roman" w:eastAsia="Times New Roman" w:hint="default"/>
                <w:sz w:val="18"/>
                <w:szCs w:val="18"/>
              </w:rPr>
            </w:pPr>
            <w:r>
              <w:rPr>
                <w:rFonts w:ascii="Times New Roman"/>
                <w:sz w:val="18"/>
              </w:rPr>
              <w:t>413,763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8" w:right="0"/>
              <w:jc w:val="left"/>
              <w:rPr>
                <w:rFonts w:ascii="Times New Roman" w:hAnsi="Times New Roman" w:cs="Times New Roman" w:eastAsia="Times New Roman" w:hint="default"/>
                <w:sz w:val="18"/>
                <w:szCs w:val="18"/>
              </w:rPr>
            </w:pPr>
            <w:r>
              <w:rPr>
                <w:rFonts w:ascii="Times New Roman"/>
                <w:sz w:val="18"/>
              </w:rPr>
              <w:t>413,763,8</w:t>
            </w:r>
          </w:p>
        </w:tc>
      </w:tr>
    </w:tbl>
    <w:p>
      <w:pPr>
        <w:spacing w:after="0" w:line="240" w:lineRule="auto"/>
        <w:jc w:val="lef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,857.87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3" w:right="0"/>
              <w:jc w:val="left"/>
              <w:rPr>
                <w:rFonts w:ascii="Times New Roman" w:hAnsi="Times New Roman" w:cs="Times New Roman" w:eastAsia="Times New Roman" w:hint="default"/>
                <w:sz w:val="18"/>
                <w:szCs w:val="18"/>
              </w:rPr>
            </w:pPr>
            <w:r>
              <w:rPr>
                <w:rFonts w:ascii="Times New Roman"/>
                <w:sz w:val="18"/>
              </w:rPr>
              <w:t>57.87</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-50,008,4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-61,008,4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16.97</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-50,008,4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-61,008,4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16.97</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41,376,38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8,464.8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-200,502,</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079.05</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41,376,38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-41,376,</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385.79</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2,079.0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-200,502,</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079.05</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1,531,32</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3,685.00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1,242,337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,832.55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46,677,97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163,895,4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837,968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,044.67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3,822,202</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,962.81</w:t>
            </w:r>
          </w:p>
        </w:tc>
      </w:tr>
    </w:tbl>
    <w:p>
      <w:pPr>
        <w:spacing w:after="0" w:line="240" w:lineRule="auto"/>
        <w:jc w:val="center"/>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10"/>
        <w:rPr>
          <w:rFonts w:ascii="Times New Roman" w:hAnsi="Times New Roman" w:cs="Times New Roman" w:eastAsia="Times New Roman" w:hint="default"/>
          <w:sz w:val="29"/>
          <w:szCs w:val="29"/>
        </w:rPr>
      </w:pPr>
    </w:p>
    <w:p>
      <w:pPr>
        <w:pStyle w:val="BodyText"/>
        <w:spacing w:line="240" w:lineRule="auto" w:before="37"/>
        <w:ind w:right="984"/>
        <w:jc w:val="left"/>
      </w:pPr>
      <w:r>
        <w:rPr/>
        <w:t>上期金额</w:t>
      </w:r>
    </w:p>
    <w:p>
      <w:pPr>
        <w:pStyle w:val="BodyText"/>
        <w:spacing w:line="240" w:lineRule="auto" w:before="117"/>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40"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94"/>
              <w:ind w:left="115" w:right="21"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1,542,32</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3,685.00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1,292,346</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,249.52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114,206,7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26.21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625,202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,935.77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3,574,079</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,596.50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1,542,32</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3,685.00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1,292,346</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,249.52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114,206,7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26.21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625,202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,935.77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3,574,079</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,596.50</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46,677,97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8,312,315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40,879,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715.87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95,870,00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4.46</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46,677,97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83,123,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152.15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129,801,1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25.53</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8,312,315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-42,243,</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436.28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-33,931,1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21.07</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8,312,315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-8,312,3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15.21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-33,931,</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121.07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-33,931,1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21.07</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1,542,32</w:t>
            </w:r>
          </w:p>
          <w:p>
            <w:pPr>
              <w:pStyle w:val="TableParagraph"/>
              <w:spacing w:line="240" w:lineRule="auto" w:before="102"/>
              <w:ind w:left="31" w:right="0"/>
              <w:jc w:val="left"/>
              <w:rPr>
                <w:rFonts w:ascii="Times New Roman" w:hAnsi="Times New Roman" w:cs="Times New Roman" w:eastAsia="Times New Roman" w:hint="default"/>
                <w:sz w:val="18"/>
                <w:szCs w:val="18"/>
              </w:rPr>
            </w:pPr>
            <w:r>
              <w:rPr>
                <w:rFonts w:ascii="Times New Roman"/>
                <w:sz w:val="18"/>
              </w:rPr>
              <w:t>3,685.00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center"/>
              <w:rPr>
                <w:rFonts w:ascii="Times New Roman" w:hAnsi="Times New Roman" w:cs="Times New Roman" w:eastAsia="Times New Roman" w:hint="default"/>
                <w:sz w:val="18"/>
                <w:szCs w:val="18"/>
              </w:rPr>
            </w:pPr>
            <w:r>
              <w:rPr>
                <w:rFonts w:ascii="Times New Roman"/>
                <w:sz w:val="18"/>
              </w:rPr>
              <w:t>1,292,346</w:t>
            </w:r>
          </w:p>
          <w:p>
            <w:pPr>
              <w:pStyle w:val="TableParagraph"/>
              <w:spacing w:line="240" w:lineRule="auto" w:before="102"/>
              <w:ind w:left="205" w:right="0"/>
              <w:jc w:val="center"/>
              <w:rPr>
                <w:rFonts w:ascii="Times New Roman" w:hAnsi="Times New Roman" w:cs="Times New Roman" w:eastAsia="Times New Roman" w:hint="default"/>
                <w:sz w:val="18"/>
                <w:szCs w:val="18"/>
              </w:rPr>
            </w:pPr>
            <w:r>
              <w:rPr>
                <w:rFonts w:ascii="Times New Roman"/>
                <w:sz w:val="18"/>
              </w:rPr>
              <w:t>,249.52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46,677,97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3.38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122,519,0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41.42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666,082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,651.64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3,669,949</w:t>
            </w:r>
          </w:p>
          <w:p>
            <w:pPr>
              <w:pStyle w:val="TableParagraph"/>
              <w:spacing w:line="240" w:lineRule="auto" w:before="102"/>
              <w:ind w:left="189" w:right="0"/>
              <w:jc w:val="center"/>
              <w:rPr>
                <w:rFonts w:ascii="Times New Roman" w:hAnsi="Times New Roman" w:cs="Times New Roman" w:eastAsia="Times New Roman" w:hint="default"/>
                <w:sz w:val="18"/>
                <w:szCs w:val="18"/>
              </w:rPr>
            </w:pPr>
            <w:r>
              <w:rPr>
                <w:rFonts w:ascii="Times New Roman"/>
                <w:sz w:val="18"/>
              </w:rPr>
              <w:t>,600.96</w:t>
            </w:r>
          </w:p>
        </w:tc>
      </w:tr>
    </w:tbl>
    <w:p>
      <w:pPr>
        <w:spacing w:line="240" w:lineRule="auto" w:before="1"/>
        <w:rPr>
          <w:rFonts w:ascii="宋体" w:hAnsi="宋体" w:cs="宋体" w:eastAsia="宋体" w:hint="default"/>
          <w:sz w:val="18"/>
          <w:szCs w:val="18"/>
        </w:rPr>
      </w:pPr>
    </w:p>
    <w:p>
      <w:pPr>
        <w:pStyle w:val="Heading2"/>
        <w:spacing w:line="240" w:lineRule="auto" w:before="26"/>
        <w:ind w:right="984"/>
        <w:jc w:val="left"/>
        <w:rPr>
          <w:rFonts w:ascii="Tahoma" w:hAnsi="Tahoma" w:cs="Tahoma" w:eastAsia="Tahoma" w:hint="default"/>
        </w:rPr>
      </w:pPr>
      <w:r>
        <w:rPr/>
        <w:t>三、公司基本情况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00" w:lineRule="auto"/>
        <w:ind w:right="1132" w:firstLine="360"/>
        <w:jc w:val="both"/>
      </w:pPr>
      <w:r>
        <w:rPr>
          <w:spacing w:val="-1"/>
        </w:rPr>
        <w:t>美盈森集团股份有限公司（以下简称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）是由深圳市美盈森环保包装技术有限公司整体变更设立的股份</w:t>
      </w:r>
      <w:r>
        <w:rPr/>
        <w:t> </w:t>
      </w:r>
      <w:r>
        <w:rPr>
          <w:spacing w:val="-1"/>
        </w:rPr>
        <w:t>有限公司，公司设立时股本为</w:t>
      </w:r>
      <w:r>
        <w:rPr>
          <w:rFonts w:ascii="Times New Roman" w:hAnsi="Times New Roman" w:cs="Times New Roman" w:eastAsia="Times New Roman" w:hint="default"/>
          <w:spacing w:val="-1"/>
        </w:rPr>
        <w:t>13,380.00</w:t>
      </w:r>
      <w:r>
        <w:rPr>
          <w:spacing w:val="-1"/>
        </w:rPr>
        <w:t>万股</w:t>
      </w:r>
      <w:r>
        <w:rPr>
          <w:rFonts w:ascii="Times New Roman" w:hAnsi="Times New Roman" w:cs="Times New Roman" w:eastAsia="Times New Roman" w:hint="default"/>
          <w:spacing w:val="-1"/>
        </w:rPr>
        <w:t>,</w:t>
      </w:r>
      <w:r>
        <w:rPr>
          <w:spacing w:val="-1"/>
        </w:rPr>
        <w:t>其中</w:t>
      </w:r>
      <w:r>
        <w:rPr>
          <w:rFonts w:ascii="Times New Roman" w:hAnsi="Times New Roman" w:cs="Times New Roman" w:eastAsia="Times New Roman" w:hint="default"/>
          <w:spacing w:val="-1"/>
        </w:rPr>
        <w:t>:</w:t>
      </w:r>
      <w:r>
        <w:rPr>
          <w:spacing w:val="-1"/>
        </w:rPr>
        <w:t>自然人股东王海鹏持有</w:t>
      </w:r>
      <w:r>
        <w:rPr>
          <w:rFonts w:ascii="Times New Roman" w:hAnsi="Times New Roman" w:cs="Times New Roman" w:eastAsia="Times New Roman" w:hint="default"/>
          <w:spacing w:val="-1"/>
        </w:rPr>
        <w:t>8,857.56</w:t>
      </w:r>
      <w:r>
        <w:rPr>
          <w:spacing w:val="-1"/>
        </w:rPr>
        <w:t>万股</w:t>
      </w:r>
      <w:r>
        <w:rPr>
          <w:rFonts w:ascii="Times New Roman" w:hAnsi="Times New Roman" w:cs="Times New Roman" w:eastAsia="Times New Roman" w:hint="default"/>
          <w:spacing w:val="-1"/>
        </w:rPr>
        <w:t>,</w:t>
      </w:r>
      <w:r>
        <w:rPr>
          <w:spacing w:val="-1"/>
        </w:rPr>
        <w:t>持股比例为</w:t>
      </w:r>
      <w:r>
        <w:rPr>
          <w:rFonts w:ascii="Times New Roman" w:hAnsi="Times New Roman" w:cs="Times New Roman" w:eastAsia="Times New Roman" w:hint="default"/>
          <w:spacing w:val="-1"/>
        </w:rPr>
        <w:t>66.20%,</w:t>
      </w:r>
      <w:r>
        <w:rPr>
          <w:spacing w:val="-1"/>
        </w:rPr>
        <w:t>为公司的实际控制</w:t>
      </w:r>
      <w:r>
        <w:rPr>
          <w:spacing w:val="-49"/>
        </w:rPr>
        <w:t> </w:t>
      </w:r>
      <w:r>
        <w:rPr>
          <w:spacing w:val="-49"/>
        </w:rPr>
      </w:r>
      <w:r>
        <w:rPr>
          <w:spacing w:val="-1"/>
        </w:rPr>
        <w:t>人</w:t>
      </w:r>
      <w:r>
        <w:rPr>
          <w:rFonts w:ascii="Times New Roman" w:hAnsi="Times New Roman" w:cs="Times New Roman" w:eastAsia="Times New Roman" w:hint="default"/>
          <w:spacing w:val="-1"/>
        </w:rPr>
        <w:t>;</w:t>
      </w:r>
      <w:r>
        <w:rPr>
          <w:spacing w:val="-1"/>
        </w:rPr>
        <w:t>王治军、王丽等</w:t>
      </w:r>
      <w:r>
        <w:rPr>
          <w:rFonts w:ascii="Times New Roman" w:hAnsi="Times New Roman" w:cs="Times New Roman" w:eastAsia="Times New Roman" w:hint="default"/>
          <w:spacing w:val="-1"/>
        </w:rPr>
        <w:t>23</w:t>
      </w:r>
      <w:r>
        <w:rPr>
          <w:spacing w:val="-1"/>
        </w:rPr>
        <w:t>名自然人股东持有</w:t>
      </w:r>
      <w:r>
        <w:rPr>
          <w:rFonts w:ascii="Times New Roman" w:hAnsi="Times New Roman" w:cs="Times New Roman" w:eastAsia="Times New Roman" w:hint="default"/>
          <w:spacing w:val="-1"/>
        </w:rPr>
        <w:t>4,522.44</w:t>
      </w:r>
      <w:r>
        <w:rPr>
          <w:spacing w:val="-1"/>
        </w:rPr>
        <w:t>万股</w:t>
      </w:r>
      <w:r>
        <w:rPr>
          <w:rFonts w:ascii="Times New Roman" w:hAnsi="Times New Roman" w:cs="Times New Roman" w:eastAsia="Times New Roman" w:hint="default"/>
          <w:spacing w:val="-1"/>
        </w:rPr>
        <w:t>,</w:t>
      </w:r>
      <w:r>
        <w:rPr>
          <w:spacing w:val="-1"/>
        </w:rPr>
        <w:t>持股比例为</w:t>
      </w:r>
      <w:r>
        <w:rPr>
          <w:rFonts w:ascii="Times New Roman" w:hAnsi="Times New Roman" w:cs="Times New Roman" w:eastAsia="Times New Roman" w:hint="default"/>
          <w:spacing w:val="-1"/>
        </w:rPr>
        <w:t>33.80%</w:t>
      </w:r>
      <w:r>
        <w:rPr>
          <w:spacing w:val="-1"/>
        </w:rPr>
        <w:t>。于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25</w:t>
      </w:r>
      <w:r>
        <w:rPr>
          <w:spacing w:val="-1"/>
        </w:rPr>
        <w:t>日取得深圳市工商行政管理局颁发</w:t>
      </w:r>
      <w:r>
        <w:rPr>
          <w:spacing w:val="-54"/>
        </w:rPr>
        <w:t> </w:t>
      </w:r>
      <w:r>
        <w:rPr>
          <w:spacing w:val="-54"/>
        </w:rPr>
      </w:r>
      <w:r>
        <w:rPr/>
        <w:t>的企业法人营业执照。</w:t>
      </w:r>
    </w:p>
    <w:p>
      <w:pPr>
        <w:pStyle w:val="BodyText"/>
        <w:spacing w:line="300" w:lineRule="auto" w:before="151"/>
        <w:ind w:right="1128" w:firstLine="360"/>
        <w:jc w:val="both"/>
      </w:pPr>
      <w:r>
        <w:rPr>
          <w:spacing w:val="5"/>
        </w:rPr>
        <w:t>经中国证券监督管理委员会证监许可</w:t>
      </w:r>
      <w:r>
        <w:rPr>
          <w:rFonts w:ascii="Times New Roman" w:hAnsi="Times New Roman" w:cs="Times New Roman" w:eastAsia="Times New Roman" w:hint="default"/>
          <w:spacing w:val="5"/>
        </w:rPr>
        <w:t>[2009]1013</w:t>
      </w:r>
      <w:r>
        <w:rPr>
          <w:spacing w:val="5"/>
        </w:rPr>
        <w:t>号文核准，</w:t>
      </w:r>
      <w:r>
        <w:rPr>
          <w:rFonts w:ascii="Times New Roman" w:hAnsi="Times New Roman" w:cs="Times New Roman" w:eastAsia="Times New Roman" w:hint="default"/>
          <w:spacing w:val="5"/>
        </w:rPr>
        <w:t>2009</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20</w:t>
      </w:r>
      <w:r>
        <w:rPr>
          <w:spacing w:val="5"/>
        </w:rPr>
        <w:t>日公司向社会公众公开发行人民币普通股</w:t>
      </w:r>
      <w:r>
        <w:rPr/>
        <w:t> </w:t>
      </w:r>
      <w:r>
        <w:rPr>
          <w:rFonts w:ascii="Times New Roman" w:hAnsi="Times New Roman" w:cs="Times New Roman" w:eastAsia="Times New Roman" w:hint="default"/>
        </w:rPr>
        <w:t>4,500.00</w:t>
      </w:r>
      <w:r>
        <w:rPr/>
        <w:t>万股，每股发行价格为</w:t>
      </w:r>
      <w:r>
        <w:rPr>
          <w:rFonts w:ascii="Times New Roman" w:hAnsi="Times New Roman" w:cs="Times New Roman" w:eastAsia="Times New Roman" w:hint="default"/>
        </w:rPr>
        <w:t>25.36</w:t>
      </w:r>
      <w:r>
        <w:rPr/>
        <w:t>元</w:t>
      </w:r>
      <w:r>
        <w:rPr>
          <w:rFonts w:ascii="Times New Roman" w:hAnsi="Times New Roman" w:cs="Times New Roman" w:eastAsia="Times New Roman" w:hint="default"/>
        </w:rPr>
        <w:t>,</w:t>
      </w:r>
      <w:r>
        <w:rPr/>
        <w:t>每股面值为</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发行后公司股本变更为</w:t>
      </w:r>
      <w:r>
        <w:rPr>
          <w:rFonts w:ascii="Times New Roman" w:hAnsi="Times New Roman" w:cs="Times New Roman" w:eastAsia="Times New Roman" w:hint="default"/>
        </w:rPr>
        <w:t>17,880.00</w:t>
      </w:r>
      <w:r>
        <w:rPr/>
        <w:t>万元。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日公司股票在深</w:t>
      </w:r>
      <w:r>
        <w:rPr>
          <w:spacing w:val="-65"/>
        </w:rPr>
        <w:t> </w:t>
      </w:r>
      <w:r>
        <w:rPr>
          <w:spacing w:val="-65"/>
        </w:rPr>
      </w:r>
      <w:r>
        <w:rPr/>
        <w:t>圳证劵交易所挂牌交易。股票简称</w:t>
      </w:r>
      <w:r>
        <w:rPr>
          <w:rFonts w:ascii="Times New Roman" w:hAnsi="Times New Roman" w:cs="Times New Roman" w:eastAsia="Times New Roman" w:hint="default"/>
        </w:rPr>
        <w:t>“</w:t>
      </w:r>
      <w:r>
        <w:rPr/>
        <w:t>美盈森</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“002303”</w:t>
      </w:r>
      <w:r>
        <w:rPr/>
        <w:t>。股票发行后，自然人股东王海鹏持有公司股票</w:t>
      </w:r>
      <w:r>
        <w:rPr>
          <w:rFonts w:ascii="Times New Roman" w:hAnsi="Times New Roman" w:cs="Times New Roman" w:eastAsia="Times New Roman" w:hint="default"/>
        </w:rPr>
        <w:t>8,857.56</w:t>
      </w:r>
      <w:r>
        <w:rPr/>
        <w:t>万</w:t>
      </w:r>
      <w:r>
        <w:rPr>
          <w:spacing w:val="-59"/>
        </w:rPr>
        <w:t> </w:t>
      </w:r>
      <w:r>
        <w:rPr/>
        <w:t>股</w:t>
      </w:r>
      <w:r>
        <w:rPr>
          <w:rFonts w:ascii="Times New Roman" w:hAnsi="Times New Roman" w:cs="Times New Roman" w:eastAsia="Times New Roman" w:hint="default"/>
        </w:rPr>
        <w:t>,</w:t>
      </w:r>
      <w:r>
        <w:rPr/>
        <w:t>持股比例为</w:t>
      </w:r>
      <w:r>
        <w:rPr>
          <w:rFonts w:ascii="Times New Roman" w:hAnsi="Times New Roman" w:cs="Times New Roman" w:eastAsia="Times New Roman" w:hint="default"/>
        </w:rPr>
        <w:t>49.54%,</w:t>
      </w:r>
      <w:r>
        <w:rPr/>
        <w:t>为公司的实际控制人。</w:t>
      </w:r>
    </w:p>
    <w:p>
      <w:pPr>
        <w:pStyle w:val="BodyText"/>
        <w:spacing w:line="300" w:lineRule="auto" w:before="133"/>
        <w:ind w:right="1133" w:firstLine="288"/>
        <w:jc w:val="both"/>
      </w:pPr>
      <w:r>
        <w:rPr/>
        <w:t>根据公司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08</w:t>
      </w:r>
      <w:r>
        <w:rPr/>
        <w:t>月</w:t>
      </w:r>
      <w:r>
        <w:rPr>
          <w:rFonts w:ascii="Times New Roman" w:hAnsi="Times New Roman" w:cs="Times New Roman" w:eastAsia="Times New Roman" w:hint="default"/>
        </w:rPr>
        <w:t>26</w:t>
      </w:r>
      <w:r>
        <w:rPr/>
        <w:t>日第二届董事会第二十二次会议决议并经股东大会审议批准，同意公司以截止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 司的总股本</w:t>
      </w:r>
      <w:r>
        <w:rPr>
          <w:rFonts w:ascii="Times New Roman" w:hAnsi="Times New Roman" w:cs="Times New Roman" w:eastAsia="Times New Roman" w:hint="default"/>
        </w:rPr>
        <w:t>178,800,000</w:t>
      </w:r>
      <w:r>
        <w:rPr/>
        <w:t>股为基数，进行资本公积转增资本，向全体股东每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股，并对公司经营范围进行变更。</w:t>
      </w:r>
    </w:p>
    <w:p>
      <w:pPr>
        <w:pStyle w:val="BodyText"/>
        <w:spacing w:line="300" w:lineRule="auto" w:before="133"/>
        <w:ind w:right="1130" w:firstLine="292"/>
        <w:jc w:val="both"/>
      </w:pPr>
      <w:r>
        <w:rPr/>
        <w:t>根据公司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日第三届董事会第四次会议决议并经股东大会审议批准，同意公司以截止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 </w:t>
      </w:r>
      <w:r>
        <w:rPr>
          <w:spacing w:val="-2"/>
        </w:rPr>
        <w:t>总股本为基数，进行资本公积金转增股本，向全体股东每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股，共计转增股本</w:t>
      </w:r>
      <w:r>
        <w:rPr>
          <w:rFonts w:ascii="Times New Roman" w:hAnsi="Times New Roman" w:cs="Times New Roman" w:eastAsia="Times New Roman" w:hint="default"/>
          <w:spacing w:val="-2"/>
        </w:rPr>
        <w:t>357,600,000</w:t>
      </w:r>
      <w:r>
        <w:rPr>
          <w:spacing w:val="-2"/>
        </w:rPr>
        <w:t>股，转增后公司总股本增</w:t>
      </w:r>
      <w:r>
        <w:rPr>
          <w:spacing w:val="-58"/>
        </w:rPr>
        <w:t> </w:t>
      </w:r>
      <w:r>
        <w:rPr>
          <w:spacing w:val="-58"/>
        </w:rPr>
      </w:r>
      <w:r>
        <w:rPr/>
        <w:t>加至</w:t>
      </w:r>
      <w:r>
        <w:rPr>
          <w:rFonts w:ascii="Times New Roman" w:hAnsi="Times New Roman" w:cs="Times New Roman" w:eastAsia="Times New Roman" w:hint="default"/>
        </w:rPr>
        <w:t>715,200,000</w:t>
      </w:r>
      <w:r>
        <w:rPr/>
        <w:t>股。本次变更已向深圳市市场监督管理局备案。</w:t>
      </w:r>
    </w:p>
    <w:p>
      <w:pPr>
        <w:pStyle w:val="BodyText"/>
        <w:spacing w:line="300" w:lineRule="auto" w:before="133"/>
        <w:ind w:right="1130" w:firstLine="292"/>
        <w:jc w:val="both"/>
      </w:pPr>
      <w:r>
        <w:rPr/>
        <w:t>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日第三届董事会第十二次会议决议并经股东大会审议批准，同意公司以截止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 司总股本为基数，以未分配利润向全体股东每</w:t>
      </w:r>
      <w:r>
        <w:rPr>
          <w:rFonts w:ascii="Times New Roman" w:hAnsi="Times New Roman" w:cs="Times New Roman" w:eastAsia="Times New Roman" w:hint="default"/>
        </w:rPr>
        <w:t>10</w:t>
      </w:r>
      <w:r>
        <w:rPr/>
        <w:t>股派送红股</w:t>
      </w:r>
      <w:r>
        <w:rPr>
          <w:rFonts w:ascii="Times New Roman" w:hAnsi="Times New Roman" w:cs="Times New Roman" w:eastAsia="Times New Roman" w:hint="default"/>
        </w:rPr>
        <w:t>3</w:t>
      </w:r>
      <w:r>
        <w:rPr/>
        <w:t>股，共计派发股票股利</w:t>
      </w:r>
      <w:r>
        <w:rPr>
          <w:rFonts w:ascii="Times New Roman" w:hAnsi="Times New Roman" w:cs="Times New Roman" w:eastAsia="Times New Roman" w:hint="default"/>
        </w:rPr>
        <w:t>214,560,000</w:t>
      </w:r>
      <w:r>
        <w:rPr/>
        <w:t>股；同时，以资本公积金向 </w:t>
      </w:r>
      <w:r>
        <w:rPr>
          <w:spacing w:val="8"/>
        </w:rPr>
        <w:t>全体股东每股转增</w:t>
      </w:r>
      <w:r>
        <w:rPr>
          <w:rFonts w:ascii="Times New Roman" w:hAnsi="Times New Roman" w:cs="Times New Roman" w:eastAsia="Times New Roman" w:hint="default"/>
          <w:spacing w:val="8"/>
        </w:rPr>
        <w:t>7</w:t>
      </w:r>
      <w:r>
        <w:rPr>
          <w:spacing w:val="8"/>
        </w:rPr>
        <w:t>股</w:t>
      </w:r>
      <w:r>
        <w:rPr>
          <w:rFonts w:ascii="Times New Roman" w:hAnsi="Times New Roman" w:cs="Times New Roman" w:eastAsia="Times New Roman" w:hint="default"/>
          <w:spacing w:val="8"/>
        </w:rPr>
        <w:t>,</w:t>
      </w:r>
      <w:r>
        <w:rPr>
          <w:spacing w:val="8"/>
        </w:rPr>
        <w:t>共计转增股本</w:t>
      </w:r>
      <w:r>
        <w:rPr>
          <w:rFonts w:ascii="Times New Roman" w:hAnsi="Times New Roman" w:cs="Times New Roman" w:eastAsia="Times New Roman" w:hint="default"/>
          <w:spacing w:val="8"/>
        </w:rPr>
        <w:t>500,640,000</w:t>
      </w:r>
      <w:r>
        <w:rPr>
          <w:spacing w:val="8"/>
        </w:rPr>
        <w:t>股。本次利润分配及资本公积金转增方案实施后公司总股本将增加至</w:t>
      </w:r>
      <w:r>
        <w:rPr>
          <w:spacing w:val="-81"/>
        </w:rPr>
        <w:t> </w:t>
      </w:r>
      <w:r>
        <w:rPr>
          <w:spacing w:val="-81"/>
        </w:rPr>
      </w:r>
      <w:r>
        <w:rPr>
          <w:rFonts w:ascii="Times New Roman" w:hAnsi="Times New Roman" w:cs="Times New Roman" w:eastAsia="Times New Roman" w:hint="default"/>
        </w:rPr>
        <w:t>1,430,400,000</w:t>
      </w:r>
      <w:r>
        <w:rPr/>
        <w:t>股。</w:t>
      </w:r>
    </w:p>
    <w:p>
      <w:pPr>
        <w:pStyle w:val="BodyText"/>
        <w:spacing w:line="300" w:lineRule="auto" w:before="133"/>
        <w:ind w:right="1053" w:firstLine="292"/>
        <w:jc w:val="both"/>
      </w:pPr>
      <w:r>
        <w:rPr/>
        <w:t>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日第三届董事会第二十次</w:t>
      </w:r>
      <w:r>
        <w:rPr>
          <w:rFonts w:ascii="Times New Roman" w:hAnsi="Times New Roman" w:cs="Times New Roman" w:eastAsia="Times New Roman" w:hint="default"/>
        </w:rPr>
        <w:t>(</w:t>
      </w:r>
      <w:r>
        <w:rPr/>
        <w:t>临时</w:t>
      </w:r>
      <w:r>
        <w:rPr>
          <w:rFonts w:ascii="Times New Roman" w:hAnsi="Times New Roman" w:cs="Times New Roman" w:eastAsia="Times New Roman" w:hint="default"/>
        </w:rPr>
        <w:t>)</w:t>
      </w:r>
      <w:r>
        <w:rPr/>
        <w:t>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2015</w:t>
      </w:r>
      <w:r>
        <w:rPr/>
        <w:t>年第三次临时股东大会决议，审议批 准《关于公司向特定对象非公开发行股票方案的议案》；</w:t>
      </w:r>
      <w:r>
        <w:rPr>
          <w:rFonts w:ascii="Times New Roman" w:hAnsi="Times New Roman" w:cs="Times New Roman" w:eastAsia="Times New Roman" w:hint="default"/>
        </w:rPr>
        <w:t>2016</w:t>
      </w:r>
      <w:r>
        <w:rPr/>
        <w:t>年公司取得中国证监会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[2016]1225</w:t>
      </w:r>
      <w:r>
        <w:rPr/>
        <w:t>号</w:t>
      </w:r>
      <w:r>
        <w:rPr>
          <w:rFonts w:ascii="Times New Roman" w:hAnsi="Times New Roman" w:cs="Times New Roman" w:eastAsia="Times New Roman" w:hint="default"/>
        </w:rPr>
        <w:t>”</w:t>
      </w:r>
      <w:r>
        <w:rPr/>
        <w:t>《关于核准美 盈森集团股份有限公司非公开发行股票的批复》，核准公司非公开发行不超过</w:t>
      </w:r>
      <w:r>
        <w:rPr>
          <w:rFonts w:ascii="Times New Roman" w:hAnsi="Times New Roman" w:cs="Times New Roman" w:eastAsia="Times New Roman" w:hint="default"/>
        </w:rPr>
        <w:t>257,936,507</w:t>
      </w:r>
      <w:r>
        <w:rPr>
          <w:rFonts w:ascii="Times New Roman" w:hAnsi="Times New Roman" w:cs="Times New Roman" w:eastAsia="Times New Roman" w:hint="default"/>
          <w:spacing w:val="32"/>
        </w:rPr>
        <w:t> </w:t>
      </w:r>
      <w:r>
        <w:rPr/>
        <w:t>股新股。公司采用向询价对象询</w:t>
      </w:r>
      <w:r>
        <w:rPr>
          <w:spacing w:val="-81"/>
        </w:rPr>
        <w:t> </w:t>
      </w:r>
      <w:r>
        <w:rPr>
          <w:spacing w:val="-81"/>
        </w:rPr>
      </w:r>
      <w:r>
        <w:rPr/>
        <w:t>价配售的方式，非公开发行了普通股（</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111,923,685</w:t>
      </w:r>
      <w:r>
        <w:rPr/>
        <w:t>股，每股发行价格为人民币</w:t>
      </w:r>
      <w:r>
        <w:rPr>
          <w:rFonts w:ascii="Times New Roman" w:hAnsi="Times New Roman" w:cs="Times New Roman" w:eastAsia="Times New Roman" w:hint="default"/>
        </w:rPr>
        <w:t>12.58</w:t>
      </w:r>
      <w:r>
        <w:rPr/>
        <w:t>元。本次非公开发行完成后，</w:t>
      </w:r>
    </w:p>
    <w:p>
      <w:pPr>
        <w:spacing w:after="0" w:line="300" w:lineRule="auto"/>
        <w:jc w:val="both"/>
        <w:sectPr>
          <w:footerReference w:type="default" r:id="rId25"/>
          <w:pgSz w:w="11910" w:h="16840"/>
          <w:pgMar w:footer="982" w:header="753" w:top="1060" w:bottom="1180" w:left="980" w:right="0"/>
          <w:pgNumType w:start="110"/>
        </w:sectPr>
      </w:pPr>
    </w:p>
    <w:p>
      <w:pPr>
        <w:spacing w:line="240" w:lineRule="auto" w:before="4"/>
        <w:rPr>
          <w:rFonts w:ascii="宋体" w:hAnsi="宋体" w:cs="宋体" w:eastAsia="宋体" w:hint="default"/>
          <w:sz w:val="26"/>
          <w:szCs w:val="26"/>
        </w:rPr>
      </w:pPr>
    </w:p>
    <w:p>
      <w:pPr>
        <w:pStyle w:val="BodyText"/>
        <w:spacing w:line="240" w:lineRule="auto" w:before="37"/>
        <w:ind w:right="0"/>
        <w:jc w:val="both"/>
      </w:pPr>
      <w:r>
        <w:rPr/>
        <w:t>公司总股本由</w:t>
      </w:r>
      <w:r>
        <w:rPr>
          <w:rFonts w:ascii="Times New Roman" w:hAnsi="Times New Roman" w:cs="Times New Roman" w:eastAsia="Times New Roman" w:hint="default"/>
        </w:rPr>
        <w:t>1,430,400,000</w:t>
      </w:r>
      <w:r>
        <w:rPr/>
        <w:t>股增加至</w:t>
      </w:r>
      <w:r>
        <w:rPr>
          <w:rFonts w:ascii="Times New Roman" w:hAnsi="Times New Roman" w:cs="Times New Roman" w:eastAsia="Times New Roman" w:hint="default"/>
        </w:rPr>
        <w:t>1,542,323,685</w:t>
      </w:r>
      <w:r>
        <w:rPr/>
        <w:t>股，本次变更已向深圳市市场监督管理局备案。</w:t>
      </w:r>
    </w:p>
    <w:p>
      <w:pPr>
        <w:spacing w:line="240" w:lineRule="auto" w:before="13"/>
        <w:rPr>
          <w:rFonts w:ascii="宋体" w:hAnsi="宋体" w:cs="宋体" w:eastAsia="宋体" w:hint="default"/>
          <w:sz w:val="13"/>
          <w:szCs w:val="13"/>
        </w:rPr>
      </w:pPr>
    </w:p>
    <w:p>
      <w:pPr>
        <w:pStyle w:val="BodyText"/>
        <w:spacing w:line="300" w:lineRule="auto"/>
        <w:ind w:right="1130" w:firstLine="292"/>
        <w:jc w:val="both"/>
      </w:pPr>
      <w:r>
        <w:rPr>
          <w:spacing w:val="-1"/>
        </w:rPr>
        <w:t>根据公司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11</w:t>
      </w:r>
      <w:r>
        <w:rPr>
          <w:spacing w:val="-1"/>
        </w:rPr>
        <w:t>日召开的</w:t>
      </w:r>
      <w:r>
        <w:rPr>
          <w:rFonts w:ascii="Times New Roman" w:hAnsi="Times New Roman" w:cs="Times New Roman" w:eastAsia="Times New Roman" w:hint="default"/>
          <w:spacing w:val="-1"/>
        </w:rPr>
        <w:t>2018</w:t>
      </w:r>
      <w:r>
        <w:rPr>
          <w:spacing w:val="-1"/>
        </w:rPr>
        <w:t>年第二次临时股东大会审议通过了回购股份事项的相关议案。</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25</w:t>
      </w:r>
      <w:r>
        <w:rPr>
          <w:spacing w:val="-1"/>
        </w:rPr>
        <w:t>日，股份</w:t>
      </w:r>
      <w:r>
        <w:rPr/>
        <w:t> 回购事项实施完毕，股份回购实施结果为：回购股份数量</w:t>
      </w:r>
      <w:r>
        <w:rPr>
          <w:rFonts w:ascii="Times New Roman" w:hAnsi="Times New Roman" w:cs="Times New Roman" w:eastAsia="Times New Roman" w:hint="default"/>
        </w:rPr>
        <w:t>11,000,000</w:t>
      </w:r>
      <w:r>
        <w:rPr/>
        <w:t>股，占回购股份方案实施前公司总股本的</w:t>
      </w:r>
      <w:r>
        <w:rPr>
          <w:rFonts w:ascii="Times New Roman" w:hAnsi="Times New Roman" w:cs="Times New Roman" w:eastAsia="Times New Roman" w:hint="default"/>
        </w:rPr>
        <w:t>0.7132%</w:t>
      </w:r>
      <w:r>
        <w:rPr/>
        <w:t>，最</w:t>
      </w:r>
      <w:r>
        <w:rPr>
          <w:spacing w:val="-40"/>
        </w:rPr>
        <w:t> </w:t>
      </w:r>
      <w:r>
        <w:rPr/>
        <w:t>高成交价为</w:t>
      </w:r>
      <w:r>
        <w:rPr>
          <w:rFonts w:ascii="Times New Roman" w:hAnsi="Times New Roman" w:cs="Times New Roman" w:eastAsia="Times New Roman" w:hint="default"/>
        </w:rPr>
        <w:t>5.79</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5.32</w:t>
      </w:r>
      <w:r>
        <w:rPr/>
        <w:t>元</w:t>
      </w:r>
      <w:r>
        <w:rPr>
          <w:rFonts w:ascii="Times New Roman" w:hAnsi="Times New Roman" w:cs="Times New Roman" w:eastAsia="Times New Roman" w:hint="default"/>
        </w:rPr>
        <w:t>/</w:t>
      </w:r>
      <w:r>
        <w:rPr/>
        <w:t>股，支付的总金额为</w:t>
      </w:r>
      <w:r>
        <w:rPr>
          <w:rFonts w:ascii="Times New Roman" w:hAnsi="Times New Roman" w:cs="Times New Roman" w:eastAsia="Times New Roman" w:hint="default"/>
        </w:rPr>
        <w:t>61,008,416.97 </w:t>
      </w:r>
      <w:r>
        <w:rPr/>
        <w:t>元（含交易费用）。上述股份已于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月</w:t>
      </w:r>
      <w:r>
        <w:rPr>
          <w:rFonts w:ascii="Times New Roman" w:hAnsi="Times New Roman" w:cs="Times New Roman" w:eastAsia="Times New Roman" w:hint="default"/>
        </w:rPr>
        <w:t>11</w:t>
      </w:r>
      <w:r>
        <w:rPr/>
        <w:t>日完成注销。本次股份回购完成后，公司总股本由</w:t>
      </w:r>
      <w:r>
        <w:rPr>
          <w:rFonts w:ascii="Times New Roman" w:hAnsi="Times New Roman" w:cs="Times New Roman" w:eastAsia="Times New Roman" w:hint="default"/>
        </w:rPr>
        <w:t>1,542,323,685</w:t>
      </w:r>
      <w:r>
        <w:rPr/>
        <w:t>股减少至</w:t>
      </w:r>
      <w:r>
        <w:rPr>
          <w:rFonts w:ascii="Times New Roman" w:hAnsi="Times New Roman" w:cs="Times New Roman" w:eastAsia="Times New Roman" w:hint="default"/>
        </w:rPr>
        <w:t>1,531,323,685</w:t>
      </w:r>
      <w:r>
        <w:rPr/>
        <w:t>股。</w:t>
      </w:r>
    </w:p>
    <w:p>
      <w:pPr>
        <w:pStyle w:val="BodyText"/>
        <w:spacing w:line="427" w:lineRule="auto" w:before="133"/>
        <w:ind w:left="440" w:right="5174" w:firstLine="4"/>
        <w:jc w:val="left"/>
      </w:pPr>
      <w:r>
        <w:rPr/>
        <w:t>目前的公司工商登记情况如下： 企业法人营业执照统一社会信用代码：</w:t>
      </w:r>
      <w:r>
        <w:rPr>
          <w:rFonts w:ascii="Times New Roman" w:hAnsi="Times New Roman" w:cs="Times New Roman" w:eastAsia="Times New Roman" w:hint="default"/>
        </w:rPr>
        <w:t>91440300723000100A</w:t>
      </w:r>
      <w:r>
        <w:rPr>
          <w:rFonts w:ascii="Times New Roman" w:hAnsi="Times New Roman" w:cs="Times New Roman" w:eastAsia="Times New Roman" w:hint="default"/>
          <w:w w:val="99"/>
        </w:rPr>
        <w:t> </w:t>
      </w:r>
      <w:r>
        <w:rPr/>
        <w:t>住所：深圳市光明新区新陂头村美盈森厂区</w:t>
      </w:r>
      <w:r>
        <w:rPr>
          <w:rFonts w:ascii="Times New Roman" w:hAnsi="Times New Roman" w:cs="Times New Roman" w:eastAsia="Times New Roman" w:hint="default"/>
        </w:rPr>
        <w:t>A</w:t>
      </w:r>
      <w:r>
        <w:rPr/>
        <w:t>栋 法定代表人：张珍义 注册资本：人民币壹拾伍亿叁仟壹佰叁拾贰万叁仟陆佰捌拾伍圆整</w:t>
      </w:r>
    </w:p>
    <w:p>
      <w:pPr>
        <w:pStyle w:val="BodyText"/>
        <w:spacing w:line="316" w:lineRule="auto" w:before="56"/>
        <w:ind w:right="984" w:firstLine="360"/>
        <w:jc w:val="left"/>
      </w:pPr>
      <w:r>
        <w:rPr>
          <w:spacing w:val="-2"/>
        </w:rPr>
        <w:t>经营范围：一般经营项目：轻型环保包装制品、重型环保包装制品、包装材料、包装机械的技术开发及销售；一体化包</w:t>
      </w:r>
      <w:r>
        <w:rPr/>
        <w:t> </w:t>
      </w:r>
      <w:r>
        <w:rPr>
          <w:spacing w:val="-2"/>
        </w:rPr>
        <w:t>装方案的技术开发；隐藏信息防伪技术的开发，特种标签材质的精密模切，智能卡终端读写设备的开发与销售；货物及技术</w:t>
      </w:r>
      <w:r>
        <w:rPr>
          <w:spacing w:val="-66"/>
        </w:rPr>
        <w:t> </w:t>
      </w:r>
      <w:r>
        <w:rPr>
          <w:spacing w:val="-66"/>
        </w:rPr>
      </w:r>
      <w:r>
        <w:rPr>
          <w:spacing w:val="-2"/>
        </w:rPr>
        <w:t>进出口；（以上均不含法律、行政法规、国务院决定禁止及规定需前置审批项目），纸制品休闲家居、办公用品、玩具用品</w:t>
      </w:r>
      <w:r>
        <w:rPr>
          <w:spacing w:val="-62"/>
        </w:rPr>
        <w:t> </w:t>
      </w:r>
      <w:r>
        <w:rPr>
          <w:spacing w:val="-62"/>
        </w:rPr>
      </w:r>
      <w:r>
        <w:rPr>
          <w:spacing w:val="-4"/>
        </w:rPr>
        <w:t>的研发、生产和销售。许可经营项目：纸箱、木箱的生产及销售；无线射频标签，高新材料的研发与生产；包装装潢印刷品、</w:t>
      </w:r>
      <w:r>
        <w:rPr>
          <w:spacing w:val="-46"/>
        </w:rPr>
        <w:t> </w:t>
      </w:r>
      <w:r>
        <w:rPr>
          <w:spacing w:val="-46"/>
        </w:rPr>
      </w:r>
      <w:r>
        <w:rPr/>
        <w:t>其他印刷品印刷；从事普通货运。</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right="0"/>
        <w:jc w:val="both"/>
      </w:pPr>
      <w:r>
        <w:rPr/>
        <w:t>在上年度财务报告编制的基础上，公司本年度将西安美盈森、苏州智谷科技纳入合并报表范围。</w:t>
      </w:r>
    </w:p>
    <w:p>
      <w:pPr>
        <w:pStyle w:val="BodyText"/>
        <w:spacing w:line="300" w:lineRule="auto" w:before="115"/>
        <w:ind w:right="984"/>
        <w:jc w:val="left"/>
      </w:pPr>
      <w:r>
        <w:rPr>
          <w:spacing w:val="-2"/>
        </w:rPr>
        <w:t>（</w:t>
      </w:r>
      <w:r>
        <w:rPr>
          <w:rFonts w:ascii="Times New Roman" w:hAnsi="Times New Roman" w:cs="Times New Roman" w:eastAsia="Times New Roman" w:hint="default"/>
          <w:spacing w:val="-2"/>
        </w:rPr>
        <w:t>1</w:t>
      </w:r>
      <w:r>
        <w:rPr>
          <w:spacing w:val="-2"/>
        </w:rPr>
        <w:t>）本期公司设立西安美盈森智谷科技有限公司，于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日完成办理工商设立登记手续，并取得统一社会信用代码</w:t>
      </w:r>
      <w:r>
        <w:rPr>
          <w:spacing w:val="-62"/>
        </w:rPr>
        <w:t> </w:t>
      </w:r>
      <w:r>
        <w:rPr>
          <w:spacing w:val="-62"/>
        </w:rPr>
      </w:r>
      <w:r>
        <w:rPr/>
        <w:t>为</w:t>
      </w:r>
      <w:r>
        <w:rPr>
          <w:rFonts w:ascii="Times New Roman" w:hAnsi="Times New Roman" w:cs="Times New Roman" w:eastAsia="Times New Roman" w:hint="default"/>
        </w:rPr>
        <w:t>91610132MA6UR5P56E</w:t>
      </w:r>
      <w:r>
        <w:rPr/>
        <w:t>的企业法人营业执照；按照相应的会计编制规则，公司本期将西安美盈森纳入合并报表范围。</w:t>
      </w:r>
    </w:p>
    <w:p>
      <w:pPr>
        <w:pStyle w:val="BodyText"/>
        <w:spacing w:line="300" w:lineRule="auto" w:before="53"/>
        <w:ind w:right="1129"/>
        <w:jc w:val="both"/>
      </w:pPr>
      <w:r>
        <w:rPr/>
        <w:t>（</w:t>
      </w:r>
      <w:r>
        <w:rPr>
          <w:rFonts w:ascii="Times New Roman" w:hAnsi="Times New Roman" w:cs="Times New Roman" w:eastAsia="Times New Roman" w:hint="default"/>
        </w:rPr>
        <w:t>2</w:t>
      </w:r>
      <w:r>
        <w:rPr/>
        <w:t>）本期由公司全资子公司苏州美盈森设立苏州美盈森智谷科技有限公司，于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日完成办理工商设立登记手续， 并取得统一社会信用代码为</w:t>
      </w:r>
      <w:r>
        <w:rPr>
          <w:rFonts w:ascii="Times New Roman" w:hAnsi="Times New Roman" w:cs="Times New Roman" w:eastAsia="Times New Roman" w:hint="default"/>
        </w:rPr>
        <w:t>91320509MA1WH85UXW</w:t>
      </w:r>
      <w:r>
        <w:rPr/>
        <w:t>的企业法人营业执照；按照相应的会计编制规则，公司本期将苏州智</w:t>
      </w:r>
      <w:r>
        <w:rPr>
          <w:spacing w:val="-48"/>
        </w:rPr>
        <w:t> </w:t>
      </w:r>
      <w:r>
        <w:rPr>
          <w:spacing w:val="-48"/>
        </w:rPr>
      </w:r>
      <w:r>
        <w:rPr/>
        <w:t>谷科技纳入合并报表范围。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2"/>
        <w:spacing w:line="240" w:lineRule="auto"/>
        <w:ind w:right="0"/>
        <w:jc w:val="both"/>
        <w:rPr>
          <w:rFonts w:ascii="Tahoma" w:hAnsi="Tahoma" w:cs="Tahoma" w:eastAsia="Tahoma" w:hint="default"/>
        </w:rPr>
      </w:pPr>
      <w:r>
        <w:rPr/>
        <w:t>四、财务报表的编制基础</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0"/>
        <w:jc w:val="both"/>
        <w:rPr>
          <w:rFonts w:ascii="Tahoma" w:hAnsi="Tahoma" w:cs="Tahoma" w:eastAsia="Tahoma" w:hint="default"/>
        </w:rPr>
      </w:pPr>
      <w:r>
        <w:rPr>
          <w:rFonts w:ascii="Tahoma" w:hAnsi="Tahoma" w:cs="Tahoma" w:eastAsia="Tahoma" w:hint="default"/>
        </w:rPr>
        <w:t>1</w:t>
      </w:r>
      <w:r>
        <w:rPr/>
        <w:t>、编制基础</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09" w:lineRule="auto"/>
        <w:ind w:right="1130" w:firstLine="360"/>
        <w:jc w:val="both"/>
      </w:pPr>
      <w:r>
        <w:rPr/>
        <w:t>本公司财务报表以持续经营假设为基础，根据实际发生的交易和事项，按照财政部颁布的《企业会计准则</w:t>
      </w:r>
      <w:r>
        <w:rPr>
          <w:rFonts w:ascii="Times New Roman" w:hAnsi="Times New Roman" w:cs="Times New Roman" w:eastAsia="Times New Roman" w:hint="default"/>
        </w:rPr>
        <w:t>-</w:t>
      </w:r>
      <w:r>
        <w:rPr/>
        <w:t>基本准则》 </w:t>
      </w:r>
      <w:r>
        <w:rPr>
          <w:spacing w:val="-2"/>
        </w:rPr>
        <w:t>和具体会计准则，以及企业会计准则应用指南、企业会计准则解释及其他规定，并基于以下所述重要会计政策、会计估计进</w:t>
      </w:r>
      <w:r>
        <w:rPr>
          <w:spacing w:val="-66"/>
        </w:rPr>
        <w:t> </w:t>
      </w:r>
      <w:r>
        <w:rPr>
          <w:spacing w:val="-66"/>
        </w:rPr>
      </w:r>
      <w:r>
        <w:rPr/>
        <w:t>行编制。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0"/>
        <w:jc w:val="both"/>
        <w:rPr>
          <w:rFonts w:ascii="Tahoma" w:hAnsi="Tahoma" w:cs="Tahoma" w:eastAsia="Tahoma" w:hint="default"/>
        </w:rPr>
      </w:pPr>
      <w:r>
        <w:rPr>
          <w:rFonts w:ascii="Tahoma" w:hAnsi="Tahoma" w:cs="Tahoma" w:eastAsia="Tahoma" w:hint="default"/>
        </w:rPr>
        <w:t>2</w:t>
      </w:r>
      <w:r>
        <w:rPr/>
        <w:t>、持续经营</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00" w:lineRule="auto"/>
        <w:ind w:right="1130" w:firstLine="271"/>
        <w:jc w:val="both"/>
      </w:pPr>
      <w:r>
        <w:rPr>
          <w:spacing w:val="-1"/>
        </w:rPr>
        <w:t>本公司无影响持续经营能力的事项，预计未来</w:t>
      </w:r>
      <w:r>
        <w:rPr>
          <w:rFonts w:ascii="Times New Roman" w:hAnsi="Times New Roman" w:cs="Times New Roman" w:eastAsia="Times New Roman" w:hint="default"/>
          <w:spacing w:val="-1"/>
        </w:rPr>
        <w:t>12</w:t>
      </w:r>
      <w:r>
        <w:rPr>
          <w:spacing w:val="-1"/>
        </w:rPr>
        <w:t>个月内具备持续经营的能力</w:t>
      </w:r>
      <w:r>
        <w:rPr>
          <w:rFonts w:ascii="Times New Roman" w:hAnsi="Times New Roman" w:cs="Times New Roman" w:eastAsia="Times New Roman" w:hint="default"/>
          <w:spacing w:val="-1"/>
        </w:rPr>
        <w:t>,</w:t>
      </w:r>
      <w:r>
        <w:rPr>
          <w:spacing w:val="-1"/>
        </w:rPr>
        <w:t>本公司的财务报表系在持续经营为假设的基</w:t>
      </w:r>
      <w:r>
        <w:rPr/>
        <w:t> 础上编制。</w:t>
      </w:r>
    </w:p>
    <w:p>
      <w:pPr>
        <w:spacing w:after="0" w:line="300" w:lineRule="auto"/>
        <w:jc w:val="both"/>
        <w:sectPr>
          <w:pgSz w:w="11910" w:h="16840"/>
          <w:pgMar w:header="753"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rFonts w:ascii="Tahoma" w:hAnsi="Tahoma" w:cs="Tahoma" w:eastAsia="Tahoma" w:hint="default"/>
        </w:rPr>
      </w:pPr>
      <w:r>
        <w:rPr/>
        <w:t>五、重要会计政策及会计估计</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57" w:lineRule="auto"/>
        <w:ind w:right="7694"/>
        <w:jc w:val="left"/>
      </w:pPr>
      <w:r>
        <w:rPr/>
        <w:t>公司是否需要遵守特殊行业的披露要求 否</w:t>
      </w:r>
    </w:p>
    <w:p>
      <w:pPr>
        <w:pStyle w:val="BodyText"/>
        <w:spacing w:line="240" w:lineRule="auto" w:before="29"/>
        <w:ind w:right="0"/>
        <w:jc w:val="both"/>
      </w:pPr>
      <w:r>
        <w:rPr/>
        <w:t>具体会计政策和会计估计提示：</w:t>
      </w:r>
    </w:p>
    <w:p>
      <w:pPr>
        <w:pStyle w:val="BodyText"/>
        <w:spacing w:line="300" w:lineRule="auto" w:before="117"/>
        <w:ind w:right="1130"/>
        <w:jc w:val="both"/>
      </w:pPr>
      <w:r>
        <w:rPr>
          <w:spacing w:val="-2"/>
        </w:rPr>
        <w:t>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基本准则》和各项具体会计准则、企业会计准则应</w:t>
      </w:r>
      <w:r>
        <w:rPr>
          <w:spacing w:val="-65"/>
        </w:rPr>
        <w:t> </w:t>
      </w:r>
      <w:r>
        <w:rPr>
          <w:spacing w:val="-65"/>
        </w:rPr>
      </w:r>
      <w:r>
        <w:rPr>
          <w:spacing w:val="-2"/>
        </w:rPr>
        <w:t>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w:t>
      </w:r>
      <w:r>
        <w:rPr>
          <w:rFonts w:ascii="Times New Roman" w:hAnsi="Times New Roman" w:cs="Times New Roman" w:eastAsia="Times New Roman" w:hint="default"/>
          <w:spacing w:val="-2"/>
        </w:rPr>
        <w:t>2014</w:t>
      </w:r>
      <w:r>
        <w:rPr>
          <w:spacing w:val="-2"/>
        </w:rPr>
        <w:t>年修订的《公</w:t>
      </w:r>
      <w:r>
        <w:rPr>
          <w:spacing w:val="-44"/>
        </w:rPr>
        <w:t> </w:t>
      </w:r>
      <w:r>
        <w:rPr>
          <w:spacing w:val="-44"/>
        </w:rPr>
      </w:r>
      <w:r>
        <w:rPr/>
        <w:t>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财务报告的一般规定》的披露要求编制财务报表。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both"/>
        <w:rPr>
          <w:rFonts w:ascii="Tahoma" w:hAnsi="Tahoma" w:cs="Tahoma" w:eastAsia="Tahoma" w:hint="default"/>
        </w:rPr>
      </w:pPr>
      <w:r>
        <w:rPr>
          <w:rFonts w:ascii="Tahoma" w:hAnsi="Tahoma" w:cs="Tahoma" w:eastAsia="Tahoma" w:hint="default"/>
        </w:rPr>
        <w:t>1</w:t>
      </w:r>
      <w:r>
        <w:rPr/>
        <w:t>、遵循企业会计准则的声明</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00" w:lineRule="auto"/>
        <w:ind w:right="1130" w:firstLine="18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2018</w:t>
      </w:r>
      <w:r>
        <w:rPr>
          <w:spacing w:val="-2"/>
        </w:rPr>
        <w:t>年度的经</w:t>
      </w:r>
      <w:r>
        <w:rPr/>
        <w:t> </w:t>
      </w:r>
      <w:r>
        <w:rPr>
          <w:spacing w:val="-2"/>
        </w:rPr>
        <w:t>营成果和现金流量等有关信息。此外，本公司的财务报表所有重大方面符合中国证券监督管理委员会</w:t>
      </w:r>
      <w:r>
        <w:rPr>
          <w:rFonts w:ascii="Times New Roman" w:hAnsi="Times New Roman" w:cs="Times New Roman" w:eastAsia="Times New Roman" w:hint="default"/>
          <w:spacing w:val="-2"/>
        </w:rPr>
        <w:t>2014</w:t>
      </w:r>
      <w:r>
        <w:rPr>
          <w:spacing w:val="-2"/>
        </w:rPr>
        <w:t>年修订的《公开发</w:t>
      </w:r>
      <w:r>
        <w:rPr>
          <w:spacing w:val="-63"/>
        </w:rPr>
        <w:t> </w:t>
      </w:r>
      <w:r>
        <w:rPr>
          <w:spacing w:val="-63"/>
        </w:rPr>
      </w:r>
      <w:r>
        <w:rPr/>
        <w:t>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3"/>
        <w:spacing w:line="240" w:lineRule="auto"/>
        <w:ind w:right="0"/>
        <w:jc w:val="both"/>
        <w:rPr>
          <w:rFonts w:ascii="Tahoma" w:hAnsi="Tahoma" w:cs="Tahoma" w:eastAsia="Tahoma" w:hint="default"/>
        </w:rPr>
      </w:pPr>
      <w:r>
        <w:rPr>
          <w:rFonts w:ascii="Tahoma" w:hAnsi="Tahoma" w:cs="Tahoma" w:eastAsia="Tahoma" w:hint="default"/>
        </w:rPr>
        <w:t>2</w:t>
      </w:r>
      <w:r>
        <w:rPr/>
        <w:t>、会计期间</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243" w:right="0"/>
        <w:jc w:val="both"/>
      </w:pPr>
      <w:r>
        <w:rPr/>
        <w:t>本公司会计年度为公历年度，即每年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0"/>
        <w:jc w:val="both"/>
        <w:rPr>
          <w:rFonts w:ascii="Tahoma" w:hAnsi="Tahoma" w:cs="Tahoma" w:eastAsia="Tahoma" w:hint="default"/>
        </w:rPr>
      </w:pPr>
      <w:r>
        <w:rPr>
          <w:rFonts w:ascii="Tahoma" w:hAnsi="Tahoma" w:cs="Tahoma" w:eastAsia="Tahoma" w:hint="default"/>
        </w:rPr>
        <w:t>3</w:t>
      </w:r>
      <w:r>
        <w:rPr/>
        <w:t>、营业周期</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243" w:right="0"/>
        <w:jc w:val="both"/>
      </w:pPr>
      <w:r>
        <w:rPr/>
        <w:t>本公司以一年</w:t>
      </w:r>
      <w:r>
        <w:rPr>
          <w:rFonts w:ascii="Times New Roman" w:hAnsi="Times New Roman" w:cs="Times New Roman" w:eastAsia="Times New Roman" w:hint="default"/>
        </w:rPr>
        <w:t>12</w:t>
      </w:r>
      <w:r>
        <w:rPr/>
        <w:t>个月作为正常营业周期，并以营业周期作为资产和负债的流动性划分标准。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0"/>
        <w:jc w:val="both"/>
        <w:rPr>
          <w:rFonts w:ascii="Tahoma" w:hAnsi="Tahoma" w:cs="Tahoma" w:eastAsia="Tahoma" w:hint="default"/>
        </w:rPr>
      </w:pPr>
      <w:r>
        <w:rPr>
          <w:rFonts w:ascii="Tahoma" w:hAnsi="Tahoma" w:cs="Tahoma" w:eastAsia="Tahoma" w:hint="default"/>
        </w:rPr>
        <w:t>4</w:t>
      </w:r>
      <w:r>
        <w:rPr/>
        <w:t>、记账本位币</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243" w:right="0"/>
        <w:jc w:val="both"/>
      </w:pPr>
      <w:r>
        <w:rPr/>
        <w:t>本公司以人民币为记账本位币。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0"/>
        <w:jc w:val="both"/>
        <w:rPr>
          <w:rFonts w:ascii="Tahoma" w:hAnsi="Tahoma" w:cs="Tahoma" w:eastAsia="Tahoma" w:hint="default"/>
        </w:rPr>
      </w:pPr>
      <w:r>
        <w:rPr>
          <w:rFonts w:ascii="Tahoma" w:hAnsi="Tahoma" w:cs="Tahoma" w:eastAsia="Tahoma" w:hint="default"/>
        </w:rPr>
        <w:t>5</w:t>
      </w:r>
      <w:r>
        <w:rPr/>
        <w:t>、同一控制下和非同一控制下企业合并的会计处理方法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40" w:firstLine="271"/>
        <w:jc w:val="both"/>
      </w:pPr>
      <w:r>
        <w:rPr/>
        <w:t>企业合并，是指将两个或两个以上单独的企业合并形成一个报告主体的交易或事项。企业合并分为同一控制下企业合并 和非同一控制下企业合并。</w:t>
      </w:r>
    </w:p>
    <w:p>
      <w:pPr>
        <w:pStyle w:val="BodyText"/>
        <w:spacing w:line="300" w:lineRule="auto" w:before="19"/>
        <w:ind w:left="440" w:right="984" w:hanging="108"/>
        <w:jc w:val="left"/>
      </w:pPr>
      <w:r>
        <w:rPr/>
        <w:t>（</w:t>
      </w:r>
      <w:r>
        <w:rPr>
          <w:rFonts w:ascii="Times New Roman" w:hAnsi="Times New Roman" w:cs="Times New Roman" w:eastAsia="Times New Roman" w:hint="default"/>
        </w:rPr>
        <w:t>1</w:t>
      </w:r>
      <w:r>
        <w:rPr/>
        <w:t>）同一控制下企业合并 </w:t>
      </w:r>
      <w:r>
        <w:rPr>
          <w:spacing w:val="-1"/>
        </w:rPr>
        <w:t>参与合并的企业在合并前后均受同一方或相同的多方最终控制，且该控制并非暂时性的，为同一控制下的企业合并。同</w:t>
      </w:r>
    </w:p>
    <w:p>
      <w:pPr>
        <w:pStyle w:val="BodyText"/>
        <w:spacing w:line="316" w:lineRule="auto" w:before="31"/>
        <w:ind w:right="984"/>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right="1034" w:firstLine="288"/>
        <w:jc w:val="left"/>
      </w:pPr>
      <w:r>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BodyText"/>
        <w:spacing w:line="240" w:lineRule="auto" w:before="19"/>
        <w:ind w:left="440" w:right="984"/>
        <w:jc w:val="left"/>
      </w:pPr>
      <w:r>
        <w:rPr/>
        <w:t>合并方为进行企业合并发生的各项直接费用，于发生时计入当期损益。</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00" w:lineRule="auto" w:before="37"/>
        <w:ind w:left="440" w:right="984" w:hanging="72"/>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参与合并的企业在合并前后不受同一方或相同的多方最终控制的，为非同一控制下的企业合并。非同一控制下的企业合</w:t>
      </w:r>
    </w:p>
    <w:p>
      <w:pPr>
        <w:pStyle w:val="BodyText"/>
        <w:spacing w:line="316" w:lineRule="auto" w:before="31"/>
        <w:ind w:right="1130"/>
        <w:jc w:val="both"/>
      </w:pPr>
      <w:r>
        <w:rPr>
          <w:spacing w:val="-2"/>
        </w:rPr>
        <w:t>并，在购买日取得对其他参与合并企业控制权的一方为购买方，参与合并的其他企业为被购买方。购买日，是指为购买方实</w:t>
      </w:r>
      <w:r>
        <w:rPr>
          <w:spacing w:val="-65"/>
        </w:rPr>
        <w:t> </w:t>
      </w:r>
      <w:r>
        <w:rPr>
          <w:spacing w:val="-65"/>
        </w:rPr>
      </w:r>
      <w:r>
        <w:rPr/>
        <w:t>际取得对被购买方控制权的日期。</w:t>
      </w:r>
    </w:p>
    <w:p>
      <w:pPr>
        <w:pStyle w:val="BodyText"/>
        <w:spacing w:line="316" w:lineRule="auto" w:before="19"/>
        <w:ind w:right="1132" w:firstLine="288"/>
        <w:jc w:val="both"/>
      </w:pPr>
      <w:r>
        <w:rPr>
          <w:spacing w:val="-1"/>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4"/>
        </w:rPr>
        <w:t> </w:t>
      </w:r>
      <w:r>
        <w:rPr>
          <w:spacing w:val="-64"/>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4"/>
        </w:rPr>
        <w:t> </w:t>
      </w:r>
      <w:r>
        <w:rPr>
          <w:spacing w:val="-64"/>
        </w:rPr>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4"/>
        </w:rPr>
        <w:t> </w:t>
      </w:r>
      <w:r>
        <w:rPr>
          <w:spacing w:val="-64"/>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right="1132" w:firstLine="288"/>
        <w:jc w:val="both"/>
      </w:pPr>
      <w:r>
        <w:rPr>
          <w:spacing w:val="-1"/>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1"/>
        </w:rPr>
        <w:t>12</w:t>
      </w:r>
      <w:r>
        <w:rPr>
          <w:spacing w:val="-1"/>
        </w:rPr>
        <w:t>个</w:t>
      </w:r>
      <w:r>
        <w:rPr/>
        <w:t> </w:t>
      </w:r>
      <w:r>
        <w:rPr>
          <w:spacing w:val="-2"/>
        </w:rPr>
        <w:t>月内，如取得新的或进一步的信息表明购买日的相关情况已经存在，预期被购买方在购买日可抵扣暂时性差异带来的经济利</w:t>
      </w:r>
      <w:r>
        <w:rPr>
          <w:spacing w:val="-64"/>
        </w:rPr>
        <w:t> </w:t>
      </w:r>
      <w:r>
        <w:rPr>
          <w:spacing w:val="-64"/>
        </w:rPr>
      </w:r>
      <w:r>
        <w:rPr>
          <w:spacing w:val="-2"/>
        </w:rPr>
        <w:t>益能够实现的，则确认相关的递延所得税资产，同时减少商誉，商誉不足冲减的，差额部分确认为当期损益；除上述情况以</w:t>
      </w:r>
      <w:r>
        <w:rPr>
          <w:spacing w:val="-69"/>
        </w:rPr>
        <w:t> </w:t>
      </w:r>
      <w:r>
        <w:rPr>
          <w:spacing w:val="-69"/>
        </w:rPr>
      </w:r>
      <w:r>
        <w:rPr/>
        <w:t>外，确认与企业合并相关的递延所得税资产的，计入当期损益。</w:t>
      </w:r>
    </w:p>
    <w:p>
      <w:pPr>
        <w:pStyle w:val="BodyText"/>
        <w:spacing w:line="300" w:lineRule="auto" w:before="22"/>
        <w:ind w:right="984" w:firstLine="288"/>
        <w:jc w:val="left"/>
      </w:pPr>
      <w:r>
        <w:rPr>
          <w:spacing w:val="-4"/>
        </w:rPr>
        <w:t>通过多次交易分步实现的非同一控制下企业合并，根据《财政部关于印发企业会计准则解释第</w:t>
      </w:r>
      <w:r>
        <w:rPr>
          <w:rFonts w:ascii="Times New Roman" w:hAnsi="Times New Roman" w:cs="Times New Roman" w:eastAsia="Times New Roman" w:hint="default"/>
          <w:spacing w:val="-4"/>
        </w:rPr>
        <w:t>5</w:t>
      </w:r>
      <w:r>
        <w:rPr>
          <w:spacing w:val="-4"/>
        </w:rPr>
        <w:t>号的通知》（财会〔</w:t>
      </w:r>
      <w:r>
        <w:rPr>
          <w:rFonts w:ascii="Times New Roman" w:hAnsi="Times New Roman" w:cs="Times New Roman" w:eastAsia="Times New Roman" w:hint="default"/>
          <w:spacing w:val="-4"/>
        </w:rPr>
        <w:t>2012</w:t>
      </w:r>
      <w:r>
        <w:rPr>
          <w:spacing w:val="-4"/>
        </w:rPr>
        <w:t>〕</w:t>
      </w:r>
      <w:r>
        <w:rPr/>
        <w:t> </w:t>
      </w:r>
      <w:r>
        <w:rPr>
          <w:rFonts w:ascii="Times New Roman" w:hAnsi="Times New Roman" w:cs="Times New Roman" w:eastAsia="Times New Roman" w:hint="default"/>
          <w:spacing w:val="-3"/>
        </w:rPr>
        <w:t>19</w:t>
      </w:r>
      <w:r>
        <w:rPr>
          <w:spacing w:val="-3"/>
        </w:rPr>
        <w:t>号）和《企业会计准则第</w:t>
      </w:r>
      <w:r>
        <w:rPr>
          <w:rFonts w:ascii="Times New Roman" w:hAnsi="Times New Roman" w:cs="Times New Roman" w:eastAsia="Times New Roman" w:hint="default"/>
          <w:spacing w:val="-3"/>
        </w:rPr>
        <w:t>33</w:t>
      </w:r>
      <w:r>
        <w:rPr>
          <w:spacing w:val="-3"/>
        </w:rPr>
        <w:t>号</w:t>
      </w:r>
      <w:r>
        <w:rPr>
          <w:rFonts w:ascii="Times New Roman" w:hAnsi="Times New Roman" w:cs="Times New Roman" w:eastAsia="Times New Roman" w:hint="default"/>
          <w:spacing w:val="-3"/>
        </w:rPr>
        <w:t>——</w:t>
      </w:r>
      <w:r>
        <w:rPr>
          <w:spacing w:val="-3"/>
        </w:rPr>
        <w:t>合并财务报表》第五十一条关于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的判断标准，判断该多次交易是否属于</w:t>
      </w:r>
      <w:r>
        <w:rPr>
          <w:rFonts w:ascii="Times New Roman" w:hAnsi="Times New Roman" w:cs="Times New Roman" w:eastAsia="Times New Roman" w:hint="default"/>
          <w:spacing w:val="-3"/>
        </w:rPr>
        <w:t>“</w:t>
      </w:r>
      <w:r>
        <w:rPr>
          <w:spacing w:val="-3"/>
        </w:rPr>
        <w:t>一</w:t>
      </w:r>
      <w:r>
        <w:rPr>
          <w:spacing w:val="-65"/>
        </w:rPr>
        <w:t> </w:t>
      </w:r>
      <w:r>
        <w:rPr/>
        <w:t>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 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130" w:firstLine="288"/>
        <w:jc w:val="both"/>
      </w:pPr>
      <w:r>
        <w:rPr>
          <w:spacing w:val="-1"/>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59"/>
        <w:ind w:right="1130"/>
        <w:jc w:val="both"/>
      </w:pPr>
      <w:r>
        <w:rPr>
          <w:spacing w:val="-2"/>
        </w:rPr>
        <w:t>在合并财务报表中，对于购买日之前持有的被购买方的股权，按照该股权在购买日的公允价值进行重新计量，公允价值与其</w:t>
      </w:r>
      <w:r>
        <w:rPr>
          <w:spacing w:val="-62"/>
        </w:rPr>
        <w:t> </w:t>
      </w:r>
      <w:r>
        <w:rPr>
          <w:spacing w:val="-62"/>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spacing w:val="-2"/>
        </w:rPr>
        <w:t>采用与被购买方直接处置相关资产或负债相同的基础进行会计处理（即，除了按照权益法核算的在被购买方重新计量设定受</w:t>
      </w:r>
      <w:r>
        <w:rPr>
          <w:spacing w:val="-64"/>
        </w:rPr>
        <w:t> </w:t>
      </w:r>
      <w:r>
        <w:rPr>
          <w:spacing w:val="-64"/>
        </w:rPr>
      </w:r>
      <w:r>
        <w:rPr/>
        <w:t>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0"/>
        <w:jc w:val="both"/>
        <w:rPr>
          <w:rFonts w:ascii="Tahoma" w:hAnsi="Tahoma" w:cs="Tahoma" w:eastAsia="Tahoma" w:hint="default"/>
        </w:rPr>
      </w:pPr>
      <w:r>
        <w:rPr>
          <w:rFonts w:ascii="Tahoma" w:hAnsi="Tahoma" w:cs="Tahoma" w:eastAsia="Tahoma" w:hint="default"/>
        </w:rPr>
        <w:t>6</w:t>
      </w:r>
      <w:r>
        <w:rPr/>
        <w:t>、合并财务报表的编制方法</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1135" w:firstLine="420"/>
        <w:jc w:val="both"/>
      </w:pPr>
      <w:r>
        <w:rPr/>
        <w:t>本公司将全部子公司（包括本公司所控制的单独主体）纳入合并财务报表范围，包括被本公司控制的企业、被投资单 位中可分割的部分以及结构化主体。</w:t>
      </w:r>
    </w:p>
    <w:p>
      <w:pPr>
        <w:pStyle w:val="BodyText"/>
        <w:spacing w:line="300" w:lineRule="auto" w:before="19"/>
        <w:ind w:right="1051" w:firstLine="420"/>
        <w:jc w:val="both"/>
      </w:pPr>
      <w:r>
        <w:rPr/>
        <w:t>本公司合并财务报表按照《企业会计准则第</w:t>
      </w:r>
      <w:r>
        <w:rPr>
          <w:rFonts w:ascii="Times New Roman" w:hAnsi="Times New Roman" w:cs="Times New Roman" w:eastAsia="Times New Roman" w:hint="default"/>
        </w:rPr>
        <w:t>33</w:t>
      </w:r>
      <w:r>
        <w:rPr/>
        <w:t>号－合并财务报表》及相关规定的要求编制，合并时抵销合并范围内的 所有重大内部交易和往来。子公司的股东权益中不属于母公司所拥有的部分作为少数股东权益在合并财务报表中单独列示。</w:t>
      </w:r>
    </w:p>
    <w:p>
      <w:pPr>
        <w:pStyle w:val="BodyText"/>
        <w:spacing w:line="316" w:lineRule="auto" w:before="31"/>
        <w:ind w:right="1135" w:firstLine="420"/>
        <w:jc w:val="both"/>
      </w:pPr>
      <w:r>
        <w:rPr/>
        <w:t>子公司与本公司采用的会计政策或会计期间不一致的，在编制合并财务报表时，按照本公司的会计政策或会计期间对 子公司财务报表进行必要的调整。</w:t>
      </w:r>
    </w:p>
    <w:p>
      <w:pPr>
        <w:pStyle w:val="BodyText"/>
        <w:spacing w:line="312" w:lineRule="auto" w:before="19"/>
        <w:ind w:right="1130" w:firstLine="420"/>
        <w:jc w:val="both"/>
      </w:pPr>
      <w:r>
        <w:rPr/>
        <w:t>合并财务报表以母公司和子公司的资产负债表为基础，已抵销了母公司与子公司、子公司相互之间发生的内部交易。 子公司所有者权益中不属于母公司的份额，作为少数股东权益，在合并资产负债表中所有者权益项目下以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rFonts w:ascii="Times New Roman" w:hAnsi="Times New Roman" w:cs="Times New Roman" w:eastAsia="Times New Roman" w:hint="default"/>
          <w:spacing w:val="35"/>
        </w:rPr>
        <w:t> </w:t>
      </w:r>
      <w:r>
        <w:rPr>
          <w:spacing w:val="-2"/>
        </w:rPr>
        <w:t>项目列示。子公司持有母公司的长期股权投资，视为企业集团的库存股，作为所有者权益的减项，在合并资产负债表中所有</w:t>
      </w:r>
      <w:r>
        <w:rPr>
          <w:spacing w:val="-66"/>
        </w:rPr>
        <w:t> </w:t>
      </w:r>
      <w:r>
        <w:rPr>
          <w:spacing w:val="-66"/>
        </w:rPr>
      </w:r>
      <w:r>
        <w:rPr/>
        <w:t>者权益项目下以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pStyle w:val="BodyText"/>
        <w:spacing w:line="240" w:lineRule="auto" w:before="3"/>
        <w:ind w:left="572" w:right="984"/>
        <w:jc w:val="left"/>
      </w:pPr>
      <w:r>
        <w:rPr/>
        <w:t>对于同一控制下企业合并取得的子公司，视同该企业合并于自最终控制方开始实时控制时已经发生，从合并当期的期</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16" w:lineRule="auto" w:before="37"/>
        <w:ind w:right="984"/>
        <w:jc w:val="left"/>
      </w:pPr>
      <w:r>
        <w:rPr>
          <w:spacing w:val="-2"/>
        </w:rPr>
        <w:t>初起将其资产、负债、经营成果和现金流量纳入合并财务报表；对于非同一控制下企业合并取得的子公司，在编制合并财务</w:t>
      </w:r>
      <w:r>
        <w:rPr>
          <w:spacing w:val="-65"/>
        </w:rPr>
        <w:t> </w:t>
      </w:r>
      <w:r>
        <w:rPr>
          <w:spacing w:val="-65"/>
        </w:rPr>
      </w:r>
      <w:r>
        <w:rPr/>
        <w:t>报表时，以购买日可辨认净资产公允价值为基础对其个别财务报表进行调整。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984"/>
        <w:jc w:val="left"/>
        <w:rPr>
          <w:rFonts w:ascii="Tahoma" w:hAnsi="Tahoma" w:cs="Tahoma" w:eastAsia="Tahoma" w:hint="default"/>
        </w:rPr>
      </w:pPr>
      <w:r>
        <w:rPr>
          <w:rFonts w:ascii="Tahoma" w:hAnsi="Tahoma" w:cs="Tahoma" w:eastAsia="Tahoma" w:hint="default"/>
        </w:rPr>
        <w:t>7</w:t>
      </w:r>
      <w:r>
        <w:rPr/>
        <w:t>、合营安排分类及共同经营会计处理方法</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38" w:lineRule="auto"/>
        <w:ind w:left="440" w:right="984" w:hanging="216"/>
        <w:jc w:val="left"/>
      </w:pPr>
      <w:r>
        <w:rPr>
          <w:rFonts w:ascii="Times New Roman" w:hAnsi="Times New Roman" w:cs="Times New Roman" w:eastAsia="Times New Roman" w:hint="default"/>
        </w:rPr>
        <w:t>1</w:t>
      </w:r>
      <w:r>
        <w:rPr/>
        <w:t>、合营安排的分类 </w:t>
      </w:r>
      <w:r>
        <w:rPr>
          <w:spacing w:val="-1"/>
        </w:rPr>
        <w:t>合营安排分为共同经营和合营企业。未通过单独主体达成的合营安排，划分为共同经营。单独主体，是指具有单独可辨</w:t>
      </w:r>
    </w:p>
    <w:p>
      <w:pPr>
        <w:pStyle w:val="BodyText"/>
        <w:spacing w:line="316" w:lineRule="auto" w:before="2"/>
        <w:ind w:right="1130"/>
        <w:jc w:val="both"/>
      </w:pPr>
      <w:r>
        <w:rPr>
          <w:spacing w:val="-2"/>
        </w:rPr>
        <w:t>认的财务架构的主体，包括单独的法人主体和不具备法人主体资格但法律认可的主体。通过单独主体达成的合营安排，通常</w:t>
      </w:r>
      <w:r>
        <w:rPr>
          <w:spacing w:val="-62"/>
        </w:rPr>
        <w:t> </w:t>
      </w:r>
      <w:r>
        <w:rPr>
          <w:spacing w:val="-62"/>
        </w:rPr>
      </w:r>
      <w:r>
        <w:rPr>
          <w:spacing w:val="-2"/>
        </w:rPr>
        <w:t>划分为合营企业。相关事实和情况变化导致合营方在合营安排中享有的权利和承担的义务发生变化的，合营方对合营安排的</w:t>
      </w:r>
      <w:r>
        <w:rPr>
          <w:spacing w:val="-64"/>
        </w:rPr>
        <w:t> </w:t>
      </w:r>
      <w:r>
        <w:rPr>
          <w:spacing w:val="-64"/>
        </w:rPr>
      </w:r>
      <w:r>
        <w:rPr/>
        <w:t>分类进行重新评估。</w:t>
      </w:r>
    </w:p>
    <w:p>
      <w:pPr>
        <w:pStyle w:val="BodyText"/>
        <w:spacing w:line="340" w:lineRule="auto" w:before="59"/>
        <w:ind w:left="440" w:right="984" w:hanging="216"/>
        <w:jc w:val="left"/>
      </w:pPr>
      <w:r>
        <w:rPr>
          <w:rFonts w:ascii="Times New Roman" w:hAnsi="Times New Roman" w:cs="Times New Roman" w:eastAsia="Times New Roman" w:hint="default"/>
        </w:rPr>
        <w:t>2</w:t>
      </w:r>
      <w:r>
        <w:rPr/>
        <w:t>、共同经营的会计处理 </w:t>
      </w:r>
      <w:r>
        <w:rPr>
          <w:spacing w:val="-1"/>
        </w:rPr>
        <w:t>共同经营参与方应当确认其与共同经营中利益份额相关的下列项目，并按照相关企业会计准则的规定进行会计处理：确</w:t>
      </w:r>
    </w:p>
    <w:p>
      <w:pPr>
        <w:pStyle w:val="BodyText"/>
        <w:spacing w:line="338" w:lineRule="auto" w:before="1"/>
        <w:ind w:right="984"/>
        <w:jc w:val="left"/>
      </w:pPr>
      <w:r>
        <w:rPr>
          <w:spacing w:val="-4"/>
        </w:rPr>
        <w:t>认单独所持有的资产或负债，以及按其份额确认共同持有的资产或负债；确认出售其享有的共同经营产出份额所产生的收入；</w:t>
      </w:r>
      <w:r>
        <w:rPr>
          <w:spacing w:val="-44"/>
        </w:rPr>
        <w:t> </w:t>
      </w:r>
      <w:r>
        <w:rPr>
          <w:spacing w:val="-44"/>
        </w:rPr>
      </w:r>
      <w:r>
        <w:rPr/>
        <w:t>按其份额确认共同经营因出售产出所产生的收入；确认单独所发生的费用，以及按其份额确认共同经营发生的费用。 </w:t>
      </w:r>
      <w:r>
        <w:rPr>
          <w:spacing w:val="-2"/>
        </w:rPr>
        <w:t>对共同经营不享有共同控制的参与方，如果享有该共同经营相关资产且承担该共同经营相关负债的，参照共同经营参与方的</w:t>
      </w:r>
    </w:p>
    <w:p>
      <w:pPr>
        <w:pStyle w:val="BodyText"/>
        <w:spacing w:line="240" w:lineRule="auto" w:before="2"/>
        <w:ind w:right="984"/>
        <w:jc w:val="left"/>
      </w:pPr>
      <w:r>
        <w:rPr/>
        <w:t>规定进行会计处理；否则，应当按照相关企业会计准则的规定进行会计处理。</w:t>
      </w:r>
    </w:p>
    <w:p>
      <w:pPr>
        <w:pStyle w:val="BodyText"/>
        <w:spacing w:line="340" w:lineRule="auto" w:before="117"/>
        <w:ind w:left="512" w:right="1124" w:hanging="216"/>
        <w:jc w:val="left"/>
      </w:pPr>
      <w:r>
        <w:rPr>
          <w:rFonts w:ascii="Times New Roman" w:hAnsi="Times New Roman" w:cs="Times New Roman" w:eastAsia="Times New Roman" w:hint="default"/>
        </w:rPr>
        <w:t>3</w:t>
      </w:r>
      <w:r>
        <w:rPr/>
        <w:t>、合营企业的会计处理 合营企业参与方应当按照《企业会计准则第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长期股权投资》的规定对合营企业的投资进行会计处理，不享有共同</w:t>
      </w:r>
    </w:p>
    <w:p>
      <w:pPr>
        <w:pStyle w:val="BodyText"/>
        <w:spacing w:line="215" w:lineRule="exact"/>
        <w:ind w:right="984"/>
        <w:jc w:val="left"/>
      </w:pPr>
      <w:r>
        <w:rPr/>
        <w:t>控制的参与方应当根据其对该合营企业的影响程度进行会计处理。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3"/>
        <w:spacing w:line="240" w:lineRule="auto"/>
        <w:ind w:right="984"/>
        <w:jc w:val="left"/>
        <w:rPr>
          <w:rFonts w:ascii="Tahoma" w:hAnsi="Tahoma" w:cs="Tahoma" w:eastAsia="Tahoma" w:hint="default"/>
        </w:rPr>
      </w:pPr>
      <w:r>
        <w:rPr>
          <w:rFonts w:ascii="Tahoma" w:hAnsi="Tahoma" w:cs="Tahoma" w:eastAsia="Tahoma" w:hint="default"/>
        </w:rPr>
        <w:t>8</w:t>
      </w:r>
      <w:r>
        <w:rPr/>
        <w:t>、现金及现金等价物的确定标准</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38" w:lineRule="auto"/>
        <w:ind w:right="984"/>
        <w:jc w:val="left"/>
      </w:pPr>
      <w:r>
        <w:rPr/>
        <w:t>本公司在编制现金流量表时所确定的现金，是指本公司库存现金以及可以随时用于支付的存款。 </w:t>
      </w:r>
      <w:r>
        <w:rPr>
          <w:spacing w:val="-2"/>
        </w:rPr>
        <w:t>本公司在编制现金流量表时所确定的现金等价物，是指本公司持有的期限短、流动性强、易于转换为已知金额现金、价值变</w:t>
      </w:r>
      <w:r>
        <w:rPr>
          <w:spacing w:val="-64"/>
        </w:rPr>
        <w:t> </w:t>
      </w:r>
      <w:r>
        <w:rPr>
          <w:spacing w:val="-64"/>
        </w:rPr>
      </w:r>
      <w:r>
        <w:rPr/>
        <w:t>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3"/>
        <w:spacing w:line="240" w:lineRule="auto"/>
        <w:ind w:right="984"/>
        <w:jc w:val="left"/>
        <w:rPr>
          <w:rFonts w:ascii="Tahoma" w:hAnsi="Tahoma" w:cs="Tahoma" w:eastAsia="Tahoma" w:hint="default"/>
        </w:rPr>
      </w:pPr>
      <w:r>
        <w:rPr>
          <w:rFonts w:ascii="Tahoma" w:hAnsi="Tahoma" w:cs="Tahoma" w:eastAsia="Tahoma" w:hint="default"/>
        </w:rPr>
        <w:t>9</w:t>
      </w:r>
      <w:r>
        <w:rPr/>
        <w:t>、外币业务和外币报表折算</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）外币业务</w:t>
      </w:r>
      <w:r>
        <w:rPr>
          <w:rFonts w:ascii="Tahoma" w:hAnsi="Tahoma" w:cs="Tahoma" w:eastAsia="Tahoma" w:hint="default"/>
          <w:w w:val="80"/>
        </w:rPr>
        <w:t> </w:t>
      </w:r>
      <w:r>
        <w:rPr>
          <w:rFonts w:ascii="Tahoma" w:hAnsi="Tahoma" w:cs="Tahoma" w:eastAsia="Tahoma" w:hint="default"/>
        </w:rPr>
      </w:r>
    </w:p>
    <w:p>
      <w:pPr>
        <w:pStyle w:val="BodyText"/>
        <w:spacing w:line="430" w:lineRule="atLeast" w:before="149"/>
        <w:ind w:left="572" w:right="984"/>
        <w:jc w:val="left"/>
      </w:pPr>
      <w:r>
        <w:rPr/>
        <w:t>本公司对发生的外币交易，采用与交易发生日即期汇率折合本位币入账。 资产负债表日，外币货币性项目按资产负债表日即期汇率折算，因该日的即期汇率与初始确认时或者前一资产负债表</w:t>
      </w:r>
    </w:p>
    <w:p>
      <w:pPr>
        <w:pStyle w:val="BodyText"/>
        <w:spacing w:line="316" w:lineRule="auto" w:before="76"/>
        <w:ind w:right="984"/>
        <w:jc w:val="left"/>
      </w:pPr>
      <w:r>
        <w:rPr>
          <w:spacing w:val="-2"/>
        </w:rPr>
        <w:t>日即期汇率不同而产生的汇兑差额，除符合资本化条件的外币专门借款的汇兑差额在资本化期间予以资本化计入相关资产的</w:t>
      </w:r>
      <w:r>
        <w:rPr>
          <w:spacing w:val="-63"/>
        </w:rPr>
        <w:t> </w:t>
      </w:r>
      <w:r>
        <w:rPr>
          <w:spacing w:val="-63"/>
        </w:rPr>
      </w:r>
      <w:r>
        <w:rPr/>
        <w:t>成本外，均计入当期损益。</w:t>
      </w:r>
    </w:p>
    <w:p>
      <w:pPr>
        <w:pStyle w:val="BodyText"/>
        <w:spacing w:line="316" w:lineRule="auto" w:before="139"/>
        <w:ind w:right="1130" w:firstLine="360"/>
        <w:jc w:val="both"/>
      </w:pPr>
      <w:r>
        <w:rPr>
          <w:spacing w:val="-2"/>
        </w:rPr>
        <w:t>以历史成本计量的外币非货币性项目，仍采用交易发生日的即期汇率折算，不改变其记账本位币金额。以公允价值计量</w:t>
      </w:r>
      <w:r>
        <w:rPr/>
        <w:t> </w:t>
      </w:r>
      <w:r>
        <w:rPr>
          <w:spacing w:val="-2"/>
        </w:rPr>
        <w:t>的外币非货币性项目，采用公允价值确定日的即期汇率折算，折算后的记账本位币金额与原记账本位币金额的差额，作为公</w:t>
      </w:r>
      <w:r>
        <w:rPr>
          <w:spacing w:val="-62"/>
        </w:rPr>
        <w:t> </w:t>
      </w:r>
      <w:r>
        <w:rPr>
          <w:spacing w:val="-62"/>
        </w:rPr>
      </w:r>
      <w:r>
        <w:rPr/>
        <w:t>允价值变动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处理，计入当期损益或确认为其他综合收益并计入资本公积。</w:t>
      </w:r>
    </w:p>
    <w:p>
      <w:pPr>
        <w:spacing w:line="240" w:lineRule="auto" w:before="4"/>
        <w:rPr>
          <w:rFonts w:ascii="宋体" w:hAnsi="宋体" w:cs="宋体" w:eastAsia="宋体" w:hint="default"/>
          <w:sz w:val="21"/>
          <w:szCs w:val="21"/>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）外币财务报表的折算</w:t>
      </w:r>
      <w:r>
        <w:rPr>
          <w:rFonts w:ascii="Tahoma" w:hAnsi="Tahoma" w:cs="Tahoma" w:eastAsia="Tahoma" w:hint="default"/>
          <w:w w:val="80"/>
        </w:rPr>
        <w:t> </w:t>
      </w:r>
      <w:r>
        <w:rPr>
          <w:rFonts w:ascii="Tahoma" w:hAnsi="Tahoma" w:cs="Tahoma" w:eastAsia="Tahoma" w:hint="default"/>
        </w:rPr>
      </w:r>
    </w:p>
    <w:p>
      <w:pPr>
        <w:spacing w:after="0" w:line="240" w:lineRule="auto"/>
        <w:jc w:val="left"/>
        <w:rPr>
          <w:rFonts w:ascii="Tahoma" w:hAnsi="Tahoma" w:cs="Tahoma" w:eastAsia="Tahoma" w:hint="default"/>
        </w:rPr>
        <w:sectPr>
          <w:pgSz w:w="11910" w:h="16840"/>
          <w:pgMar w:header="753" w:footer="982" w:top="1060" w:bottom="1180" w:left="980" w:right="0"/>
        </w:sectPr>
      </w:pPr>
    </w:p>
    <w:p>
      <w:pPr>
        <w:spacing w:line="240" w:lineRule="auto" w:before="6"/>
        <w:rPr>
          <w:rFonts w:ascii="Tahoma" w:hAnsi="Tahoma" w:cs="Tahoma" w:eastAsia="Tahoma" w:hint="default"/>
          <w:sz w:val="28"/>
          <w:szCs w:val="28"/>
        </w:rPr>
      </w:pPr>
    </w:p>
    <w:p>
      <w:pPr>
        <w:pStyle w:val="BodyText"/>
        <w:spacing w:line="316" w:lineRule="auto" w:before="37"/>
        <w:ind w:right="1135" w:firstLine="420"/>
        <w:jc w:val="both"/>
      </w:pPr>
      <w:r>
        <w:rPr/>
        <w:t>本公司的控股子公司、合营企业、联营企业等，若采用与本公司不同的记账本位币，需对其外币财务报表折算后，再 进行会计核算及合并财务报表的编报。</w:t>
      </w:r>
    </w:p>
    <w:p>
      <w:pPr>
        <w:pStyle w:val="BodyText"/>
        <w:spacing w:line="309" w:lineRule="auto" w:before="139"/>
        <w:ind w:right="1130" w:firstLine="420"/>
        <w:jc w:val="both"/>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 </w:t>
      </w:r>
      <w:r>
        <w:rPr>
          <w:spacing w:val="-2"/>
        </w:rPr>
        <w:t>项目采用发生时的即期汇率折算。利润表中的收入和费用项目，采用交易发生日的近似汇率折算。折算产生的外币财务报表</w:t>
      </w:r>
      <w:r>
        <w:rPr>
          <w:spacing w:val="-62"/>
        </w:rPr>
        <w:t> </w:t>
      </w:r>
      <w:r>
        <w:rPr>
          <w:spacing w:val="-62"/>
        </w:rPr>
      </w:r>
      <w:r>
        <w:rPr/>
        <w:t>折算差额，在资产负债表中所有者权益项目下单独列示。</w:t>
      </w:r>
    </w:p>
    <w:p>
      <w:pPr>
        <w:pStyle w:val="BodyText"/>
        <w:spacing w:line="316" w:lineRule="auto" w:before="144"/>
        <w:ind w:right="1135" w:firstLine="420"/>
        <w:jc w:val="both"/>
      </w:pPr>
      <w:r>
        <w:rPr/>
        <w:t>外币现金流量按照系统合理方法确定的，采用交易发生日的即期汇率的近似汇率折算。汇率变动对现金的影响额，在 现金流量表中单独列示。</w:t>
      </w:r>
    </w:p>
    <w:p>
      <w:pPr>
        <w:pStyle w:val="BodyText"/>
        <w:spacing w:line="240" w:lineRule="auto" w:before="139"/>
        <w:ind w:right="0"/>
        <w:jc w:val="both"/>
      </w:pPr>
      <w:r>
        <w:rPr/>
        <w:t>处置境外经营时，与该境外经营有关的外币报表折算差额，全部或按处置该境外经营的比例转入处置当期损益。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3"/>
        <w:spacing w:line="240" w:lineRule="auto"/>
        <w:ind w:right="0"/>
        <w:jc w:val="both"/>
        <w:rPr>
          <w:rFonts w:ascii="Tahoma" w:hAnsi="Tahoma" w:cs="Tahoma" w:eastAsia="Tahoma" w:hint="default"/>
        </w:rPr>
      </w:pPr>
      <w:r>
        <w:rPr>
          <w:rFonts w:ascii="Tahoma" w:hAnsi="Tahoma" w:cs="Tahoma" w:eastAsia="Tahoma" w:hint="default"/>
        </w:rPr>
        <w:t>10</w:t>
      </w:r>
      <w:r>
        <w:rPr/>
        <w:t>、金融工具</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0"/>
        <w:jc w:val="both"/>
        <w:rPr>
          <w:rFonts w:ascii="Tahoma" w:hAnsi="Tahoma" w:cs="Tahoma" w:eastAsia="Tahoma" w:hint="default"/>
        </w:rPr>
      </w:pPr>
      <w:r>
        <w:rPr/>
        <w:t>（</w:t>
      </w:r>
      <w:r>
        <w:rPr>
          <w:rFonts w:ascii="Tahoma" w:hAnsi="Tahoma" w:cs="Tahoma" w:eastAsia="Tahoma" w:hint="default"/>
        </w:rPr>
        <w:t>1</w:t>
      </w:r>
      <w:r>
        <w:rPr/>
        <w:t>）金融工具的分类及确认</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60" w:lineRule="auto"/>
        <w:ind w:left="423" w:right="1123"/>
        <w:jc w:val="left"/>
      </w:pPr>
      <w:r>
        <w:rPr/>
        <w:t>金融工具划分为金融资产或金融负债。本公司成为金融工具合同的一方时，确认为一项金融资产或金融负债。 金融资产于初始确认时分类为：以公允价值计量且其变动计入当期损益的金融资产、持有至到期投资、应收款项、可供</w:t>
      </w:r>
    </w:p>
    <w:p>
      <w:pPr>
        <w:pStyle w:val="BodyText"/>
        <w:spacing w:line="222" w:lineRule="exact"/>
        <w:ind w:right="0"/>
        <w:jc w:val="both"/>
      </w:pPr>
      <w:r>
        <w:rPr/>
        <w:t>出售金融资产。除应收款项以外的金融资产的分类取决于本公司及其子公司对金融资产的持有意图和持有能力等。金融负债</w:t>
      </w:r>
    </w:p>
    <w:p>
      <w:pPr>
        <w:pStyle w:val="BodyText"/>
        <w:spacing w:line="360" w:lineRule="auto" w:before="76"/>
        <w:ind w:left="423" w:right="1123" w:hanging="272"/>
        <w:jc w:val="left"/>
      </w:pPr>
      <w:r>
        <w:rPr/>
        <w:t>于初始确认时分类为：以公允价值计量且其变动计入当期损益的金融负债以及其他金融负债。 以公允价值计量且其变动计入当期损益的金融资产包括持有目的为短期内出售的金融资产；应收款项是指在活跃市场中</w:t>
      </w:r>
    </w:p>
    <w:p>
      <w:pPr>
        <w:pStyle w:val="BodyText"/>
        <w:spacing w:line="222" w:lineRule="exact"/>
        <w:ind w:right="0"/>
        <w:jc w:val="both"/>
      </w:pPr>
      <w:r>
        <w:rPr/>
        <w:t>没有报价、回收金额固定或可确定的非衍生金融资产；可供出售金融资产包括初始确认时即被指定为可供出售的非衍生金融</w:t>
      </w:r>
    </w:p>
    <w:p>
      <w:pPr>
        <w:pStyle w:val="BodyText"/>
        <w:spacing w:line="316" w:lineRule="auto" w:before="76"/>
        <w:ind w:right="984"/>
        <w:jc w:val="left"/>
      </w:pPr>
      <w:r>
        <w:rPr>
          <w:spacing w:val="-2"/>
        </w:rPr>
        <w:t>资产及未被划分为其他类的金融资产；持有至到期投资是指到期日固定、回收金额固定或可确定，且管理层有明确意图和能</w:t>
      </w:r>
      <w:r>
        <w:rPr>
          <w:spacing w:val="-62"/>
        </w:rPr>
        <w:t> </w:t>
      </w:r>
      <w:r>
        <w:rPr>
          <w:spacing w:val="-62"/>
        </w:rPr>
      </w:r>
      <w:r>
        <w:rPr/>
        <w:t>力持有至到期的非衍生金融资产。</w:t>
      </w:r>
    </w:p>
    <w:p>
      <w:pPr>
        <w:spacing w:line="240" w:lineRule="auto" w:before="10"/>
        <w:rPr>
          <w:rFonts w:ascii="宋体" w:hAnsi="宋体" w:cs="宋体" w:eastAsia="宋体" w:hint="default"/>
          <w:sz w:val="22"/>
          <w:szCs w:val="22"/>
        </w:rPr>
      </w:pPr>
    </w:p>
    <w:p>
      <w:pPr>
        <w:pStyle w:val="Heading3"/>
        <w:spacing w:line="240" w:lineRule="auto"/>
        <w:ind w:right="0"/>
        <w:jc w:val="both"/>
        <w:rPr>
          <w:rFonts w:ascii="Tahoma" w:hAnsi="Tahoma" w:cs="Tahoma" w:eastAsia="Tahoma" w:hint="default"/>
        </w:rPr>
      </w:pPr>
      <w:r>
        <w:rPr/>
        <w:t>（</w:t>
      </w:r>
      <w:r>
        <w:rPr>
          <w:rFonts w:ascii="Tahoma" w:hAnsi="Tahoma" w:cs="Tahoma" w:eastAsia="Tahoma" w:hint="default"/>
        </w:rPr>
        <w:t>2</w:t>
      </w:r>
      <w:r>
        <w:rPr/>
        <w:t>）金融工具的计量方法</w:t>
      </w:r>
      <w:r>
        <w:rPr>
          <w:rFonts w:ascii="Tahoma" w:hAnsi="Tahoma" w:cs="Tahoma" w:eastAsia="Tahoma" w:hint="default"/>
          <w:w w:val="80"/>
        </w:rPr>
        <w:t> </w:t>
      </w:r>
      <w:r>
        <w:rPr>
          <w:rFonts w:ascii="Tahoma" w:hAnsi="Tahoma" w:cs="Tahoma" w:eastAsia="Tahoma" w:hint="default"/>
        </w:rPr>
      </w:r>
    </w:p>
    <w:p>
      <w:pPr>
        <w:pStyle w:val="BodyText"/>
        <w:spacing w:line="430" w:lineRule="atLeast" w:before="149"/>
        <w:ind w:left="512" w:right="984" w:firstLine="60"/>
        <w:jc w:val="left"/>
      </w:pPr>
      <w:r>
        <w:rPr/>
        <w:t>本公司成为金融工具合同的一方时，确认为一项金融资产或金融负债。 </w:t>
      </w:r>
      <w:r>
        <w:rPr>
          <w:spacing w:val="-2"/>
        </w:rPr>
        <w:t>本公司金融资产或金融负债初始确认按公允价值计量。后续计量分类为：以公允价值计量且其变动计入当期损益的金融</w:t>
      </w:r>
    </w:p>
    <w:p>
      <w:pPr>
        <w:pStyle w:val="BodyText"/>
        <w:spacing w:line="316" w:lineRule="auto" w:before="76"/>
        <w:ind w:right="1132"/>
        <w:jc w:val="both"/>
      </w:pPr>
      <w:r>
        <w:rPr>
          <w:spacing w:val="-2"/>
        </w:rPr>
        <w:t>资产、可供出售金融资产及以公允价值计量且其变动计入当期损益的金融负债按公允价值计量；持有到期投资、贷款和应收</w:t>
      </w:r>
      <w:r>
        <w:rPr>
          <w:spacing w:val="-64"/>
        </w:rPr>
        <w:t> </w:t>
      </w:r>
      <w:r>
        <w:rPr>
          <w:spacing w:val="-64"/>
        </w:rPr>
      </w:r>
      <w:r>
        <w:rPr>
          <w:spacing w:val="-2"/>
        </w:rPr>
        <w:t>款项以及其他金融负债按摊余成本计量；在活跃市场中没有报价且其公允价值不能可靠计量的权益工具投资，以及与该权益</w:t>
      </w:r>
      <w:r>
        <w:rPr>
          <w:spacing w:val="-64"/>
        </w:rPr>
        <w:t> </w:t>
      </w:r>
      <w:r>
        <w:rPr>
          <w:spacing w:val="-64"/>
        </w:rPr>
      </w:r>
      <w:r>
        <w:rPr>
          <w:spacing w:val="-2"/>
        </w:rPr>
        <w:t>工具挂钩并须通过交付该权益工具结算的衍生金融资产或者衍生金融负债，按照成本计量。本公司金融资产或金融负债后续</w:t>
      </w:r>
      <w:r>
        <w:rPr>
          <w:spacing w:val="-64"/>
        </w:rPr>
        <w:t> </w:t>
      </w:r>
      <w:r>
        <w:rPr>
          <w:spacing w:val="-64"/>
        </w:rPr>
      </w:r>
      <w:r>
        <w:rPr>
          <w:spacing w:val="-2"/>
        </w:rPr>
        <w:t>计量中公允价值变动形成的利得或损失，除与套期保值有关外，按照如下方法处理：①以公允价值计量且其变动计入当期损</w:t>
      </w:r>
      <w:r>
        <w:rPr>
          <w:spacing w:val="-64"/>
        </w:rPr>
        <w:t> </w:t>
      </w:r>
      <w:r>
        <w:rPr>
          <w:spacing w:val="-64"/>
        </w:rPr>
      </w:r>
      <w:r>
        <w:rPr>
          <w:spacing w:val="-2"/>
        </w:rPr>
        <w:t>益的金融资产或金融负债公允价值变动形成的利得或损失，计入公允价值变动损益。②可供出售金融资产的公允价值变动计</w:t>
      </w:r>
      <w:r>
        <w:rPr>
          <w:spacing w:val="-64"/>
        </w:rPr>
        <w:t> </w:t>
      </w:r>
      <w:r>
        <w:rPr>
          <w:spacing w:val="-64"/>
        </w:rPr>
      </w:r>
      <w:r>
        <w:rPr/>
        <w:t>入其他综合收益。</w:t>
      </w:r>
    </w:p>
    <w:p>
      <w:pPr>
        <w:spacing w:line="240" w:lineRule="auto" w:before="10"/>
        <w:rPr>
          <w:rFonts w:ascii="宋体" w:hAnsi="宋体" w:cs="宋体" w:eastAsia="宋体" w:hint="default"/>
          <w:sz w:val="22"/>
          <w:szCs w:val="22"/>
        </w:rPr>
      </w:pPr>
    </w:p>
    <w:p>
      <w:pPr>
        <w:pStyle w:val="Heading3"/>
        <w:spacing w:line="240" w:lineRule="auto"/>
        <w:ind w:right="0"/>
        <w:jc w:val="both"/>
        <w:rPr>
          <w:rFonts w:ascii="Tahoma" w:hAnsi="Tahoma" w:cs="Tahoma" w:eastAsia="Tahoma" w:hint="default"/>
        </w:rPr>
      </w:pPr>
      <w:r>
        <w:rPr/>
        <w:t>（</w:t>
      </w:r>
      <w:r>
        <w:rPr>
          <w:rFonts w:ascii="Tahoma" w:hAnsi="Tahoma" w:cs="Tahoma" w:eastAsia="Tahoma" w:hint="default"/>
        </w:rPr>
        <w:t>3</w:t>
      </w:r>
      <w:r>
        <w:rPr/>
        <w:t>）本公司对金融资产和金融负债的公允价值的确认方法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30" w:firstLine="360"/>
        <w:jc w:val="both"/>
      </w:pPr>
      <w:r>
        <w:rPr>
          <w:spacing w:val="-2"/>
        </w:rPr>
        <w:t>如存在活跃市场的金融工具，以活跃市场中的报价确定其公允价值；如不存在活跃市场的金融工具，采用估值技术确定</w:t>
      </w:r>
      <w:r>
        <w:rPr/>
        <w:t> 其公允价值。估值技术主要包括市场法、收益法和成本法。</w:t>
      </w:r>
    </w:p>
    <w:p>
      <w:pPr>
        <w:spacing w:line="240" w:lineRule="auto" w:before="10"/>
        <w:rPr>
          <w:rFonts w:ascii="宋体" w:hAnsi="宋体" w:cs="宋体" w:eastAsia="宋体" w:hint="default"/>
          <w:sz w:val="22"/>
          <w:szCs w:val="22"/>
        </w:rPr>
      </w:pPr>
    </w:p>
    <w:p>
      <w:pPr>
        <w:pStyle w:val="Heading3"/>
        <w:spacing w:line="240" w:lineRule="auto"/>
        <w:ind w:right="0"/>
        <w:jc w:val="both"/>
        <w:rPr>
          <w:rFonts w:ascii="Tahoma" w:hAnsi="Tahoma" w:cs="Tahoma" w:eastAsia="Tahoma" w:hint="default"/>
        </w:rPr>
      </w:pPr>
      <w:r>
        <w:rPr/>
        <w:t>（</w:t>
      </w:r>
      <w:r>
        <w:rPr>
          <w:rFonts w:ascii="Tahoma" w:hAnsi="Tahoma" w:cs="Tahoma" w:eastAsia="Tahoma" w:hint="default"/>
        </w:rPr>
        <w:t>4</w:t>
      </w:r>
      <w:r>
        <w:rPr/>
        <w:t>）金融资产转移的确认依据和计量方法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051" w:firstLine="360"/>
        <w:jc w:val="both"/>
      </w:pPr>
      <w:r>
        <w:rPr/>
        <w:t>金融资产所有权上几乎所有的风险和报酬转移时，或既没有转移也没有保留金融资产所有权上几乎所有的风险和报酬， </w:t>
      </w:r>
      <w:r>
        <w:rPr>
          <w:spacing w:val="-2"/>
        </w:rPr>
        <w:t>但放弃了对该金融资产控制的，应当终止确认该项金融资产。金融资产满足终止确认条件的，将所转移金融资产的账面价值</w:t>
      </w:r>
    </w:p>
    <w:p>
      <w:pPr>
        <w:spacing w:after="0" w:line="316" w:lineRule="auto"/>
        <w:jc w:val="both"/>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16" w:lineRule="auto" w:before="37"/>
        <w:ind w:right="1130"/>
        <w:jc w:val="both"/>
      </w:pPr>
      <w:r>
        <w:rPr>
          <w:spacing w:val="-2"/>
        </w:rPr>
        <w:t>与因转移而收到的对价和原直接计入其他综合收益的公允价值变动累计额之和的差额部分，计入当期损益。部分转移满足终</w:t>
      </w:r>
      <w:r>
        <w:rPr>
          <w:spacing w:val="-64"/>
        </w:rPr>
        <w:t> </w:t>
      </w:r>
      <w:r>
        <w:rPr>
          <w:spacing w:val="-64"/>
        </w:rPr>
      </w:r>
      <w:r>
        <w:rPr>
          <w:spacing w:val="-2"/>
        </w:rPr>
        <w:t>止确认条件的，将所转移金融资产整体的账面价值，在终止确认部分和未终止确认部分之间，按照各自的相对公允价值进行</w:t>
      </w:r>
      <w:r>
        <w:rPr>
          <w:spacing w:val="-62"/>
        </w:rPr>
        <w:t> </w:t>
      </w:r>
      <w:r>
        <w:rPr>
          <w:spacing w:val="-62"/>
        </w:rPr>
      </w:r>
      <w:r>
        <w:rPr/>
        <w:t>分摊。</w:t>
      </w:r>
    </w:p>
    <w:p>
      <w:pPr>
        <w:pStyle w:val="BodyText"/>
        <w:spacing w:line="240" w:lineRule="auto" w:before="59"/>
        <w:ind w:left="512" w:right="984"/>
        <w:jc w:val="left"/>
      </w:pPr>
      <w:r>
        <w:rPr/>
        <w:t>金融负债的现时义务全部或部分已经解除的，则应终止确认该金融负债或其一部分。</w:t>
      </w:r>
    </w:p>
    <w:p>
      <w:pPr>
        <w:spacing w:line="240" w:lineRule="auto" w:before="0"/>
        <w:rPr>
          <w:rFonts w:ascii="宋体" w:hAnsi="宋体" w:cs="宋体" w:eastAsia="宋体" w:hint="default"/>
          <w:sz w:val="18"/>
          <w:szCs w:val="18"/>
        </w:rPr>
      </w:pPr>
    </w:p>
    <w:p>
      <w:pPr>
        <w:pStyle w:val="Heading3"/>
        <w:spacing w:line="240" w:lineRule="auto" w:before="120"/>
        <w:ind w:right="0"/>
        <w:jc w:val="both"/>
        <w:rPr>
          <w:rFonts w:ascii="Tahoma" w:hAnsi="Tahoma" w:cs="Tahoma" w:eastAsia="Tahoma" w:hint="default"/>
        </w:rPr>
      </w:pPr>
      <w:r>
        <w:rPr/>
        <w:t>（</w:t>
      </w:r>
      <w:r>
        <w:rPr>
          <w:rFonts w:ascii="Tahoma" w:hAnsi="Tahoma" w:cs="Tahoma" w:eastAsia="Tahoma" w:hint="default"/>
        </w:rPr>
        <w:t>5</w:t>
      </w:r>
      <w:r>
        <w:rPr/>
        <w:t>）金融资产（不含应收款项）减值测试方法、减值准备计提方法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09" w:lineRule="auto"/>
        <w:ind w:right="1130" w:firstLine="360"/>
        <w:jc w:val="both"/>
      </w:pPr>
      <w:r>
        <w:rPr>
          <w:spacing w:val="-1"/>
        </w:rPr>
        <w:t>以摊余成本计量的金融资产发生减值时，按预计未来现金流量</w:t>
      </w:r>
      <w:r>
        <w:rPr>
          <w:rFonts w:ascii="Times New Roman" w:hAnsi="Times New Roman" w:cs="Times New Roman" w:eastAsia="Times New Roman" w:hint="default"/>
          <w:spacing w:val="-1"/>
        </w:rPr>
        <w:t>(</w:t>
      </w:r>
      <w:r>
        <w:rPr>
          <w:spacing w:val="-1"/>
        </w:rPr>
        <w:t>不包括尚未发生的未来信用损失</w:t>
      </w:r>
      <w:r>
        <w:rPr>
          <w:rFonts w:ascii="Times New Roman" w:hAnsi="Times New Roman" w:cs="Times New Roman" w:eastAsia="Times New Roman" w:hint="default"/>
          <w:spacing w:val="-1"/>
        </w:rPr>
        <w:t>)</w:t>
      </w:r>
      <w:r>
        <w:rPr>
          <w:spacing w:val="-1"/>
        </w:rPr>
        <w:t>现值低于账面价值的差</w:t>
      </w:r>
      <w:r>
        <w:rPr/>
        <w:t> </w:t>
      </w:r>
      <w:r>
        <w:rPr>
          <w:spacing w:val="-2"/>
        </w:rPr>
        <w:t>额，计提减值准备。如果有客观证据表明该金融资产价值已恢复，且客观上与确认该损失后发生的事项有关，原确认的减值</w:t>
      </w:r>
      <w:r>
        <w:rPr>
          <w:spacing w:val="-65"/>
        </w:rPr>
        <w:t> </w:t>
      </w:r>
      <w:r>
        <w:rPr>
          <w:spacing w:val="-65"/>
        </w:rPr>
      </w:r>
      <w:r>
        <w:rPr/>
        <w:t>损失予以转回，计入当期损益。</w:t>
      </w:r>
    </w:p>
    <w:p>
      <w:pPr>
        <w:spacing w:line="240" w:lineRule="auto" w:before="10"/>
        <w:rPr>
          <w:rFonts w:ascii="宋体" w:hAnsi="宋体" w:cs="宋体" w:eastAsia="宋体" w:hint="default"/>
          <w:sz w:val="24"/>
          <w:szCs w:val="24"/>
        </w:rPr>
      </w:pPr>
    </w:p>
    <w:p>
      <w:pPr>
        <w:pStyle w:val="BodyText"/>
        <w:spacing w:line="316" w:lineRule="auto"/>
        <w:ind w:right="1051" w:firstLine="360"/>
        <w:jc w:val="both"/>
      </w:pPr>
      <w:r>
        <w:rPr/>
        <w:t>以成本计量的金融资产发生减值时，按预计未来现金流量现值低于账面价值的差额，计提减值准备。发生的减值损失， 一经确认，不再转回。</w:t>
      </w:r>
    </w:p>
    <w:p>
      <w:pPr>
        <w:spacing w:line="240" w:lineRule="auto" w:before="5"/>
        <w:rPr>
          <w:rFonts w:ascii="宋体" w:hAnsi="宋体" w:cs="宋体" w:eastAsia="宋体" w:hint="default"/>
          <w:sz w:val="24"/>
          <w:szCs w:val="24"/>
        </w:rPr>
      </w:pPr>
    </w:p>
    <w:p>
      <w:pPr>
        <w:pStyle w:val="BodyText"/>
        <w:spacing w:line="316" w:lineRule="auto"/>
        <w:ind w:right="1130" w:firstLine="360"/>
        <w:jc w:val="both"/>
      </w:pPr>
      <w:r>
        <w:rPr>
          <w:spacing w:val="-2"/>
        </w:rPr>
        <w:t>当有客观证据表明可供出售金融资产发生减值时，原直接计入股东权益的因公允价值下降形成的累计损失予以转出并计</w:t>
      </w:r>
      <w:r>
        <w:rPr/>
        <w:t> </w:t>
      </w:r>
      <w:r>
        <w:rPr>
          <w:spacing w:val="-2"/>
        </w:rPr>
        <w:t>入减值损失。对已确认减值损失的可供出售债务工具投资，在期后公允价值上升且客观上与确认原减值损失后发生的事项有</w:t>
      </w:r>
      <w:r>
        <w:rPr>
          <w:spacing w:val="-64"/>
        </w:rPr>
        <w:t> </w:t>
      </w:r>
      <w:r>
        <w:rPr>
          <w:spacing w:val="-64"/>
        </w:rPr>
      </w:r>
      <w:r>
        <w:rPr>
          <w:spacing w:val="-2"/>
        </w:rPr>
        <w:t>关的，原确认的减值损失予以转回并计入当期损益。对已确认减值损失的可供出售权益工具投资，期后公允价值上升直接计</w:t>
      </w:r>
      <w:r>
        <w:rPr>
          <w:spacing w:val="-62"/>
        </w:rPr>
        <w:t> </w:t>
      </w:r>
      <w:r>
        <w:rPr>
          <w:spacing w:val="-62"/>
        </w:rPr>
      </w:r>
      <w:r>
        <w:rPr/>
        <w:t>入股东权益。</w:t>
      </w:r>
    </w:p>
    <w:p>
      <w:pPr>
        <w:spacing w:line="240" w:lineRule="auto" w:before="5"/>
        <w:rPr>
          <w:rFonts w:ascii="宋体" w:hAnsi="宋体" w:cs="宋体" w:eastAsia="宋体" w:hint="default"/>
          <w:sz w:val="24"/>
          <w:szCs w:val="24"/>
        </w:rPr>
      </w:pPr>
    </w:p>
    <w:p>
      <w:pPr>
        <w:pStyle w:val="BodyText"/>
        <w:spacing w:line="300" w:lineRule="auto"/>
        <w:ind w:right="1133" w:firstLine="360"/>
        <w:jc w:val="both"/>
      </w:pPr>
      <w:r>
        <w:rPr>
          <w:spacing w:val="-1"/>
        </w:rPr>
        <w:t>对于权益工具投资，本公司判断其公允价值发生</w:t>
      </w:r>
      <w:r>
        <w:rPr>
          <w:rFonts w:ascii="Times New Roman" w:hAnsi="Times New Roman" w:cs="Times New Roman" w:eastAsia="Times New Roman" w:hint="default"/>
          <w:spacing w:val="-1"/>
        </w:rPr>
        <w:t>“</w:t>
      </w:r>
      <w:r>
        <w:rPr>
          <w:spacing w:val="-1"/>
        </w:rPr>
        <w:t>严重</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非暂时性</w:t>
      </w:r>
      <w:r>
        <w:rPr>
          <w:rFonts w:ascii="Times New Roman" w:hAnsi="Times New Roman" w:cs="Times New Roman" w:eastAsia="Times New Roman" w:hint="default"/>
          <w:spacing w:val="-1"/>
        </w:rPr>
        <w:t>”</w:t>
      </w:r>
      <w:r>
        <w:rPr>
          <w:spacing w:val="-1"/>
        </w:rPr>
        <w:t>下跌的具体量化标准、成本的计算方法、期末公允</w:t>
      </w:r>
      <w:r>
        <w:rPr/>
        <w:t> 价值的确定方法，以及持续下跌期间的确定依据为：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37"/>
        <w:ind w:left="0" w:right="1133"/>
        <w:jc w:val="right"/>
      </w:pPr>
      <w:r>
        <w:rPr/>
        <w:pict>
          <v:shape style="position:absolute;margin-left:56.280003pt;margin-top:-50.158257pt;width:478.95pt;height:134.3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69"/>
                    <w:gridCol w:w="5088"/>
                  </w:tblGrid>
                  <w:tr>
                    <w:trPr>
                      <w:trHeight w:val="348" w:hRule="exact"/>
                    </w:trPr>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严重</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5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期末公允价值相对于成本的下跌幅度已达到或超过</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346" w:hRule="exact"/>
                    </w:trPr>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非暂时性</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5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个月出现下跌。</w:t>
                        </w:r>
                      </w:p>
                    </w:tc>
                  </w:tr>
                  <w:tr>
                    <w:trPr>
                      <w:trHeight w:val="660" w:hRule="exact"/>
                    </w:trPr>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50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取得时按支付对价（扣除已宣告但尚未发放的现金股利或已到付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息期但尚未领取的债券利息）和相关交易费用之和作为投资成本</w:t>
                        </w:r>
                      </w:p>
                    </w:tc>
                  </w:tr>
                  <w:tr>
                    <w:trPr>
                      <w:trHeight w:val="660" w:hRule="exact"/>
                    </w:trPr>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50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6"/>
                          <w:jc w:val="left"/>
                          <w:rPr>
                            <w:rFonts w:ascii="宋体" w:hAnsi="宋体" w:cs="宋体" w:eastAsia="宋体" w:hint="default"/>
                            <w:sz w:val="18"/>
                            <w:szCs w:val="18"/>
                          </w:rPr>
                        </w:pPr>
                        <w:r>
                          <w:rPr>
                            <w:rFonts w:ascii="宋体" w:hAnsi="宋体" w:cs="宋体" w:eastAsia="宋体" w:hint="default"/>
                            <w:spacing w:val="-3"/>
                            <w:sz w:val="18"/>
                            <w:szCs w:val="18"/>
                          </w:rPr>
                          <w:t>存在活跃市场的金融工具，以活跃市场中的报价确定其公允价值</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如不存在活跃市场的金融工具，采用估值技术确定其公允价值。</w:t>
                        </w:r>
                      </w:p>
                    </w:tc>
                  </w:tr>
                  <w:tr>
                    <w:trPr>
                      <w:trHeight w:val="658" w:hRule="exact"/>
                    </w:trPr>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50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连续下跌或在下跌趋势持续期间反弹上扬幅度低于</w:t>
                        </w:r>
                        <w:r>
                          <w:rPr>
                            <w:rFonts w:ascii="Times New Roman" w:hAnsi="Times New Roman" w:cs="Times New Roman" w:eastAsia="Times New Roman" w:hint="default"/>
                            <w:sz w:val="18"/>
                            <w:szCs w:val="18"/>
                          </w:rPr>
                          <w:t>20%</w:t>
                        </w:r>
                        <w:r>
                          <w:rPr>
                            <w:rFonts w:ascii="宋体" w:hAnsi="宋体" w:cs="宋体" w:eastAsia="宋体" w:hint="default"/>
                            <w:sz w:val="18"/>
                            <w:szCs w:val="18"/>
                          </w:rPr>
                          <w:t>，反弹持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续时间未超过</w:t>
                        </w:r>
                        <w:r>
                          <w:rPr>
                            <w:rFonts w:ascii="Times New Roman" w:hAnsi="Times New Roman" w:cs="Times New Roman" w:eastAsia="Times New Roman" w:hint="default"/>
                            <w:sz w:val="18"/>
                            <w:szCs w:val="18"/>
                          </w:rPr>
                          <w:t>6</w:t>
                        </w:r>
                        <w:r>
                          <w:rPr>
                            <w:rFonts w:ascii="宋体" w:hAnsi="宋体" w:cs="宋体" w:eastAsia="宋体" w:hint="default"/>
                            <w:sz w:val="18"/>
                            <w:szCs w:val="18"/>
                          </w:rPr>
                          <w:t>个月的均作为持续下跌期间。</w:t>
                        </w:r>
                      </w:p>
                    </w:tc>
                  </w:tr>
                </w:tbl>
                <w:p>
                  <w:pPr/>
                </w:p>
              </w:txbxContent>
            </v:textbox>
            <w10:wrap type="none"/>
          </v:shape>
        </w:pict>
      </w:r>
      <w:r>
        <w:rPr/>
        <w:t>。</w:t>
      </w:r>
    </w:p>
    <w:p>
      <w:pPr>
        <w:pStyle w:val="BodyText"/>
        <w:spacing w:line="240" w:lineRule="auto" w:before="110"/>
        <w:ind w:left="0" w:right="113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11</w:t>
      </w:r>
      <w:r>
        <w:rPr/>
        <w:t>、应收票据及应收账款</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）单项金额重大并单独计提坏账准备的应收款项</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应收账款余额超过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万元、其他应收款余额超过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 上的款项</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按应收款项个别认定及账龄分析法相结合计提</w:t>
            </w:r>
          </w:p>
        </w:tc>
      </w:tr>
    </w:tbl>
    <w:p>
      <w:pPr>
        <w:spacing w:line="240" w:lineRule="auto" w:before="10"/>
        <w:rPr>
          <w:rFonts w:ascii="Tahoma" w:hAnsi="Tahoma" w:cs="Tahoma" w:eastAsia="Tahoma" w:hint="default"/>
          <w:sz w:val="20"/>
          <w:szCs w:val="20"/>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）按信用风险特征组合计提坏账准备的应收款项</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采用账龄分析法计提坏账准备的组合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ahoma" w:hAnsi="Tahoma" w:cs="Tahoma" w:eastAsia="Tahoma" w:hint="default"/>
          <w:sz w:val="20"/>
          <w:szCs w:val="20"/>
        </w:rPr>
      </w:pPr>
    </w:p>
    <w:p>
      <w:pPr>
        <w:spacing w:line="240" w:lineRule="auto" w:before="6"/>
        <w:rPr>
          <w:rFonts w:ascii="Tahoma" w:hAnsi="Tahoma" w:cs="Tahoma" w:eastAsia="Tahoma" w:hint="default"/>
          <w:sz w:val="10"/>
          <w:szCs w:val="10"/>
        </w:rPr>
      </w:pPr>
    </w:p>
    <w:p>
      <w:pPr>
        <w:spacing w:line="422" w:lineRule="exact"/>
        <w:ind w:left="143" w:right="0" w:firstLine="0"/>
        <w:rPr>
          <w:rFonts w:ascii="Tahoma" w:hAnsi="Tahoma" w:cs="Tahoma" w:eastAsia="Tahoma" w:hint="default"/>
          <w:sz w:val="20"/>
          <w:szCs w:val="20"/>
        </w:rPr>
      </w:pPr>
      <w:r>
        <w:rPr>
          <w:rFonts w:ascii="Tahoma" w:hAnsi="Tahoma" w:cs="Tahoma" w:eastAsia="Tahoma" w:hint="default"/>
          <w:position w:val="-7"/>
          <w:sz w:val="20"/>
          <w:szCs w:val="20"/>
        </w:rPr>
        <w:pict>
          <v:group style="width:479.2pt;height:21.15pt;mso-position-horizontal-relative:char;mso-position-vertical-relative:line" coordorigin="0,0" coordsize="9584,423">
            <v:group style="position:absolute;left:5;top:10;width:9569;height:2" coordorigin="5,10" coordsize="9569,2">
              <v:shape style="position:absolute;left:5;top:10;width:9569;height:2" coordorigin="5,10" coordsize="9569,0" path="m5,10l9574,10e" filled="false" stroked="true" strokeweight=".479999pt" strokecolor="#000000">
                <v:path arrowok="t"/>
              </v:shape>
            </v:group>
            <v:group style="position:absolute;left:10;top:14;width:2;height:404" coordorigin="10,14" coordsize="2,404">
              <v:shape style="position:absolute;left:10;top:14;width:2;height:404" coordorigin="10,14" coordsize="0,404" path="m10,14l10,418e" filled="false" stroked="true" strokeweight=".479999pt" strokecolor="#000000">
                <v:path arrowok="t"/>
              </v:shape>
            </v:group>
            <v:group style="position:absolute;left:5;top:413;width:4784;height:2" coordorigin="5,413" coordsize="4784,2">
              <v:shape style="position:absolute;left:5;top:413;width:4784;height:2" coordorigin="5,413" coordsize="4784,0" path="m5,413l4788,413e" filled="false" stroked="true" strokeweight=".48pt" strokecolor="#000000">
                <v:path arrowok="t"/>
              </v:shape>
            </v:group>
            <v:group style="position:absolute;left:4793;top:14;width:2;height:404" coordorigin="4793,14" coordsize="2,404">
              <v:shape style="position:absolute;left:4793;top:14;width:2;height:404" coordorigin="4793,14" coordsize="0,404" path="m4793,14l4793,418e" filled="false" stroked="true" strokeweight=".48001pt" strokecolor="#000000">
                <v:path arrowok="t"/>
              </v:shape>
            </v:group>
            <v:group style="position:absolute;left:4798;top:413;width:4776;height:2" coordorigin="4798,413" coordsize="4776,2">
              <v:shape style="position:absolute;left:4798;top:413;width:4776;height:2" coordorigin="4798,413" coordsize="4776,0" path="m4798,413l9574,413e" filled="false" stroked="true" strokeweight=".48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80011pt" strokecolor="#000000">
                <v:path arrowok="t"/>
              </v:shape>
              <v:shape style="position:absolute;left:10;top:10;width:4784;height:404"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采用不计提坏账准备的组合</w:t>
                      </w:r>
                    </w:p>
                  </w:txbxContent>
                </v:textbox>
                <w10:wrap type="none"/>
              </v:shape>
              <v:shape style="position:absolute;left:4793;top:10;width:4786;height:404"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其他方法</w:t>
                      </w:r>
                    </w:p>
                  </w:txbxContent>
                </v:textbox>
                <w10:wrap type="none"/>
              </v:shape>
            </v:group>
          </v:group>
        </w:pict>
      </w:r>
      <w:r>
        <w:rPr>
          <w:rFonts w:ascii="Tahoma" w:hAnsi="Tahoma" w:cs="Tahoma" w:eastAsia="Tahoma" w:hint="default"/>
          <w:position w:val="-7"/>
          <w:sz w:val="20"/>
          <w:szCs w:val="20"/>
        </w:rPr>
      </w:r>
    </w:p>
    <w:p>
      <w:pPr>
        <w:pStyle w:val="BodyText"/>
        <w:spacing w:line="240" w:lineRule="auto" w:before="44"/>
        <w:ind w:right="984"/>
        <w:jc w:val="left"/>
      </w:pPr>
      <w:r>
        <w:rPr/>
        <w:t>组合中，采用账龄分析法计提坏账准备的：</w:t>
      </w:r>
    </w:p>
    <w:p>
      <w:pPr>
        <w:pStyle w:val="BodyText"/>
        <w:spacing w:line="240" w:lineRule="auto" w:before="115"/>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984"/>
        <w:jc w:val="left"/>
      </w:pPr>
      <w:r>
        <w:rPr/>
        <w:t>组合中，采用余额百分比法计提坏账准备的：</w:t>
      </w:r>
    </w:p>
    <w:p>
      <w:pPr>
        <w:pStyle w:val="BodyText"/>
        <w:spacing w:line="338" w:lineRule="auto" w:before="117"/>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w:t>
      </w:r>
    </w:p>
    <w:p>
      <w:pPr>
        <w:pStyle w:val="BodyText"/>
        <w:spacing w:line="240" w:lineRule="auto" w:before="43"/>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采用不计提坏账准备的组合</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3</w:t>
      </w:r>
      <w:r>
        <w:rPr/>
        <w:t>）单项金额不重大但单独计提坏账准备的应收款项</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经确认款项不能收回</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按应收款项个别认定法计提</w:t>
            </w:r>
          </w:p>
        </w:tc>
      </w:tr>
    </w:tbl>
    <w:p>
      <w:pPr>
        <w:spacing w:line="240" w:lineRule="auto" w:before="10"/>
        <w:rPr>
          <w:rFonts w:ascii="Tahoma" w:hAnsi="Tahoma" w:cs="Tahoma" w:eastAsia="Tahoma" w:hint="default"/>
          <w:sz w:val="20"/>
          <w:szCs w:val="20"/>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12</w:t>
      </w:r>
      <w:r>
        <w:rPr/>
        <w:t>、存货</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60" w:lineRule="auto"/>
        <w:ind w:right="7694"/>
        <w:jc w:val="left"/>
      </w:pPr>
      <w:r>
        <w:rPr/>
        <w:t>公司是否需要遵守特殊行业的披露要求 否</w:t>
      </w:r>
    </w:p>
    <w:p>
      <w:pPr>
        <w:spacing w:line="240" w:lineRule="auto" w:before="4"/>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）存货的分类</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984" w:firstLine="420"/>
        <w:jc w:val="left"/>
      </w:pPr>
      <w:r>
        <w:rPr/>
        <w:t>存货是指本公司在日常活动中持有以备出售的产成品或商品、处在生产过程中的在产品、在生产过程或提供劳务过程 中耗用的材料和物料等。主要包括原材料、包装物、低值易耗品、在产品、产成品（库存商品）等。</w:t>
      </w:r>
    </w:p>
    <w:p>
      <w:pPr>
        <w:spacing w:line="240" w:lineRule="auto" w:before="10"/>
        <w:rPr>
          <w:rFonts w:ascii="宋体" w:hAnsi="宋体" w:cs="宋体" w:eastAsia="宋体" w:hint="default"/>
          <w:sz w:val="22"/>
          <w:szCs w:val="22"/>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）发出存货的计价方法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t>计价方法：加权平均法</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t>（</w:t>
      </w:r>
      <w:r>
        <w:rPr>
          <w:rFonts w:ascii="Tahoma" w:hAnsi="Tahoma" w:cs="Tahoma" w:eastAsia="Tahoma" w:hint="default"/>
        </w:rPr>
        <w:t>3</w:t>
      </w:r>
      <w:r>
        <w:rPr/>
        <w:t>）存货可变现净值的确定依据及存货跌价准备的计提方法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984"/>
        <w:jc w:val="left"/>
      </w:pPr>
      <w:r>
        <w:rPr>
          <w:spacing w:val="-2"/>
        </w:rPr>
        <w:t>资产负债表日，存货按照成本与可变现净值孰低计量，并按单个存货项目计提存货跌价准备，但对于数量繁多、单价较低的</w:t>
      </w:r>
      <w:r>
        <w:rPr>
          <w:spacing w:val="-65"/>
        </w:rPr>
        <w:t> </w:t>
      </w:r>
      <w:r>
        <w:rPr>
          <w:spacing w:val="-65"/>
        </w:rPr>
      </w:r>
      <w:r>
        <w:rPr/>
        <w:t>存货，按照存货类别计提存货跌价准备。</w:t>
      </w:r>
    </w:p>
    <w:p>
      <w:pPr>
        <w:spacing w:after="0" w:line="316"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16" w:lineRule="auto" w:before="37"/>
        <w:ind w:right="1130" w:firstLine="360"/>
        <w:jc w:val="both"/>
      </w:pPr>
      <w:r>
        <w:rPr>
          <w:spacing w:val="-2"/>
        </w:rPr>
        <w:t>存货可变现净值的确定依据：①产成品可变现净值为估计售价减去估计的销售费用和相关税费后金额；②为生产而持有</w:t>
      </w:r>
      <w:r>
        <w:rPr/>
        <w:t> </w:t>
      </w:r>
      <w:r>
        <w:rPr>
          <w:spacing w:val="-2"/>
        </w:rPr>
        <w:t>的材料等，当用其生产的产成品的可变现净值高于成本时按照成本计量；当材料价格下降表明产成品的可变现净值低于成本</w:t>
      </w:r>
      <w:r>
        <w:rPr>
          <w:spacing w:val="-64"/>
        </w:rPr>
        <w:t> </w:t>
      </w:r>
      <w:r>
        <w:rPr>
          <w:spacing w:val="-64"/>
        </w:rPr>
      </w:r>
      <w:r>
        <w:rPr>
          <w:spacing w:val="-2"/>
        </w:rPr>
        <w:t>时，可变现净值为估计售价减去至完工时估计将要发生的成本、估计的销售费用以及相关税费后的金额确定。③持有待售的</w:t>
      </w:r>
      <w:r>
        <w:rPr>
          <w:spacing w:val="-62"/>
        </w:rPr>
        <w:t> </w:t>
      </w:r>
      <w:r>
        <w:rPr>
          <w:spacing w:val="-62"/>
        </w:rPr>
      </w:r>
      <w:r>
        <w:rPr/>
        <w:t>材料等，可变现净值为市场售价。</w:t>
      </w:r>
    </w:p>
    <w:p>
      <w:pPr>
        <w:spacing w:line="240" w:lineRule="auto" w:before="13"/>
        <w:rPr>
          <w:rFonts w:ascii="宋体" w:hAnsi="宋体" w:cs="宋体" w:eastAsia="宋体" w:hint="default"/>
          <w:sz w:val="22"/>
          <w:szCs w:val="22"/>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4</w:t>
      </w:r>
      <w:r>
        <w:rPr/>
        <w:t>）存货的盘存制度</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28"/>
          <w:szCs w:val="28"/>
        </w:rPr>
      </w:pPr>
    </w:p>
    <w:p>
      <w:pPr>
        <w:pStyle w:val="BodyText"/>
        <w:spacing w:line="240" w:lineRule="auto"/>
        <w:ind w:right="984"/>
        <w:jc w:val="left"/>
      </w:pPr>
      <w:r>
        <w:rPr/>
        <w:t>盘存制度：永续盘存制</w:t>
      </w:r>
    </w:p>
    <w:p>
      <w:pPr>
        <w:spacing w:line="240" w:lineRule="auto" w:before="0"/>
        <w:rPr>
          <w:rFonts w:ascii="宋体" w:hAnsi="宋体" w:cs="宋体" w:eastAsia="宋体" w:hint="default"/>
          <w:sz w:val="18"/>
          <w:szCs w:val="18"/>
        </w:rPr>
      </w:pPr>
    </w:p>
    <w:p>
      <w:pPr>
        <w:pStyle w:val="Heading3"/>
        <w:spacing w:line="240" w:lineRule="auto" w:before="122"/>
        <w:ind w:right="984"/>
        <w:jc w:val="left"/>
        <w:rPr>
          <w:rFonts w:ascii="Tahoma" w:hAnsi="Tahoma" w:cs="Tahoma" w:eastAsia="Tahoma" w:hint="default"/>
        </w:rPr>
      </w:pPr>
      <w:r>
        <w:rPr/>
        <w:t>（</w:t>
      </w:r>
      <w:r>
        <w:rPr>
          <w:rFonts w:ascii="Tahoma" w:hAnsi="Tahoma" w:cs="Tahoma" w:eastAsia="Tahoma" w:hint="default"/>
        </w:rPr>
        <w:t>5</w:t>
      </w:r>
      <w:r>
        <w:rPr/>
        <w:t>）低值易耗品和包装物的摊销方法</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28"/>
          <w:szCs w:val="28"/>
        </w:rPr>
      </w:pPr>
    </w:p>
    <w:p>
      <w:pPr>
        <w:pStyle w:val="BodyText"/>
        <w:spacing w:line="357" w:lineRule="auto"/>
        <w:ind w:right="8954"/>
        <w:jc w:val="left"/>
      </w:pPr>
      <w:r>
        <w:rPr/>
        <w:t>低值易耗品 摊销方法：一次摊销法 包装物</w:t>
      </w:r>
    </w:p>
    <w:p>
      <w:pPr>
        <w:pStyle w:val="BodyText"/>
        <w:spacing w:line="360" w:lineRule="auto" w:before="29"/>
        <w:ind w:right="8414"/>
        <w:jc w:val="left"/>
      </w:pPr>
      <w:r>
        <w:rPr/>
        <w:t>摊销方法：其他 包装物采用一次转销法摊销。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5"/>
        <w:ind w:right="984"/>
        <w:jc w:val="left"/>
        <w:rPr>
          <w:rFonts w:ascii="Tahoma" w:hAnsi="Tahoma" w:cs="Tahoma" w:eastAsia="Tahoma" w:hint="default"/>
        </w:rPr>
      </w:pPr>
      <w:r>
        <w:rPr>
          <w:rFonts w:ascii="Tahoma" w:hAnsi="Tahoma" w:cs="Tahoma" w:eastAsia="Tahoma" w:hint="default"/>
        </w:rPr>
        <w:t>13</w:t>
      </w:r>
      <w:r>
        <w:rPr/>
        <w:t>、持有待售资产</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984" w:firstLine="180"/>
        <w:jc w:val="left"/>
      </w:pPr>
      <w:r>
        <w:rPr>
          <w:spacing w:val="-2"/>
        </w:rPr>
        <w:t>本公司将同时满足下列条件的非流动资产应当划分为持有待售：一是企业已经就处置该非流动资产作出决议；二是企业已</w:t>
      </w:r>
      <w:r>
        <w:rPr/>
        <w:t> 经与受让方签订了不可撤销的转让协议；三是该项转让将在一年内完成。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984"/>
        <w:jc w:val="left"/>
        <w:rPr>
          <w:rFonts w:ascii="Tahoma" w:hAnsi="Tahoma" w:cs="Tahoma" w:eastAsia="Tahoma" w:hint="default"/>
        </w:rPr>
      </w:pPr>
      <w:r>
        <w:rPr>
          <w:rFonts w:ascii="Tahoma" w:hAnsi="Tahoma" w:cs="Tahoma" w:eastAsia="Tahoma" w:hint="default"/>
        </w:rPr>
        <w:t>14</w:t>
      </w:r>
      <w:r>
        <w:rPr/>
        <w:t>、长期股权投资</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）投资成本的确定</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4" w:lineRule="auto"/>
        <w:ind w:right="1130" w:firstLine="300"/>
        <w:jc w:val="both"/>
      </w:pPr>
      <w:r>
        <w:rPr>
          <w:spacing w:val="-1"/>
        </w:rPr>
        <w:t>①对于企业合并取得的长期股权投资，如为同一控制下的企业合并，应当按照取得被合并方所有者权益账面价值的份额</w:t>
      </w:r>
      <w:r>
        <w:rPr/>
        <w:t> </w:t>
      </w:r>
      <w:r>
        <w:rPr>
          <w:spacing w:val="-2"/>
        </w:rPr>
        <w:t>确认为初始成本；非同一控制下的企业合并，应当按购买日确定的合并成本确认为初始成本；②以支付现金取得的长期股权</w:t>
      </w:r>
      <w:r>
        <w:rPr>
          <w:spacing w:val="-62"/>
        </w:rPr>
        <w:t> </w:t>
      </w:r>
      <w:r>
        <w:rPr>
          <w:spacing w:val="-62"/>
        </w:rPr>
      </w:r>
      <w:r>
        <w:rPr>
          <w:spacing w:val="-2"/>
        </w:rPr>
        <w:t>投资，初始投资成本为实际支付的购买价款；③以发行权益性证券取得的长期股权投资，初始投资成本为发行权益性证券的</w:t>
      </w:r>
      <w:r>
        <w:rPr>
          <w:spacing w:val="-62"/>
        </w:rPr>
        <w:t> </w:t>
      </w:r>
      <w:r>
        <w:rPr>
          <w:spacing w:val="-62"/>
        </w:rPr>
      </w:r>
      <w:r>
        <w:rPr>
          <w:spacing w:val="-2"/>
        </w:rPr>
        <w:t>公允价值；④通过债务重组取得的长期股权投资，其初始投资成本应当按照《企业会计准则第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债务重组》的有关规定</w:t>
      </w:r>
      <w:r>
        <w:rPr>
          <w:spacing w:val="-65"/>
        </w:rPr>
        <w:t> </w:t>
      </w:r>
      <w:r>
        <w:rPr>
          <w:spacing w:val="-65"/>
        </w:rPr>
      </w:r>
      <w:r>
        <w:rPr/>
        <w:t>确定；⑤非货币性资产交换取得的长期股权投资，初始投资成本根据准则相关规定确定。</w:t>
      </w:r>
    </w:p>
    <w:p>
      <w:pPr>
        <w:spacing w:line="240" w:lineRule="auto" w:before="1"/>
        <w:rPr>
          <w:rFonts w:ascii="宋体" w:hAnsi="宋体" w:cs="宋体" w:eastAsia="宋体" w:hint="default"/>
          <w:sz w:val="23"/>
          <w:szCs w:val="23"/>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）后续计量及损益确认</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28"/>
          <w:szCs w:val="28"/>
        </w:rPr>
      </w:pPr>
    </w:p>
    <w:p>
      <w:pPr>
        <w:pStyle w:val="BodyText"/>
        <w:spacing w:line="314" w:lineRule="auto"/>
        <w:ind w:right="1130" w:firstLine="300"/>
        <w:jc w:val="both"/>
      </w:pPr>
      <w:r>
        <w:rPr>
          <w:spacing w:val="-1"/>
        </w:rPr>
        <w:t>投资方能够对被投资单位实施控制的长期股权投资应当采用成本法核算，对联营企业和合营企业的长期股权投资采用权</w:t>
      </w:r>
      <w:r>
        <w:rPr/>
        <w:t> </w:t>
      </w:r>
      <w:r>
        <w:rPr>
          <w:spacing w:val="-2"/>
        </w:rPr>
        <w:t>益法核算。投资方对联营企业的权益性投资，其中一部分通过风险投资机构、共同基金、信托公司或包括投连险基金在内的</w:t>
      </w:r>
      <w:r>
        <w:rPr>
          <w:spacing w:val="-64"/>
        </w:rPr>
        <w:t> </w:t>
      </w:r>
      <w:r>
        <w:rPr>
          <w:spacing w:val="-64"/>
        </w:rPr>
      </w:r>
      <w:r>
        <w:rPr>
          <w:spacing w:val="-2"/>
        </w:rPr>
        <w:t>类似主体间接持有的，无论以上主体是否对这部分投资具有重大影响，投资方都应当按照《企业会计准则第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w:t>
      </w:r>
      <w:r>
        <w:rPr>
          <w:spacing w:val="-62"/>
        </w:rPr>
        <w:t> </w:t>
      </w:r>
      <w:r>
        <w:rPr>
          <w:spacing w:val="-62"/>
        </w:rPr>
      </w:r>
      <w:r>
        <w:rPr>
          <w:spacing w:val="-2"/>
        </w:rPr>
        <w:t>具确认和计量》的有关规定，对间接持有的该部分投资选择以公允价值计量且其变动计入损益，并对其余部分采用权益法核</w:t>
      </w:r>
      <w:r>
        <w:rPr>
          <w:spacing w:val="-64"/>
        </w:rPr>
        <w:t> </w:t>
      </w:r>
      <w:r>
        <w:rPr>
          <w:spacing w:val="-64"/>
        </w:rPr>
      </w:r>
      <w:r>
        <w:rPr/>
        <w:t>算。</w:t>
      </w:r>
    </w:p>
    <w:p>
      <w:pPr>
        <w:spacing w:line="240" w:lineRule="auto" w:before="1"/>
        <w:rPr>
          <w:rFonts w:ascii="宋体" w:hAnsi="宋体" w:cs="宋体" w:eastAsia="宋体" w:hint="default"/>
          <w:sz w:val="23"/>
          <w:szCs w:val="23"/>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3</w:t>
      </w:r>
      <w:r>
        <w:rPr/>
        <w:t>）确定对被投资单位具有共同控制、重大影响的依据</w:t>
      </w:r>
      <w:r>
        <w:rPr>
          <w:rFonts w:ascii="Tahoma" w:hAnsi="Tahoma" w:cs="Tahoma" w:eastAsia="Tahoma" w:hint="default"/>
          <w:w w:val="80"/>
        </w:rPr>
        <w:t> </w:t>
      </w:r>
      <w:r>
        <w:rPr>
          <w:rFonts w:ascii="Tahoma" w:hAnsi="Tahoma" w:cs="Tahoma" w:eastAsia="Tahoma" w:hint="default"/>
        </w:rPr>
      </w:r>
    </w:p>
    <w:p>
      <w:pPr>
        <w:spacing w:after="0" w:line="240" w:lineRule="auto"/>
        <w:jc w:val="left"/>
        <w:rPr>
          <w:rFonts w:ascii="Tahoma" w:hAnsi="Tahoma" w:cs="Tahoma" w:eastAsia="Tahoma" w:hint="default"/>
        </w:rPr>
        <w:sectPr>
          <w:pgSz w:w="11910" w:h="16840"/>
          <w:pgMar w:header="753" w:footer="982" w:top="1060" w:bottom="1180" w:left="980" w:right="0"/>
        </w:sectPr>
      </w:pPr>
    </w:p>
    <w:p>
      <w:pPr>
        <w:spacing w:line="240" w:lineRule="auto" w:before="6"/>
        <w:rPr>
          <w:rFonts w:ascii="Tahoma" w:hAnsi="Tahoma" w:cs="Tahoma" w:eastAsia="Tahoma" w:hint="default"/>
          <w:sz w:val="28"/>
          <w:szCs w:val="28"/>
        </w:rPr>
      </w:pPr>
    </w:p>
    <w:p>
      <w:pPr>
        <w:pStyle w:val="BodyText"/>
        <w:spacing w:line="314" w:lineRule="auto" w:before="37"/>
        <w:ind w:right="1130" w:firstLine="360"/>
        <w:jc w:val="both"/>
      </w:pPr>
      <w:r>
        <w:rPr>
          <w:spacing w:val="-2"/>
        </w:rPr>
        <w:t>对被投资单位具有共同控制，是指对某项安排的回报产生重大影响的活动必须经过分享控制权的参与方一致同意后才能</w:t>
      </w:r>
      <w:r>
        <w:rPr/>
        <w:t> </w:t>
      </w:r>
      <w:r>
        <w:rPr>
          <w:spacing w:val="-2"/>
        </w:rPr>
        <w:t>决策，包括商品或劳务的销售和购买、金融资产的管理、资产的购买和处置、研究与开发活动以及融资活动等；对被投资单</w:t>
      </w:r>
      <w:r>
        <w:rPr>
          <w:spacing w:val="-69"/>
        </w:rPr>
        <w:t> </w:t>
      </w:r>
      <w:r>
        <w:rPr>
          <w:spacing w:val="-69"/>
        </w:rPr>
      </w:r>
      <w:r>
        <w:rPr/>
        <w:t>位具有重大影响，是指当持有被投资单位</w:t>
      </w:r>
      <w:r>
        <w:rPr>
          <w:rFonts w:ascii="Times New Roman" w:hAnsi="Times New Roman" w:cs="Times New Roman" w:eastAsia="Times New Roman" w:hint="default"/>
        </w:rPr>
        <w:t>20%</w:t>
      </w:r>
      <w:r>
        <w:rPr/>
        <w:t>以上至</w:t>
      </w:r>
      <w:r>
        <w:rPr>
          <w:rFonts w:ascii="Times New Roman" w:hAnsi="Times New Roman" w:cs="Times New Roman" w:eastAsia="Times New Roman" w:hint="default"/>
        </w:rPr>
        <w:t>50%</w:t>
      </w:r>
      <w:r>
        <w:rPr/>
        <w:t>的表决权资本时，具有重大影响。或虽不足</w:t>
      </w:r>
      <w:r>
        <w:rPr>
          <w:rFonts w:ascii="Times New Roman" w:hAnsi="Times New Roman" w:cs="Times New Roman" w:eastAsia="Times New Roman" w:hint="default"/>
        </w:rPr>
        <w:t>20%</w:t>
      </w:r>
      <w:r>
        <w:rPr/>
        <w:t>，但符合下列条件 </w:t>
      </w:r>
      <w:r>
        <w:rPr>
          <w:spacing w:val="-2"/>
        </w:rPr>
        <w:t>之一时，具有重大影响：在被投资单位的董事会或类似的权力机构中派有代表；参与被投资单位的政策制定过程；向被投资</w:t>
      </w:r>
      <w:r>
        <w:rPr>
          <w:spacing w:val="-65"/>
        </w:rPr>
        <w:t> </w:t>
      </w:r>
      <w:r>
        <w:rPr>
          <w:spacing w:val="-65"/>
        </w:rPr>
      </w:r>
      <w:r>
        <w:rPr/>
        <w:t>单位派出管理人员；被投资单位依赖投资公司的技术或技术资料；与被投资单位之间发生重要交易。</w:t>
      </w:r>
    </w:p>
    <w:p>
      <w:pPr>
        <w:spacing w:line="240" w:lineRule="auto" w:before="1"/>
        <w:rPr>
          <w:rFonts w:ascii="宋体" w:hAnsi="宋体" w:cs="宋体" w:eastAsia="宋体" w:hint="default"/>
          <w:sz w:val="23"/>
          <w:szCs w:val="23"/>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4</w:t>
      </w:r>
      <w:r>
        <w:rPr/>
        <w:t>）减值测试方法及减值准备计提方法</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28"/>
          <w:szCs w:val="28"/>
        </w:rPr>
      </w:pPr>
    </w:p>
    <w:p>
      <w:pPr>
        <w:pStyle w:val="BodyText"/>
        <w:spacing w:line="316" w:lineRule="auto"/>
        <w:ind w:right="1130" w:firstLine="288"/>
        <w:jc w:val="both"/>
      </w:pPr>
      <w:r>
        <w:rPr>
          <w:spacing w:val="-1"/>
        </w:rPr>
        <w:t>资产负债表日，本公司对长期股权投资检查是否存在可能发生减值的迹象，当存在减值迹象时应进行减值测试确认其可</w:t>
      </w:r>
      <w:r>
        <w:rPr/>
        <w:t> </w:t>
      </w:r>
      <w:r>
        <w:rPr>
          <w:spacing w:val="-2"/>
        </w:rPr>
        <w:t>收回金额，按账面价值与可收回金额孰低计提减值准备，减值损失一经计提，在以后会计期间不再转回。可收回金额按照长</w:t>
      </w:r>
      <w:r>
        <w:rPr>
          <w:spacing w:val="-66"/>
        </w:rPr>
        <w:t> </w:t>
      </w:r>
      <w:r>
        <w:rPr>
          <w:spacing w:val="-66"/>
        </w:rPr>
      </w:r>
      <w:r>
        <w:rPr>
          <w:spacing w:val="-2"/>
        </w:rPr>
        <w:t>期股权投资出售的公允价值净额与预计未来现金流量的现值之间孰高确定。长期股权投资出售的公允价值净额，如存在公平</w:t>
      </w:r>
      <w:r>
        <w:rPr>
          <w:spacing w:val="-64"/>
        </w:rPr>
        <w:t> </w:t>
      </w:r>
      <w:r>
        <w:rPr>
          <w:spacing w:val="-64"/>
        </w:rPr>
      </w:r>
      <w:r>
        <w:rPr>
          <w:spacing w:val="-2"/>
        </w:rPr>
        <w:t>交易的协议价格，则按照协议价格减去相关税费；若不存在公平交易销售协议但存在资产活跃市场或同行业类似资产交易价</w:t>
      </w:r>
      <w:r>
        <w:rPr>
          <w:spacing w:val="-64"/>
        </w:rPr>
        <w:t> </w:t>
      </w:r>
      <w:r>
        <w:rPr>
          <w:spacing w:val="-64"/>
        </w:rPr>
      </w:r>
      <w:r>
        <w:rPr/>
        <w:t>格，按照市场价格减去相关税费。</w:t>
      </w:r>
    </w:p>
    <w:p>
      <w:pPr>
        <w:spacing w:line="240" w:lineRule="auto" w:before="10"/>
        <w:rPr>
          <w:rFonts w:ascii="宋体" w:hAnsi="宋体" w:cs="宋体" w:eastAsia="宋体" w:hint="default"/>
          <w:sz w:val="22"/>
          <w:szCs w:val="22"/>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15</w:t>
      </w:r>
      <w:r>
        <w:rPr/>
        <w:t>、投资性房地产</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57" w:lineRule="auto"/>
        <w:ind w:right="8774"/>
        <w:jc w:val="left"/>
      </w:pPr>
      <w:r>
        <w:rPr/>
        <w:t>投资性房地产计量模式 公允价值计量 选择公允价值计量的依据 选择公允价值计量的依据</w:t>
      </w:r>
    </w:p>
    <w:p>
      <w:pPr>
        <w:pStyle w:val="BodyText"/>
        <w:spacing w:line="240" w:lineRule="auto" w:before="26"/>
        <w:ind w:left="224" w:right="984"/>
        <w:jc w:val="left"/>
      </w:pPr>
      <w:r>
        <w:rPr>
          <w:rFonts w:ascii="Times New Roman" w:hAnsi="Times New Roman" w:cs="Times New Roman" w:eastAsia="Times New Roman" w:hint="default"/>
        </w:rPr>
        <w:t>1</w:t>
      </w:r>
      <w:r>
        <w:rPr/>
        <w:t>、投资性房地产包括已出租的土地使用权、持有并准备增值后转让的土地使用权和已出租的建筑物。</w:t>
      </w:r>
    </w:p>
    <w:p>
      <w:pPr>
        <w:pStyle w:val="BodyText"/>
        <w:spacing w:line="300" w:lineRule="auto" w:before="63"/>
        <w:ind w:right="4652" w:firstLine="72"/>
        <w:jc w:val="left"/>
      </w:pPr>
      <w:r>
        <w:rPr>
          <w:rFonts w:ascii="Times New Roman" w:hAnsi="Times New Roman" w:cs="Times New Roman" w:eastAsia="Times New Roman" w:hint="default"/>
        </w:rPr>
        <w:t>2</w:t>
      </w:r>
      <w:r>
        <w:rPr/>
        <w:t>、投资性房地产按照成本进行初始计量，采用公允价值模式进行后续计量。 采用公允价值模式进行后续计量的投资性房地产，会计政策选择的依据为：</w:t>
      </w:r>
    </w:p>
    <w:p>
      <w:pPr>
        <w:pStyle w:val="BodyText"/>
        <w:spacing w:line="240" w:lineRule="auto" w:before="31"/>
        <w:ind w:left="512" w:right="984"/>
        <w:jc w:val="left"/>
      </w:pPr>
      <w:r>
        <w:rPr/>
        <w:t>（</w:t>
      </w:r>
      <w:r>
        <w:rPr>
          <w:rFonts w:ascii="Times New Roman" w:hAnsi="Times New Roman" w:cs="Times New Roman" w:eastAsia="Times New Roman" w:hint="default"/>
        </w:rPr>
        <w:t>1</w:t>
      </w:r>
      <w:r>
        <w:rPr/>
        <w:t>）投资性房地产所在地有活跃的房地产交易市场。</w:t>
      </w:r>
    </w:p>
    <w:p>
      <w:pPr>
        <w:pStyle w:val="BodyText"/>
        <w:spacing w:line="300" w:lineRule="auto" w:before="63"/>
        <w:ind w:right="1140" w:firstLine="360"/>
        <w:jc w:val="both"/>
      </w:pPr>
      <w:r>
        <w:rPr/>
        <w:t>（</w:t>
      </w:r>
      <w:r>
        <w:rPr>
          <w:rFonts w:ascii="Times New Roman" w:hAnsi="Times New Roman" w:cs="Times New Roman" w:eastAsia="Times New Roman" w:hint="default"/>
        </w:rPr>
        <w:t>2</w:t>
      </w:r>
      <w:r>
        <w:rPr/>
        <w:t>）公司能够从房地产交易市场上取得同类或类似房地产的市场价格及其他相关信息，从而对投资性房地产的公允价 值作出合理的估计。</w:t>
      </w:r>
    </w:p>
    <w:p>
      <w:pPr>
        <w:pStyle w:val="BodyText"/>
        <w:spacing w:line="316" w:lineRule="auto" w:before="31"/>
        <w:ind w:right="1132" w:firstLine="360"/>
        <w:jc w:val="both"/>
      </w:pPr>
      <w:r>
        <w:rPr>
          <w:spacing w:val="-2"/>
        </w:rPr>
        <w:t>本公司对投资性房地产不计提折旧或进行摊销，在资产负债表日以投资性房地产的公允价值为基础调整其账面价值，公</w:t>
      </w:r>
      <w:r>
        <w:rPr/>
        <w:t> 允价值与原账面价值之间的差额计入当期损益。</w:t>
      </w:r>
    </w:p>
    <w:p>
      <w:pPr>
        <w:pStyle w:val="BodyText"/>
        <w:spacing w:line="316" w:lineRule="auto" w:before="19"/>
        <w:ind w:right="984" w:firstLine="360"/>
        <w:jc w:val="left"/>
      </w:pPr>
      <w:r>
        <w:rPr>
          <w:spacing w:val="-2"/>
        </w:rPr>
        <w:t>公司有确凿证据表明房地产用途发生改变，将投资性房地产转换为自用房地产时，以其转换当日的公允价值作为自用房</w:t>
      </w:r>
      <w:r>
        <w:rPr/>
        <w:t> </w:t>
      </w:r>
      <w:r>
        <w:rPr>
          <w:spacing w:val="-2"/>
        </w:rPr>
        <w:t>地产的账面价值，公允价值与原账面价值的差额计入当期损益。公司将自用房地产或存货转换为采用公允价值模式计量的投</w:t>
      </w:r>
      <w:r>
        <w:rPr>
          <w:spacing w:val="-64"/>
        </w:rPr>
        <w:t> </w:t>
      </w:r>
      <w:r>
        <w:rPr>
          <w:spacing w:val="-64"/>
        </w:rPr>
      </w:r>
      <w:r>
        <w:rPr>
          <w:spacing w:val="-4"/>
        </w:rPr>
        <w:t>资性房地产时，投资性房地产按照转换当日的公允价值计价，转换当日的公允价值小于原账面价值的，其差额计入当期损益；</w:t>
      </w:r>
      <w:r>
        <w:rPr>
          <w:spacing w:val="-44"/>
        </w:rPr>
        <w:t> </w:t>
      </w:r>
      <w:r>
        <w:rPr>
          <w:spacing w:val="-44"/>
        </w:rPr>
      </w:r>
      <w:r>
        <w:rPr/>
        <w:t>转换当日的公允价值大于原账面价值的，其差额计入其他综合收益。</w:t>
      </w:r>
    </w:p>
    <w:p>
      <w:pPr>
        <w:spacing w:line="240" w:lineRule="auto" w:before="10"/>
        <w:rPr>
          <w:rFonts w:ascii="宋体" w:hAnsi="宋体" w:cs="宋体" w:eastAsia="宋体" w:hint="default"/>
          <w:sz w:val="22"/>
          <w:szCs w:val="22"/>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16</w:t>
      </w:r>
      <w:r>
        <w:rPr/>
        <w:t>、固定资产</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）确认条件</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984"/>
        <w:jc w:val="left"/>
      </w:pPr>
      <w:r>
        <w:rPr>
          <w:spacing w:val="-2"/>
        </w:rPr>
        <w:t>固定资产指为生产商品、提供劳务、出租或经营管理而持有的，使用寿命超过一个会计年度的有形资产。同时满足以下条件</w:t>
      </w:r>
      <w:r>
        <w:rPr>
          <w:spacing w:val="-66"/>
        </w:rPr>
        <w:t> </w:t>
      </w:r>
      <w:r>
        <w:rPr>
          <w:spacing w:val="-66"/>
        </w:rPr>
      </w:r>
      <w:r>
        <w:rPr/>
        <w:t>时予以确认：①与该固定资产有关的经济利益很可能流入企业；②该固定资产的成本能够可靠地计量。</w:t>
      </w:r>
    </w:p>
    <w:p>
      <w:pPr>
        <w:spacing w:line="240" w:lineRule="auto" w:before="10"/>
        <w:rPr>
          <w:rFonts w:ascii="宋体" w:hAnsi="宋体" w:cs="宋体" w:eastAsia="宋体" w:hint="default"/>
          <w:sz w:val="22"/>
          <w:szCs w:val="22"/>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）折旧方法</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ahoma" w:hAnsi="Tahoma" w:cs="Tahoma" w:eastAsia="Tahoma" w:hint="default"/>
          <w:sz w:val="20"/>
          <w:szCs w:val="20"/>
        </w:rPr>
      </w:pPr>
    </w:p>
    <w:p>
      <w:pPr>
        <w:spacing w:line="240" w:lineRule="auto" w:before="11"/>
        <w:rPr>
          <w:rFonts w:ascii="Tahoma" w:hAnsi="Tahoma" w:cs="Tahoma" w:eastAsia="Tahoma" w:hint="default"/>
          <w:sz w:val="10"/>
          <w:szCs w:val="10"/>
        </w:rPr>
      </w:pPr>
    </w:p>
    <w:tbl>
      <w:tblPr>
        <w:tblW w:w="0" w:type="auto"/>
        <w:jc w:val="left"/>
        <w:tblInd w:w="14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4.75%/3.17%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9.50%/6.33%</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10"/>
        <w:rPr>
          <w:rFonts w:ascii="Tahoma" w:hAnsi="Tahoma" w:cs="Tahoma" w:eastAsia="Tahoma" w:hint="default"/>
          <w:sz w:val="20"/>
          <w:szCs w:val="20"/>
        </w:rPr>
      </w:pPr>
    </w:p>
    <w:p>
      <w:pPr>
        <w:pStyle w:val="Heading3"/>
        <w:spacing w:line="240" w:lineRule="auto" w:before="36"/>
        <w:ind w:right="0"/>
        <w:jc w:val="both"/>
        <w:rPr>
          <w:rFonts w:ascii="Tahoma" w:hAnsi="Tahoma" w:cs="Tahoma" w:eastAsia="Tahoma" w:hint="default"/>
        </w:rPr>
      </w:pPr>
      <w:r>
        <w:rPr/>
        <w:t>（</w:t>
      </w:r>
      <w:r>
        <w:rPr>
          <w:rFonts w:ascii="Tahoma" w:hAnsi="Tahoma" w:cs="Tahoma" w:eastAsia="Tahoma" w:hint="default"/>
        </w:rPr>
        <w:t>3</w:t>
      </w:r>
      <w:r>
        <w:rPr/>
        <w:t>）融资租入固定资产的认定依据、计价和折旧方法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30"/>
        <w:jc w:val="both"/>
      </w:pPr>
      <w:r>
        <w:rPr>
          <w:spacing w:val="-2"/>
        </w:rPr>
        <w:t>融资租入固定资产的认定依据：实质上转移了与资产所有权有关的全部风险和报酬的租赁。具体认定依据为符合下列一项或</w:t>
      </w:r>
      <w:r>
        <w:rPr>
          <w:spacing w:val="-64"/>
        </w:rPr>
        <w:t> </w:t>
      </w:r>
      <w:r>
        <w:rPr>
          <w:spacing w:val="-64"/>
        </w:rPr>
      </w:r>
      <w:r>
        <w:rPr>
          <w:spacing w:val="-2"/>
        </w:rPr>
        <w:t>数项条件的：①在租赁期届满时，租赁资产的所有权转移给承租人；②承租人有购买租赁资产的选择权，所订立的购买价款</w:t>
      </w:r>
      <w:r>
        <w:rPr>
          <w:spacing w:val="-66"/>
        </w:rPr>
        <w:t> </w:t>
      </w:r>
      <w:r>
        <w:rPr>
          <w:spacing w:val="-66"/>
        </w:rPr>
      </w:r>
      <w:r>
        <w:rPr>
          <w:spacing w:val="-2"/>
        </w:rPr>
        <w:t>预计将远低于行使选择权时租赁资产的公允价值，因而在租赁开始日就可以合理确定承租人会行使这种选择权；③即使资产</w:t>
      </w:r>
      <w:r>
        <w:rPr>
          <w:spacing w:val="-64"/>
        </w:rPr>
        <w:t> </w:t>
      </w:r>
      <w:r>
        <w:rPr>
          <w:spacing w:val="-64"/>
        </w:rPr>
      </w:r>
      <w:r>
        <w:rPr>
          <w:spacing w:val="-2"/>
        </w:rPr>
        <w:t>的所有权不转移，但租赁期占租赁资产使用寿命的大部分；④承租人在租赁开始日的最低租赁付款额现值，几乎相当于租赁</w:t>
      </w:r>
      <w:r>
        <w:rPr>
          <w:spacing w:val="-62"/>
        </w:rPr>
        <w:t> </w:t>
      </w:r>
      <w:r>
        <w:rPr>
          <w:spacing w:val="-62"/>
        </w:rPr>
      </w:r>
      <w:r>
        <w:rPr>
          <w:spacing w:val="-2"/>
        </w:rPr>
        <w:t>开始日租赁资产公允价值；⑤租赁资产性质特殊，如不作较大改造只有承租人才能使用。融资租入固定资产的计价方法：融</w:t>
      </w:r>
      <w:r>
        <w:rPr>
          <w:spacing w:val="-64"/>
        </w:rPr>
        <w:t> </w:t>
      </w:r>
      <w:r>
        <w:rPr>
          <w:spacing w:val="-64"/>
        </w:rPr>
      </w:r>
      <w:r>
        <w:rPr>
          <w:spacing w:val="-2"/>
        </w:rPr>
        <w:t>资租入固定资产初始计价为租赁期开始日租赁资产公允价值与最低租赁付款额现值较低者作为入账价值；融资租入固定资产</w:t>
      </w:r>
      <w:r>
        <w:rPr>
          <w:spacing w:val="-63"/>
        </w:rPr>
        <w:t> </w:t>
      </w:r>
      <w:r>
        <w:rPr>
          <w:spacing w:val="-63"/>
        </w:rPr>
      </w:r>
      <w:r>
        <w:rPr/>
        <w:t>后续计价采用与自有固定资产相一致的折旧政策计提折旧及减值准备。</w:t>
      </w:r>
    </w:p>
    <w:p>
      <w:pPr>
        <w:spacing w:line="240" w:lineRule="auto" w:before="10"/>
        <w:rPr>
          <w:rFonts w:ascii="宋体" w:hAnsi="宋体" w:cs="宋体" w:eastAsia="宋体" w:hint="default"/>
          <w:sz w:val="22"/>
          <w:szCs w:val="22"/>
        </w:rPr>
      </w:pPr>
    </w:p>
    <w:p>
      <w:pPr>
        <w:pStyle w:val="Heading3"/>
        <w:spacing w:line="240" w:lineRule="auto"/>
        <w:ind w:right="0"/>
        <w:jc w:val="both"/>
        <w:rPr>
          <w:rFonts w:ascii="Tahoma" w:hAnsi="Tahoma" w:cs="Tahoma" w:eastAsia="Tahoma" w:hint="default"/>
        </w:rPr>
      </w:pPr>
      <w:r>
        <w:rPr>
          <w:rFonts w:ascii="Tahoma" w:hAnsi="Tahoma" w:cs="Tahoma" w:eastAsia="Tahoma" w:hint="default"/>
        </w:rPr>
        <w:t>17</w:t>
      </w:r>
      <w:r>
        <w:rPr/>
        <w:t>、在建工程</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57" w:lineRule="auto"/>
        <w:ind w:right="7694"/>
        <w:jc w:val="left"/>
      </w:pPr>
      <w:r>
        <w:rPr/>
        <w:t>公司是否需要遵守特殊行业的披露要求 否</w:t>
      </w:r>
    </w:p>
    <w:p>
      <w:pPr>
        <w:spacing w:line="240" w:lineRule="auto" w:before="8"/>
        <w:rPr>
          <w:rFonts w:ascii="宋体" w:hAnsi="宋体" w:cs="宋体" w:eastAsia="宋体" w:hint="default"/>
          <w:sz w:val="20"/>
          <w:szCs w:val="20"/>
        </w:rPr>
      </w:pPr>
    </w:p>
    <w:p>
      <w:pPr>
        <w:pStyle w:val="Heading3"/>
        <w:spacing w:line="240" w:lineRule="auto"/>
        <w:ind w:right="0"/>
        <w:jc w:val="both"/>
        <w:rPr>
          <w:rFonts w:ascii="Tahoma" w:hAnsi="Tahoma" w:cs="Tahoma" w:eastAsia="Tahoma" w:hint="default"/>
        </w:rPr>
      </w:pPr>
      <w:r>
        <w:rPr/>
        <w:t>（</w:t>
      </w:r>
      <w:r>
        <w:rPr>
          <w:rFonts w:ascii="Tahoma" w:hAnsi="Tahoma" w:cs="Tahoma" w:eastAsia="Tahoma" w:hint="default"/>
        </w:rPr>
        <w:t>1</w:t>
      </w:r>
      <w:r>
        <w:rPr/>
        <w:t>）在建工程的类别</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28"/>
          <w:szCs w:val="28"/>
        </w:rPr>
      </w:pPr>
    </w:p>
    <w:p>
      <w:pPr>
        <w:pStyle w:val="BodyText"/>
        <w:spacing w:line="240" w:lineRule="auto"/>
        <w:ind w:left="512" w:right="984"/>
        <w:jc w:val="left"/>
      </w:pPr>
      <w:r>
        <w:rPr/>
        <w:t>本公司在建工程分为自营方式建造和出包方式建造两种。</w:t>
      </w:r>
    </w:p>
    <w:p>
      <w:pPr>
        <w:spacing w:line="240" w:lineRule="auto" w:before="0"/>
        <w:rPr>
          <w:rFonts w:ascii="宋体" w:hAnsi="宋体" w:cs="宋体" w:eastAsia="宋体" w:hint="default"/>
          <w:sz w:val="18"/>
          <w:szCs w:val="18"/>
        </w:rPr>
      </w:pPr>
    </w:p>
    <w:p>
      <w:pPr>
        <w:pStyle w:val="Heading3"/>
        <w:spacing w:line="240" w:lineRule="auto" w:before="122"/>
        <w:ind w:right="0"/>
        <w:jc w:val="both"/>
        <w:rPr>
          <w:rFonts w:ascii="Tahoma" w:hAnsi="Tahoma" w:cs="Tahoma" w:eastAsia="Tahoma" w:hint="default"/>
        </w:rPr>
      </w:pPr>
      <w:r>
        <w:rPr/>
        <w:t>（</w:t>
      </w:r>
      <w:r>
        <w:rPr>
          <w:rFonts w:ascii="Tahoma" w:hAnsi="Tahoma" w:cs="Tahoma" w:eastAsia="Tahoma" w:hint="default"/>
        </w:rPr>
        <w:t>2</w:t>
      </w:r>
      <w:r>
        <w:rPr/>
        <w:t>）在建工程结转为固定资产的标准和时点</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28"/>
          <w:szCs w:val="28"/>
        </w:rPr>
      </w:pPr>
    </w:p>
    <w:p>
      <w:pPr>
        <w:pStyle w:val="BodyText"/>
        <w:spacing w:line="240" w:lineRule="auto"/>
        <w:ind w:left="512" w:right="984"/>
        <w:jc w:val="left"/>
      </w:pPr>
      <w:r>
        <w:rPr>
          <w:spacing w:val="-4"/>
        </w:rPr>
        <w:t>本公司在建工程在工程完工达到预定可使用状态时，结转固定资产。预定可使用状态的判断标准，应符合下列情况之一：</w:t>
      </w:r>
    </w:p>
    <w:p>
      <w:pPr>
        <w:pStyle w:val="BodyText"/>
        <w:spacing w:line="300" w:lineRule="auto" w:before="76"/>
        <w:ind w:right="1133"/>
        <w:jc w:val="both"/>
      </w:pPr>
      <w:r>
        <w:rPr/>
        <w:t>①</w:t>
      </w:r>
      <w:r>
        <w:rPr>
          <w:rFonts w:ascii="Times New Roman" w:hAnsi="Times New Roman" w:cs="Times New Roman" w:eastAsia="Times New Roman" w:hint="default"/>
        </w:rPr>
        <w:t>. </w:t>
      </w:r>
      <w:r>
        <w:rPr/>
        <w:t>固定资产的实体建造（包括安装）工作已经全部完成或实质上已经全部完成；②</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已经试生产或试运行，并且其结果表 明资产能够正常运行或能够稳定地生产出合格产品，或者试运行结果表明其能够正常运转或营业；③</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该项建造的固定资产 上的支出金额很少或者几乎不再发生；④</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所购建的固定资产已经达到设计或合同要求，或与设计或合同要求基本相符。</w:t>
      </w:r>
    </w:p>
    <w:p>
      <w:pPr>
        <w:spacing w:line="240" w:lineRule="auto" w:before="7"/>
        <w:rPr>
          <w:rFonts w:ascii="宋体" w:hAnsi="宋体" w:cs="宋体" w:eastAsia="宋体" w:hint="default"/>
          <w:sz w:val="22"/>
          <w:szCs w:val="22"/>
        </w:rPr>
      </w:pPr>
    </w:p>
    <w:p>
      <w:pPr>
        <w:pStyle w:val="Heading3"/>
        <w:spacing w:line="240" w:lineRule="auto"/>
        <w:ind w:right="0"/>
        <w:jc w:val="both"/>
        <w:rPr>
          <w:rFonts w:ascii="Tahoma" w:hAnsi="Tahoma" w:cs="Tahoma" w:eastAsia="Tahoma" w:hint="default"/>
        </w:rPr>
      </w:pPr>
      <w:r>
        <w:rPr/>
        <w:t>（</w:t>
      </w:r>
      <w:r>
        <w:rPr>
          <w:rFonts w:ascii="Tahoma" w:hAnsi="Tahoma" w:cs="Tahoma" w:eastAsia="Tahoma" w:hint="default"/>
        </w:rPr>
        <w:t>3</w:t>
      </w:r>
      <w:r>
        <w:rPr/>
        <w:t>）在建工程的减值测试方法、减值准备计提方法</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28"/>
          <w:szCs w:val="28"/>
        </w:rPr>
      </w:pPr>
    </w:p>
    <w:p>
      <w:pPr>
        <w:pStyle w:val="BodyText"/>
        <w:spacing w:line="316" w:lineRule="auto"/>
        <w:ind w:right="984" w:firstLine="420"/>
        <w:jc w:val="left"/>
      </w:pPr>
      <w:r>
        <w:rPr/>
        <w:t>资产负债表日，本公司对在建工程检查是否存在可能发生减值的迹象，当存在减值迹象时应进行减值测试确认其可收 回金额，按账面价值与可收回金额孰低计提减值准备，减值损失一经计提，在以后会计期间不再转回。</w:t>
      </w:r>
    </w:p>
    <w:p>
      <w:pPr>
        <w:pStyle w:val="BodyText"/>
        <w:spacing w:line="240" w:lineRule="auto" w:before="139"/>
        <w:ind w:left="368" w:right="984"/>
        <w:jc w:val="left"/>
      </w:pPr>
      <w:r>
        <w:rPr/>
        <w:t>在建工程可收回金额根据资产公允价值减去处置费用后的净额与资产预计未来现金流量的现值两者孰高确定。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3"/>
        <w:spacing w:line="240" w:lineRule="auto"/>
        <w:ind w:right="0"/>
        <w:jc w:val="both"/>
        <w:rPr>
          <w:rFonts w:ascii="Tahoma" w:hAnsi="Tahoma" w:cs="Tahoma" w:eastAsia="Tahoma" w:hint="default"/>
        </w:rPr>
      </w:pPr>
      <w:r>
        <w:rPr>
          <w:rFonts w:ascii="Tahoma" w:hAnsi="Tahoma" w:cs="Tahoma" w:eastAsia="Tahoma" w:hint="default"/>
        </w:rPr>
        <w:t>18</w:t>
      </w:r>
      <w:r>
        <w:rPr/>
        <w:t>、借款费用</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0"/>
        <w:jc w:val="both"/>
        <w:rPr>
          <w:rFonts w:ascii="Tahoma" w:hAnsi="Tahoma" w:cs="Tahoma" w:eastAsia="Tahoma" w:hint="default"/>
        </w:rPr>
      </w:pPr>
      <w:r>
        <w:rPr/>
        <w:t>（</w:t>
      </w:r>
      <w:r>
        <w:rPr>
          <w:rFonts w:ascii="Tahoma" w:hAnsi="Tahoma" w:cs="Tahoma" w:eastAsia="Tahoma" w:hint="default"/>
        </w:rPr>
        <w:t>1</w:t>
      </w:r>
      <w:r>
        <w:rPr/>
        <w:t>）借款费用资本化的确认原则</w:t>
      </w:r>
      <w:r>
        <w:rPr>
          <w:rFonts w:ascii="Tahoma" w:hAnsi="Tahoma" w:cs="Tahoma" w:eastAsia="Tahoma" w:hint="default"/>
          <w:w w:val="80"/>
        </w:rPr>
        <w:t> </w:t>
      </w:r>
      <w:r>
        <w:rPr>
          <w:rFonts w:ascii="Tahoma" w:hAnsi="Tahoma" w:cs="Tahoma" w:eastAsia="Tahoma" w:hint="default"/>
        </w:rPr>
      </w:r>
    </w:p>
    <w:p>
      <w:pPr>
        <w:spacing w:after="0" w:line="240" w:lineRule="auto"/>
        <w:jc w:val="both"/>
        <w:rPr>
          <w:rFonts w:ascii="Tahoma" w:hAnsi="Tahoma" w:cs="Tahoma" w:eastAsia="Tahoma" w:hint="default"/>
        </w:rPr>
        <w:sectPr>
          <w:footerReference w:type="default" r:id="rId26"/>
          <w:pgSz w:w="11910" w:h="16840"/>
          <w:pgMar w:footer="982" w:header="753" w:top="1060" w:bottom="1180" w:left="980" w:right="0"/>
          <w:pgNumType w:start="120"/>
        </w:sectPr>
      </w:pPr>
    </w:p>
    <w:p>
      <w:pPr>
        <w:spacing w:line="240" w:lineRule="auto" w:before="6"/>
        <w:rPr>
          <w:rFonts w:ascii="Tahoma" w:hAnsi="Tahoma" w:cs="Tahoma" w:eastAsia="Tahoma" w:hint="default"/>
          <w:sz w:val="28"/>
          <w:szCs w:val="28"/>
        </w:rPr>
      </w:pPr>
    </w:p>
    <w:p>
      <w:pPr>
        <w:pStyle w:val="BodyText"/>
        <w:spacing w:line="316" w:lineRule="auto" w:before="37"/>
        <w:ind w:right="1130" w:firstLine="288"/>
        <w:jc w:val="both"/>
      </w:pPr>
      <w:r>
        <w:rPr>
          <w:spacing w:val="-1"/>
        </w:rPr>
        <w:t>本公司发生的借款费用，可直接归属于符合资本化条件的资产的购建或者生产的，予以资本化，计入相关资产成本；其</w:t>
      </w:r>
      <w:r>
        <w:rPr/>
        <w:t> </w:t>
      </w:r>
      <w:r>
        <w:rPr>
          <w:spacing w:val="-2"/>
        </w:rPr>
        <w:t>他借款费用，在发生时根据其发生额确认为费用，计入当期损益。符合资本化条件的资产，是指需要经过相当长时间的购建</w:t>
      </w:r>
      <w:r>
        <w:rPr>
          <w:spacing w:val="-66"/>
        </w:rPr>
        <w:t> </w:t>
      </w:r>
      <w:r>
        <w:rPr>
          <w:spacing w:val="-66"/>
        </w:rPr>
      </w:r>
      <w:r>
        <w:rPr/>
        <w:t>或者生产活动才能达到预定可使用或者可销售状态的固定资产、投资性房地产和存货等资产。</w:t>
      </w:r>
    </w:p>
    <w:p>
      <w:pPr>
        <w:spacing w:line="240" w:lineRule="auto" w:before="10"/>
        <w:rPr>
          <w:rFonts w:ascii="宋体" w:hAnsi="宋体" w:cs="宋体" w:eastAsia="宋体" w:hint="default"/>
          <w:sz w:val="22"/>
          <w:szCs w:val="22"/>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）借款费用资本化期间</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452" w:right="984"/>
        <w:jc w:val="left"/>
      </w:pPr>
      <w:r>
        <w:rPr/>
        <w:t>资本化期间：指从借款费用开始资本化时点到停止资本化时点的期间。借款费用暂停资本化的期间不包括在内。</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t>（</w:t>
      </w:r>
      <w:r>
        <w:rPr>
          <w:rFonts w:ascii="Tahoma" w:hAnsi="Tahoma" w:cs="Tahoma" w:eastAsia="Tahoma" w:hint="default"/>
        </w:rPr>
        <w:t>3</w:t>
      </w:r>
      <w:r>
        <w:rPr/>
        <w:t>）暂停资本化期间</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00" w:lineRule="auto"/>
        <w:ind w:right="984" w:firstLine="300"/>
        <w:jc w:val="left"/>
      </w:pPr>
      <w:r>
        <w:rPr/>
        <w:t>暂停资本化期间：在购建或生产过程中发生非正常中断、且中断时间连续超过</w:t>
      </w:r>
      <w:r>
        <w:rPr>
          <w:rFonts w:ascii="Times New Roman" w:hAnsi="Times New Roman" w:cs="Times New Roman" w:eastAsia="Times New Roman" w:hint="default"/>
        </w:rPr>
        <w:t>3</w:t>
      </w:r>
      <w:r>
        <w:rPr/>
        <w:t>个月的，应当暂停借款费用的资本化期 间。</w:t>
      </w:r>
    </w:p>
    <w:p>
      <w:pPr>
        <w:spacing w:line="240" w:lineRule="auto" w:before="10"/>
        <w:rPr>
          <w:rFonts w:ascii="宋体" w:hAnsi="宋体" w:cs="宋体" w:eastAsia="宋体" w:hint="default"/>
          <w:sz w:val="23"/>
          <w:szCs w:val="23"/>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4</w:t>
      </w:r>
      <w:r>
        <w:rPr/>
        <w:t>）借款费用资本化金额的计算方法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034" w:firstLine="300"/>
        <w:jc w:val="left"/>
      </w:pPr>
      <w:r>
        <w:rPr/>
        <w:t>资本化金额计算：①借入专门借款，按照专门借款当期实际发生的利息费用，减去将尚未动用的借款资金存入银行取得 </w:t>
      </w:r>
      <w:r>
        <w:rPr>
          <w:spacing w:val="-2"/>
        </w:rPr>
        <w:t>的利息收入或进行暂时性投资取得的投资收益后的金额确定；②占用一般借款按照累计资产支出超过专门借款部分的资产支</w:t>
      </w:r>
      <w:r>
        <w:rPr>
          <w:spacing w:val="-63"/>
        </w:rPr>
        <w:t> </w:t>
      </w:r>
      <w:r>
        <w:rPr>
          <w:spacing w:val="-63"/>
        </w:rPr>
      </w:r>
      <w:r>
        <w:rPr/>
        <w:t>出加权平均数乘以所占用一般借款的资本化率计算确定，资本化率为一般借款的加权平均利率；③借款存在折价或溢价的， 按照实际利率法确定每一会计期间应摊销的折价或溢价金额，调整每期利息金额。</w:t>
      </w:r>
    </w:p>
    <w:p>
      <w:pPr>
        <w:pStyle w:val="BodyText"/>
        <w:spacing w:line="316" w:lineRule="auto" w:before="139"/>
        <w:ind w:right="984" w:firstLine="288"/>
        <w:jc w:val="left"/>
      </w:pPr>
      <w:r>
        <w:rPr>
          <w:spacing w:val="-1"/>
        </w:rPr>
        <w:t>实际利率法是根据借款实际利率计算其摊余折价或溢价或利息费用的方法。其中实际利率是借款在预期存续期间的未来</w:t>
      </w:r>
      <w:r>
        <w:rPr/>
        <w:t> 现金流量，折现为该借款当前账面价值所使用的利率。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19</w:t>
      </w:r>
      <w:r>
        <w:rPr/>
        <w:t>、生物资产</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07" w:lineRule="auto"/>
        <w:ind w:right="1034"/>
        <w:jc w:val="left"/>
      </w:pPr>
      <w:r>
        <w:rPr>
          <w:rFonts w:ascii="Times New Roman" w:hAnsi="Times New Roman" w:cs="Times New Roman" w:eastAsia="Times New Roman" w:hint="default"/>
        </w:rPr>
        <w:t>1</w:t>
      </w:r>
      <w:r>
        <w:rPr/>
        <w:t>、生物资产是指有生命的动物和植物，包括消耗性生物资产、生产性生物资产和公益性生物资产。公司的生物资产主要是</w:t>
      </w:r>
      <w:r>
        <w:rPr>
          <w:spacing w:val="-85"/>
        </w:rPr>
        <w:t> </w:t>
      </w:r>
      <w:r>
        <w:rPr>
          <w:spacing w:val="-85"/>
        </w:rPr>
      </w:r>
      <w:r>
        <w:rPr>
          <w:spacing w:val="-2"/>
        </w:rPr>
        <w:t>消耗性生物资产和生产性生物资产，其中消耗性生物资产是指为出售而持有的或在将来收货为农产品的生物资产；生产性生</w:t>
      </w:r>
      <w:r>
        <w:rPr>
          <w:spacing w:val="-64"/>
        </w:rPr>
        <w:t> </w:t>
      </w:r>
      <w:r>
        <w:rPr>
          <w:spacing w:val="-64"/>
        </w:rPr>
      </w:r>
      <w:r>
        <w:rPr/>
        <w:t>物资产是指为产出农产品、提供劳务或出租等目的而持有的生物资产。生物资产同时满足下列条件时予以确认：（</w:t>
      </w:r>
      <w:r>
        <w:rPr>
          <w:rFonts w:ascii="Times New Roman" w:hAnsi="Times New Roman" w:cs="Times New Roman" w:eastAsia="Times New Roman" w:hint="default"/>
        </w:rPr>
        <w:t>1</w:t>
      </w:r>
      <w:r>
        <w:rPr/>
        <w:t>）因过</w:t>
      </w:r>
      <w:r>
        <w:rPr>
          <w:spacing w:val="-85"/>
        </w:rPr>
        <w:t> </w:t>
      </w:r>
      <w:r>
        <w:rPr/>
        <w:t>去的交易或者事项对其拥有或者控制；（</w:t>
      </w:r>
      <w:r>
        <w:rPr>
          <w:rFonts w:ascii="Times New Roman" w:hAnsi="Times New Roman" w:cs="Times New Roman" w:eastAsia="Times New Roman" w:hint="default"/>
        </w:rPr>
        <w:t>2</w:t>
      </w:r>
      <w:r>
        <w:rPr/>
        <w:t>）与其有关的经济利益很可能流入公司；（</w:t>
      </w:r>
      <w:r>
        <w:rPr>
          <w:rFonts w:ascii="Times New Roman" w:hAnsi="Times New Roman" w:cs="Times New Roman" w:eastAsia="Times New Roman" w:hint="default"/>
        </w:rPr>
        <w:t>3</w:t>
      </w:r>
      <w:r>
        <w:rPr/>
        <w:t>）其成本能够可靠计量时予以确认。 </w:t>
      </w:r>
      <w:r>
        <w:rPr>
          <w:rFonts w:ascii="Times New Roman" w:hAnsi="Times New Roman" w:cs="Times New Roman" w:eastAsia="Times New Roman" w:hint="default"/>
        </w:rPr>
        <w:t>2</w:t>
      </w:r>
      <w:r>
        <w:rPr/>
        <w:t>、生物资产的计量 </w:t>
      </w:r>
      <w:r>
        <w:rPr>
          <w:spacing w:val="-2"/>
        </w:rPr>
        <w:t>公司对生物资产按照成本进行初始计量。外购的生物资产成本包括购买价款、相关税费、运输费、保险费以及可直接归属于</w:t>
      </w:r>
      <w:r>
        <w:rPr>
          <w:spacing w:val="-64"/>
        </w:rPr>
        <w:t> </w:t>
      </w:r>
      <w:r>
        <w:rPr>
          <w:spacing w:val="-64"/>
        </w:rPr>
      </w:r>
      <w:r>
        <w:rPr/>
        <w:t>购买该资产的其他支出。</w:t>
      </w:r>
    </w:p>
    <w:p>
      <w:pPr>
        <w:pStyle w:val="BodyText"/>
        <w:spacing w:line="240" w:lineRule="auto" w:before="26"/>
        <w:ind w:right="984"/>
        <w:jc w:val="left"/>
      </w:pPr>
      <w:r>
        <w:rPr>
          <w:rFonts w:ascii="Times New Roman" w:hAnsi="Times New Roman" w:cs="Times New Roman" w:eastAsia="Times New Roman" w:hint="default"/>
        </w:rPr>
        <w:t>3</w:t>
      </w:r>
      <w:r>
        <w:rPr/>
        <w:t>、各类生产性生物资产的折旧方法</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448"/>
        <w:gridCol w:w="1519"/>
        <w:gridCol w:w="1517"/>
        <w:gridCol w:w="1519"/>
        <w:gridCol w:w="1519"/>
      </w:tblGrid>
      <w:tr>
        <w:trPr>
          <w:trHeight w:val="348"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使用寿命（年）</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348"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番石榴、果桑、百香果等</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2-5</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0</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20%-50%</w:t>
            </w:r>
          </w:p>
        </w:tc>
      </w:tr>
    </w:tbl>
    <w:p>
      <w:pPr>
        <w:pStyle w:val="BodyText"/>
        <w:spacing w:line="240" w:lineRule="auto" w:before="8"/>
        <w:ind w:right="984"/>
        <w:jc w:val="left"/>
      </w:pPr>
      <w:r>
        <w:rPr>
          <w:rFonts w:ascii="Times New Roman" w:hAnsi="Times New Roman" w:cs="Times New Roman" w:eastAsia="Times New Roman" w:hint="default"/>
        </w:rPr>
        <w:t>4</w:t>
      </w:r>
      <w:r>
        <w:rPr/>
        <w:t>、生物资产减值依据</w:t>
      </w:r>
    </w:p>
    <w:p>
      <w:pPr>
        <w:pStyle w:val="BodyText"/>
        <w:spacing w:line="312" w:lineRule="auto" w:before="63"/>
        <w:ind w:right="984"/>
        <w:jc w:val="left"/>
      </w:pPr>
      <w:r>
        <w:rPr>
          <w:spacing w:val="-7"/>
        </w:rPr>
        <w:t>（</w:t>
      </w:r>
      <w:r>
        <w:rPr>
          <w:rFonts w:ascii="Times New Roman" w:hAnsi="Times New Roman" w:cs="Times New Roman" w:eastAsia="Times New Roman" w:hint="default"/>
          <w:spacing w:val="-7"/>
        </w:rPr>
        <w:t>1</w:t>
      </w:r>
      <w:r>
        <w:rPr>
          <w:spacing w:val="-7"/>
        </w:rPr>
        <w:t>）资产负债表日，公司对消耗性生物资产的可变现净值（备注：可变现净值的确定应当遵循《企业会计准则第</w:t>
      </w:r>
      <w:r>
        <w:rPr>
          <w:rFonts w:ascii="Times New Roman" w:hAnsi="Times New Roman" w:cs="Times New Roman" w:eastAsia="Times New Roman" w:hint="default"/>
          <w:spacing w:val="-7"/>
        </w:rPr>
        <w:t>1</w:t>
      </w:r>
      <w:r>
        <w:rPr>
          <w:spacing w:val="-7"/>
        </w:rPr>
        <w:t>号</w:t>
      </w:r>
      <w:r>
        <w:rPr>
          <w:rFonts w:ascii="Times New Roman" w:hAnsi="Times New Roman" w:cs="Times New Roman" w:eastAsia="Times New Roman" w:hint="default"/>
          <w:spacing w:val="-7"/>
        </w:rPr>
        <w:t>—</w:t>
      </w:r>
      <w:r>
        <w:rPr>
          <w:spacing w:val="-7"/>
        </w:rPr>
        <w:t>存货》）</w:t>
      </w:r>
      <w:r>
        <w:rPr>
          <w:spacing w:val="-42"/>
        </w:rPr>
        <w:t> </w:t>
      </w:r>
      <w:r>
        <w:rPr>
          <w:spacing w:val="-42"/>
        </w:rPr>
      </w:r>
      <w:r>
        <w:rPr>
          <w:spacing w:val="-4"/>
        </w:rPr>
        <w:t>低于其成本或账面价值的，按照可变现净值低于其成本或账面价值的差额，计提消耗性生物资产跌价准备，并计入当期损益。</w:t>
      </w:r>
      <w:r>
        <w:rPr>
          <w:spacing w:val="-44"/>
        </w:rPr>
        <w:t> </w:t>
      </w:r>
      <w:r>
        <w:rPr>
          <w:spacing w:val="-44"/>
        </w:rPr>
      </w:r>
      <w:r>
        <w:rPr>
          <w:spacing w:val="-2"/>
        </w:rPr>
        <w:t>消耗性生物资产减值的影响因素已经消失的，减记金额应当予以恢复，并在原已计提的跌价准备金额内转回，转回的金额计</w:t>
      </w:r>
      <w:r>
        <w:rPr>
          <w:spacing w:val="-62"/>
        </w:rPr>
        <w:t> </w:t>
      </w:r>
      <w:r>
        <w:rPr>
          <w:spacing w:val="-62"/>
        </w:rPr>
      </w:r>
      <w:r>
        <w:rPr/>
        <w:t>入当期损益。</w:t>
      </w:r>
    </w:p>
    <w:p>
      <w:pPr>
        <w:pStyle w:val="BodyText"/>
        <w:spacing w:line="300" w:lineRule="auto" w:before="22"/>
        <w:ind w:right="1132"/>
        <w:jc w:val="both"/>
      </w:pPr>
      <w:r>
        <w:rPr/>
        <w:t>（</w:t>
      </w:r>
      <w:r>
        <w:rPr>
          <w:rFonts w:ascii="Times New Roman" w:hAnsi="Times New Roman" w:cs="Times New Roman" w:eastAsia="Times New Roman" w:hint="default"/>
        </w:rPr>
        <w:t>2</w:t>
      </w:r>
      <w:r>
        <w:rPr/>
        <w:t>）资产负债表日，公司对生产性生物资产的可收回金额（备注：生产性生物资产的可收回金额的确定应当遵循《企业会</w:t>
      </w:r>
      <w:r>
        <w:rPr>
          <w:spacing w:val="-85"/>
        </w:rPr>
        <w:t> </w:t>
      </w:r>
      <w:r>
        <w:rPr>
          <w:spacing w:val="-85"/>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资产减值》）低于其成本或账面价值时，应当按照可收回金额低于其成本或账面价值的差额，计提生产性生</w:t>
      </w:r>
      <w:r>
        <w:rPr>
          <w:spacing w:val="-85"/>
        </w:rPr>
        <w:t> </w:t>
      </w:r>
      <w:r>
        <w:rPr>
          <w:spacing w:val="-85"/>
        </w:rPr>
      </w:r>
      <w:r>
        <w:rPr/>
        <w:t>物资产减值准备，并计入当期损益。生产性生物资产减值准备一经计提，不得转回。</w:t>
      </w:r>
    </w:p>
    <w:p>
      <w:pPr>
        <w:spacing w:after="0" w:line="300" w:lineRule="auto"/>
        <w:jc w:val="both"/>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rFonts w:ascii="Tahoma" w:hAnsi="Tahoma" w:cs="Tahoma" w:eastAsia="Tahoma" w:hint="default"/>
        </w:rPr>
      </w:pPr>
      <w:r>
        <w:rPr>
          <w:rFonts w:ascii="Tahoma" w:hAnsi="Tahoma" w:cs="Tahoma" w:eastAsia="Tahoma" w:hint="default"/>
        </w:rPr>
        <w:t>20</w:t>
      </w:r>
      <w:r>
        <w:rPr/>
        <w:t>、油气资产</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both"/>
        <w:rPr>
          <w:rFonts w:ascii="Tahoma" w:hAnsi="Tahoma" w:cs="Tahoma" w:eastAsia="Tahoma" w:hint="default"/>
        </w:rPr>
      </w:pPr>
      <w:r>
        <w:rPr>
          <w:rFonts w:ascii="Tahoma" w:hAnsi="Tahoma" w:cs="Tahoma" w:eastAsia="Tahoma" w:hint="default"/>
        </w:rPr>
        <w:t>21</w:t>
      </w:r>
      <w:r>
        <w:rPr/>
        <w:t>、无形资产</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0"/>
        <w:jc w:val="both"/>
        <w:rPr>
          <w:rFonts w:ascii="Tahoma" w:hAnsi="Tahoma" w:cs="Tahoma" w:eastAsia="Tahoma" w:hint="default"/>
        </w:rPr>
      </w:pPr>
      <w:r>
        <w:rPr/>
        <w:t>（</w:t>
      </w:r>
      <w:r>
        <w:rPr>
          <w:rFonts w:ascii="Tahoma" w:hAnsi="Tahoma" w:cs="Tahoma" w:eastAsia="Tahoma" w:hint="default"/>
        </w:rPr>
        <w:t>1</w:t>
      </w:r>
      <w:r>
        <w:rPr/>
        <w:t>）计价方法、使用寿命、减值测试</w:t>
      </w:r>
      <w:r>
        <w:rPr>
          <w:rFonts w:ascii="Tahoma" w:hAnsi="Tahoma" w:cs="Tahoma" w:eastAsia="Tahoma" w:hint="default"/>
          <w:w w:val="80"/>
        </w:rPr>
        <w:t> </w:t>
      </w:r>
      <w:r>
        <w:rPr>
          <w:rFonts w:ascii="Tahoma" w:hAnsi="Tahoma" w:cs="Tahoma" w:eastAsia="Tahoma" w:hint="default"/>
        </w:rPr>
      </w:r>
    </w:p>
    <w:p>
      <w:pPr>
        <w:pStyle w:val="BodyText"/>
        <w:spacing w:line="580" w:lineRule="atLeast" w:before="28"/>
        <w:ind w:left="572" w:right="984" w:hanging="420"/>
        <w:jc w:val="left"/>
      </w:pPr>
      <w:r>
        <w:rPr/>
        <w:t>（</w:t>
      </w:r>
      <w:r>
        <w:rPr>
          <w:rFonts w:ascii="Tahoma" w:hAnsi="Tahoma" w:cs="Tahoma" w:eastAsia="Tahoma" w:hint="default"/>
        </w:rPr>
        <w:t>1</w:t>
      </w:r>
      <w:r>
        <w:rPr/>
        <w:t>）</w:t>
      </w:r>
      <w:r>
        <w:rPr>
          <w:sz w:val="21"/>
          <w:szCs w:val="21"/>
        </w:rPr>
        <w:t>无形资产的计价方法</w:t>
      </w:r>
      <w:r>
        <w:rPr>
          <w:rFonts w:ascii="Tahoma" w:hAnsi="Tahoma" w:cs="Tahoma" w:eastAsia="Tahoma" w:hint="default"/>
          <w:w w:val="80"/>
          <w:sz w:val="21"/>
          <w:szCs w:val="21"/>
        </w:rPr>
        <w:t> </w:t>
      </w:r>
      <w:r>
        <w:rPr/>
        <w:t>本公司无形资产按照成本进行初始计量。购入的无形资产，按实际支付的价款和相关支出作为实际成本。投资者投入</w:t>
      </w:r>
    </w:p>
    <w:p>
      <w:pPr>
        <w:pStyle w:val="BodyText"/>
        <w:spacing w:line="316" w:lineRule="auto" w:before="76"/>
        <w:ind w:right="984"/>
        <w:jc w:val="left"/>
      </w:pPr>
      <w:r>
        <w:rPr>
          <w:spacing w:val="-2"/>
        </w:rPr>
        <w:t>的无形资产，按投资合同或协议约定的价值确定实际成本，但合同或协议约定价值不公允的，按公允价值确定实际成本。自</w:t>
      </w:r>
      <w:r>
        <w:rPr>
          <w:spacing w:val="-64"/>
        </w:rPr>
        <w:t> </w:t>
      </w:r>
      <w:r>
        <w:rPr>
          <w:spacing w:val="-64"/>
        </w:rPr>
      </w:r>
      <w:r>
        <w:rPr/>
        <w:t>行开发的无形资产，其成本为达到预定用途前所发生的支出总额。</w:t>
      </w:r>
    </w:p>
    <w:p>
      <w:pPr>
        <w:pStyle w:val="BodyText"/>
        <w:spacing w:line="316" w:lineRule="auto" w:before="139"/>
        <w:ind w:right="984" w:firstLine="288"/>
        <w:jc w:val="left"/>
      </w:pPr>
      <w:r>
        <w:rPr/>
        <w:t>本公司无形资产后续计量，分别为：①使用寿命有限无形资产采用直线法摊销，并在年度终了，对无形资产的使用寿命 </w:t>
      </w:r>
      <w:r>
        <w:rPr>
          <w:spacing w:val="-4"/>
        </w:rPr>
        <w:t>和摊销方法进行复核，如与原先估计数存在差异的，进行相应的调整。②使用寿命不确定的无形资产不摊销，但在年度终了，</w:t>
      </w:r>
      <w:r>
        <w:rPr>
          <w:spacing w:val="-46"/>
        </w:rPr>
        <w:t> </w:t>
      </w:r>
      <w:r>
        <w:rPr>
          <w:spacing w:val="-46"/>
        </w:rPr>
      </w:r>
      <w:r>
        <w:rPr/>
        <w:t>对使用寿命进行复核，当有确凿证据表明其使用寿命是有限的，则估计其使用寿命，按直线法进行摊销。</w:t>
      </w:r>
    </w:p>
    <w:p>
      <w:pPr>
        <w:spacing w:line="240" w:lineRule="auto" w:before="10"/>
        <w:rPr>
          <w:rFonts w:ascii="宋体" w:hAnsi="宋体" w:cs="宋体" w:eastAsia="宋体" w:hint="default"/>
          <w:sz w:val="22"/>
          <w:szCs w:val="22"/>
        </w:rPr>
      </w:pPr>
    </w:p>
    <w:p>
      <w:pPr>
        <w:pStyle w:val="Heading3"/>
        <w:spacing w:line="240" w:lineRule="auto"/>
        <w:ind w:right="0"/>
        <w:jc w:val="both"/>
        <w:rPr>
          <w:rFonts w:ascii="Tahoma" w:hAnsi="Tahoma" w:cs="Tahoma" w:eastAsia="Tahoma" w:hint="default"/>
        </w:rPr>
      </w:pPr>
      <w:r>
        <w:rPr/>
        <w:t>（</w:t>
      </w:r>
      <w:r>
        <w:rPr>
          <w:rFonts w:ascii="Tahoma" w:hAnsi="Tahoma" w:cs="Tahoma" w:eastAsia="Tahoma" w:hint="default"/>
        </w:rPr>
        <w:t>2</w:t>
      </w:r>
      <w:r>
        <w:rPr/>
        <w:t>）使用寿命有限的无形资产的使用寿命估计情况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30"/>
        <w:jc w:val="both"/>
      </w:pPr>
      <w:r>
        <w:rPr>
          <w:spacing w:val="-2"/>
        </w:rPr>
        <w:t>本公司对使用寿命有限的无形资产，估计其使用寿命时通常考虑以下因素：①运用该资产生产的产品通常的寿命周期、可获</w:t>
      </w:r>
      <w:r>
        <w:rPr>
          <w:spacing w:val="-62"/>
        </w:rPr>
        <w:t> </w:t>
      </w:r>
      <w:r>
        <w:rPr>
          <w:spacing w:val="-62"/>
        </w:rPr>
      </w:r>
      <w:r>
        <w:rPr>
          <w:spacing w:val="-2"/>
        </w:rPr>
        <w:t>得的类似资产使用寿命的信息；②技术、工艺等方面的现阶段情况及对未来发展趋势的估计；③以该资产生产的产品或提供</w:t>
      </w:r>
      <w:r>
        <w:rPr>
          <w:spacing w:val="-65"/>
        </w:rPr>
        <w:t> </w:t>
      </w:r>
      <w:r>
        <w:rPr>
          <w:spacing w:val="-65"/>
        </w:rPr>
      </w:r>
      <w:r>
        <w:rPr>
          <w:spacing w:val="-2"/>
        </w:rPr>
        <w:t>劳务的市场需求情况；④现在或潜在的竞争者预期采取的行动；⑤为维持该资产带来经济利益能力的预期维护支出，以及公</w:t>
      </w:r>
      <w:r>
        <w:rPr>
          <w:spacing w:val="-62"/>
        </w:rPr>
        <w:t> </w:t>
      </w:r>
      <w:r>
        <w:rPr>
          <w:spacing w:val="-62"/>
        </w:rPr>
      </w:r>
      <w:r>
        <w:rPr>
          <w:spacing w:val="-2"/>
        </w:rPr>
        <w:t>司预计支付有关支出的能力；⑥对该资产控制期限的相关法律规定或类似限制，如特许使用期、租赁期等；⑦与公司持有其</w:t>
      </w:r>
      <w:r>
        <w:rPr>
          <w:spacing w:val="-64"/>
        </w:rPr>
        <w:t> </w:t>
      </w:r>
      <w:r>
        <w:rPr>
          <w:spacing w:val="-64"/>
        </w:rPr>
      </w:r>
      <w:r>
        <w:rPr/>
        <w:t>他资产使用寿命的关联性等。</w:t>
      </w:r>
    </w:p>
    <w:tbl>
      <w:tblPr>
        <w:tblW w:w="0" w:type="auto"/>
        <w:jc w:val="left"/>
        <w:tblInd w:w="145" w:type="dxa"/>
        <w:tblLayout w:type="fixed"/>
        <w:tblCellMar>
          <w:top w:w="0" w:type="dxa"/>
          <w:left w:w="0" w:type="dxa"/>
          <w:bottom w:w="0" w:type="dxa"/>
          <w:right w:w="0" w:type="dxa"/>
        </w:tblCellMar>
        <w:tblLook w:val="01E0"/>
      </w:tblPr>
      <w:tblGrid>
        <w:gridCol w:w="2280"/>
        <w:gridCol w:w="2215"/>
        <w:gridCol w:w="5074"/>
      </w:tblGrid>
      <w:tr>
        <w:trPr>
          <w:trHeight w:val="409" w:hRule="exact"/>
        </w:trPr>
        <w:tc>
          <w:tcPr>
            <w:tcW w:w="2280"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4"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43" w:hRule="exact"/>
        </w:trPr>
        <w:tc>
          <w:tcPr>
            <w:tcW w:w="2280" w:type="dxa"/>
            <w:tcBorders>
              <w:top w:val="single" w:sz="14" w:space="0" w:color="000000"/>
              <w:left w:val="single" w:sz="6" w:space="0" w:color="000000"/>
              <w:bottom w:val="single" w:sz="10"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14" w:space="0" w:color="000000"/>
              <w:left w:val="single" w:sz="6" w:space="0" w:color="000000"/>
              <w:bottom w:val="single" w:sz="10"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土地使用年限</w:t>
            </w:r>
          </w:p>
        </w:tc>
        <w:tc>
          <w:tcPr>
            <w:tcW w:w="5074" w:type="dxa"/>
            <w:tcBorders>
              <w:top w:val="single" w:sz="14" w:space="0" w:color="000000"/>
              <w:left w:val="single" w:sz="6" w:space="0" w:color="000000"/>
              <w:bottom w:val="single" w:sz="10"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土地使用权证规定的年限</w:t>
            </w:r>
          </w:p>
        </w:tc>
      </w:tr>
      <w:tr>
        <w:trPr>
          <w:trHeight w:val="425" w:hRule="exact"/>
        </w:trPr>
        <w:tc>
          <w:tcPr>
            <w:tcW w:w="228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507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为公司带来经济利益的期限确定使用寿命</w:t>
            </w:r>
          </w:p>
        </w:tc>
      </w:tr>
    </w:tbl>
    <w:p>
      <w:pPr>
        <w:spacing w:line="240" w:lineRule="auto" w:before="0"/>
        <w:rPr>
          <w:rFonts w:ascii="宋体" w:hAnsi="宋体" w:cs="宋体" w:eastAsia="宋体" w:hint="default"/>
          <w:sz w:val="20"/>
          <w:szCs w:val="20"/>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3</w:t>
      </w:r>
      <w:r>
        <w:rPr/>
        <w:t>）使用寿命不确定的无形资产的判断依据</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572" w:right="984"/>
        <w:jc w:val="left"/>
      </w:pPr>
      <w:r>
        <w:rPr/>
        <w:t>本公司将无法预见该资产为公司带来经济利益的期限，或使用期限不确定等无形资产确定为使用寿命不确定的无形资</w:t>
      </w:r>
    </w:p>
    <w:p>
      <w:pPr>
        <w:pStyle w:val="BodyText"/>
        <w:spacing w:line="240" w:lineRule="auto" w:before="76"/>
        <w:ind w:right="984"/>
        <w:jc w:val="left"/>
      </w:pPr>
      <w:r>
        <w:rPr/>
        <w:t>产。</w:t>
      </w:r>
    </w:p>
    <w:p>
      <w:pPr>
        <w:spacing w:line="240" w:lineRule="auto" w:before="2"/>
        <w:rPr>
          <w:rFonts w:ascii="宋体" w:hAnsi="宋体" w:cs="宋体" w:eastAsia="宋体" w:hint="default"/>
          <w:sz w:val="12"/>
          <w:szCs w:val="12"/>
        </w:rPr>
      </w:pPr>
    </w:p>
    <w:p>
      <w:pPr>
        <w:pStyle w:val="BodyText"/>
        <w:spacing w:line="316" w:lineRule="auto" w:before="37"/>
        <w:ind w:right="984" w:firstLine="420"/>
        <w:jc w:val="left"/>
      </w:pPr>
      <w:r>
        <w:rPr/>
        <w:t>使用寿命不确定的判断依据：①来源于合同性权利或其他法定权利，但合同规定或法律规定无明确使用年限；②综合 同行业情况或相关专家论证等，仍无法判断无形资产为公司带来经济利益的期限。</w:t>
      </w:r>
    </w:p>
    <w:p>
      <w:pPr>
        <w:pStyle w:val="BodyText"/>
        <w:spacing w:line="316" w:lineRule="auto" w:before="139"/>
        <w:ind w:right="984" w:firstLine="288"/>
        <w:jc w:val="left"/>
      </w:pPr>
      <w:r>
        <w:rPr>
          <w:spacing w:val="-1"/>
        </w:rPr>
        <w:t>每年年末，对使用寿命不确定无形资产使用寿命进行复核，主要采取自下而上的方式，由无形资产使用相关部门进行基</w:t>
      </w:r>
      <w:r>
        <w:rPr/>
        <w:t> 础复核，评价使用寿命不确定判断依据是否存在变化等。</w:t>
      </w:r>
    </w:p>
    <w:p>
      <w:pPr>
        <w:spacing w:line="240" w:lineRule="auto" w:before="10"/>
        <w:rPr>
          <w:rFonts w:ascii="宋体" w:hAnsi="宋体" w:cs="宋体" w:eastAsia="宋体" w:hint="default"/>
          <w:sz w:val="22"/>
          <w:szCs w:val="22"/>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4</w:t>
      </w:r>
      <w:r>
        <w:rPr/>
        <w:t>）无形资产减值准备的计提</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984" w:firstLine="420"/>
        <w:jc w:val="left"/>
      </w:pPr>
      <w:r>
        <w:rPr/>
        <w:t>资产负债表日，本公司对无形资产检查是否存在可能发生减值的迹象，当存在减值迹象时应进行减值测试确认其可收 回金额，按账面价值与可收回金额孰低计提减值准备，减值损失一经计提，在以后会计期间不再转回。</w:t>
      </w:r>
    </w:p>
    <w:p>
      <w:pPr>
        <w:pStyle w:val="BodyText"/>
        <w:spacing w:line="240" w:lineRule="auto" w:before="139"/>
        <w:ind w:left="440" w:right="984"/>
        <w:jc w:val="left"/>
      </w:pPr>
      <w:r>
        <w:rPr/>
        <w:t>无形资产可收回金额根据资产公允价值减去处置费用后的净额与资产预计未来现金流量的现值两者孰高确定。</w:t>
      </w:r>
    </w:p>
    <w:p>
      <w:pPr>
        <w:spacing w:after="0" w:line="240"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984"/>
        <w:jc w:val="left"/>
        <w:rPr>
          <w:rFonts w:ascii="Tahoma" w:hAnsi="Tahoma" w:cs="Tahoma" w:eastAsia="Tahoma" w:hint="default"/>
        </w:rPr>
      </w:pPr>
      <w:r>
        <w:rPr/>
        <w:t>（</w:t>
      </w:r>
      <w:r>
        <w:rPr>
          <w:rFonts w:ascii="Tahoma" w:hAnsi="Tahoma" w:cs="Tahoma" w:eastAsia="Tahoma" w:hint="default"/>
        </w:rPr>
        <w:t>2</w:t>
      </w:r>
      <w:r>
        <w:rPr/>
        <w:t>）内部研究开发支出会计政策</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）划分公司内部研究开发项目的研究阶段和开发阶段具体标准</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30" w:firstLine="288"/>
        <w:jc w:val="both"/>
      </w:pPr>
      <w:r>
        <w:rPr>
          <w:spacing w:val="-1"/>
        </w:rPr>
        <w:t>划分内部研究开发项目的研究阶段和开发阶段的具体标准：为获取新的技术和知识等进行的有计划的调查阶段，应确定</w:t>
      </w:r>
      <w:r>
        <w:rPr/>
        <w:t> </w:t>
      </w:r>
      <w:r>
        <w:rPr>
          <w:spacing w:val="-2"/>
        </w:rPr>
        <w:t>为研究阶段，该阶段具有计划性和探索性等特点；在进行商业性生产或使用前，将研究成果或其他知识应用于某项计划或设</w:t>
      </w:r>
      <w:r>
        <w:rPr>
          <w:spacing w:val="-62"/>
        </w:rPr>
        <w:t> </w:t>
      </w:r>
      <w:r>
        <w:rPr>
          <w:spacing w:val="-62"/>
        </w:rPr>
      </w:r>
      <w:r>
        <w:rPr>
          <w:spacing w:val="-2"/>
        </w:rPr>
        <w:t>计，以生产出新的或具有实质性改进的材料、装置、产品等阶段，应确定为开发阶段，该阶段具有针对性和形成成果的可能</w:t>
      </w:r>
      <w:r>
        <w:rPr>
          <w:spacing w:val="-69"/>
        </w:rPr>
        <w:t> </w:t>
      </w:r>
      <w:r>
        <w:rPr>
          <w:spacing w:val="-69"/>
        </w:rPr>
      </w:r>
      <w:r>
        <w:rPr/>
        <w:t>性较大等特点。</w:t>
      </w:r>
    </w:p>
    <w:p>
      <w:pPr>
        <w:spacing w:line="240" w:lineRule="auto" w:before="10"/>
        <w:rPr>
          <w:rFonts w:ascii="宋体" w:hAnsi="宋体" w:cs="宋体" w:eastAsia="宋体" w:hint="default"/>
          <w:sz w:val="22"/>
          <w:szCs w:val="22"/>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）内部研究开发项目支出的核算</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09" w:lineRule="auto"/>
        <w:ind w:right="1032" w:firstLine="288"/>
        <w:jc w:val="left"/>
      </w:pPr>
      <w:r>
        <w:rPr>
          <w:spacing w:val="-2"/>
        </w:rPr>
        <w:t>内部研究开发项目研究阶段的支出，于发生时计入当期损益；开发阶段的支出，同时满足下列条件的，确认为无形资产：</w:t>
      </w:r>
      <w:r>
        <w:rPr/>
        <w:t> </w:t>
      </w:r>
      <w:r>
        <w:rPr>
          <w:rFonts w:ascii="Times New Roman" w:hAnsi="Times New Roman" w:cs="Times New Roman" w:eastAsia="Times New Roman" w:hint="default"/>
        </w:rPr>
        <w:t>(1) </w:t>
      </w:r>
      <w:r>
        <w:rPr/>
        <w:t>完成该无形资产以使其能够使用或出售在技术上具有可行性；</w:t>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无形资 </w:t>
      </w:r>
      <w:r>
        <w:rPr>
          <w:spacing w:val="-2"/>
        </w:rPr>
        <w:t>产产生经济利益的方式，包括能够证明运用该无形资产生产的产品存在市场或无形资产自身存在市场，无形资产将在内部使</w:t>
      </w:r>
      <w:r>
        <w:rPr>
          <w:spacing w:val="-64"/>
        </w:rPr>
        <w:t> </w:t>
      </w:r>
      <w:r>
        <w:rPr>
          <w:spacing w:val="-64"/>
        </w:rPr>
      </w:r>
      <w:r>
        <w:rPr/>
        <w:t>用的，能证明其有用性；</w:t>
      </w: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有足够的技术、财务资源和其他资源支持，以完成该无形资产的开发，并有能力使用或出售该 无形资产；</w:t>
      </w: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归属于该无形资产开发阶段的支出能够可靠地计量。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22</w:t>
      </w:r>
      <w:r>
        <w:rPr/>
        <w:t>、长期资产减值</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1132" w:firstLine="360"/>
        <w:jc w:val="both"/>
      </w:pPr>
      <w:r>
        <w:rPr>
          <w:spacing w:val="-2"/>
        </w:rPr>
        <w:t>长期股权投资、采用成本模式计量的投资性房地产、固定资产、在建工程、采用成本模式计量的生产性生物资产、油气</w:t>
      </w:r>
      <w:r>
        <w:rPr/>
        <w:t> </w:t>
      </w:r>
      <w:r>
        <w:rPr>
          <w:spacing w:val="-2"/>
        </w:rPr>
        <w:t>资产、无形资产、商誉等长期资产于资产负债表日存在减值迹象的，进行减值测试。减值测试结果表明资产的可收回金额低</w:t>
      </w:r>
      <w:r>
        <w:rPr>
          <w:spacing w:val="-66"/>
        </w:rPr>
        <w:t> </w:t>
      </w:r>
      <w:r>
        <w:rPr>
          <w:spacing w:val="-66"/>
        </w:rPr>
      </w:r>
      <w:r>
        <w:rPr/>
        <w:t>于其账面价值的，按其差额计提减值准备并计入减值损失。</w:t>
      </w:r>
    </w:p>
    <w:p>
      <w:pPr>
        <w:pStyle w:val="BodyText"/>
        <w:spacing w:line="316" w:lineRule="auto" w:before="19"/>
        <w:ind w:right="1132" w:firstLine="360"/>
        <w:jc w:val="both"/>
      </w:pPr>
      <w:r>
        <w:rPr>
          <w:spacing w:val="-2"/>
        </w:rPr>
        <w:t>可收回金额为资产的公允价值减去处置费用后的净额与资产预计未来现金流量的现值两者之间的较高者。资产减值准备</w:t>
      </w:r>
      <w:r>
        <w:rPr/>
        <w:t> </w:t>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pStyle w:val="BodyText"/>
        <w:spacing w:line="316" w:lineRule="auto" w:before="19"/>
        <w:ind w:right="1130" w:firstLine="360"/>
        <w:jc w:val="both"/>
      </w:pPr>
      <w:r>
        <w:rPr>
          <w:spacing w:val="-2"/>
        </w:rPr>
        <w:t>在财务报表中单独列示的商誉，无论是否存在减值迹象，至少每年进行减值测试。减值测试时，商誉的账面价值分摊至</w:t>
      </w:r>
      <w:r>
        <w:rPr/>
        <w:t> </w:t>
      </w:r>
      <w:r>
        <w:rPr>
          <w:spacing w:val="-2"/>
        </w:rPr>
        <w:t>预期从企业合并的协同效应中受益的资产组或资产组组合。测试结果表明包含分摊的商誉的资产组或资产组组合的可收回金</w:t>
      </w:r>
      <w:r>
        <w:rPr>
          <w:spacing w:val="-63"/>
        </w:rPr>
        <w:t> </w:t>
      </w:r>
      <w:r>
        <w:rPr>
          <w:spacing w:val="-63"/>
        </w:rPr>
      </w:r>
      <w:r>
        <w:rPr>
          <w:spacing w:val="-2"/>
        </w:rPr>
        <w:t>额低于其账面价值的，确认相应的减值损失。减值损失金额先抵减分摊至该资产组或资产组组合的商誉的账面价值，再根据</w:t>
      </w:r>
      <w:r>
        <w:rPr>
          <w:spacing w:val="-62"/>
        </w:rPr>
        <w:t> </w:t>
      </w:r>
      <w:r>
        <w:rPr>
          <w:spacing w:val="-62"/>
        </w:rPr>
      </w:r>
      <w:r>
        <w:rPr/>
        <w:t>资产组或资产组组合中除商誉以外的其他各项资产的账面价值所占比重，按比例抵减其他各项资产的账面价值。</w:t>
      </w:r>
    </w:p>
    <w:p>
      <w:pPr>
        <w:pStyle w:val="BodyText"/>
        <w:spacing w:line="240" w:lineRule="auto" w:before="59"/>
        <w:ind w:right="984"/>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pStyle w:val="Heading3"/>
        <w:spacing w:line="240" w:lineRule="auto" w:before="118"/>
        <w:ind w:right="984"/>
        <w:jc w:val="left"/>
        <w:rPr>
          <w:rFonts w:ascii="Tahoma" w:hAnsi="Tahoma" w:cs="Tahoma" w:eastAsia="Tahoma" w:hint="default"/>
        </w:rPr>
      </w:pPr>
      <w:r>
        <w:rPr>
          <w:rFonts w:ascii="Tahoma" w:hAnsi="Tahoma" w:cs="Tahoma" w:eastAsia="Tahoma" w:hint="default"/>
        </w:rPr>
        <w:t>23</w:t>
      </w:r>
      <w:r>
        <w:rPr/>
        <w:t>、长期待摊费用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984"/>
        <w:jc w:val="left"/>
      </w:pPr>
      <w:r>
        <w:rPr>
          <w:spacing w:val="-4"/>
        </w:rPr>
        <w:t>本公司长期待摊费用是指已经支出，但受益期限在一年以上（不含一年）的各项费用，主要包括车位使用费、房屋装修费等。</w:t>
      </w:r>
      <w:r>
        <w:rPr>
          <w:spacing w:val="-47"/>
        </w:rPr>
        <w:t> </w:t>
      </w:r>
      <w:r>
        <w:rPr>
          <w:spacing w:val="-47"/>
        </w:rPr>
      </w:r>
      <w:r>
        <w:rPr>
          <w:spacing w:val="-2"/>
        </w:rPr>
        <w:t>长期待摊费用按费用项目的受益期限分期摊销。若长期待摊的费用项目不能使以后会计期间受益，则将尚未摊销的该项目的</w:t>
      </w:r>
      <w:r>
        <w:rPr>
          <w:spacing w:val="-64"/>
        </w:rPr>
        <w:t> </w:t>
      </w:r>
      <w:r>
        <w:rPr>
          <w:spacing w:val="-64"/>
        </w:rPr>
      </w:r>
      <w:r>
        <w:rPr/>
        <w:t>摊余价值全部转入当期损益。</w:t>
      </w:r>
    </w:p>
    <w:p>
      <w:pPr>
        <w:spacing w:after="0" w:line="316" w:lineRule="auto"/>
        <w:jc w:val="left"/>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24</w:t>
      </w:r>
      <w:r>
        <w:rPr/>
        <w:t>、职工薪酬</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）短期薪酬的会计处理方法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30" w:firstLine="271"/>
        <w:jc w:val="both"/>
      </w:pPr>
      <w:r>
        <w:rPr/>
        <w:t>在职工为本公司提供服务的会计期间，将实际发生的短期薪酬确认为负债，并计入当期损益，其他会计准则要求或允许 </w:t>
      </w:r>
      <w:r>
        <w:rPr>
          <w:spacing w:val="-2"/>
        </w:rPr>
        <w:t>计入资产成本的除外。本公司发生的职工福利费，在实际发生时根据实际发生额计入当期损益或相关资产成本。职工福利费</w:t>
      </w:r>
      <w:r>
        <w:rPr>
          <w:spacing w:val="-62"/>
        </w:rPr>
        <w:t> </w:t>
      </w:r>
      <w:r>
        <w:rPr>
          <w:spacing w:val="-62"/>
        </w:rPr>
      </w:r>
      <w:r>
        <w:rPr>
          <w:spacing w:val="-2"/>
        </w:rPr>
        <w:t>为非货币性福利的，按照公允价值计量。企业为职工缴纳的医疗保险费、工伤保险费、生育保险费等社会保险费和住房公积</w:t>
      </w:r>
      <w:r>
        <w:rPr>
          <w:spacing w:val="-65"/>
        </w:rPr>
        <w:t> </w:t>
      </w:r>
      <w:r>
        <w:rPr>
          <w:spacing w:val="-65"/>
        </w:rPr>
      </w:r>
      <w:r>
        <w:rPr>
          <w:spacing w:val="-2"/>
        </w:rPr>
        <w:t>金，以及按规定提取的工会经费和职工教育经费，在职工提供服务的会计期间，根据规定的计提基础和计提比例计算确定相</w:t>
      </w:r>
      <w:r>
        <w:rPr>
          <w:spacing w:val="-62"/>
        </w:rPr>
        <w:t> </w:t>
      </w:r>
      <w:r>
        <w:rPr>
          <w:spacing w:val="-62"/>
        </w:rPr>
      </w:r>
      <w:r>
        <w:rPr/>
        <w:t>应的职工薪酬金额，并确认相应负债，计入当期损益或相关资产成本。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984"/>
        <w:jc w:val="left"/>
        <w:rPr>
          <w:rFonts w:ascii="Tahoma" w:hAnsi="Tahoma" w:cs="Tahoma" w:eastAsia="Tahoma" w:hint="default"/>
        </w:rPr>
      </w:pPr>
      <w:r>
        <w:rPr/>
        <w:t>（</w:t>
      </w:r>
      <w:r>
        <w:rPr>
          <w:rFonts w:ascii="Tahoma" w:hAnsi="Tahoma" w:cs="Tahoma" w:eastAsia="Tahoma" w:hint="default"/>
        </w:rPr>
        <w:t>2</w:t>
      </w:r>
      <w:r>
        <w:rPr/>
        <w:t>）离职后福利的会计处理方法</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984" w:firstLine="271"/>
        <w:jc w:val="left"/>
      </w:pPr>
      <w:r>
        <w:rPr>
          <w:spacing w:val="-2"/>
        </w:rPr>
        <w:t>本公司在职工提供服务的会计期间，根据设定提存计划计算的应缴存金额确认为负债，并计入当期损益或相关资产成本。</w:t>
      </w:r>
      <w:r>
        <w:rPr/>
        <w:t> </w:t>
      </w:r>
      <w:r>
        <w:rPr>
          <w:spacing w:val="-2"/>
        </w:rPr>
        <w:t>根据预期累计福利单位法确定的公式将设定受益计划产生的福利义务归属于职工提供服务的期间，并计入当期损益或相关资</w:t>
      </w:r>
      <w:r>
        <w:rPr>
          <w:spacing w:val="-63"/>
        </w:rPr>
        <w:t> </w:t>
      </w:r>
      <w:r>
        <w:rPr>
          <w:spacing w:val="-63"/>
        </w:rPr>
      </w:r>
      <w:r>
        <w:rPr/>
        <w:t>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984"/>
        <w:jc w:val="left"/>
        <w:rPr>
          <w:rFonts w:ascii="Tahoma" w:hAnsi="Tahoma" w:cs="Tahoma" w:eastAsia="Tahoma" w:hint="default"/>
        </w:rPr>
      </w:pPr>
      <w:r>
        <w:rPr/>
        <w:t>（</w:t>
      </w:r>
      <w:r>
        <w:rPr>
          <w:rFonts w:ascii="Tahoma" w:hAnsi="Tahoma" w:cs="Tahoma" w:eastAsia="Tahoma" w:hint="default"/>
        </w:rPr>
        <w:t>3</w:t>
      </w:r>
      <w:r>
        <w:rPr/>
        <w:t>）辞退福利的会计处理方法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23" w:firstLine="271"/>
        <w:jc w:val="left"/>
      </w:pPr>
      <w:r>
        <w:rPr/>
        <w:t>企业向职工提供辞退福利时，在下列两者孰早日确认辞退福利产生的职工薪酬负债，并计入当期损益：企业不能单方面 撤回因解除劳动关系计划或裁减建议所提供的辞退福利时；企业确认与涉及支付辞退福利的重组相关的成本或费用时。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984"/>
        <w:jc w:val="left"/>
        <w:rPr>
          <w:rFonts w:ascii="Tahoma" w:hAnsi="Tahoma" w:cs="Tahoma" w:eastAsia="Tahoma" w:hint="default"/>
        </w:rPr>
      </w:pPr>
      <w:r>
        <w:rPr/>
        <w:t>（</w:t>
      </w:r>
      <w:r>
        <w:rPr>
          <w:rFonts w:ascii="Tahoma" w:hAnsi="Tahoma" w:cs="Tahoma" w:eastAsia="Tahoma" w:hint="default"/>
        </w:rPr>
        <w:t>4</w:t>
      </w:r>
      <w:r>
        <w:rPr/>
        <w:t>）其他长期职工福利的会计处理方法</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1123" w:firstLine="271"/>
        <w:jc w:val="left"/>
      </w:pPr>
      <w:r>
        <w:rPr/>
        <w:t>本公司向职工提供的其他长期职工福利，符合设定提存计划条件的，应当按照有关设定提存计划的规定进行处理；除此 外，根据设定受益计划的有关规定，确认和计量其他长期职工福利净负债或净资产。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984"/>
        <w:jc w:val="left"/>
        <w:rPr>
          <w:rFonts w:ascii="Tahoma" w:hAnsi="Tahoma" w:cs="Tahoma" w:eastAsia="Tahoma" w:hint="default"/>
        </w:rPr>
      </w:pPr>
      <w:r>
        <w:rPr>
          <w:rFonts w:ascii="Tahoma" w:hAnsi="Tahoma" w:cs="Tahoma" w:eastAsia="Tahoma" w:hint="default"/>
        </w:rPr>
        <w:t>25</w:t>
      </w:r>
      <w:r>
        <w:rPr/>
        <w:t>、预计负债</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）预计负债的确认标准</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35" w:firstLine="420"/>
        <w:jc w:val="both"/>
      </w:pPr>
      <w:r>
        <w:rPr/>
        <w:t>当与或有事项相关的义务是公司承担的现时义务，且履行该义务很可能导致经济利益流出，同时其金额能够可靠地计 量时确认该义务为预计负债。</w:t>
      </w:r>
    </w:p>
    <w:p>
      <w:pPr>
        <w:spacing w:line="240" w:lineRule="auto" w:before="10"/>
        <w:rPr>
          <w:rFonts w:ascii="宋体" w:hAnsi="宋体" w:cs="宋体" w:eastAsia="宋体" w:hint="default"/>
          <w:sz w:val="22"/>
          <w:szCs w:val="22"/>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）预计负债的计量方法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30" w:firstLine="420"/>
        <w:jc w:val="both"/>
      </w:pPr>
      <w:r>
        <w:rPr/>
        <w:t>按照履行相关现时义务所需支出的最佳估计数进行初始计量，如所需支出存在一个连续范围，且该范围内各种结果发 </w:t>
      </w:r>
      <w:r>
        <w:rPr>
          <w:spacing w:val="-2"/>
        </w:rPr>
        <w:t>生的可能性相同，最佳估计数按照该范围内的中间值确定；如涉及多个项目，按照各种可能结果及相关概率计算确定最佳估</w:t>
      </w:r>
      <w:r>
        <w:rPr>
          <w:spacing w:val="-62"/>
        </w:rPr>
        <w:t> </w:t>
      </w:r>
      <w:r>
        <w:rPr>
          <w:spacing w:val="-62"/>
        </w:rPr>
      </w:r>
      <w:r>
        <w:rPr/>
        <w:t>计数。</w:t>
      </w:r>
    </w:p>
    <w:p>
      <w:pPr>
        <w:pStyle w:val="BodyText"/>
        <w:spacing w:line="316" w:lineRule="auto" w:before="139"/>
        <w:ind w:right="1132" w:firstLine="360"/>
        <w:jc w:val="both"/>
      </w:pPr>
      <w:r>
        <w:rPr>
          <w:spacing w:val="-2"/>
        </w:rPr>
        <w:t>资产负债表日应当对预计负债账面价值进行复核，有确凿证据表明该账面价值不能真实反映当前最佳估计数，应当按照</w:t>
      </w:r>
      <w:r>
        <w:rPr/>
        <w:t> 当前最佳估计数对该账面价值进行调整。</w:t>
      </w:r>
    </w:p>
    <w:p>
      <w:pPr>
        <w:spacing w:after="0" w:line="316" w:lineRule="auto"/>
        <w:jc w:val="both"/>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984"/>
        <w:jc w:val="left"/>
        <w:rPr>
          <w:rFonts w:ascii="Tahoma" w:hAnsi="Tahoma" w:cs="Tahoma" w:eastAsia="Tahoma" w:hint="default"/>
        </w:rPr>
      </w:pPr>
      <w:r>
        <w:rPr>
          <w:rFonts w:ascii="Tahoma" w:hAnsi="Tahoma" w:cs="Tahoma" w:eastAsia="Tahoma" w:hint="default"/>
        </w:rPr>
        <w:t>26</w:t>
      </w:r>
      <w:r>
        <w:rPr/>
        <w:t>、股份支付</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1034" w:firstLine="360"/>
        <w:jc w:val="left"/>
      </w:pPr>
      <w:r>
        <w:rPr>
          <w:spacing w:val="-2"/>
        </w:rPr>
        <w:t>本公司股份支付包括以权益结算的股份支付和以现金结算的股份支付。以权益结算的股份支付换取职工提供服务的，以</w:t>
      </w:r>
      <w:r>
        <w:rPr/>
        <w:t> </w:t>
      </w:r>
      <w:r>
        <w:rPr>
          <w:spacing w:val="-4"/>
        </w:rPr>
        <w:t>授予职工权益工具的公允价值计量。存在活跃市场的，按照活跃市场中的报价确定；不存在活跃市场的，采用估值技术确定，</w:t>
      </w:r>
      <w:r>
        <w:rPr>
          <w:spacing w:val="-46"/>
        </w:rPr>
        <w:t> </w:t>
      </w:r>
      <w:r>
        <w:rPr>
          <w:spacing w:val="-46"/>
        </w:rPr>
      </w:r>
      <w:r>
        <w:rPr/>
        <w:t>包括参考熟悉情况并自愿交易的各方最近进行的市场交易中使用的价格、参照实质上相同的其他金融工具的当前公允价值、 现金流量折现法和期权定价模型等。</w:t>
      </w:r>
    </w:p>
    <w:p>
      <w:pPr>
        <w:pStyle w:val="BodyText"/>
        <w:spacing w:line="316" w:lineRule="auto" w:before="57"/>
        <w:ind w:right="1130" w:firstLine="432"/>
        <w:jc w:val="both"/>
      </w:pPr>
      <w:r>
        <w:rPr/>
        <w:t>在各个资产负债表日，根据最新取得的可行权人数变动、业绩指标完成情况等后续信息，修正预计可行权的股票期权 </w:t>
      </w:r>
      <w:r>
        <w:rPr>
          <w:spacing w:val="-2"/>
        </w:rPr>
        <w:t>数量，并以此为依据确认各期应分摊的费用。对于跨越多个会计期间的期权费用，一般可以按照该期权在某会计期间内等待</w:t>
      </w:r>
      <w:r>
        <w:rPr>
          <w:spacing w:val="-62"/>
        </w:rPr>
        <w:t> </w:t>
      </w:r>
      <w:r>
        <w:rPr>
          <w:spacing w:val="-62"/>
        </w:rPr>
      </w:r>
      <w:r>
        <w:rPr/>
        <w:t>期长度占整个等待期长度的比例进行分摊。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27</w:t>
      </w:r>
      <w:r>
        <w:rPr/>
        <w:t>、优先股、永续债等其他金融工具</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40" w:lineRule="auto"/>
        <w:ind w:left="512" w:right="984" w:hanging="360"/>
        <w:jc w:val="left"/>
      </w:pPr>
      <w:r>
        <w:rPr>
          <w:rFonts w:ascii="Times New Roman" w:hAnsi="Times New Roman" w:cs="Times New Roman" w:eastAsia="Times New Roman" w:hint="default"/>
        </w:rPr>
        <w:t>1</w:t>
      </w:r>
      <w:r>
        <w:rPr/>
        <w:t>、金融负债和权益工具的划分 </w:t>
      </w:r>
      <w:r>
        <w:rPr>
          <w:spacing w:val="-2"/>
        </w:rPr>
        <w:t>本公司发行的优先股、永续债（例如长期限含权中期票据）、认股权、可转换公司债券等，按照以下原则换分为金融负</w:t>
      </w:r>
    </w:p>
    <w:p>
      <w:pPr>
        <w:pStyle w:val="BodyText"/>
        <w:spacing w:line="240" w:lineRule="auto" w:before="1"/>
        <w:ind w:right="984"/>
        <w:jc w:val="left"/>
      </w:pPr>
      <w:r>
        <w:rPr/>
        <w:t>债或权益工具：</w:t>
      </w:r>
    </w:p>
    <w:p>
      <w:pPr>
        <w:pStyle w:val="BodyText"/>
        <w:spacing w:line="300" w:lineRule="auto" w:before="117"/>
        <w:ind w:right="1124" w:firstLine="180"/>
        <w:jc w:val="left"/>
      </w:pPr>
      <w:r>
        <w:rPr/>
        <w:t>（</w:t>
      </w:r>
      <w:r>
        <w:rPr>
          <w:rFonts w:ascii="Times New Roman" w:hAnsi="Times New Roman" w:cs="Times New Roman" w:eastAsia="Times New Roman" w:hint="default"/>
        </w:rPr>
        <w:t>1</w:t>
      </w:r>
      <w:r>
        <w:rPr/>
        <w:t>）通过交付现金、其他金融资产或交换金融资产或金融负债结算的情况。如果企业不能无条件地避免以交付现金或其 他金融资产来履行一项合同义务，则该合同义务符合金融负债的定义。</w:t>
      </w:r>
    </w:p>
    <w:p>
      <w:pPr>
        <w:pStyle w:val="BodyText"/>
        <w:spacing w:line="309" w:lineRule="auto" w:before="70"/>
        <w:ind w:right="1130" w:firstLine="180"/>
        <w:jc w:val="both"/>
      </w:pPr>
      <w:r>
        <w:rPr/>
        <w:t>（</w:t>
      </w:r>
      <w:r>
        <w:rPr>
          <w:rFonts w:ascii="Times New Roman" w:hAnsi="Times New Roman" w:cs="Times New Roman" w:eastAsia="Times New Roman" w:hint="default"/>
        </w:rPr>
        <w:t>2</w:t>
      </w:r>
      <w:r>
        <w:rPr/>
        <w:t>）通过自身权益工具结算的情况。如果发行的金融工具须用或可用企业自身权益工具结算，作为现金或其他金融资产 </w:t>
      </w:r>
      <w:r>
        <w:rPr>
          <w:spacing w:val="-2"/>
        </w:rPr>
        <w:t>的替代品，该工具是发行方的金融负债；如果为了使该工具持有人享有在发行方扣除所有负债后的资产中的剩余权益，则该</w:t>
      </w:r>
      <w:r>
        <w:rPr>
          <w:spacing w:val="-62"/>
        </w:rPr>
        <w:t> </w:t>
      </w:r>
      <w:r>
        <w:rPr>
          <w:spacing w:val="-62"/>
        </w:rPr>
      </w:r>
      <w:r>
        <w:rPr/>
        <w:t>工具是发行方的权益工具。</w:t>
      </w:r>
    </w:p>
    <w:p>
      <w:pPr>
        <w:pStyle w:val="BodyText"/>
        <w:spacing w:line="314" w:lineRule="auto" w:before="65"/>
        <w:ind w:right="1034" w:firstLine="180"/>
        <w:jc w:val="left"/>
      </w:pPr>
      <w:r>
        <w:rPr/>
        <w:t>（</w:t>
      </w:r>
      <w:r>
        <w:rPr>
          <w:rFonts w:ascii="Times New Roman" w:hAnsi="Times New Roman" w:cs="Times New Roman" w:eastAsia="Times New Roman" w:hint="default"/>
        </w:rPr>
        <w:t>3</w:t>
      </w:r>
      <w:r>
        <w:rPr/>
        <w:t>）对于将来须用或可用企业自身权益工具结算的金融工具的分类，应当区分衍生工具还是非衍生工具。对于非衍生工 </w:t>
      </w:r>
      <w:r>
        <w:rPr>
          <w:spacing w:val="-2"/>
        </w:rPr>
        <w:t>具，如果发行方未来没有义务交付可变数量的自身权益工具进行结算，则该非衍生工具是权益工具；否则，该非衍生工具是</w:t>
      </w:r>
      <w:r>
        <w:rPr>
          <w:spacing w:val="-65"/>
        </w:rPr>
        <w:t> </w:t>
      </w:r>
      <w:r>
        <w:rPr>
          <w:spacing w:val="-65"/>
        </w:rPr>
      </w:r>
      <w:r>
        <w:rPr/>
        <w:t>金融负债。对于衍生工具，如果发行方只能通过以固定数量的自身权益工具交换固定金额的现金或其他金融资产进行结算， </w:t>
      </w:r>
      <w:r>
        <w:rPr>
          <w:spacing w:val="-2"/>
        </w:rPr>
        <w:t>则该衍生工具是权益工具；如果发行方以固定数量自身权益工具交换可变金额现金或其他金融资产，或以可变数量自身权益</w:t>
      </w:r>
      <w:r>
        <w:rPr>
          <w:spacing w:val="-64"/>
        </w:rPr>
        <w:t> </w:t>
      </w:r>
      <w:r>
        <w:rPr>
          <w:spacing w:val="-64"/>
        </w:rPr>
      </w:r>
      <w:r>
        <w:rPr>
          <w:spacing w:val="-2"/>
        </w:rPr>
        <w:t>工具交换固定金额现金或其他金融资产，或在转换价格不固定的情况下以可变数量自身权益工具交换可变金额现金或其他金</w:t>
      </w:r>
      <w:r>
        <w:rPr>
          <w:spacing w:val="-63"/>
        </w:rPr>
        <w:t> </w:t>
      </w:r>
      <w:r>
        <w:rPr>
          <w:spacing w:val="-63"/>
        </w:rPr>
      </w:r>
      <w:r>
        <w:rPr/>
        <w:t>融资产，则该衍生工具应当确认为金融负债或金融资产。</w:t>
      </w:r>
    </w:p>
    <w:p>
      <w:pPr>
        <w:pStyle w:val="BodyText"/>
        <w:spacing w:line="338" w:lineRule="auto" w:before="61"/>
        <w:ind w:left="368" w:right="984" w:hanging="216"/>
        <w:jc w:val="left"/>
      </w:pPr>
      <w:r>
        <w:rPr>
          <w:rFonts w:ascii="Times New Roman" w:hAnsi="Times New Roman" w:cs="Times New Roman" w:eastAsia="Times New Roman" w:hint="default"/>
        </w:rPr>
        <w:t>2</w:t>
      </w:r>
      <w:r>
        <w:rPr/>
        <w:t>、优先股、永续债的会计处理 发行方对于归类为金融负债的金融工具在</w:t>
      </w:r>
      <w:r>
        <w:rPr>
          <w:rFonts w:ascii="Times New Roman" w:hAnsi="Times New Roman" w:cs="Times New Roman" w:eastAsia="Times New Roman" w:hint="default"/>
        </w:rPr>
        <w:t>“</w:t>
      </w:r>
      <w:r>
        <w:rPr/>
        <w:t>应付债券</w:t>
      </w:r>
      <w:r>
        <w:rPr>
          <w:rFonts w:ascii="Times New Roman" w:hAnsi="Times New Roman" w:cs="Times New Roman" w:eastAsia="Times New Roman" w:hint="default"/>
        </w:rPr>
        <w:t>”</w:t>
      </w:r>
      <w:r>
        <w:rPr/>
        <w:t>科目核算，在该工具存续期间，计提利息并对账面的利息调整进行</w:t>
      </w:r>
    </w:p>
    <w:p>
      <w:pPr>
        <w:pStyle w:val="BodyText"/>
        <w:spacing w:line="217" w:lineRule="exact"/>
        <w:ind w:right="984"/>
        <w:jc w:val="left"/>
      </w:pPr>
      <w:r>
        <w:rPr/>
        <w:t>调整等的会计处理，按照金融工具确认和计量准则中有关金融负债按摊余成本后续计量的规定进行会计处理。发行方对于归</w:t>
      </w:r>
    </w:p>
    <w:p>
      <w:pPr>
        <w:pStyle w:val="BodyText"/>
        <w:spacing w:line="300" w:lineRule="auto" w:before="76"/>
        <w:ind w:right="984"/>
        <w:jc w:val="left"/>
      </w:pPr>
      <w:r>
        <w:rPr>
          <w:spacing w:val="-2"/>
        </w:rPr>
        <w:t>类为权益工具的在</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科目核算，在存续期间分派股利（含分类为权益工具的工具所产生的利息）的，作为利润</w:t>
      </w:r>
      <w:r>
        <w:rPr>
          <w:spacing w:val="-47"/>
        </w:rPr>
        <w:t> </w:t>
      </w:r>
      <w:r>
        <w:rPr>
          <w:spacing w:val="-47"/>
        </w:rPr>
      </w:r>
      <w:r>
        <w:rPr/>
        <w:t>分配处理。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28</w:t>
      </w:r>
      <w:r>
        <w:rPr/>
        <w:t>、收入</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57" w:lineRule="auto"/>
        <w:ind w:right="7694"/>
        <w:jc w:val="left"/>
      </w:pPr>
      <w:r>
        <w:rPr/>
        <w:t>公司是否需要遵守特殊行业的披露要求 否</w:t>
      </w:r>
    </w:p>
    <w:p>
      <w:pPr>
        <w:spacing w:line="240" w:lineRule="auto" w:before="8"/>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）销售商品收入确认时间的具体判断标准</w:t>
      </w:r>
      <w:r>
        <w:rPr>
          <w:rFonts w:ascii="Tahoma" w:hAnsi="Tahoma" w:cs="Tahoma" w:eastAsia="Tahoma" w:hint="default"/>
          <w:w w:val="80"/>
        </w:rPr>
        <w:t> </w:t>
      </w:r>
      <w:r>
        <w:rPr>
          <w:rFonts w:ascii="Tahoma" w:hAnsi="Tahoma" w:cs="Tahoma" w:eastAsia="Tahoma" w:hint="default"/>
        </w:rPr>
      </w:r>
    </w:p>
    <w:p>
      <w:pPr>
        <w:spacing w:after="0" w:line="240" w:lineRule="auto"/>
        <w:jc w:val="left"/>
        <w:rPr>
          <w:rFonts w:ascii="Tahoma" w:hAnsi="Tahoma" w:cs="Tahoma" w:eastAsia="Tahoma" w:hint="default"/>
        </w:rPr>
        <w:sectPr>
          <w:pgSz w:w="11910" w:h="16840"/>
          <w:pgMar w:header="753" w:footer="982" w:top="1060" w:bottom="1180" w:left="980" w:right="0"/>
        </w:sectPr>
      </w:pPr>
    </w:p>
    <w:p>
      <w:pPr>
        <w:spacing w:line="240" w:lineRule="auto" w:before="6"/>
        <w:rPr>
          <w:rFonts w:ascii="Tahoma" w:hAnsi="Tahoma" w:cs="Tahoma" w:eastAsia="Tahoma" w:hint="default"/>
          <w:sz w:val="28"/>
          <w:szCs w:val="28"/>
        </w:rPr>
      </w:pPr>
    </w:p>
    <w:p>
      <w:pPr>
        <w:pStyle w:val="BodyText"/>
        <w:spacing w:line="312" w:lineRule="auto" w:before="37"/>
        <w:ind w:right="984" w:firstLine="451"/>
        <w:jc w:val="left"/>
      </w:pPr>
      <w:r>
        <w:rPr/>
        <w:t>①国内销售：公司产品入库后，根据与客户签订的合同、订单等的要求送达到客户指定的地点，由客户完成验收后在 </w:t>
      </w:r>
      <w:r>
        <w:rPr>
          <w:spacing w:val="-2"/>
        </w:rPr>
        <w:t>送货单上签收，签收后的送货单交财务部门，财务部门根据送货单逐单按客户归集并编制对账单。公司财务部门与客户就对</w:t>
      </w:r>
      <w:r>
        <w:rPr>
          <w:spacing w:val="-62"/>
        </w:rPr>
        <w:t> </w:t>
      </w:r>
      <w:r>
        <w:rPr>
          <w:spacing w:val="-62"/>
        </w:rPr>
      </w:r>
      <w:r>
        <w:rPr/>
        <w:t>账单确认后，根据双方确认的品名、数量、金额开具发票并确认收入；②出口销售：</w:t>
      </w:r>
      <w:r>
        <w:rPr>
          <w:rFonts w:ascii="Times New Roman" w:hAnsi="Times New Roman" w:cs="Times New Roman" w:eastAsia="Times New Roman" w:hint="default"/>
        </w:rPr>
        <w:t>a</w:t>
      </w:r>
      <w:r>
        <w:rPr/>
        <w:t>、直接出口：公司产品入库后，根据</w:t>
      </w:r>
      <w:r>
        <w:rPr>
          <w:spacing w:val="-79"/>
        </w:rPr>
        <w:t> </w:t>
      </w:r>
      <w:r>
        <w:rPr>
          <w:spacing w:val="-79"/>
        </w:rPr>
      </w:r>
      <w:r>
        <w:rPr>
          <w:spacing w:val="-2"/>
        </w:rPr>
        <w:t>与客户签订的合同、订单等要求备货装车后，报关部门再根据出货订单进行逐单申报，财务部门根据报关部门提供的报关单</w:t>
      </w:r>
      <w:r>
        <w:rPr>
          <w:spacing w:val="-62"/>
        </w:rPr>
        <w:t> </w:t>
      </w:r>
      <w:r>
        <w:rPr>
          <w:spacing w:val="-62"/>
        </w:rPr>
      </w:r>
      <w:r>
        <w:rPr/>
        <w:t>开具出口专用发票；财务部门根据出口专用发票入账确认收入；</w:t>
      </w:r>
      <w:r>
        <w:rPr>
          <w:rFonts w:ascii="Times New Roman" w:hAnsi="Times New Roman" w:cs="Times New Roman" w:eastAsia="Times New Roman" w:hint="default"/>
        </w:rPr>
        <w:t>b</w:t>
      </w:r>
      <w:r>
        <w:rPr/>
        <w:t>、转厂出口：公司产品入库后，根据与客户签订的合同、</w:t>
      </w:r>
      <w:r>
        <w:rPr>
          <w:spacing w:val="-85"/>
        </w:rPr>
        <w:t> </w:t>
      </w:r>
      <w:r>
        <w:rPr>
          <w:spacing w:val="-85"/>
        </w:rPr>
      </w:r>
      <w:r>
        <w:rPr>
          <w:spacing w:val="-2"/>
        </w:rPr>
        <w:t>订单等的要求送达到客户指定的地点，由客户完成验收后在送货单上签收，签收后的送货单交财务部门，财务部门根据送货</w:t>
      </w:r>
      <w:r>
        <w:rPr>
          <w:spacing w:val="-62"/>
        </w:rPr>
        <w:t> </w:t>
      </w:r>
      <w:r>
        <w:rPr>
          <w:spacing w:val="-62"/>
        </w:rPr>
      </w:r>
      <w:r>
        <w:rPr>
          <w:spacing w:val="-4"/>
        </w:rPr>
        <w:t>单逐单按客户归集并编制对账单。公司业务部门与客户对账确认之后，公司负责报关的部门根据双方对账确认的品名、数量、</w:t>
      </w:r>
      <w:r>
        <w:rPr>
          <w:spacing w:val="-44"/>
        </w:rPr>
        <w:t> </w:t>
      </w:r>
      <w:r>
        <w:rPr>
          <w:spacing w:val="-44"/>
        </w:rPr>
      </w:r>
      <w:r>
        <w:rPr/>
        <w:t>金额进行报关出口，并将报关单交与财务部门，财务部门开具出口专用发票连同报关单一起入账确认收入。</w:t>
      </w:r>
    </w:p>
    <w:p>
      <w:pPr>
        <w:spacing w:line="240" w:lineRule="auto" w:before="1"/>
        <w:rPr>
          <w:rFonts w:ascii="宋体" w:hAnsi="宋体" w:cs="宋体" w:eastAsia="宋体" w:hint="default"/>
          <w:sz w:val="23"/>
          <w:szCs w:val="23"/>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）确认让渡资产使用权收入的依据</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512" w:right="984"/>
        <w:jc w:val="left"/>
      </w:pPr>
      <w:r>
        <w:rPr/>
        <w:t>本公司在让渡资产使用权相关的经济利益很可能流入并且收入的金额能够可靠地计量时确认让渡资产使用权收入。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29</w:t>
      </w:r>
      <w:r>
        <w:rPr/>
        <w:t>、政府补助</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）与资产相关的政府补助判断依据及会计处理方法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38" w:lineRule="auto"/>
        <w:ind w:right="984"/>
        <w:jc w:val="left"/>
      </w:pPr>
      <w:r>
        <w:rPr>
          <w:spacing w:val="-2"/>
        </w:rPr>
        <w:t>与资产相关的政府补助，应当冲减相关资产的账面价值或确认为递延收益。与资产相关的政府补助确认为递延收益的，应当</w:t>
      </w:r>
      <w:r>
        <w:rPr>
          <w:spacing w:val="-62"/>
        </w:rPr>
        <w:t> </w:t>
      </w:r>
      <w:r>
        <w:rPr>
          <w:spacing w:val="-62"/>
        </w:rPr>
      </w:r>
      <w:r>
        <w:rPr/>
        <w:t>在相关资产使用寿命内按照合理、系统的方法分期计入损益。按照名义金额计量的政府补助，直接计入当期损益。 </w:t>
      </w:r>
      <w:r>
        <w:rPr>
          <w:spacing w:val="-4"/>
        </w:rPr>
        <w:t>相关资产在使用寿命结束前被出售、转让、报废或发生毁损的，应当将尚未分配的相关递延收益余额转入资产处置当期损益。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）与收益相关的政府补助判断依据及会计处理方法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984" w:firstLine="288"/>
        <w:jc w:val="left"/>
      </w:pPr>
      <w:r>
        <w:rPr>
          <w:spacing w:val="-1"/>
        </w:rPr>
        <w:t>用于补偿公司以后期间的相关成本费用或损失的，确认为递延收益，并在确认相关成本费用或损失的期间，计入当期损</w:t>
      </w:r>
      <w:r>
        <w:rPr/>
        <w:t> 益或冲减相关成本；用于补偿公司已发生的相关成本费用或损失的，直接计入当期损益或冲减相关成本。</w:t>
      </w:r>
    </w:p>
    <w:p>
      <w:pPr>
        <w:spacing w:line="240" w:lineRule="auto" w:before="10"/>
        <w:rPr>
          <w:rFonts w:ascii="宋体" w:hAnsi="宋体" w:cs="宋体" w:eastAsia="宋体" w:hint="default"/>
          <w:sz w:val="22"/>
          <w:szCs w:val="22"/>
        </w:rPr>
      </w:pPr>
    </w:p>
    <w:p>
      <w:pPr>
        <w:pStyle w:val="Heading3"/>
        <w:spacing w:line="259" w:lineRule="auto"/>
        <w:ind w:right="984"/>
        <w:jc w:val="left"/>
        <w:rPr>
          <w:rFonts w:ascii="Tahoma" w:hAnsi="Tahoma" w:cs="Tahoma" w:eastAsia="Tahoma" w:hint="default"/>
        </w:rPr>
      </w:pPr>
      <w:r>
        <w:rPr>
          <w:spacing w:val="-2"/>
        </w:rPr>
        <w:t>（</w:t>
      </w:r>
      <w:r>
        <w:rPr>
          <w:rFonts w:ascii="Tahoma" w:hAnsi="Tahoma" w:cs="Tahoma" w:eastAsia="Tahoma" w:hint="default"/>
          <w:spacing w:val="-2"/>
        </w:rPr>
        <w:t>3</w:t>
      </w:r>
      <w:r>
        <w:rPr>
          <w:spacing w:val="-2"/>
        </w:rPr>
        <w:t>）对于同时包含与资产相关部分和与收益相关部分的政府补助，应当区分不同部分分别进行会计处理；</w:t>
      </w:r>
      <w:r>
        <w:rPr>
          <w:spacing w:val="-51"/>
        </w:rPr>
        <w:t> </w:t>
      </w:r>
      <w:r>
        <w:rPr>
          <w:spacing w:val="-51"/>
        </w:rPr>
      </w:r>
      <w:r>
        <w:rPr/>
        <w:t>难以区分的，应当整体归类为与收益相关的政府补助。</w:t>
      </w:r>
      <w:r>
        <w:rPr>
          <w:rFonts w:ascii="Tahoma" w:hAnsi="Tahoma" w:cs="Tahoma" w:eastAsia="Tahoma" w:hint="default"/>
          <w:w w:val="80"/>
        </w:rPr>
        <w:t> </w:t>
      </w:r>
      <w:r>
        <w:rPr>
          <w:rFonts w:ascii="Tahoma" w:hAnsi="Tahoma" w:cs="Tahoma" w:eastAsia="Tahoma" w:hint="default"/>
        </w:rPr>
      </w:r>
    </w:p>
    <w:p>
      <w:pPr>
        <w:spacing w:line="240" w:lineRule="auto" w:before="7"/>
        <w:rPr>
          <w:rFonts w:ascii="Tahoma" w:hAnsi="Tahoma" w:cs="Tahoma" w:eastAsia="Tahoma" w:hint="default"/>
          <w:sz w:val="26"/>
          <w:szCs w:val="26"/>
        </w:rPr>
      </w:pPr>
    </w:p>
    <w:p>
      <w:pPr>
        <w:pStyle w:val="Heading3"/>
        <w:spacing w:line="259" w:lineRule="auto"/>
        <w:ind w:right="984"/>
        <w:jc w:val="left"/>
        <w:rPr>
          <w:rFonts w:ascii="Tahoma" w:hAnsi="Tahoma" w:cs="Tahoma" w:eastAsia="Tahoma" w:hint="default"/>
        </w:rPr>
      </w:pPr>
      <w:r>
        <w:rPr/>
        <w:t>（</w:t>
      </w:r>
      <w:r>
        <w:rPr>
          <w:rFonts w:ascii="Tahoma" w:hAnsi="Tahoma" w:cs="Tahoma" w:eastAsia="Tahoma" w:hint="default"/>
        </w:rPr>
        <w:t>4</w:t>
      </w:r>
      <w:r>
        <w:rPr/>
        <w:t>）与公司日常活动相关的政府补助，应当按照经济业务实质，计入其他收益或冲减相关成本费用。与</w:t>
      </w:r>
      <w:r>
        <w:rPr>
          <w:spacing w:val="-38"/>
        </w:rPr>
        <w:t> </w:t>
      </w:r>
      <w:r>
        <w:rPr>
          <w:spacing w:val="-38"/>
        </w:rPr>
      </w:r>
      <w:r>
        <w:rPr/>
        <w:t>公司日常活动无关的政府补助，应当计入营业外收支。</w:t>
      </w:r>
      <w:r>
        <w:rPr>
          <w:rFonts w:ascii="Tahoma" w:hAnsi="Tahoma" w:cs="Tahoma" w:eastAsia="Tahoma" w:hint="default"/>
          <w:w w:val="80"/>
        </w:rPr>
        <w:t> </w:t>
      </w:r>
      <w:r>
        <w:rPr>
          <w:rFonts w:ascii="Tahoma" w:hAnsi="Tahoma" w:cs="Tahoma" w:eastAsia="Tahoma" w:hint="default"/>
        </w:rPr>
      </w:r>
    </w:p>
    <w:p>
      <w:pPr>
        <w:spacing w:line="240" w:lineRule="auto" w:before="7"/>
        <w:rPr>
          <w:rFonts w:ascii="Tahoma" w:hAnsi="Tahoma" w:cs="Tahoma" w:eastAsia="Tahoma" w:hint="default"/>
          <w:sz w:val="26"/>
          <w:szCs w:val="26"/>
        </w:rPr>
      </w:pPr>
    </w:p>
    <w:p>
      <w:pPr>
        <w:pStyle w:val="Heading3"/>
        <w:spacing w:line="259" w:lineRule="auto"/>
        <w:ind w:right="984"/>
        <w:jc w:val="left"/>
        <w:rPr>
          <w:rFonts w:ascii="Tahoma" w:hAnsi="Tahoma" w:cs="Tahoma" w:eastAsia="Tahoma" w:hint="default"/>
        </w:rPr>
      </w:pPr>
      <w:r>
        <w:rPr/>
        <w:t>（</w:t>
      </w:r>
      <w:r>
        <w:rPr>
          <w:rFonts w:ascii="Tahoma" w:hAnsi="Tahoma" w:cs="Tahoma" w:eastAsia="Tahoma" w:hint="default"/>
        </w:rPr>
        <w:t>5</w:t>
      </w:r>
      <w:r>
        <w:rPr/>
        <w:t>）公司取得政策性优惠贷款贴息的，应当区分财政将贴息资金拨付给贷款银行和财政将贴息资金直接</w:t>
      </w:r>
      <w:r>
        <w:rPr>
          <w:spacing w:val="-34"/>
        </w:rPr>
        <w:t> </w:t>
      </w:r>
      <w:r>
        <w:rPr>
          <w:rFonts w:ascii="Tahoma" w:hAnsi="Tahoma" w:cs="Tahoma" w:eastAsia="Tahoma" w:hint="default"/>
          <w:spacing w:val="-34"/>
        </w:rPr>
      </w:r>
      <w:r>
        <w:rPr/>
        <w:t>拨付给公司两种情况：</w:t>
      </w:r>
      <w:r>
        <w:rPr>
          <w:rFonts w:ascii="Tahoma" w:hAnsi="Tahoma" w:cs="Tahoma" w:eastAsia="Tahoma" w:hint="default"/>
          <w:w w:val="80"/>
        </w:rPr>
        <w:t> </w:t>
      </w:r>
      <w:r>
        <w:rPr>
          <w:rFonts w:ascii="Tahoma" w:hAnsi="Tahoma" w:cs="Tahoma" w:eastAsia="Tahoma" w:hint="default"/>
          <w:spacing w:val="-32"/>
        </w:rPr>
        <w:t> </w:t>
      </w:r>
      <w:r>
        <w:rPr>
          <w:rFonts w:ascii="Tahoma" w:hAnsi="Tahoma" w:cs="Tahoma" w:eastAsia="Tahoma" w:hint="default"/>
          <w:w w:val="80"/>
        </w:rPr>
        <w:t> </w:t>
      </w:r>
      <w:r>
        <w:rPr>
          <w:rFonts w:ascii="Tahoma" w:hAnsi="Tahoma" w:cs="Tahoma" w:eastAsia="Tahoma" w:hint="default"/>
        </w:rPr>
      </w:r>
    </w:p>
    <w:p>
      <w:pPr>
        <w:spacing w:line="240" w:lineRule="auto" w:before="3"/>
        <w:rPr>
          <w:rFonts w:ascii="Tahoma" w:hAnsi="Tahoma" w:cs="Tahoma" w:eastAsia="Tahoma" w:hint="default"/>
          <w:sz w:val="28"/>
          <w:szCs w:val="28"/>
        </w:rPr>
      </w:pPr>
    </w:p>
    <w:p>
      <w:pPr>
        <w:pStyle w:val="BodyText"/>
        <w:spacing w:line="316" w:lineRule="auto"/>
        <w:ind w:right="984" w:firstLine="180"/>
        <w:jc w:val="left"/>
      </w:pPr>
      <w:r>
        <w:rPr>
          <w:spacing w:val="-2"/>
        </w:rPr>
        <w:t>①财政将贴息资金拨付给贷款银行，由贷款银行以政策性优惠利率向公司提供贷款的，公司以实际收到的借款金额作为借</w:t>
      </w:r>
      <w:r>
        <w:rPr/>
        <w:t> 款的入账价值，按照借款本金和该政策性优惠利率计算相关借款费用；</w:t>
      </w:r>
    </w:p>
    <w:p>
      <w:pPr>
        <w:pStyle w:val="BodyText"/>
        <w:spacing w:line="240" w:lineRule="auto" w:before="59"/>
        <w:ind w:right="984"/>
        <w:jc w:val="left"/>
      </w:pPr>
      <w:r>
        <w:rPr/>
        <w:t>②财政将贴息资金直接拨付给公司，公司应当将对应的贴息冲减相关借款费用。</w:t>
      </w:r>
    </w:p>
    <w:p>
      <w:pPr>
        <w:spacing w:after="0" w:line="240" w:lineRule="auto"/>
        <w:jc w:val="left"/>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30</w:t>
      </w:r>
      <w:r>
        <w:rPr/>
        <w:t>、递延所得税资产</w:t>
      </w:r>
      <w:r>
        <w:rPr>
          <w:rFonts w:ascii="Tahoma" w:hAnsi="Tahoma" w:cs="Tahoma" w:eastAsia="Tahoma" w:hint="default"/>
        </w:rPr>
        <w:t>/</w:t>
      </w:r>
      <w:r>
        <w:rPr/>
        <w:t>递延所得税负债</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）确认递延所得税资产的依据</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32" w:firstLine="360"/>
        <w:jc w:val="both"/>
      </w:pPr>
      <w:r>
        <w:rPr>
          <w:spacing w:val="-2"/>
        </w:rPr>
        <w:t>递延所得税资产的确认以很可能取得用来抵扣可抵扣暂时性差异的应纳税所得额为限。资产负债表日，有确凿证据表明</w:t>
      </w:r>
      <w:r>
        <w:rPr/>
        <w:t> </w:t>
      </w:r>
      <w:r>
        <w:rPr>
          <w:spacing w:val="-2"/>
        </w:rPr>
        <w:t>未来期间很可能获得足够的应纳税所得额用来抵扣可抵扣暂时性差异的，确认以前会计期间未确认的递延所得税资产。如未</w:t>
      </w:r>
      <w:r>
        <w:rPr>
          <w:spacing w:val="-64"/>
        </w:rPr>
        <w:t> </w:t>
      </w:r>
      <w:r>
        <w:rPr>
          <w:spacing w:val="-64"/>
        </w:rPr>
      </w:r>
      <w:r>
        <w:rPr/>
        <w:t>来期间很可能无法获得足够的应纳税所得额用以抵扣递延所得税资产的，则减记递延所得税资产的账面价值。</w:t>
      </w:r>
    </w:p>
    <w:p>
      <w:pPr>
        <w:spacing w:line="240" w:lineRule="auto" w:before="10"/>
        <w:rPr>
          <w:rFonts w:ascii="宋体" w:hAnsi="宋体" w:cs="宋体" w:eastAsia="宋体" w:hint="default"/>
          <w:sz w:val="22"/>
          <w:szCs w:val="22"/>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）确认递延所得税负债的依据</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32" w:firstLine="288"/>
        <w:jc w:val="both"/>
      </w:pPr>
      <w:r>
        <w:rPr>
          <w:spacing w:val="-1"/>
        </w:rPr>
        <w:t>对与子公司及联营企业投资相关的应纳税暂时性差异，确认递延所得税负债，除非本公司能够控制暂时性差异转回的时</w:t>
      </w:r>
      <w:r>
        <w:rPr/>
        <w:t> </w:t>
      </w:r>
      <w:r>
        <w:rPr>
          <w:spacing w:val="-2"/>
        </w:rPr>
        <w:t>间且该暂时性差异在可预见的未来很可能不会转回。对与子公司及联营企业投资相关的可抵扣暂时性差异，当该暂时性差异</w:t>
      </w:r>
      <w:r>
        <w:rPr>
          <w:spacing w:val="-64"/>
        </w:rPr>
        <w:t> </w:t>
      </w:r>
      <w:r>
        <w:rPr>
          <w:spacing w:val="-64"/>
        </w:rPr>
      </w:r>
      <w:r>
        <w:rPr/>
        <w:t>在可预见的未来很可能转回且未来很可能获得用来抵扣可抵扣暂时性差异的应纳税所得额时，确认递延所得税资产。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31</w:t>
      </w:r>
      <w:r>
        <w:rPr/>
        <w:t>、租赁</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）经营租赁的会计处理方法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332" w:right="984"/>
        <w:jc w:val="left"/>
      </w:pPr>
      <w:r>
        <w:rPr/>
        <w:t>经营租赁的租金支出在租赁期内按照直线法计入相关资产成本或当期损益。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）融资租赁的会计处理方法</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1132" w:firstLine="271"/>
        <w:jc w:val="both"/>
      </w:pPr>
      <w:r>
        <w:rPr/>
        <w:t>以租赁资产的公允价值与最低租赁付款额的现值两者中较低者作为租入资产的入账价值，租入资产的入账价值与最低租 </w:t>
      </w:r>
      <w:r>
        <w:rPr>
          <w:spacing w:val="-2"/>
        </w:rPr>
        <w:t>赁付款额之间的差额作为未确认融资费用，在租赁期内按实际利率法摊销。最低租赁付款额扣除未确认融资费用后的余额作</w:t>
      </w:r>
      <w:r>
        <w:rPr>
          <w:spacing w:val="-64"/>
        </w:rPr>
        <w:t> </w:t>
      </w:r>
      <w:r>
        <w:rPr>
          <w:spacing w:val="-64"/>
        </w:rPr>
      </w:r>
      <w:r>
        <w:rPr/>
        <w:t>为长期应付款列示。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984"/>
        <w:jc w:val="left"/>
        <w:rPr>
          <w:rFonts w:ascii="Tahoma" w:hAnsi="Tahoma" w:cs="Tahoma" w:eastAsia="Tahoma" w:hint="default"/>
        </w:rPr>
      </w:pPr>
      <w:r>
        <w:rPr>
          <w:rFonts w:ascii="Tahoma" w:hAnsi="Tahoma" w:cs="Tahoma" w:eastAsia="Tahoma" w:hint="default"/>
        </w:rPr>
        <w:t>32</w:t>
      </w:r>
      <w:r>
        <w:rPr/>
        <w:t>、其他重要的会计政策和会计估计</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33</w:t>
      </w:r>
      <w:r>
        <w:rPr/>
        <w:t>、重要会计政策和会计估计变更</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）重要会计政策变更</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pict>
          <v:shape style="position:absolute;margin-left:210.330551pt;margin-top:37.871704pt;width:165.15pt;height:64.3500pt;mso-position-horizontal-relative:page;mso-position-vertical-relative:paragraph;z-index:-13212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pict>
          <v:group style="position:absolute;margin-left:216.480011pt;margin-top:79.871742pt;width:159pt;height:22.35pt;mso-position-horizontal-relative:page;mso-position-vertical-relative:paragraph;z-index:-1321216" coordorigin="4330,1597" coordsize="3180,447">
            <v:shape style="position:absolute;left:4330;top:1597;width:3180;height:447" coordorigin="4330,1597" coordsize="3180,447" path="m4330,1597l7510,1597,7510,2044,4330,2044,4330,1597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3192"/>
        <w:gridCol w:w="3187"/>
        <w:gridCol w:w="3190"/>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298"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财政部在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日发布《财政</w:t>
            </w:r>
          </w:p>
          <w:p>
            <w:pPr>
              <w:pStyle w:val="TableParagraph"/>
              <w:spacing w:line="300" w:lineRule="auto" w:before="60"/>
              <w:ind w:left="24" w:right="19"/>
              <w:jc w:val="both"/>
              <w:rPr>
                <w:rFonts w:ascii="宋体" w:hAnsi="宋体" w:cs="宋体" w:eastAsia="宋体" w:hint="default"/>
                <w:sz w:val="18"/>
                <w:szCs w:val="18"/>
              </w:rPr>
            </w:pPr>
            <w:r>
              <w:rPr>
                <w:rFonts w:ascii="宋体" w:hAnsi="宋体" w:cs="宋体" w:eastAsia="宋体" w:hint="default"/>
                <w:sz w:val="18"/>
                <w:szCs w:val="18"/>
              </w:rPr>
              <w:t>部关于修订印发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年度一般企业财务 </w:t>
            </w:r>
            <w:r>
              <w:rPr>
                <w:rFonts w:ascii="宋体" w:hAnsi="宋体" w:cs="宋体" w:eastAsia="宋体" w:hint="default"/>
                <w:spacing w:val="-9"/>
                <w:sz w:val="18"/>
                <w:szCs w:val="18"/>
              </w:rPr>
              <w:t>报表格式的通知》（财会（</w:t>
            </w:r>
            <w:r>
              <w:rPr>
                <w:rFonts w:ascii="Times New Roman" w:hAnsi="Times New Roman" w:cs="Times New Roman" w:eastAsia="Times New Roman" w:hint="default"/>
                <w:spacing w:val="-9"/>
                <w:sz w:val="18"/>
                <w:szCs w:val="18"/>
              </w:rPr>
              <w:t>2018</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对一般企业财务报表格式进行了修订。</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446" w:lineRule="exact"/>
              <w:ind w:right="-53"/>
              <w:jc w:val="left"/>
              <w:rPr>
                <w:rFonts w:ascii="宋体" w:hAnsi="宋体" w:cs="宋体" w:eastAsia="宋体" w:hint="default"/>
                <w:sz w:val="20"/>
                <w:szCs w:val="20"/>
              </w:rPr>
            </w:pPr>
            <w:r>
              <w:rPr>
                <w:rFonts w:ascii="宋体" w:hAnsi="宋体" w:cs="宋体" w:eastAsia="宋体" w:hint="default"/>
                <w:position w:val="-8"/>
                <w:sz w:val="20"/>
                <w:szCs w:val="20"/>
              </w:rPr>
              <w:pict>
                <v:group style="width:159pt;height:22.35pt;mso-position-horizontal-relative:char;mso-position-vertical-relative:line" coordorigin="0,0" coordsize="3180,447">
                  <v:group style="position:absolute;left:0;top:0;width:3180;height:447" coordorigin="0,0" coordsize="3180,447">
                    <v:shape style="position:absolute;left:0;top:0;width:3180;height:447" coordorigin="0,0" coordsize="3180,447" path="m0,0l3180,0,3180,446,0,446,0,0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192"/>
        <w:gridCol w:w="3187"/>
        <w:gridCol w:w="3190"/>
      </w:tblGrid>
      <w:tr>
        <w:trPr>
          <w:trHeight w:val="674"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6"/>
              <w:jc w:val="left"/>
              <w:rPr>
                <w:rFonts w:ascii="宋体" w:hAnsi="宋体" w:cs="宋体" w:eastAsia="宋体" w:hint="default"/>
                <w:sz w:val="18"/>
                <w:szCs w:val="18"/>
              </w:rPr>
            </w:pPr>
            <w:r>
              <w:rPr>
                <w:rFonts w:ascii="宋体" w:hAnsi="宋体" w:cs="宋体" w:eastAsia="宋体" w:hint="default"/>
                <w:sz w:val="18"/>
                <w:szCs w:val="18"/>
              </w:rPr>
              <w:t>根据上述会计准则的要求，公司需对会 计政策相关内容进行相应调整。</w:t>
            </w:r>
          </w:p>
        </w:tc>
        <w:tc>
          <w:tcPr>
            <w:tcW w:w="3187"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49"/>
        <w:ind w:right="984" w:firstLine="360"/>
        <w:jc w:val="left"/>
      </w:pPr>
      <w:r>
        <w:rPr>
          <w:spacing w:val="-2"/>
        </w:rPr>
        <w:t>财政部于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日发布了《财政部关于修订印发</w:t>
      </w:r>
      <w:r>
        <w:rPr>
          <w:rFonts w:ascii="Times New Roman" w:hAnsi="Times New Roman" w:cs="Times New Roman" w:eastAsia="Times New Roman" w:hint="default"/>
          <w:spacing w:val="-2"/>
        </w:rPr>
        <w:t>2018</w:t>
      </w:r>
      <w:r>
        <w:rPr>
          <w:spacing w:val="-2"/>
        </w:rPr>
        <w:t>年度一般企业财务报表格式的通知》（财会〔</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15</w:t>
      </w:r>
      <w:r>
        <w:rPr>
          <w:spacing w:val="-2"/>
        </w:rPr>
        <w:t>号），</w:t>
      </w:r>
      <w:r>
        <w:rPr/>
        <w:t> 执行企业会计准则的企业应按照企业会计准则和该通知要求编制</w:t>
      </w:r>
      <w:r>
        <w:rPr>
          <w:rFonts w:ascii="Times New Roman" w:hAnsi="Times New Roman" w:cs="Times New Roman" w:eastAsia="Times New Roman" w:hint="default"/>
        </w:rPr>
        <w:t>2018</w:t>
      </w:r>
      <w:r>
        <w:rPr/>
        <w:t>年度及以后期间的财务报表。</w:t>
      </w:r>
    </w:p>
    <w:p>
      <w:pPr>
        <w:pStyle w:val="BodyText"/>
        <w:spacing w:line="240" w:lineRule="auto" w:before="51"/>
        <w:ind w:left="512" w:right="984"/>
        <w:jc w:val="left"/>
      </w:pPr>
      <w:r>
        <w:rPr/>
        <w:t>公司执行财会〔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号的主要影响如下：</w:t>
      </w:r>
    </w:p>
    <w:p>
      <w:pPr>
        <w:pStyle w:val="BodyText"/>
        <w:spacing w:line="240" w:lineRule="auto" w:before="103"/>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815"/>
        <w:gridCol w:w="1874"/>
        <w:gridCol w:w="1658"/>
        <w:gridCol w:w="1471"/>
        <w:gridCol w:w="2213"/>
      </w:tblGrid>
      <w:tr>
        <w:trPr>
          <w:trHeight w:val="739"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10" w:right="0"/>
              <w:jc w:val="left"/>
              <w:rPr>
                <w:rFonts w:ascii="宋体" w:hAnsi="宋体" w:cs="宋体" w:eastAsia="宋体" w:hint="default"/>
                <w:sz w:val="18"/>
                <w:szCs w:val="18"/>
              </w:rPr>
            </w:pPr>
            <w:r>
              <w:rPr>
                <w:rFonts w:ascii="宋体" w:hAnsi="宋体" w:cs="宋体" w:eastAsia="宋体" w:hint="default"/>
                <w:sz w:val="18"/>
                <w:szCs w:val="18"/>
              </w:rPr>
              <w:t>会计政策变更内容和原因</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551" w:right="9" w:hanging="540"/>
              <w:jc w:val="left"/>
              <w:rPr>
                <w:rFonts w:ascii="宋体" w:hAnsi="宋体" w:cs="宋体" w:eastAsia="宋体" w:hint="default"/>
                <w:sz w:val="18"/>
                <w:szCs w:val="18"/>
              </w:rPr>
            </w:pPr>
            <w:r>
              <w:rPr>
                <w:rFonts w:ascii="宋体" w:hAnsi="宋体" w:cs="宋体" w:eastAsia="宋体" w:hint="default"/>
                <w:sz w:val="18"/>
                <w:szCs w:val="18"/>
              </w:rPr>
              <w:t>本期受影响的报表项 目金额</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87" w:right="0"/>
              <w:jc w:val="left"/>
              <w:rPr>
                <w:rFonts w:ascii="宋体" w:hAnsi="宋体" w:cs="宋体" w:eastAsia="宋体" w:hint="default"/>
                <w:sz w:val="18"/>
                <w:szCs w:val="18"/>
              </w:rPr>
            </w:pPr>
            <w:r>
              <w:rPr>
                <w:rFonts w:ascii="宋体" w:hAnsi="宋体" w:cs="宋体" w:eastAsia="宋体" w:hint="default"/>
                <w:sz w:val="18"/>
                <w:szCs w:val="18"/>
              </w:rPr>
              <w:t>上期重述金额</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 w:right="0"/>
              <w:jc w:val="left"/>
              <w:rPr>
                <w:rFonts w:ascii="宋体" w:hAnsi="宋体" w:cs="宋体" w:eastAsia="宋体" w:hint="default"/>
                <w:sz w:val="18"/>
                <w:szCs w:val="18"/>
              </w:rPr>
            </w:pPr>
            <w:r>
              <w:rPr>
                <w:rFonts w:ascii="宋体" w:hAnsi="宋体" w:cs="宋体" w:eastAsia="宋体" w:hint="default"/>
                <w:sz w:val="18"/>
                <w:szCs w:val="18"/>
              </w:rPr>
              <w:t>上期列报的报表项目及金额</w:t>
            </w:r>
          </w:p>
        </w:tc>
      </w:tr>
      <w:tr>
        <w:trPr>
          <w:trHeight w:val="77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应收票据和应收账款合并列示</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8"/>
              <w:jc w:val="right"/>
              <w:rPr>
                <w:rFonts w:ascii="Times New Roman" w:hAnsi="Times New Roman" w:cs="Times New Roman" w:eastAsia="Times New Roman" w:hint="default"/>
                <w:sz w:val="18"/>
                <w:szCs w:val="18"/>
              </w:rPr>
            </w:pPr>
            <w:r>
              <w:rPr>
                <w:rFonts w:ascii="Times New Roman"/>
                <w:spacing w:val="-1"/>
                <w:sz w:val="18"/>
              </w:rPr>
              <w:t>1,080,681,962.31</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61"/>
              <w:jc w:val="right"/>
              <w:rPr>
                <w:rFonts w:ascii="Times New Roman" w:hAnsi="Times New Roman" w:cs="Times New Roman" w:eastAsia="Times New Roman" w:hint="default"/>
                <w:sz w:val="18"/>
                <w:szCs w:val="18"/>
              </w:rPr>
            </w:pPr>
            <w:r>
              <w:rPr>
                <w:rFonts w:ascii="Times New Roman"/>
                <w:spacing w:val="-1"/>
                <w:sz w:val="18"/>
              </w:rPr>
              <w:t>912,826,896.06</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58"/>
              <w:ind w:left="2" w:right="167"/>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49,895,560.78 </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862,931,335.28</w:t>
            </w:r>
          </w:p>
        </w:tc>
      </w:tr>
      <w:tr>
        <w:trPr>
          <w:trHeight w:val="377" w:hRule="exact"/>
        </w:trPr>
        <w:tc>
          <w:tcPr>
            <w:tcW w:w="281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应收利息、应收股利并其他应收款</w:t>
            </w:r>
          </w:p>
        </w:tc>
        <w:tc>
          <w:tcPr>
            <w:tcW w:w="18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5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3"/>
              <w:ind w:right="56"/>
              <w:jc w:val="right"/>
              <w:rPr>
                <w:rFonts w:ascii="Times New Roman" w:hAnsi="Times New Roman" w:cs="Times New Roman" w:eastAsia="Times New Roman" w:hint="default"/>
                <w:sz w:val="18"/>
                <w:szCs w:val="18"/>
              </w:rPr>
            </w:pPr>
            <w:r>
              <w:rPr>
                <w:rFonts w:ascii="Times New Roman"/>
                <w:spacing w:val="-1"/>
                <w:sz w:val="18"/>
              </w:rPr>
              <w:t>62,064,165.55</w:t>
            </w:r>
          </w:p>
        </w:tc>
        <w:tc>
          <w:tcPr>
            <w:tcW w:w="147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3"/>
              <w:ind w:right="62"/>
              <w:jc w:val="right"/>
              <w:rPr>
                <w:rFonts w:ascii="Times New Roman" w:hAnsi="Times New Roman" w:cs="Times New Roman" w:eastAsia="Times New Roman" w:hint="default"/>
                <w:sz w:val="18"/>
                <w:szCs w:val="18"/>
              </w:rPr>
            </w:pPr>
            <w:r>
              <w:rPr>
                <w:rFonts w:ascii="Times New Roman"/>
                <w:spacing w:val="-1"/>
                <w:sz w:val="18"/>
              </w:rPr>
              <w:t>78,225,088.96</w:t>
            </w:r>
          </w:p>
        </w:tc>
        <w:tc>
          <w:tcPr>
            <w:tcW w:w="221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13,741,592.64</w:t>
            </w:r>
          </w:p>
        </w:tc>
      </w:tr>
      <w:tr>
        <w:trPr>
          <w:trHeight w:val="372" w:hRule="exact"/>
        </w:trPr>
        <w:tc>
          <w:tcPr>
            <w:tcW w:w="2815" w:type="dxa"/>
            <w:tcBorders>
              <w:top w:val="nil" w:sz="6" w:space="0" w:color="auto"/>
              <w:left w:val="single" w:sz="6" w:space="0" w:color="000000"/>
              <w:bottom w:val="nil" w:sz="6" w:space="0" w:color="auto"/>
              <w:right w:val="single" w:sz="6" w:space="0" w:color="000000"/>
            </w:tcBorders>
          </w:tcPr>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项目列示</w:t>
            </w:r>
          </w:p>
        </w:tc>
        <w:tc>
          <w:tcPr>
            <w:tcW w:w="1874" w:type="dxa"/>
            <w:tcBorders>
              <w:top w:val="nil" w:sz="6" w:space="0" w:color="auto"/>
              <w:left w:val="single" w:sz="6" w:space="0" w:color="000000"/>
              <w:bottom w:val="nil" w:sz="6" w:space="0" w:color="auto"/>
              <w:right w:val="single" w:sz="6" w:space="0" w:color="000000"/>
            </w:tcBorders>
          </w:tcPr>
          <w:p>
            <w:pPr/>
          </w:p>
        </w:tc>
        <w:tc>
          <w:tcPr>
            <w:tcW w:w="1658" w:type="dxa"/>
            <w:tcBorders>
              <w:top w:val="nil" w:sz="6" w:space="0" w:color="auto"/>
              <w:left w:val="single" w:sz="6" w:space="0" w:color="000000"/>
              <w:bottom w:val="nil" w:sz="6" w:space="0" w:color="auto"/>
              <w:right w:val="single" w:sz="6" w:space="0" w:color="000000"/>
            </w:tcBorders>
          </w:tcPr>
          <w:p>
            <w:pPr/>
          </w:p>
        </w:tc>
        <w:tc>
          <w:tcPr>
            <w:tcW w:w="1471" w:type="dxa"/>
            <w:tcBorders>
              <w:top w:val="nil" w:sz="6" w:space="0" w:color="auto"/>
              <w:left w:val="single" w:sz="6" w:space="0" w:color="000000"/>
              <w:bottom w:val="nil" w:sz="6" w:space="0" w:color="auto"/>
              <w:right w:val="single" w:sz="6" w:space="0" w:color="000000"/>
            </w:tcBorders>
          </w:tcPr>
          <w:p>
            <w:pPr/>
          </w:p>
        </w:tc>
        <w:tc>
          <w:tcPr>
            <w:tcW w:w="2213" w:type="dxa"/>
            <w:tcBorders>
              <w:top w:val="nil" w:sz="6" w:space="0" w:color="auto"/>
              <w:left w:val="single" w:sz="6" w:space="0" w:color="000000"/>
              <w:bottom w:val="nil" w:sz="6" w:space="0" w:color="auto"/>
              <w:right w:val="single" w:sz="6" w:space="0" w:color="000000"/>
            </w:tcBorders>
          </w:tcPr>
          <w:p>
            <w:pPr>
              <w:pStyle w:val="TableParagraph"/>
              <w:spacing w:line="240" w:lineRule="auto" w:before="4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58,000.00</w:t>
            </w:r>
          </w:p>
        </w:tc>
      </w:tr>
      <w:tr>
        <w:trPr>
          <w:trHeight w:val="381" w:hRule="exact"/>
        </w:trPr>
        <w:tc>
          <w:tcPr>
            <w:tcW w:w="2815" w:type="dxa"/>
            <w:tcBorders>
              <w:top w:val="nil" w:sz="6" w:space="0" w:color="auto"/>
              <w:left w:val="single" w:sz="6" w:space="0" w:color="000000"/>
              <w:bottom w:val="single" w:sz="6" w:space="0" w:color="000000"/>
              <w:right w:val="single" w:sz="6" w:space="0" w:color="000000"/>
            </w:tcBorders>
          </w:tcPr>
          <w:p>
            <w:pPr/>
          </w:p>
        </w:tc>
        <w:tc>
          <w:tcPr>
            <w:tcW w:w="1874" w:type="dxa"/>
            <w:tcBorders>
              <w:top w:val="nil" w:sz="6" w:space="0" w:color="auto"/>
              <w:left w:val="single" w:sz="6" w:space="0" w:color="000000"/>
              <w:bottom w:val="single" w:sz="6" w:space="0" w:color="000000"/>
              <w:right w:val="single" w:sz="6" w:space="0" w:color="000000"/>
            </w:tcBorders>
          </w:tcPr>
          <w:p>
            <w:pPr/>
          </w:p>
        </w:tc>
        <w:tc>
          <w:tcPr>
            <w:tcW w:w="1658" w:type="dxa"/>
            <w:tcBorders>
              <w:top w:val="nil" w:sz="6" w:space="0" w:color="auto"/>
              <w:left w:val="single" w:sz="6" w:space="0" w:color="000000"/>
              <w:bottom w:val="single" w:sz="6" w:space="0" w:color="000000"/>
              <w:right w:val="single" w:sz="6" w:space="0" w:color="000000"/>
            </w:tcBorders>
          </w:tcPr>
          <w:p>
            <w:pPr/>
          </w:p>
        </w:tc>
        <w:tc>
          <w:tcPr>
            <w:tcW w:w="1471" w:type="dxa"/>
            <w:tcBorders>
              <w:top w:val="nil" w:sz="6" w:space="0" w:color="auto"/>
              <w:left w:val="single" w:sz="6" w:space="0" w:color="000000"/>
              <w:bottom w:val="single" w:sz="6" w:space="0" w:color="000000"/>
              <w:right w:val="single" w:sz="6" w:space="0" w:color="000000"/>
            </w:tcBorders>
          </w:tcPr>
          <w:p>
            <w:pPr/>
          </w:p>
        </w:tc>
        <w:tc>
          <w:tcPr>
            <w:tcW w:w="221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64,425,496.32</w:t>
            </w:r>
          </w:p>
        </w:tc>
      </w:tr>
      <w:tr>
        <w:trPr>
          <w:trHeight w:val="42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固定资产清理并入固定资产列示</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6"/>
              <w:jc w:val="right"/>
              <w:rPr>
                <w:rFonts w:ascii="Times New Roman" w:hAnsi="Times New Roman" w:cs="Times New Roman" w:eastAsia="Times New Roman" w:hint="default"/>
                <w:sz w:val="18"/>
                <w:szCs w:val="18"/>
              </w:rPr>
            </w:pPr>
            <w:r>
              <w:rPr>
                <w:rFonts w:ascii="Times New Roman"/>
                <w:spacing w:val="-1"/>
                <w:sz w:val="18"/>
              </w:rPr>
              <w:t>1,219,297,623.63</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9"/>
              <w:jc w:val="right"/>
              <w:rPr>
                <w:rFonts w:ascii="Times New Roman" w:hAnsi="Times New Roman" w:cs="Times New Roman" w:eastAsia="Times New Roman" w:hint="default"/>
                <w:sz w:val="18"/>
                <w:szCs w:val="18"/>
              </w:rPr>
            </w:pPr>
            <w:r>
              <w:rPr>
                <w:rFonts w:ascii="Times New Roman"/>
                <w:spacing w:val="-1"/>
                <w:sz w:val="18"/>
              </w:rPr>
              <w:t>869,341,393.02</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869,341,393.02</w:t>
            </w:r>
          </w:p>
        </w:tc>
      </w:tr>
      <w:tr>
        <w:trPr>
          <w:trHeight w:val="42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工程物资并入在建工程列示</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6"/>
              <w:jc w:val="right"/>
              <w:rPr>
                <w:rFonts w:ascii="Times New Roman" w:hAnsi="Times New Roman" w:cs="Times New Roman" w:eastAsia="Times New Roman" w:hint="default"/>
                <w:sz w:val="18"/>
                <w:szCs w:val="18"/>
              </w:rPr>
            </w:pPr>
            <w:r>
              <w:rPr>
                <w:rFonts w:ascii="Times New Roman"/>
                <w:spacing w:val="-1"/>
                <w:sz w:val="18"/>
              </w:rPr>
              <w:t>316,579,242.27</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9"/>
              <w:jc w:val="right"/>
              <w:rPr>
                <w:rFonts w:ascii="Times New Roman" w:hAnsi="Times New Roman" w:cs="Times New Roman" w:eastAsia="Times New Roman" w:hint="default"/>
                <w:sz w:val="18"/>
                <w:szCs w:val="18"/>
              </w:rPr>
            </w:pPr>
            <w:r>
              <w:rPr>
                <w:rFonts w:ascii="Times New Roman"/>
                <w:spacing w:val="-1"/>
                <w:sz w:val="18"/>
              </w:rPr>
              <w:t>239,139,776.49</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239,139,776.49</w:t>
            </w:r>
          </w:p>
        </w:tc>
      </w:tr>
      <w:tr>
        <w:trPr>
          <w:trHeight w:val="780"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应付票据和应付账款合并列示</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6"/>
              <w:jc w:val="right"/>
              <w:rPr>
                <w:rFonts w:ascii="Times New Roman" w:hAnsi="Times New Roman" w:cs="Times New Roman" w:eastAsia="Times New Roman" w:hint="default"/>
                <w:sz w:val="18"/>
                <w:szCs w:val="18"/>
              </w:rPr>
            </w:pPr>
            <w:r>
              <w:rPr>
                <w:rFonts w:ascii="Times New Roman"/>
                <w:spacing w:val="-1"/>
                <w:sz w:val="18"/>
              </w:rPr>
              <w:t>1,146,930,079.61</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9"/>
              <w:jc w:val="right"/>
              <w:rPr>
                <w:rFonts w:ascii="Times New Roman" w:hAnsi="Times New Roman" w:cs="Times New Roman" w:eastAsia="Times New Roman" w:hint="default"/>
                <w:sz w:val="18"/>
                <w:szCs w:val="18"/>
              </w:rPr>
            </w:pPr>
            <w:r>
              <w:rPr>
                <w:rFonts w:ascii="Times New Roman"/>
                <w:spacing w:val="-1"/>
                <w:sz w:val="18"/>
              </w:rPr>
              <w:t>925,035,843.83</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1"/>
              <w:ind w:left="2" w:right="167"/>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440,195,708.94 </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484,840,134.89</w:t>
            </w:r>
          </w:p>
        </w:tc>
      </w:tr>
      <w:tr>
        <w:trPr>
          <w:trHeight w:val="739"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应付利息、应付股利计入其他应付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款项目列示</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18,868,068.27</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9"/>
              <w:jc w:val="right"/>
              <w:rPr>
                <w:rFonts w:ascii="Times New Roman" w:hAnsi="Times New Roman" w:cs="Times New Roman" w:eastAsia="Times New Roman" w:hint="default"/>
                <w:sz w:val="18"/>
                <w:szCs w:val="18"/>
              </w:rPr>
            </w:pPr>
            <w:r>
              <w:rPr>
                <w:rFonts w:ascii="Times New Roman"/>
                <w:spacing w:val="-1"/>
                <w:sz w:val="18"/>
              </w:rPr>
              <w:t>35,532,061.41</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35,532,061.41</w:t>
            </w:r>
          </w:p>
        </w:tc>
      </w:tr>
      <w:tr>
        <w:trPr>
          <w:trHeight w:val="42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管理费用列报调整</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204,079,870.59</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9"/>
              <w:jc w:val="right"/>
              <w:rPr>
                <w:rFonts w:ascii="Times New Roman" w:hAnsi="Times New Roman" w:cs="Times New Roman" w:eastAsia="Times New Roman" w:hint="default"/>
                <w:sz w:val="18"/>
                <w:szCs w:val="18"/>
              </w:rPr>
            </w:pPr>
            <w:r>
              <w:rPr>
                <w:rFonts w:ascii="Times New Roman"/>
                <w:spacing w:val="-1"/>
                <w:sz w:val="18"/>
              </w:rPr>
              <w:t>208,094,696.05</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321,204,115.79</w:t>
            </w:r>
          </w:p>
        </w:tc>
      </w:tr>
      <w:tr>
        <w:trPr>
          <w:trHeight w:val="42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研发费用单独列示</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127,081,637.14</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9"/>
              <w:jc w:val="right"/>
              <w:rPr>
                <w:rFonts w:ascii="Times New Roman" w:hAnsi="Times New Roman" w:cs="Times New Roman" w:eastAsia="Times New Roman" w:hint="default"/>
                <w:sz w:val="18"/>
                <w:szCs w:val="18"/>
              </w:rPr>
            </w:pPr>
            <w:r>
              <w:rPr>
                <w:rFonts w:ascii="Times New Roman"/>
                <w:spacing w:val="-1"/>
                <w:sz w:val="18"/>
              </w:rPr>
              <w:t>113,109,419.74</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）重要会计估计变更</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34</w:t>
      </w:r>
      <w:r>
        <w:rPr/>
        <w:t>、其他</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line="240" w:lineRule="auto" w:before="3"/>
        <w:rPr>
          <w:rFonts w:ascii="宋体" w:hAnsi="宋体" w:cs="宋体" w:eastAsia="宋体" w:hint="default"/>
          <w:sz w:val="25"/>
          <w:szCs w:val="25"/>
        </w:rPr>
      </w:pPr>
    </w:p>
    <w:p>
      <w:pPr>
        <w:pStyle w:val="Heading2"/>
        <w:spacing w:line="240" w:lineRule="auto"/>
        <w:ind w:right="984"/>
        <w:jc w:val="left"/>
        <w:rPr>
          <w:rFonts w:ascii="Tahoma" w:hAnsi="Tahoma" w:cs="Tahoma" w:eastAsia="Tahoma" w:hint="default"/>
        </w:rPr>
      </w:pPr>
      <w:r>
        <w:rPr/>
        <w:t>六、税项</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、主要税种及税率</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销售产品的增值额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以当期应纳流转税为税基计算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以当期应纳税所得额计算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16.50</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0"/>
        <w:rPr>
          <w:rFonts w:ascii="Tahoma" w:hAnsi="Tahoma" w:cs="Tahoma" w:eastAsia="Tahoma" w:hint="default"/>
          <w:sz w:val="20"/>
          <w:szCs w:val="20"/>
        </w:rPr>
      </w:pPr>
    </w:p>
    <w:p>
      <w:pPr>
        <w:spacing w:line="240" w:lineRule="auto" w:before="11"/>
        <w:rPr>
          <w:rFonts w:ascii="Tahoma" w:hAnsi="Tahoma" w:cs="Tahoma" w:eastAsia="Tahoma" w:hint="default"/>
          <w:sz w:val="10"/>
          <w:szCs w:val="10"/>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销售收入（台湾子公司）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984"/>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美盈森集团股份有限公司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重庆市美盈森环保包装工程有限公司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深圳市金之彩文化创意有限公司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美盈森（香港）国际控股有限公司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台湾美盈森有限公司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东莞市美芯龙物联网科技有限公司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武汉市美盈森环保科技有限公司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成都市美盈森环保科技有限公司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四川泸美供应链管理有限公司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小美集科技有限公司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美莲检测有限公司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东莞市美之兰环保科技有限公司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郑州市美盈森环保科技有限公司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天津美盈森智谷科技有限公司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长沙美盈森智谷科技有限公司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四川宜美供应链管理有限公司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佛山市美盈森绿谷科技有限公司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中大绿谷实业股份有限公司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湖南美盈森实业有限公司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美盈森智谷（苏州）包装技术有限公司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江苏美彩供应链管理有限公司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安徽美盈森智谷科技有限公司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苏州美盈森智谷科技有限公司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西安美盈森智谷科技有限公司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MYS GROUP (VIETNAM) </w:t>
            </w:r>
            <w:r>
              <w:rPr>
                <w:rFonts w:ascii="Times New Roman"/>
                <w:spacing w:val="-3"/>
                <w:sz w:val="18"/>
              </w:rPr>
              <w:t>COMPANY</w:t>
            </w:r>
            <w:r>
              <w:rPr>
                <w:rFonts w:ascii="Times New Roman"/>
                <w:spacing w:val="-20"/>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2</w:t>
      </w:r>
      <w:r>
        <w:rPr/>
        <w:t>、税收优惠</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572" w:right="984"/>
        <w:jc w:val="left"/>
      </w:pPr>
      <w:r>
        <w:rPr/>
        <w:t>根据国务院国发〔</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39</w:t>
      </w:r>
      <w:r>
        <w:rPr/>
        <w:t>号《关于实施企业所得税过渡优惠政策的通知》的规定，以及财政部、国家税务总局有关</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00" w:lineRule="auto" w:before="37"/>
        <w:ind w:right="1130"/>
        <w:jc w:val="both"/>
      </w:pPr>
      <w:r>
        <w:rPr>
          <w:spacing w:val="-1"/>
        </w:rPr>
        <w:t>政策规定，</w:t>
      </w:r>
      <w:r>
        <w:rPr>
          <w:rFonts w:ascii="Times New Roman" w:hAnsi="Times New Roman" w:cs="Times New Roman" w:eastAsia="Times New Roman" w:hint="default"/>
          <w:spacing w:val="-1"/>
        </w:rPr>
        <w:t>“</w:t>
      </w:r>
      <w:r>
        <w:rPr>
          <w:spacing w:val="-1"/>
        </w:rPr>
        <w:t>自</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日起，在新税法施行后</w:t>
      </w:r>
      <w:r>
        <w:rPr>
          <w:rFonts w:ascii="Times New Roman" w:hAnsi="Times New Roman" w:cs="Times New Roman" w:eastAsia="Times New Roman" w:hint="default"/>
          <w:spacing w:val="-1"/>
        </w:rPr>
        <w:t>5</w:t>
      </w:r>
      <w:r>
        <w:rPr>
          <w:spacing w:val="-1"/>
        </w:rPr>
        <w:t>年内逐步过渡到法定税率的规定</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2008-2012</w:t>
      </w:r>
      <w:r>
        <w:rPr>
          <w:spacing w:val="-1"/>
        </w:rPr>
        <w:t>年执行的企业所得税</w:t>
      </w:r>
      <w:r>
        <w:rPr>
          <w:spacing w:val="-67"/>
        </w:rPr>
        <w:t> </w:t>
      </w:r>
      <w:r>
        <w:rPr/>
        <w:t>率分别为</w:t>
      </w:r>
      <w:r>
        <w:rPr>
          <w:rFonts w:ascii="Times New Roman" w:hAnsi="Times New Roman" w:cs="Times New Roman" w:eastAsia="Times New Roman" w:hint="default"/>
        </w:rPr>
        <w:t>18%</w:t>
      </w:r>
      <w:r>
        <w:rPr/>
        <w:t>、</w:t>
      </w:r>
      <w:r>
        <w:rPr>
          <w:rFonts w:ascii="Times New Roman" w:hAnsi="Times New Roman" w:cs="Times New Roman" w:eastAsia="Times New Roman" w:hint="default"/>
        </w:rPr>
        <w:t>20%</w:t>
      </w:r>
      <w:r>
        <w:rPr/>
        <w:t>、</w:t>
      </w:r>
      <w:r>
        <w:rPr>
          <w:rFonts w:ascii="Times New Roman" w:hAnsi="Times New Roman" w:cs="Times New Roman" w:eastAsia="Times New Roman" w:hint="default"/>
        </w:rPr>
        <w:t>22%</w:t>
      </w:r>
      <w:r>
        <w:rPr/>
        <w:t>、</w:t>
      </w:r>
      <w:r>
        <w:rPr>
          <w:rFonts w:ascii="Times New Roman" w:hAnsi="Times New Roman" w:cs="Times New Roman" w:eastAsia="Times New Roman" w:hint="default"/>
        </w:rPr>
        <w:t>24%</w:t>
      </w:r>
      <w:r>
        <w:rPr/>
        <w:t>、</w:t>
      </w:r>
      <w:r>
        <w:rPr>
          <w:rFonts w:ascii="Times New Roman" w:hAnsi="Times New Roman" w:cs="Times New Roman" w:eastAsia="Times New Roman" w:hint="default"/>
        </w:rPr>
        <w:t>25%</w:t>
      </w:r>
      <w:r>
        <w:rPr/>
        <w:t>。</w:t>
      </w:r>
      <w:r>
        <w:rPr>
          <w:rFonts w:ascii="Times New Roman" w:hAnsi="Times New Roman" w:cs="Times New Roman" w:eastAsia="Times New Roman" w:hint="default"/>
        </w:rPr>
        <w:t>2009</w:t>
      </w:r>
      <w:r>
        <w:rPr/>
        <w:t>年，公司被认定为国家级高新技术企业，有效期三年。依据企业所得税法的</w:t>
      </w:r>
      <w:r>
        <w:rPr>
          <w:spacing w:val="-46"/>
        </w:rPr>
        <w:t> </w:t>
      </w:r>
      <w:r>
        <w:rPr>
          <w:spacing w:val="-46"/>
        </w:rPr>
      </w:r>
      <w:r>
        <w:rPr>
          <w:spacing w:val="-1"/>
        </w:rPr>
        <w:t>规定，</w:t>
      </w:r>
      <w:r>
        <w:rPr>
          <w:rFonts w:ascii="Times New Roman" w:hAnsi="Times New Roman" w:cs="Times New Roman" w:eastAsia="Times New Roman" w:hint="default"/>
          <w:spacing w:val="-1"/>
        </w:rPr>
        <w:t>2009-2011</w:t>
      </w:r>
      <w:r>
        <w:rPr>
          <w:spacing w:val="-1"/>
        </w:rPr>
        <w:t>年，本公司实际执行的企业所得税率为</w:t>
      </w:r>
      <w:r>
        <w:rPr>
          <w:rFonts w:ascii="Times New Roman" w:hAnsi="Times New Roman" w:cs="Times New Roman" w:eastAsia="Times New Roman" w:hint="default"/>
          <w:spacing w:val="-1"/>
        </w:rPr>
        <w:t>15%</w:t>
      </w:r>
      <w:r>
        <w:rPr>
          <w:spacing w:val="-1"/>
        </w:rPr>
        <w:t>。</w:t>
      </w:r>
      <w:r>
        <w:rPr>
          <w:rFonts w:ascii="Times New Roman" w:hAnsi="Times New Roman" w:cs="Times New Roman" w:eastAsia="Times New Roman" w:hint="default"/>
          <w:spacing w:val="-1"/>
        </w:rPr>
        <w:t>2012</w:t>
      </w:r>
      <w:r>
        <w:rPr>
          <w:spacing w:val="-1"/>
        </w:rPr>
        <w:t>年公司重新申请高新技术企业资质复审，并于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spacing w:val="-63"/>
        </w:rPr>
        <w:t> </w:t>
      </w:r>
      <w:r>
        <w:rPr>
          <w:rFonts w:ascii="Times New Roman" w:hAnsi="Times New Roman" w:cs="Times New Roman" w:eastAsia="Times New Roman" w:hint="default"/>
        </w:rPr>
        <w:t>12</w:t>
      </w:r>
      <w:r>
        <w:rPr/>
        <w:t>日取得证书，编号</w:t>
      </w:r>
      <w:r>
        <w:rPr>
          <w:rFonts w:ascii="Times New Roman" w:hAnsi="Times New Roman" w:cs="Times New Roman" w:eastAsia="Times New Roman" w:hint="default"/>
        </w:rPr>
        <w:t>GF201244200525</w:t>
      </w:r>
      <w:r>
        <w:rPr/>
        <w:t>，有效期三年，企业所得税优惠期为</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年公司重新申请高新技术</w:t>
      </w:r>
      <w:r>
        <w:rPr>
          <w:spacing w:val="-68"/>
        </w:rPr>
        <w:t> </w:t>
      </w:r>
      <w:r>
        <w:rPr>
          <w:spacing w:val="-68"/>
        </w:rPr>
      </w:r>
      <w:r>
        <w:rPr>
          <w:spacing w:val="-1"/>
        </w:rPr>
        <w:t>企业资质复审，并于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日取得证书，编号</w:t>
      </w:r>
      <w:r>
        <w:rPr>
          <w:rFonts w:ascii="Times New Roman" w:hAnsi="Times New Roman" w:cs="Times New Roman" w:eastAsia="Times New Roman" w:hint="default"/>
          <w:spacing w:val="-1"/>
        </w:rPr>
        <w:t>GR201544201258</w:t>
      </w:r>
      <w:r>
        <w:rPr>
          <w:spacing w:val="-1"/>
        </w:rPr>
        <w:t>，有效期三年，自</w:t>
      </w:r>
      <w:r>
        <w:rPr>
          <w:rFonts w:ascii="Times New Roman" w:hAnsi="Times New Roman" w:cs="Times New Roman" w:eastAsia="Times New Roman" w:hint="default"/>
          <w:spacing w:val="-1"/>
        </w:rPr>
        <w:t>2015</w:t>
      </w:r>
      <w:r>
        <w:rPr>
          <w:spacing w:val="-1"/>
        </w:rPr>
        <w:t>年至</w:t>
      </w:r>
      <w:r>
        <w:rPr>
          <w:rFonts w:ascii="Times New Roman" w:hAnsi="Times New Roman" w:cs="Times New Roman" w:eastAsia="Times New Roman" w:hint="default"/>
          <w:spacing w:val="-1"/>
        </w:rPr>
        <w:t>2017</w:t>
      </w:r>
      <w:r>
        <w:rPr>
          <w:spacing w:val="-1"/>
        </w:rPr>
        <w:t>年所得税按</w:t>
      </w:r>
      <w:r>
        <w:rPr>
          <w:rFonts w:ascii="Times New Roman" w:hAnsi="Times New Roman" w:cs="Times New Roman" w:eastAsia="Times New Roman" w:hint="default"/>
          <w:spacing w:val="-1"/>
        </w:rPr>
        <w:t>15%</w:t>
      </w:r>
      <w:r>
        <w:rPr>
          <w:spacing w:val="-1"/>
        </w:rPr>
        <w:t>计算缴</w:t>
      </w:r>
      <w:r>
        <w:rPr>
          <w:spacing w:val="-73"/>
        </w:rPr>
        <w:t> </w:t>
      </w:r>
      <w:r>
        <w:rPr/>
        <w:t>纳；</w:t>
      </w:r>
      <w:r>
        <w:rPr>
          <w:rFonts w:ascii="Times New Roman" w:hAnsi="Times New Roman" w:cs="Times New Roman" w:eastAsia="Times New Roman" w:hint="default"/>
        </w:rPr>
        <w:t>2018</w:t>
      </w:r>
      <w:r>
        <w:rPr/>
        <w:t>年公司重新申请高新技术企业资质复审，并于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日取得证书，编号</w:t>
      </w:r>
      <w:r>
        <w:rPr>
          <w:rFonts w:ascii="Times New Roman" w:hAnsi="Times New Roman" w:cs="Times New Roman" w:eastAsia="Times New Roman" w:hint="default"/>
        </w:rPr>
        <w:t>GR201844205261</w:t>
      </w:r>
      <w:r>
        <w:rPr/>
        <w:t>，有效期三年，自</w:t>
      </w:r>
      <w:r>
        <w:rPr>
          <w:spacing w:val="-84"/>
        </w:rPr>
        <w:t> </w:t>
      </w:r>
      <w:r>
        <w:rPr>
          <w:spacing w:val="-84"/>
        </w:rPr>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年所得税按</w:t>
      </w:r>
      <w:r>
        <w:rPr>
          <w:rFonts w:ascii="Times New Roman" w:hAnsi="Times New Roman" w:cs="Times New Roman" w:eastAsia="Times New Roman" w:hint="default"/>
        </w:rPr>
        <w:t>15%</w:t>
      </w:r>
      <w:r>
        <w:rPr/>
        <w:t>计算缴纳。</w:t>
      </w:r>
    </w:p>
    <w:p>
      <w:pPr>
        <w:pStyle w:val="BodyText"/>
        <w:spacing w:line="300" w:lineRule="auto" w:before="133"/>
        <w:ind w:right="1034" w:firstLine="420"/>
        <w:jc w:val="left"/>
      </w:pPr>
      <w:r>
        <w:rPr/>
        <w:t>子公司</w:t>
      </w:r>
      <w:r>
        <w:rPr>
          <w:rFonts w:ascii="Times New Roman" w:hAnsi="Times New Roman" w:cs="Times New Roman" w:eastAsia="Times New Roman" w:hint="default"/>
        </w:rPr>
        <w:t>“</w:t>
      </w:r>
      <w:r>
        <w:rPr/>
        <w:t>东莞市美盈森环保科技有限公司</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日被认定为国家高新技术企业，编号</w:t>
      </w:r>
      <w:r>
        <w:rPr>
          <w:rFonts w:ascii="Times New Roman" w:hAnsi="Times New Roman" w:cs="Times New Roman" w:eastAsia="Times New Roman" w:hint="default"/>
        </w:rPr>
        <w:t>GR201444000733</w:t>
      </w:r>
      <w:r>
        <w:rPr/>
        <w:t>，有效期 三年，企业所得税优惠期为</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2017</w:t>
      </w:r>
      <w:r>
        <w:rPr/>
        <w:t>年公司重新申请高新技术企业资质复审，并于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日取得证书， 编号</w:t>
      </w:r>
      <w:r>
        <w:rPr>
          <w:rFonts w:ascii="Times New Roman" w:hAnsi="Times New Roman" w:cs="Times New Roman" w:eastAsia="Times New Roman" w:hint="default"/>
        </w:rPr>
        <w:t>GR201744008258</w:t>
      </w:r>
      <w:r>
        <w:rPr/>
        <w:t>，有效期三年，自</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年所得税按</w:t>
      </w:r>
      <w:r>
        <w:rPr>
          <w:rFonts w:ascii="Times New Roman" w:hAnsi="Times New Roman" w:cs="Times New Roman" w:eastAsia="Times New Roman" w:hint="default"/>
        </w:rPr>
        <w:t>15%</w:t>
      </w:r>
      <w:r>
        <w:rPr/>
        <w:t>计算缴纳。</w:t>
      </w:r>
    </w:p>
    <w:p>
      <w:pPr>
        <w:pStyle w:val="BodyText"/>
        <w:spacing w:line="300" w:lineRule="auto" w:before="133"/>
        <w:ind w:right="1132" w:firstLine="420"/>
        <w:jc w:val="both"/>
      </w:pPr>
      <w:r>
        <w:rPr>
          <w:spacing w:val="-1"/>
        </w:rPr>
        <w:t>子公司</w:t>
      </w:r>
      <w:r>
        <w:rPr>
          <w:rFonts w:ascii="Times New Roman" w:hAnsi="Times New Roman" w:cs="Times New Roman" w:eastAsia="Times New Roman" w:hint="default"/>
          <w:spacing w:val="-1"/>
        </w:rPr>
        <w:t>“</w:t>
      </w:r>
      <w:r>
        <w:rPr>
          <w:spacing w:val="-1"/>
        </w:rPr>
        <w:t>苏州美盈森环保科技有限公司</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日被认定为国家高新技术企业，编号</w:t>
      </w:r>
      <w:r>
        <w:rPr>
          <w:rFonts w:ascii="Times New Roman" w:hAnsi="Times New Roman" w:cs="Times New Roman" w:eastAsia="Times New Roman" w:hint="default"/>
          <w:spacing w:val="-2"/>
        </w:rPr>
        <w:t>GR201432002227</w:t>
      </w:r>
      <w:r>
        <w:rPr>
          <w:spacing w:val="-2"/>
        </w:rPr>
        <w:t>，有效期三</w:t>
      </w:r>
      <w:r>
        <w:rPr/>
        <w:t> 年，企业所得税优惠期为</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2017</w:t>
      </w:r>
      <w:r>
        <w:rPr/>
        <w:t>年公司重新申请高新技术企业资质复审，并于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日取得证书，编 号</w:t>
      </w:r>
      <w:r>
        <w:rPr>
          <w:rFonts w:ascii="Times New Roman" w:hAnsi="Times New Roman" w:cs="Times New Roman" w:eastAsia="Times New Roman" w:hint="default"/>
        </w:rPr>
        <w:t>GR201732003893</w:t>
      </w:r>
      <w:r>
        <w:rPr/>
        <w:t>，有效期三年，自</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年所得税按</w:t>
      </w:r>
      <w:r>
        <w:rPr>
          <w:rFonts w:ascii="Times New Roman" w:hAnsi="Times New Roman" w:cs="Times New Roman" w:eastAsia="Times New Roman" w:hint="default"/>
        </w:rPr>
        <w:t>15%</w:t>
      </w:r>
      <w:r>
        <w:rPr/>
        <w:t>计算缴纳。</w:t>
      </w:r>
    </w:p>
    <w:p>
      <w:pPr>
        <w:pStyle w:val="BodyText"/>
        <w:spacing w:line="300" w:lineRule="auto" w:before="133"/>
        <w:ind w:right="984" w:firstLine="420"/>
        <w:jc w:val="left"/>
      </w:pPr>
      <w:r>
        <w:rPr>
          <w:spacing w:val="-1"/>
        </w:rPr>
        <w:t>子公司</w:t>
      </w:r>
      <w:r>
        <w:rPr>
          <w:rFonts w:ascii="Times New Roman" w:hAnsi="Times New Roman" w:cs="Times New Roman" w:eastAsia="Times New Roman" w:hint="default"/>
          <w:spacing w:val="-1"/>
        </w:rPr>
        <w:t>“</w:t>
      </w:r>
      <w:r>
        <w:rPr>
          <w:spacing w:val="-1"/>
        </w:rPr>
        <w:t>东莞市美芯龙物联网科技有限公司</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日被认定为国家高新技术企业，编号</w:t>
      </w:r>
      <w:r>
        <w:rPr>
          <w:rFonts w:ascii="Times New Roman" w:hAnsi="Times New Roman" w:cs="Times New Roman" w:eastAsia="Times New Roman" w:hint="default"/>
          <w:spacing w:val="-1"/>
        </w:rPr>
        <w:t>GR201644001621</w:t>
      </w:r>
      <w:r>
        <w:rPr>
          <w:spacing w:val="-1"/>
        </w:rPr>
        <w:t>，有效</w:t>
      </w:r>
      <w:r>
        <w:rPr/>
        <w:t> 期三年，自</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年所得税按</w:t>
      </w:r>
      <w:r>
        <w:rPr>
          <w:rFonts w:ascii="Times New Roman" w:hAnsi="Times New Roman" w:cs="Times New Roman" w:eastAsia="Times New Roman" w:hint="default"/>
        </w:rPr>
        <w:t>15%</w:t>
      </w:r>
      <w:r>
        <w:rPr/>
        <w:t>计算缴纳。</w:t>
      </w:r>
    </w:p>
    <w:p>
      <w:pPr>
        <w:pStyle w:val="BodyText"/>
        <w:spacing w:line="300" w:lineRule="auto" w:before="133"/>
        <w:ind w:right="1087" w:firstLine="420"/>
        <w:jc w:val="both"/>
      </w:pPr>
      <w:r>
        <w:rPr/>
        <w:t>子公司 </w:t>
      </w:r>
      <w:r>
        <w:rPr>
          <w:rFonts w:ascii="Times New Roman" w:hAnsi="Times New Roman" w:cs="Times New Roman" w:eastAsia="Times New Roman" w:hint="default"/>
        </w:rPr>
        <w:t>“</w:t>
      </w:r>
      <w:r>
        <w:rPr/>
        <w:t>中山市美盈森环保科技有限公司</w:t>
      </w:r>
      <w:r>
        <w:rPr>
          <w:rFonts w:ascii="Times New Roman" w:hAnsi="Times New Roman" w:cs="Times New Roman" w:eastAsia="Times New Roman" w:hint="default"/>
        </w:rPr>
        <w:t>”</w:t>
      </w:r>
      <w:r>
        <w:rPr/>
        <w:t>、</w:t>
      </w:r>
      <w:r>
        <w:rPr>
          <w:spacing w:val="-42"/>
        </w:rPr>
        <w:t> </w:t>
      </w:r>
      <w:r>
        <w:rPr>
          <w:rFonts w:ascii="Times New Roman" w:hAnsi="Times New Roman" w:cs="Times New Roman" w:eastAsia="Times New Roman" w:hint="default"/>
        </w:rPr>
        <w:t>“</w:t>
      </w:r>
      <w:r>
        <w:rPr/>
        <w:t>武汉市美盈森环保科技有限公司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成都市美盈森环保科技有限公司</w:t>
      </w:r>
      <w:r>
        <w:rPr>
          <w:rFonts w:ascii="Times New Roman" w:hAnsi="Times New Roman" w:cs="Times New Roman" w:eastAsia="Times New Roman" w:hint="default"/>
        </w:rPr>
        <w:t>”</w:t>
      </w:r>
      <w:r>
        <w:rPr/>
        <w:t>、 </w:t>
      </w:r>
      <w:r>
        <w:rPr>
          <w:rFonts w:ascii="Times New Roman" w:hAnsi="Times New Roman" w:cs="Times New Roman" w:eastAsia="Times New Roman" w:hint="default"/>
        </w:rPr>
        <w:t>“</w:t>
      </w:r>
      <w:r>
        <w:rPr/>
        <w:t>郑州市美盈森环保科技有限公司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天津美盈森智谷科技有限公司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长沙美盈森智谷科技有限公司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四川泸美供应链</w:t>
      </w:r>
      <w:r>
        <w:rPr>
          <w:spacing w:val="-37"/>
        </w:rPr>
        <w:t> </w:t>
      </w:r>
      <w:r>
        <w:rPr>
          <w:spacing w:val="-37"/>
        </w:rPr>
      </w:r>
      <w:r>
        <w:rPr/>
        <w:t>管理有限公司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小美集科技有限公司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美莲检测有限公司</w:t>
      </w:r>
      <w:r>
        <w:rPr>
          <w:rFonts w:ascii="Times New Roman" w:hAnsi="Times New Roman" w:cs="Times New Roman" w:eastAsia="Times New Roman" w:hint="default"/>
        </w:rPr>
        <w:t>”</w:t>
      </w:r>
      <w:r>
        <w:rPr/>
        <w:t>等公司企业所得税税率均为</w:t>
      </w:r>
      <w:r>
        <w:rPr>
          <w:rFonts w:ascii="Times New Roman" w:hAnsi="Times New Roman" w:cs="Times New Roman" w:eastAsia="Times New Roman" w:hint="default"/>
        </w:rPr>
        <w:t>25%</w:t>
      </w:r>
      <w:r>
        <w:rPr/>
        <w:t>。</w:t>
      </w:r>
    </w:p>
    <w:p>
      <w:pPr>
        <w:pStyle w:val="BodyText"/>
        <w:spacing w:line="240" w:lineRule="auto" w:before="133"/>
        <w:ind w:left="572" w:right="984"/>
        <w:jc w:val="left"/>
      </w:pPr>
      <w:r>
        <w:rPr/>
        <w:t>子公司</w:t>
      </w:r>
      <w:r>
        <w:rPr>
          <w:rFonts w:ascii="Times New Roman" w:hAnsi="Times New Roman" w:cs="Times New Roman" w:eastAsia="Times New Roman" w:hint="default"/>
        </w:rPr>
        <w:t>“</w:t>
      </w:r>
      <w:r>
        <w:rPr/>
        <w:t>重庆市美盈森环保包装工程有限公司</w:t>
      </w:r>
      <w:r>
        <w:rPr>
          <w:rFonts w:ascii="Times New Roman" w:hAnsi="Times New Roman" w:cs="Times New Roman" w:eastAsia="Times New Roman" w:hint="default"/>
        </w:rPr>
        <w:t>”</w:t>
      </w:r>
      <w:r>
        <w:rPr/>
        <w:t>因地处西部大开发区域，享受</w:t>
      </w:r>
      <w:r>
        <w:rPr>
          <w:rFonts w:ascii="Times New Roman" w:hAnsi="Times New Roman" w:cs="Times New Roman" w:eastAsia="Times New Roman" w:hint="default"/>
        </w:rPr>
        <w:t>15%</w:t>
      </w:r>
      <w:r>
        <w:rPr/>
        <w:t>的企业所得税优惠税率。</w:t>
      </w:r>
    </w:p>
    <w:p>
      <w:pPr>
        <w:spacing w:line="240" w:lineRule="auto" w:before="13"/>
        <w:rPr>
          <w:rFonts w:ascii="宋体" w:hAnsi="宋体" w:cs="宋体" w:eastAsia="宋体" w:hint="default"/>
          <w:sz w:val="13"/>
          <w:szCs w:val="13"/>
        </w:rPr>
      </w:pPr>
    </w:p>
    <w:p>
      <w:pPr>
        <w:pStyle w:val="BodyText"/>
        <w:spacing w:line="300" w:lineRule="auto"/>
        <w:ind w:right="984" w:firstLine="420"/>
        <w:jc w:val="left"/>
      </w:pPr>
      <w:r>
        <w:rPr>
          <w:spacing w:val="-1"/>
        </w:rPr>
        <w:t>子公司</w:t>
      </w:r>
      <w:r>
        <w:rPr>
          <w:rFonts w:ascii="Times New Roman" w:hAnsi="Times New Roman" w:cs="Times New Roman" w:eastAsia="Times New Roman" w:hint="default"/>
          <w:spacing w:val="-1"/>
        </w:rPr>
        <w:t>“</w:t>
      </w:r>
      <w:r>
        <w:rPr>
          <w:spacing w:val="-1"/>
        </w:rPr>
        <w:t>深圳市金之彩文化创意有限公司</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22</w:t>
      </w:r>
      <w:r>
        <w:rPr>
          <w:spacing w:val="-2"/>
        </w:rPr>
        <w:t>日被认定为高新技术企业，有效期三年，</w:t>
      </w:r>
      <w:r>
        <w:rPr>
          <w:rFonts w:ascii="Times New Roman" w:hAnsi="Times New Roman" w:cs="Times New Roman" w:eastAsia="Times New Roman" w:hint="default"/>
          <w:spacing w:val="-2"/>
        </w:rPr>
        <w:t>2016</w:t>
      </w:r>
      <w:r>
        <w:rPr>
          <w:spacing w:val="-2"/>
        </w:rPr>
        <w:t>年公司重新申请高</w:t>
      </w:r>
      <w:r>
        <w:rPr/>
        <w:t> 新技术企业资质复审，并于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日取得证书，编号</w:t>
      </w:r>
      <w:r>
        <w:rPr>
          <w:rFonts w:ascii="Times New Roman" w:hAnsi="Times New Roman" w:cs="Times New Roman" w:eastAsia="Times New Roman" w:hint="default"/>
        </w:rPr>
        <w:t>GR201644203451</w:t>
      </w:r>
      <w:r>
        <w:rPr/>
        <w:t>，自</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年所得税按</w:t>
      </w:r>
      <w:r>
        <w:rPr>
          <w:rFonts w:ascii="Times New Roman" w:hAnsi="Times New Roman" w:cs="Times New Roman" w:eastAsia="Times New Roman" w:hint="default"/>
        </w:rPr>
        <w:t>15%</w:t>
      </w:r>
      <w:r>
        <w:rPr/>
        <w:t>计算缴纳。</w:t>
      </w:r>
    </w:p>
    <w:p>
      <w:pPr>
        <w:pStyle w:val="BodyText"/>
        <w:spacing w:line="300" w:lineRule="auto" w:before="133"/>
        <w:ind w:right="1035" w:firstLine="420"/>
        <w:jc w:val="left"/>
      </w:pPr>
      <w:r>
        <w:rPr>
          <w:spacing w:val="-1"/>
        </w:rPr>
        <w:t>根据香港特别行政区相关的税收政策规定，子公司</w:t>
      </w:r>
      <w:r>
        <w:rPr>
          <w:rFonts w:ascii="Times New Roman" w:hAnsi="Times New Roman" w:cs="Times New Roman" w:eastAsia="Times New Roman" w:hint="default"/>
          <w:spacing w:val="-1"/>
        </w:rPr>
        <w:t>“</w:t>
      </w:r>
      <w:r>
        <w:rPr>
          <w:spacing w:val="-1"/>
        </w:rPr>
        <w:t>美盈森（香港）国际控股有限公司</w:t>
      </w:r>
      <w:r>
        <w:rPr>
          <w:rFonts w:ascii="Times New Roman" w:hAnsi="Times New Roman" w:cs="Times New Roman" w:eastAsia="Times New Roman" w:hint="default"/>
          <w:spacing w:val="-1"/>
        </w:rPr>
        <w:t>”</w:t>
      </w:r>
      <w:r>
        <w:rPr>
          <w:spacing w:val="-1"/>
        </w:rPr>
        <w:t>只按</w:t>
      </w:r>
      <w:r>
        <w:rPr>
          <w:rFonts w:ascii="Times New Roman" w:hAnsi="Times New Roman" w:cs="Times New Roman" w:eastAsia="Times New Roman" w:hint="default"/>
          <w:spacing w:val="-1"/>
        </w:rPr>
        <w:t>16.50%</w:t>
      </w:r>
      <w:r>
        <w:rPr>
          <w:spacing w:val="-1"/>
        </w:rPr>
        <w:t>的税率计缴利得税，</w:t>
      </w:r>
      <w:r>
        <w:rPr/>
        <w:t> 无需缴纳其他税费。</w:t>
      </w:r>
    </w:p>
    <w:p>
      <w:pPr>
        <w:pStyle w:val="BodyText"/>
        <w:spacing w:line="240" w:lineRule="auto" w:before="151"/>
        <w:ind w:left="603" w:right="984"/>
        <w:jc w:val="left"/>
      </w:pPr>
      <w:r>
        <w:rPr/>
        <w:t>香港美盈森下属子公司台湾美盈森营利事业所得税率</w:t>
      </w:r>
      <w:r>
        <w:rPr>
          <w:rFonts w:ascii="Times New Roman" w:hAnsi="Times New Roman" w:cs="Times New Roman" w:eastAsia="Times New Roman" w:hint="default"/>
        </w:rPr>
        <w:t>17%</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Heading3"/>
        <w:spacing w:line="240" w:lineRule="auto"/>
        <w:ind w:right="0"/>
        <w:jc w:val="both"/>
        <w:rPr>
          <w:rFonts w:ascii="Tahoma" w:hAnsi="Tahoma" w:cs="Tahoma" w:eastAsia="Tahoma" w:hint="default"/>
        </w:rPr>
      </w:pPr>
      <w:r>
        <w:rPr>
          <w:rFonts w:ascii="Tahoma" w:hAnsi="Tahoma" w:cs="Tahoma" w:eastAsia="Tahoma" w:hint="default"/>
        </w:rPr>
        <w:t>3</w:t>
      </w:r>
      <w:r>
        <w:rPr/>
        <w:t>、其他</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both"/>
      </w:pPr>
      <w:r>
        <w:rPr/>
        <w:t>本公司其他税项按国家有关规定缴纳。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pStyle w:val="Heading2"/>
        <w:spacing w:line="240" w:lineRule="auto"/>
        <w:ind w:right="0"/>
        <w:jc w:val="both"/>
        <w:rPr>
          <w:rFonts w:ascii="Tahoma" w:hAnsi="Tahoma" w:cs="Tahoma" w:eastAsia="Tahoma" w:hint="default"/>
        </w:rPr>
      </w:pPr>
      <w:r>
        <w:rPr/>
        <w:t>七、合并财务报表项目注释</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0"/>
        <w:jc w:val="both"/>
        <w:rPr>
          <w:rFonts w:ascii="Tahoma" w:hAnsi="Tahoma" w:cs="Tahoma" w:eastAsia="Tahoma" w:hint="default"/>
        </w:rPr>
      </w:pPr>
      <w:r>
        <w:rPr>
          <w:rFonts w:ascii="Tahoma" w:hAnsi="Tahoma" w:cs="Tahoma" w:eastAsia="Tahoma" w:hint="default"/>
        </w:rPr>
        <w:t>1</w:t>
      </w:r>
      <w:r>
        <w:rPr/>
        <w:t>、货币资金</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597,925.67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1,003,533.68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983,843,706.57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2,044,074,965.67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5,069,868.58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108,218,710.60</w:t>
            </w:r>
          </w:p>
        </w:tc>
      </w:tr>
    </w:tbl>
    <w:p>
      <w:pPr>
        <w:spacing w:after="0" w:line="240" w:lineRule="auto"/>
        <w:jc w:val="right"/>
        <w:rPr>
          <w:rFonts w:ascii="Times New Roman" w:hAnsi="Times New Roman" w:cs="Times New Roman" w:eastAsia="Times New Roman" w:hint="default"/>
          <w:sz w:val="18"/>
          <w:szCs w:val="18"/>
        </w:rPr>
        <w:sectPr>
          <w:footerReference w:type="default" r:id="rId27"/>
          <w:pgSz w:w="11910" w:h="16840"/>
          <w:pgMar w:footer="982" w:header="753" w:top="1060" w:bottom="1180" w:left="980" w:right="0"/>
          <w:pgNumType w:start="13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989,511,500.82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2,153,297,209.95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68,457,875.62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19,587,931.43</w:t>
            </w:r>
          </w:p>
        </w:tc>
      </w:tr>
    </w:tbl>
    <w:p>
      <w:pPr>
        <w:pStyle w:val="BodyText"/>
        <w:spacing w:line="357" w:lineRule="auto" w:before="49"/>
        <w:ind w:right="1003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w:t>
      </w:r>
      <w:r>
        <w:rPr/>
        <w:t>、衍生金融资产</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w:t>
      </w:r>
      <w:r>
        <w:rPr/>
        <w:t>、应收票据及应收账款</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82,564,300.79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49,895,560.78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998,117,661.52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862,931,335.28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1,080,681,962.31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912,826,896.06</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1</w:t>
      </w:r>
      <w:r>
        <w:rPr/>
        <w:t>）应收票据</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82,564,300.79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49,895,560.78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82,564,300.79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49,895,560.78</w:t>
            </w:r>
          </w:p>
        </w:tc>
      </w:tr>
    </w:tbl>
    <w:p>
      <w:pPr>
        <w:pStyle w:val="BodyText"/>
        <w:spacing w:line="240" w:lineRule="auto" w:before="49"/>
        <w:ind w:right="984"/>
        <w:jc w:val="left"/>
      </w:pPr>
      <w:r>
        <w:rPr>
          <w:rFonts w:ascii="Times New Roman" w:hAnsi="Times New Roman" w:cs="Times New Roman" w:eastAsia="Times New Roman" w:hint="default"/>
        </w:rPr>
        <w:t>2)</w:t>
      </w:r>
      <w:r>
        <w:rPr/>
        <w:t>期末公司已质押的应收票据</w:t>
      </w:r>
    </w:p>
    <w:p>
      <w:pPr>
        <w:pStyle w:val="BodyText"/>
        <w:spacing w:line="240" w:lineRule="auto" w:before="101"/>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15pt;mso-position-horizontal-relative:char;mso-position-vertical-relative:line" coordorigin="0,0" coordsize="9584,423">
            <v:group style="position:absolute;left:17;top:14;width:4774;height:392" coordorigin="17,14" coordsize="4774,392">
              <v:shape style="position:absolute;left:17;top:14;width:4774;height:392" coordorigin="17,14" coordsize="4774,392" path="m17,14l4790,14,4790,406,17,406,17,14xe" filled="true" fillcolor="#d3d3d3" stroked="false">
                <v:path arrowok="t"/>
                <v:fill type="solid"/>
              </v:shape>
            </v:group>
            <v:group style="position:absolute;left:4800;top:14;width:4774;height:392" coordorigin="4800,14" coordsize="4774,392">
              <v:shape style="position:absolute;left:4800;top:14;width:4774;height:392" coordorigin="4800,14" coordsize="4774,392" path="m4800,14l9574,14,9574,406,4800,406,4800,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80011pt" strokecolor="#000000">
                <v:path arrowok="t"/>
              </v:shape>
            </v:group>
            <v:group style="position:absolute;left:10;top:14;width:2;height:404" coordorigin="10,14" coordsize="2,404">
              <v:shape style="position:absolute;left:10;top:14;width:2;height:404" coordorigin="10,14" coordsize="0,404" path="m10,14l10,418e" filled="false" stroked="true" strokeweight=".479999pt" strokecolor="#000000">
                <v:path arrowok="t"/>
              </v:shape>
            </v:group>
            <v:group style="position:absolute;left:5;top:413;width:4784;height:2" coordorigin="5,413" coordsize="4784,2">
              <v:shape style="position:absolute;left:5;top:413;width:4784;height:2" coordorigin="5,413" coordsize="4784,0" path="m5,413l4788,413e" filled="false" stroked="true" strokeweight=".480011pt" strokecolor="#000000">
                <v:path arrowok="t"/>
              </v:shape>
            </v:group>
            <v:group style="position:absolute;left:4793;top:14;width:2;height:404" coordorigin="4793,14" coordsize="2,404">
              <v:shape style="position:absolute;left:4793;top:14;width:2;height:404" coordorigin="4793,14" coordsize="0,404" path="m4793,14l4793,418e" filled="false" stroked="true" strokeweight=".48001pt" strokecolor="#000000">
                <v:path arrowok="t"/>
              </v:shape>
            </v:group>
            <v:group style="position:absolute;left:4798;top:413;width:4776;height:2" coordorigin="4798,413" coordsize="4776,2">
              <v:shape style="position:absolute;left:4798;top:413;width:4776;height:2" coordorigin="4798,413" coordsize="4776,0" path="m4798,413l9574,413e" filled="false" stroked="true" strokeweight=".480011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80011pt" strokecolor="#000000">
                <v:path arrowok="t"/>
              </v:shape>
              <v:shape style="position:absolute;left:2222;top:126;width:360;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3;top:10;width:4786;height:402"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984"/>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58,481,888.17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58,481,888.17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4"/>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3"/>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15pt;mso-position-horizontal-relative:char;mso-position-vertical-relative:line" coordorigin="0,0" coordsize="9584,423">
            <v:group style="position:absolute;left:17;top:14;width:4774;height:394" coordorigin="17,14" coordsize="4774,394">
              <v:shape style="position:absolute;left:17;top:14;width:4774;height:394" coordorigin="17,14" coordsize="4774,394" path="m17,14l4790,14,4790,408,17,408,17,14xe" filled="true" fillcolor="#d3d3d3" stroked="false">
                <v:path arrowok="t"/>
                <v:fill type="solid"/>
              </v:shape>
            </v:group>
            <v:group style="position:absolute;left:4800;top:14;width:4774;height:394" coordorigin="4800,14" coordsize="4774,394">
              <v:shape style="position:absolute;left:4800;top:14;width:4774;height:394" coordorigin="4800,14" coordsize="4774,394" path="m4800,14l9574,14,9574,408,4800,408,4800,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79966pt" strokecolor="#000000">
                <v:path arrowok="t"/>
              </v:shape>
            </v:group>
            <v:group style="position:absolute;left:10;top:14;width:2;height:404" coordorigin="10,14" coordsize="2,404">
              <v:shape style="position:absolute;left:10;top:14;width:2;height:404" coordorigin="10,14" coordsize="0,404" path="m10,14l10,418e" filled="false" stroked="true" strokeweight=".479999pt" strokecolor="#000000">
                <v:path arrowok="t"/>
              </v:shape>
            </v:group>
            <v:group style="position:absolute;left:5;top:413;width:4784;height:2" coordorigin="5,413" coordsize="4784,2">
              <v:shape style="position:absolute;left:5;top:413;width:4784;height:2" coordorigin="5,413" coordsize="4784,0" path="m5,413l4788,413e" filled="false" stroked="true" strokeweight=".480011pt" strokecolor="#000000">
                <v:path arrowok="t"/>
              </v:shape>
            </v:group>
            <v:group style="position:absolute;left:4793;top:14;width:2;height:404" coordorigin="4793,14" coordsize="2,404">
              <v:shape style="position:absolute;left:4793;top:14;width:2;height:404" coordorigin="4793,14" coordsize="0,404" path="m4793,14l4793,418e" filled="false" stroked="true" strokeweight=".48001pt" strokecolor="#000000">
                <v:path arrowok="t"/>
              </v:shape>
            </v:group>
            <v:group style="position:absolute;left:4798;top:413;width:4776;height:2" coordorigin="4798,413" coordsize="4776,2">
              <v:shape style="position:absolute;left:4798;top:413;width:4776;height:2" coordorigin="4798,413" coordsize="4776,0" path="m4798,413l9574,413e" filled="false" stroked="true" strokeweight=".480011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80011pt" strokecolor="#000000">
                <v:path arrowok="t"/>
              </v:shape>
              <v:shape style="position:absolute;left:2222;top:126;width:360;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3;top:10;width:4786;height:404" type="#_x0000_t202" filled="false" stroked="false">
                <v:textbox inset="0,0,0,0">
                  <w:txbxContent>
                    <w:p>
                      <w:pPr>
                        <w:spacing w:before="53"/>
                        <w:ind w:left="1581"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10034"/>
        <w:jc w:val="left"/>
      </w:pPr>
      <w:r>
        <w:rPr/>
        <w:t>其他说明 无</w:t>
      </w:r>
    </w:p>
    <w:p>
      <w:pPr>
        <w:spacing w:after="0" w:line="357" w:lineRule="auto"/>
        <w:jc w:val="left"/>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）应收账款</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4,996,83</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4.14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4,996,83</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4.14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1,066,57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0,195.30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68,452,5</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33.78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998,117,6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61.52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917,356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,267.26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99.63%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54,425,49</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5.72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862,930,77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1.54</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3,435,34</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3.79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3,435,34</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3.79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3,439,1</w:t>
            </w:r>
          </w:p>
          <w:p>
            <w:pPr>
              <w:pStyle w:val="TableParagraph"/>
              <w:spacing w:line="240" w:lineRule="auto" w:before="102"/>
              <w:ind w:left="198" w:right="0"/>
              <w:jc w:val="center"/>
              <w:rPr>
                <w:rFonts w:ascii="Times New Roman" w:hAnsi="Times New Roman" w:cs="Times New Roman" w:eastAsia="Times New Roman" w:hint="default"/>
                <w:sz w:val="18"/>
                <w:szCs w:val="18"/>
              </w:rPr>
            </w:pPr>
            <w:r>
              <w:rPr>
                <w:rFonts w:ascii="Times New Roman"/>
                <w:sz w:val="18"/>
              </w:rPr>
              <w:t>71.89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0.37%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3,438,608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99.98%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563.74</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1,075,00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2,373.23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76,884,7</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11.71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998,117,6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61.52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920,795</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,439.15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57,864,10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3.87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862,931,33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5.28</w:t>
            </w:r>
          </w:p>
        </w:tc>
      </w:tr>
    </w:tbl>
    <w:p>
      <w:pPr>
        <w:spacing w:after="0" w:line="240" w:lineRule="auto"/>
        <w:jc w:val="left"/>
        <w:rPr>
          <w:rFonts w:ascii="Times New Roman" w:hAnsi="Times New Roman" w:cs="Times New Roman" w:eastAsia="Times New Roman" w:hint="default"/>
          <w:sz w:val="18"/>
          <w:szCs w:val="18"/>
        </w:rPr>
        <w:sectPr>
          <w:pgSz w:w="11910" w:h="16840"/>
          <w:pgMar w:header="753" w:footer="982" w:top="1060" w:bottom="1180" w:left="980" w:right="0"/>
        </w:sectPr>
      </w:pPr>
    </w:p>
    <w:p>
      <w:pPr>
        <w:pStyle w:val="BodyText"/>
        <w:spacing w:line="240" w:lineRule="auto" w:before="49"/>
        <w:ind w:right="-20"/>
        <w:jc w:val="left"/>
      </w:pPr>
      <w:r>
        <w:rPr/>
        <w:t>期末单项金额重大并单项计提坏账准备的应收账款：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293" w:space="4534"/>
            <w:col w:w="2103"/>
          </w:cols>
        </w:sectPr>
      </w:pP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遵义市盛发实业有限公 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4,996,834.14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4,996,834.14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债务人宣告破产，预计 收回可能性较小</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4,996,834.14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4,996,834.14</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0"/>
        </w:sectPr>
      </w:pPr>
    </w:p>
    <w:p>
      <w:pPr>
        <w:pStyle w:val="BodyText"/>
        <w:spacing w:line="240" w:lineRule="auto" w:before="49"/>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113" w:space="4714"/>
            <w:col w:w="2103"/>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1,030,438,231.57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51,507,297.12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1,030,438,231.57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51,507,297.12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17,112,215.31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1,711,221.53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3,847,201.42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1,154,160.42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2,185,384.59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1,092,692.30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12,987,162.41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12,987,162.41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1,066,570,195.30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68,452,533.78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w:t>
            </w:r>
          </w:p>
        </w:tc>
      </w:tr>
    </w:tbl>
    <w:p>
      <w:pPr>
        <w:pStyle w:val="BodyText"/>
        <w:spacing w:line="357" w:lineRule="auto" w:before="49"/>
        <w:ind w:right="8774"/>
        <w:jc w:val="left"/>
      </w:pPr>
      <w:r>
        <w:rPr/>
        <w:t>确定该组合依据的说明： 无</w:t>
      </w:r>
    </w:p>
    <w:p>
      <w:pPr>
        <w:pStyle w:val="BodyText"/>
        <w:spacing w:line="240" w:lineRule="auto" w:before="29"/>
        <w:ind w:right="984"/>
        <w:jc w:val="left"/>
      </w:pPr>
      <w:r>
        <w:rPr/>
        <w:t>组合中，采用余额百分比法计提坏账准备的应收账款：</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组合中，采用其他方法计提坏账准备的应收账款：</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551"/>
        <w:gridCol w:w="1598"/>
        <w:gridCol w:w="1330"/>
        <w:gridCol w:w="1536"/>
        <w:gridCol w:w="1694"/>
        <w:gridCol w:w="1145"/>
      </w:tblGrid>
      <w:tr>
        <w:trPr>
          <w:trHeight w:val="346" w:hRule="exact"/>
        </w:trPr>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20" w:right="0"/>
              <w:jc w:val="left"/>
              <w:rPr>
                <w:rFonts w:ascii="宋体" w:hAnsi="宋体" w:cs="宋体" w:eastAsia="宋体" w:hint="default"/>
                <w:sz w:val="18"/>
                <w:szCs w:val="18"/>
              </w:rPr>
            </w:pPr>
            <w:r>
              <w:rPr>
                <w:rFonts w:ascii="宋体" w:hAnsi="宋体" w:cs="宋体" w:eastAsia="宋体" w:hint="default"/>
                <w:sz w:val="18"/>
                <w:szCs w:val="18"/>
              </w:rPr>
              <w:t>债务人名称</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8" w:hRule="exact"/>
        </w:trPr>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成都三叶鞋业有限公司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362,437.54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362,437.54</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6" w:hRule="exact"/>
        </w:trPr>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成都双流新得亿鞋业有限公司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231,638.49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231,638.49</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8" w:hRule="exact"/>
        </w:trPr>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成都市嘉妮诺鞋业有限公司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219,512.12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219,512.12</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8" w:hRule="exact"/>
        </w:trPr>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深圳市金鸿彩包装制品有限公司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210,710.50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210,710.50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6" w:hRule="exact"/>
        </w:trPr>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常德武陵酿酒有限公司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193,810.26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193,810.26</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年以上</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8" w:hRule="exact"/>
        </w:trPr>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其他零散客户</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2,217,234.88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2,217,234.88</w:t>
            </w:r>
          </w:p>
        </w:tc>
        <w:tc>
          <w:tcPr>
            <w:tcW w:w="1536"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8" w:hRule="exact"/>
        </w:trPr>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3,435,343.79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3,435,343.79</w:t>
            </w:r>
          </w:p>
        </w:tc>
        <w:tc>
          <w:tcPr>
            <w:tcW w:w="1536"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w:t>
            </w:r>
          </w:p>
        </w:tc>
        <w:tc>
          <w:tcPr>
            <w:tcW w:w="114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53" w:footer="982" w:top="1060" w:bottom="1180" w:left="980" w:right="0"/>
        </w:sectPr>
      </w:pPr>
    </w:p>
    <w:p>
      <w:pPr>
        <w:pStyle w:val="BodyText"/>
        <w:spacing w:line="240" w:lineRule="auto" w:before="37"/>
        <w:ind w:right="-11"/>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11"/>
        <w:jc w:val="left"/>
      </w:pPr>
      <w:r>
        <w:rPr/>
        <w:t>本期计提坏账准备金额</w:t>
      </w:r>
      <w:r>
        <w:rPr>
          <w:spacing w:val="-47"/>
        </w:rPr>
        <w:t> </w:t>
      </w:r>
      <w:r>
        <w:rPr>
          <w:rFonts w:ascii="Times New Roman" w:hAnsi="Times New Roman" w:cs="Times New Roman" w:eastAsia="Times New Roman" w:hint="default"/>
        </w:rPr>
        <w:t>19,020,607.84 </w:t>
      </w:r>
      <w:r>
        <w:rPr/>
        <w:t>元；本期收回或转回坏账准备金额</w:t>
      </w:r>
      <w:r>
        <w:rPr>
          <w:spacing w:val="-48"/>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6547" w:space="2280"/>
            <w:col w:w="210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0"/>
        </w:sectPr>
      </w:pPr>
    </w:p>
    <w:p>
      <w:pPr>
        <w:pStyle w:val="BodyText"/>
        <w:spacing w:line="240" w:lineRule="auto" w:before="9"/>
        <w:ind w:right="-20"/>
        <w:jc w:val="left"/>
      </w:pPr>
      <w:r>
        <w:rPr/>
        <w:t>无</w:t>
      </w:r>
    </w:p>
    <w:p>
      <w:pPr>
        <w:pStyle w:val="Heading2"/>
        <w:spacing w:line="240" w:lineRule="auto" w:before="28"/>
        <w:ind w:right="-20"/>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3473" w:space="5355"/>
            <w:col w:w="2102"/>
          </w:cols>
        </w:sectPr>
      </w:pP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4"/>
        <w:jc w:val="left"/>
      </w:pPr>
      <w:r>
        <w:rPr/>
        <w:t>其中重要的应收账款核销情况：</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3" w:right="69"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49"/>
        <w:ind w:right="9134"/>
        <w:jc w:val="left"/>
      </w:pPr>
      <w:r>
        <w:rPr/>
        <w:t>应收账款核销说明： 无</w:t>
      </w:r>
    </w:p>
    <w:p>
      <w:pPr>
        <w:pStyle w:val="BodyText"/>
        <w:spacing w:line="240" w:lineRule="auto" w:before="29"/>
        <w:ind w:right="984"/>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891"/>
        <w:gridCol w:w="1786"/>
        <w:gridCol w:w="2086"/>
        <w:gridCol w:w="2035"/>
        <w:gridCol w:w="1750"/>
      </w:tblGrid>
      <w:tr>
        <w:trPr>
          <w:trHeight w:val="348" w:hRule="exact"/>
        </w:trPr>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z w:val="18"/>
                <w:szCs w:val="18"/>
              </w:rPr>
              <w:t>占应收账款余额比例</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A</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68,738,771.98</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6.39%</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3,436,938.60</w:t>
            </w:r>
          </w:p>
        </w:tc>
      </w:tr>
      <w:tr>
        <w:trPr>
          <w:trHeight w:val="346" w:hRule="exact"/>
        </w:trPr>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B</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54,889,756.93</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5.11%</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2,744,487.85</w:t>
            </w:r>
          </w:p>
        </w:tc>
      </w:tr>
      <w:tr>
        <w:trPr>
          <w:trHeight w:val="348" w:hRule="exact"/>
        </w:trPr>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C</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54,757,829.88</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5.09%</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2,737,891.49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891"/>
        <w:gridCol w:w="1786"/>
        <w:gridCol w:w="2086"/>
        <w:gridCol w:w="2035"/>
        <w:gridCol w:w="1750"/>
      </w:tblGrid>
      <w:tr>
        <w:trPr>
          <w:trHeight w:val="348" w:hRule="exact"/>
        </w:trPr>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D</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33,921,152.93</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3.16%</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1,696,057.65</w:t>
            </w:r>
          </w:p>
        </w:tc>
      </w:tr>
      <w:tr>
        <w:trPr>
          <w:trHeight w:val="346" w:hRule="exact"/>
        </w:trPr>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E</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33,313,877.25</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3.10%</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1,665,693.86</w:t>
            </w:r>
          </w:p>
        </w:tc>
      </w:tr>
      <w:tr>
        <w:trPr>
          <w:trHeight w:val="348" w:hRule="exact"/>
        </w:trPr>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245,621,388.97</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22.85%</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12,281,069.45</w:t>
            </w:r>
          </w:p>
        </w:tc>
      </w:tr>
    </w:tbl>
    <w:p>
      <w:pPr>
        <w:spacing w:line="240" w:lineRule="auto" w:before="10"/>
        <w:rPr>
          <w:rFonts w:ascii="宋体" w:hAnsi="宋体" w:cs="宋体" w:eastAsia="宋体" w:hint="default"/>
          <w:sz w:val="24"/>
          <w:szCs w:val="24"/>
        </w:rPr>
      </w:pPr>
    </w:p>
    <w:p>
      <w:pPr>
        <w:pStyle w:val="BodyText"/>
        <w:spacing w:line="338" w:lineRule="auto" w:before="37"/>
        <w:ind w:right="7544"/>
        <w:jc w:val="left"/>
      </w:pPr>
      <w:r>
        <w:rPr>
          <w:rFonts w:ascii="Times New Roman" w:hAnsi="Times New Roman" w:cs="Times New Roman" w:eastAsia="Times New Roman" w:hint="default"/>
        </w:rPr>
        <w:t>5)</w:t>
      </w:r>
      <w:r>
        <w:rPr/>
        <w:t>因金融资产转移而终止确认的应收账款 无</w:t>
      </w:r>
    </w:p>
    <w:p>
      <w:pPr>
        <w:pStyle w:val="BodyText"/>
        <w:spacing w:line="340" w:lineRule="auto" w:before="43"/>
        <w:ind w:right="6824"/>
        <w:jc w:val="left"/>
      </w:pPr>
      <w:r>
        <w:rPr>
          <w:rFonts w:ascii="Times New Roman" w:hAnsi="Times New Roman" w:cs="Times New Roman" w:eastAsia="Times New Roman" w:hint="default"/>
        </w:rPr>
        <w:t>6)</w:t>
      </w:r>
      <w:r>
        <w:rPr/>
        <w:t>转移应收账款且继续涉入形成的资产、负债金额 无</w:t>
      </w:r>
    </w:p>
    <w:p>
      <w:pPr>
        <w:pStyle w:val="BodyText"/>
        <w:spacing w:line="357" w:lineRule="auto" w:before="41"/>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4</w:t>
      </w:r>
      <w:r>
        <w:rPr/>
        <w:t>、预付款项</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）预付款项按账龄列示</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8,818,115.52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84.53%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6,627,914.54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78.81%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999,532.80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1,048,426.34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12.47%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279,049.30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503,185.09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336,151.73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230,095.30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10,432,849.35</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8,409,621.27</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49"/>
        <w:ind w:right="5895"/>
        <w:jc w:val="left"/>
      </w:pPr>
      <w:r>
        <w:rPr/>
        <w:t>账龄超过</w:t>
      </w:r>
      <w:r>
        <w:rPr>
          <w:spacing w:val="-46"/>
        </w:rPr>
        <w:t> </w:t>
      </w:r>
      <w:r>
        <w:rPr>
          <w:rFonts w:ascii="Times New Roman" w:hAnsi="Times New Roman" w:cs="Times New Roman" w:eastAsia="Times New Roman" w:hint="default"/>
        </w:rPr>
        <w:t>1 </w:t>
      </w:r>
      <w:r>
        <w:rPr/>
        <w:t>年且金额重要的预付款项未及时结算原因的说明： 无</w:t>
      </w:r>
    </w:p>
    <w:p>
      <w:pPr>
        <w:spacing w:line="240" w:lineRule="auto" w:before="5"/>
        <w:rPr>
          <w:rFonts w:ascii="宋体" w:hAnsi="宋体" w:cs="宋体" w:eastAsia="宋体" w:hint="default"/>
          <w:sz w:val="21"/>
          <w:szCs w:val="21"/>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）按预付对象归集的期末余额前五名的预付款情况</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4159"/>
        <w:gridCol w:w="2626"/>
        <w:gridCol w:w="3070"/>
      </w:tblGrid>
      <w:tr>
        <w:trPr>
          <w:trHeight w:val="348"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占预付账款金额比例</w:t>
            </w:r>
          </w:p>
        </w:tc>
      </w:tr>
      <w:tr>
        <w:trPr>
          <w:trHeight w:val="346"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Sappi papier Hdding</w:t>
            </w:r>
            <w:r>
              <w:rPr>
                <w:rFonts w:ascii="Times New Roman"/>
                <w:spacing w:val="-7"/>
                <w:sz w:val="18"/>
              </w:rPr>
              <w:t> </w:t>
            </w:r>
            <w:r>
              <w:rPr>
                <w:rFonts w:ascii="Times New Roman"/>
                <w:sz w:val="18"/>
              </w:rPr>
              <w:t>Gmbh</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4,334,500.63</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41.55%</w:t>
            </w:r>
          </w:p>
        </w:tc>
      </w:tr>
      <w:tr>
        <w:trPr>
          <w:trHeight w:val="348"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深圳特科姆印刷技术有限公司</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660,000.00</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6.33%</w:t>
            </w:r>
          </w:p>
        </w:tc>
      </w:tr>
      <w:tr>
        <w:trPr>
          <w:trHeight w:val="348"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马鞍山市久盛金属材料贸易有限公司</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500,000.00</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4.79%</w:t>
            </w:r>
          </w:p>
        </w:tc>
      </w:tr>
      <w:tr>
        <w:trPr>
          <w:trHeight w:val="346"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深圳市深燃新能源有限公司</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500,000.00</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4.79%</w:t>
            </w:r>
          </w:p>
        </w:tc>
      </w:tr>
      <w:tr>
        <w:trPr>
          <w:trHeight w:val="348"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佛山市顺德区海博模具机械有限公司</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300,000.00</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2.88%</w:t>
            </w:r>
          </w:p>
        </w:tc>
      </w:tr>
      <w:tr>
        <w:trPr>
          <w:trHeight w:val="348"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6,294,500.63</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60.34%</w:t>
            </w:r>
          </w:p>
        </w:tc>
      </w:tr>
    </w:tbl>
    <w:p>
      <w:pPr>
        <w:pStyle w:val="BodyText"/>
        <w:spacing w:line="357" w:lineRule="auto" w:before="49"/>
        <w:ind w:right="9854"/>
        <w:jc w:val="left"/>
      </w:pPr>
      <w:r>
        <w:rPr/>
        <w:t>其他说明： 无</w:t>
      </w:r>
    </w:p>
    <w:p>
      <w:pPr>
        <w:spacing w:after="0" w:line="357" w:lineRule="auto"/>
        <w:jc w:val="left"/>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5</w:t>
      </w:r>
      <w:r>
        <w:rPr/>
        <w:t>、其他应收款</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4,129,312.56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13,741,592.64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57,934,852.99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64,425,496.32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62,064,165.55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78,225,088.96</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1</w:t>
      </w:r>
      <w:r>
        <w:rPr/>
        <w:t>）应收利息</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1,290,585.54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13,741,592.64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2,838,727.02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4,129,312.56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13,741,592.64</w:t>
            </w:r>
          </w:p>
        </w:tc>
      </w:tr>
    </w:tbl>
    <w:p>
      <w:pPr>
        <w:pStyle w:val="BodyText"/>
        <w:spacing w:line="240" w:lineRule="auto" w:before="49"/>
        <w:ind w:right="984"/>
        <w:jc w:val="left"/>
      </w:pPr>
      <w:r>
        <w:rPr>
          <w:rFonts w:ascii="Times New Roman" w:hAnsi="Times New Roman" w:cs="Times New Roman" w:eastAsia="Times New Roman" w:hint="default"/>
        </w:rPr>
        <w:t>2)</w:t>
      </w:r>
      <w:r>
        <w:rPr/>
        <w:t>重要逾期利息</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）应收股利</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1)</w:t>
      </w:r>
      <w:r>
        <w:rPr/>
        <w:t>应收股利</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四川固佳贸易有限责任公司</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58,000.00</w:t>
            </w:r>
          </w:p>
        </w:tc>
      </w:tr>
    </w:tbl>
    <w:p>
      <w:pPr>
        <w:pStyle w:val="BodyText"/>
        <w:spacing w:line="240" w:lineRule="auto" w:before="49"/>
        <w:ind w:right="984"/>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 </w:t>
      </w:r>
      <w:r>
        <w:rPr/>
        <w:t>年的应收股利</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4"/>
        <w:jc w:val="left"/>
      </w:pPr>
      <w:r>
        <w:rPr/>
        <w:t>其他说明：</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t>（</w:t>
      </w:r>
      <w:r>
        <w:rPr>
          <w:rFonts w:ascii="Tahoma" w:hAnsi="Tahoma" w:cs="Tahoma" w:eastAsia="Tahoma" w:hint="default"/>
        </w:rPr>
        <w:t>3</w:t>
      </w:r>
      <w:r>
        <w:rPr/>
        <w:t>）其他应收款</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1)</w:t>
      </w:r>
      <w:r>
        <w:rPr/>
        <w:t>其他应收款分类披露</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57,987,8</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52.99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98.94%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57,934,85</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2.99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64,339,</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996.32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98.84%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53,000.00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64,286,996.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32</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623,475.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623,475.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756,475</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617,975.0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81.69%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138,500.00</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Times New Roman" w:hAnsi="Times New Roman" w:cs="Times New Roman" w:eastAsia="Times New Roman" w:hint="default"/>
                <w:sz w:val="18"/>
                <w:szCs w:val="18"/>
              </w:rPr>
            </w:pPr>
            <w:r>
              <w:rPr>
                <w:rFonts w:ascii="Times New Roman"/>
                <w:sz w:val="18"/>
              </w:rPr>
              <w:t>58,611,3</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27.99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676,475.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57,934,85</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2.99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65,096,</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471.32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670,975.0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64,425,496.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32</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pStyle w:val="BodyText"/>
        <w:spacing w:line="240" w:lineRule="auto" w:before="49"/>
        <w:ind w:right="-19"/>
        <w:jc w:val="left"/>
      </w:pPr>
      <w:r>
        <w:rPr/>
        <w:t>期末单项金额重大并单项计提坏账准备的其他应收款：</w:t>
      </w:r>
    </w:p>
    <w:p>
      <w:pPr>
        <w:pStyle w:val="BodyText"/>
        <w:spacing w:line="340" w:lineRule="auto" w:before="115"/>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473" w:space="4354"/>
            <w:col w:w="2103"/>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0"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57" w:lineRule="auto" w:before="49"/>
        <w:ind w:right="8774"/>
        <w:jc w:val="left"/>
      </w:pPr>
      <w:r>
        <w:rPr/>
        <w:t>确定该组合依据的说明： 无</w:t>
      </w:r>
    </w:p>
    <w:p>
      <w:pPr>
        <w:pStyle w:val="BodyText"/>
        <w:spacing w:line="240" w:lineRule="auto" w:before="29"/>
        <w:ind w:right="984"/>
        <w:jc w:val="left"/>
      </w:pPr>
      <w:r>
        <w:rPr/>
        <w:t>组合中，采用余额百分比法计提坏账准备的其他应收款：</w:t>
      </w:r>
    </w:p>
    <w:p>
      <w:pPr>
        <w:pStyle w:val="BodyText"/>
        <w:spacing w:line="340" w:lineRule="auto" w:before="115"/>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794"/>
        <w:gridCol w:w="2614"/>
        <w:gridCol w:w="2222"/>
        <w:gridCol w:w="2225"/>
      </w:tblGrid>
      <w:tr>
        <w:trPr>
          <w:trHeight w:val="389" w:hRule="exact"/>
        </w:trPr>
        <w:tc>
          <w:tcPr>
            <w:tcW w:w="2794"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2794" w:type="dxa"/>
            <w:vMerge/>
            <w:tcBorders>
              <w:left w:val="single" w:sz="6" w:space="0" w:color="000000"/>
              <w:bottom w:val="single" w:sz="6" w:space="0" w:color="000000"/>
              <w:right w:val="single" w:sz="6" w:space="0" w:color="000000"/>
            </w:tcBorders>
          </w:tcPr>
          <w:p>
            <w:pP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8" w:hRule="exact"/>
        </w:trPr>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保证金、备用金等</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57,934,852.99</w:t>
            </w:r>
          </w:p>
        </w:tc>
        <w:tc>
          <w:tcPr>
            <w:tcW w:w="2222"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94" w:type="dxa"/>
            <w:tcBorders>
              <w:top w:val="single" w:sz="6" w:space="0" w:color="000000"/>
              <w:left w:val="single" w:sz="6" w:space="0" w:color="000000"/>
              <w:bottom w:val="single" w:sz="6" w:space="0" w:color="000000"/>
              <w:right w:val="single" w:sz="6" w:space="0" w:color="000000"/>
            </w:tcBorders>
          </w:tcPr>
          <w:p>
            <w:pPr>
              <w:pStyle w:val="TableParagraph"/>
              <w:tabs>
                <w:tab w:pos="395" w:val="left" w:leader="none"/>
              </w:tabs>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57,934,852.99</w:t>
            </w:r>
          </w:p>
        </w:tc>
        <w:tc>
          <w:tcPr>
            <w:tcW w:w="2222"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
        <w:ind w:right="984"/>
        <w:jc w:val="left"/>
      </w:pPr>
      <w:r>
        <w:rPr/>
        <w:t>注</w:t>
      </w:r>
      <w:r>
        <w:rPr>
          <w:rFonts w:ascii="Times New Roman" w:hAnsi="Times New Roman" w:cs="Times New Roman" w:eastAsia="Times New Roman" w:hint="default"/>
        </w:rPr>
        <w:t>1</w:t>
      </w:r>
      <w:r>
        <w:rPr/>
        <w:t>：其他应收款主要是保证金、职工借款、备用金等，预计发生坏账的可能性较小，故未计提坏账准备。</w:t>
      </w:r>
    </w:p>
    <w:p>
      <w:pPr>
        <w:spacing w:after="0" w:line="240" w:lineRule="auto"/>
        <w:jc w:val="left"/>
        <w:sectPr>
          <w:type w:val="continuous"/>
          <w:pgSz w:w="11910" w:h="16840"/>
          <w:pgMar w:top="1060" w:bottom="1180" w:left="980" w:right="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53" w:footer="982" w:top="1060" w:bottom="1180" w:left="980" w:right="0"/>
        </w:sectPr>
      </w:pPr>
    </w:p>
    <w:p>
      <w:pPr>
        <w:pStyle w:val="BodyText"/>
        <w:spacing w:line="240" w:lineRule="auto" w:before="37"/>
        <w:ind w:right="-11"/>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1"/>
        <w:jc w:val="left"/>
      </w:pPr>
      <w:r>
        <w:rPr/>
        <w:t>本期计提坏账准备金额</w:t>
      </w:r>
      <w:r>
        <w:rPr>
          <w:spacing w:val="-47"/>
        </w:rPr>
        <w:t> </w:t>
      </w:r>
      <w:r>
        <w:rPr>
          <w:rFonts w:ascii="Times New Roman" w:hAnsi="Times New Roman" w:cs="Times New Roman" w:eastAsia="Times New Roman" w:hint="default"/>
        </w:rPr>
        <w:t>5,500.00</w:t>
      </w:r>
      <w:r>
        <w:rPr>
          <w:rFonts w:ascii="Times New Roman" w:hAnsi="Times New Roman" w:cs="Times New Roman" w:eastAsia="Times New Roman" w:hint="default"/>
          <w:spacing w:val="-1"/>
        </w:rPr>
        <w:t> </w:t>
      </w:r>
      <w:r>
        <w:rPr/>
        <w:t>元；本期收回或转回坏账准备金额</w:t>
      </w:r>
      <w:r>
        <w:rPr>
          <w:spacing w:val="-48"/>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1"/>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6141" w:space="2686"/>
            <w:col w:w="2103"/>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pStyle w:val="BodyText"/>
        <w:spacing w:line="240" w:lineRule="auto" w:before="8"/>
        <w:ind w:right="-20"/>
        <w:jc w:val="left"/>
      </w:pPr>
      <w:r>
        <w:rPr/>
        <w:t>无</w:t>
      </w:r>
    </w:p>
    <w:p>
      <w:pPr>
        <w:pStyle w:val="Heading2"/>
        <w:spacing w:line="240" w:lineRule="auto" w:before="28"/>
        <w:ind w:right="-20"/>
        <w:jc w:val="left"/>
      </w:pP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3713" w:space="5115"/>
            <w:col w:w="2102"/>
          </w:cols>
        </w:sectPr>
      </w:pP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781"/>
        <w:gridCol w:w="4788"/>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4"/>
        <w:jc w:val="left"/>
      </w:pPr>
      <w:r>
        <w:rPr/>
        <w:t>其中重要的其他应收款核销情况：</w:t>
      </w:r>
    </w:p>
    <w:p>
      <w:pPr>
        <w:pStyle w:val="BodyText"/>
        <w:spacing w:line="240" w:lineRule="auto" w:before="11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6"/>
      </w:tblGrid>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pStyle w:val="BodyText"/>
        <w:spacing w:line="360" w:lineRule="auto" w:before="49"/>
        <w:ind w:right="852"/>
        <w:jc w:val="left"/>
      </w:pPr>
      <w:r>
        <w:rPr/>
        <w:t>其他应收款核销说明： 无</w:t>
      </w:r>
    </w:p>
    <w:p>
      <w:pPr>
        <w:pStyle w:val="BodyText"/>
        <w:spacing w:line="240" w:lineRule="auto" w:before="27"/>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2825" w:space="6003"/>
            <w:col w:w="2102"/>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27,160,879.07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22,923,679.98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20,811,036.59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12,206,116.87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股权回购款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19,866,137.35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8,407,890.99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7,452,804.34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车辆储值卡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68,652.13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149,542.32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2,162,869.21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2,498,190.46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58,611,327.99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65,096,471.32</w:t>
            </w:r>
          </w:p>
        </w:tc>
      </w:tr>
    </w:tbl>
    <w:p>
      <w:pPr>
        <w:pStyle w:val="BodyText"/>
        <w:spacing w:line="240" w:lineRule="auto" w:before="49"/>
        <w:ind w:right="984"/>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2" w:right="6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64" w:hRule="exact"/>
        </w:trPr>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宁乡经济技术开发</w:t>
            </w: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vMerge w:val="restart"/>
            <w:tcBorders>
              <w:top w:val="single" w:sz="4" w:space="0" w:color="000000"/>
              <w:left w:val="single" w:sz="4" w:space="0" w:color="000000"/>
              <w:right w:val="single" w:sz="4" w:space="0" w:color="000000"/>
            </w:tcBorders>
          </w:tcPr>
          <w:p>
            <w:pPr/>
          </w:p>
        </w:tc>
      </w:tr>
      <w:tr>
        <w:trPr>
          <w:trHeight w:val="313"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区建设投资有限公</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4,690,000.00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8.00%</w:t>
            </w:r>
          </w:p>
        </w:tc>
        <w:tc>
          <w:tcPr>
            <w:tcW w:w="1596" w:type="dxa"/>
            <w:vMerge/>
            <w:tcBorders>
              <w:left w:val="single" w:sz="4" w:space="0" w:color="000000"/>
              <w:right w:val="single" w:sz="4" w:space="0" w:color="000000"/>
            </w:tcBorders>
          </w:tcPr>
          <w:p>
            <w:pPr/>
          </w:p>
        </w:tc>
      </w:tr>
      <w:tr>
        <w:trPr>
          <w:trHeight w:val="350" w:hRule="exact"/>
        </w:trPr>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泸州老窖酿酒有限 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3.41%</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某客户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3.41%</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泸州益和纸品包装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3.41%</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岳阳城陵矶临港产 业新区财政局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2.15%</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11,953,000.00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20.38%</w:t>
            </w:r>
          </w:p>
        </w:tc>
        <w:tc>
          <w:tcPr>
            <w:tcW w:w="15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4"/>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984"/>
        <w:jc w:val="left"/>
      </w:pPr>
      <w:r>
        <w:rPr/>
        <w:t>无</w:t>
      </w:r>
    </w:p>
    <w:p>
      <w:pPr>
        <w:pStyle w:val="Heading2"/>
        <w:spacing w:line="240" w:lineRule="auto" w:before="28"/>
        <w:ind w:right="984"/>
        <w:jc w:val="left"/>
      </w:pPr>
      <w:r>
        <w:rPr>
          <w:rFonts w:ascii="Times New Roman" w:hAnsi="Times New Roman" w:cs="Times New Roman" w:eastAsia="Times New Roman" w:hint="default"/>
        </w:rPr>
        <w:t>7)</w:t>
      </w:r>
      <w:r>
        <w:rPr/>
        <w:t>因金融资产转移而终止确认的其他应收款</w:t>
      </w:r>
    </w:p>
    <w:p>
      <w:pPr>
        <w:pStyle w:val="BodyText"/>
        <w:spacing w:line="350" w:lineRule="auto" w:before="28"/>
        <w:ind w:right="6644"/>
        <w:jc w:val="left"/>
      </w:pPr>
      <w:r>
        <w:rPr/>
        <w:t>无 </w:t>
      </w:r>
      <w:r>
        <w:rPr>
          <w:rFonts w:ascii="Times New Roman" w:hAnsi="Times New Roman" w:cs="Times New Roman" w:eastAsia="Times New Roman" w:hint="default"/>
        </w:rPr>
        <w:t>8)</w:t>
      </w:r>
      <w:r>
        <w:rPr/>
        <w:t>转移其他应收款且继续涉入形成的资产、负债金额 无</w:t>
      </w:r>
    </w:p>
    <w:p>
      <w:pPr>
        <w:pStyle w:val="BodyText"/>
        <w:spacing w:line="357" w:lineRule="auto" w:before="34"/>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6</w:t>
      </w:r>
      <w:r>
        <w:rPr/>
        <w:t>、存货</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57" w:lineRule="auto"/>
        <w:ind w:right="7514"/>
        <w:jc w:val="left"/>
      </w:pPr>
      <w:r>
        <w:rPr/>
        <w:t>公司是否需要遵守房地产行业的披露要求 否</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）存货分类</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361,701,064.01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147,228.53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361,553,835.48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375,184,858.76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375,184,858.76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47,147,295.79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47,147,295.79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54,866,338.21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7,837,206.01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47,029,132.20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234,948,849.69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7,509,772.71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227,439,076.98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239,054,284.74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14,387,948.21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224,666,336.53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803,978.35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803,978.35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409,870.96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409,870.96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31,001,992.55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747,289.62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30,254,702.93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6,727,599.38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6,727,599.38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675,603,180.39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8,404,290.86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667,198,889.53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676,242,952.05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22,225,154.22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654,017,797.83</w:t>
            </w:r>
          </w:p>
        </w:tc>
      </w:tr>
    </w:tbl>
    <w:p>
      <w:pPr>
        <w:pStyle w:val="BodyText"/>
        <w:spacing w:line="338" w:lineRule="auto" w:before="49"/>
        <w:ind w:right="2477"/>
        <w:jc w:val="left"/>
      </w:pPr>
      <w:r>
        <w:rPr/>
        <w:t>公司是否需遵守《深圳证券交易所行业信息披露指引第</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2753"/>
        <w:jc w:val="left"/>
      </w:pPr>
      <w:r>
        <w:rPr/>
        <w:t>公司需遵守《深圳证券交易所行业信息披露指引第</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after="0" w:line="338" w:lineRule="auto"/>
        <w:jc w:val="left"/>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）存货跌价准备</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368"/>
        <w:gridCol w:w="134"/>
        <w:gridCol w:w="1234"/>
        <w:gridCol w:w="1368"/>
        <w:gridCol w:w="211"/>
        <w:gridCol w:w="1154"/>
        <w:gridCol w:w="1368"/>
        <w:gridCol w:w="187"/>
        <w:gridCol w:w="1178"/>
        <w:gridCol w:w="1368"/>
        <w:gridCol w:w="283"/>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3" w:type="dxa"/>
            <w:vMerge w:val="restart"/>
            <w:tcBorders>
              <w:top w:val="nil" w:sz="6" w:space="0" w:color="auto"/>
              <w:left w:val="single" w:sz="4" w:space="0" w:color="000000"/>
              <w:right w:val="nil" w:sz="6" w:space="0" w:color="auto"/>
            </w:tcBorders>
          </w:tcPr>
          <w:p>
            <w:pP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gridSpan w:val="2"/>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3D3D3"/>
          </w:tcPr>
          <w:p>
            <w:pPr/>
          </w:p>
        </w:tc>
        <w:tc>
          <w:tcPr>
            <w:tcW w:w="283" w:type="dxa"/>
            <w:vMerge/>
            <w:tcBorders>
              <w:left w:val="single" w:sz="4" w:space="0" w:color="000000"/>
              <w:right w:val="nil" w:sz="6" w:space="0" w:color="auto"/>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147,228.53</w:t>
            </w: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147,228.53</w:t>
            </w:r>
          </w:p>
        </w:tc>
        <w:tc>
          <w:tcPr>
            <w:tcW w:w="283" w:type="dxa"/>
            <w:vMerge/>
            <w:tcBorders>
              <w:left w:val="single" w:sz="4" w:space="0" w:color="000000"/>
              <w:right w:val="nil" w:sz="6" w:space="0" w:color="auto"/>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7,837,206.01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7,837,206.01</w:t>
            </w: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14,387,948.21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2,944,621.94</w:t>
            </w: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9,822,797.44</w:t>
            </w: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7,509,772.71</w:t>
            </w:r>
          </w:p>
        </w:tc>
        <w:tc>
          <w:tcPr>
            <w:tcW w:w="283" w:type="dxa"/>
            <w:vMerge/>
            <w:tcBorders>
              <w:left w:val="single" w:sz="4" w:space="0" w:color="000000"/>
              <w:right w:val="nil" w:sz="6" w:space="0" w:color="auto"/>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747,289.62</w:t>
            </w: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747,289.62</w:t>
            </w:r>
          </w:p>
        </w:tc>
        <w:tc>
          <w:tcPr>
            <w:tcW w:w="283" w:type="dxa"/>
            <w:vMerge/>
            <w:tcBorders>
              <w:left w:val="single" w:sz="4" w:space="0" w:color="000000"/>
              <w:right w:val="nil" w:sz="6" w:space="0" w:color="auto"/>
            </w:tcBorders>
          </w:tcPr>
          <w:p>
            <w:pPr/>
          </w:p>
        </w:tc>
      </w:tr>
      <w:tr>
        <w:trPr>
          <w:trHeight w:val="406" w:hRule="exact"/>
        </w:trPr>
        <w:tc>
          <w:tcPr>
            <w:tcW w:w="1368" w:type="dxa"/>
            <w:tcBorders>
              <w:top w:val="single" w:sz="4" w:space="0" w:color="000000"/>
              <w:left w:val="single" w:sz="4" w:space="0" w:color="000000"/>
              <w:bottom w:val="single" w:sz="6"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22,225,154.22</w:t>
            </w:r>
          </w:p>
        </w:tc>
        <w:tc>
          <w:tcPr>
            <w:tcW w:w="136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3,839,140.09</w:t>
            </w:r>
          </w:p>
        </w:tc>
        <w:tc>
          <w:tcPr>
            <w:tcW w:w="1366" w:type="dxa"/>
            <w:gridSpan w:val="2"/>
            <w:tcBorders>
              <w:top w:val="single" w:sz="4" w:space="0" w:color="000000"/>
              <w:left w:val="single" w:sz="4" w:space="0" w:color="000000"/>
              <w:bottom w:val="single" w:sz="6" w:space="0" w:color="000000"/>
              <w:right w:val="single" w:sz="4" w:space="0" w:color="000000"/>
            </w:tcBorders>
          </w:tcPr>
          <w:p>
            <w:pPr/>
          </w:p>
        </w:tc>
        <w:tc>
          <w:tcPr>
            <w:tcW w:w="136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17,660,003.45</w:t>
            </w:r>
          </w:p>
        </w:tc>
        <w:tc>
          <w:tcPr>
            <w:tcW w:w="1366" w:type="dxa"/>
            <w:gridSpan w:val="2"/>
            <w:tcBorders>
              <w:top w:val="single" w:sz="4" w:space="0" w:color="000000"/>
              <w:left w:val="single" w:sz="4" w:space="0" w:color="000000"/>
              <w:bottom w:val="single" w:sz="6" w:space="0" w:color="000000"/>
              <w:right w:val="single" w:sz="4" w:space="0" w:color="000000"/>
            </w:tcBorders>
          </w:tcPr>
          <w:p>
            <w:pPr/>
          </w:p>
        </w:tc>
        <w:tc>
          <w:tcPr>
            <w:tcW w:w="136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8,404,290.86</w:t>
            </w:r>
          </w:p>
        </w:tc>
        <w:tc>
          <w:tcPr>
            <w:tcW w:w="283" w:type="dxa"/>
            <w:vMerge/>
            <w:tcBorders>
              <w:left w:val="single" w:sz="4" w:space="0" w:color="000000"/>
              <w:bottom w:val="single" w:sz="6" w:space="0" w:color="000000"/>
              <w:right w:val="nil" w:sz="6" w:space="0" w:color="auto"/>
            </w:tcBorders>
          </w:tcPr>
          <w:p>
            <w:pPr/>
          </w:p>
        </w:tc>
      </w:tr>
      <w:tr>
        <w:trPr>
          <w:trHeight w:val="346" w:hRule="exact"/>
        </w:trPr>
        <w:tc>
          <w:tcPr>
            <w:tcW w:w="1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71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283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348" w:hRule="exact"/>
        </w:trPr>
        <w:tc>
          <w:tcPr>
            <w:tcW w:w="1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8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710" w:type="dxa"/>
            <w:gridSpan w:val="3"/>
            <w:tcBorders>
              <w:top w:val="single" w:sz="6" w:space="0" w:color="000000"/>
              <w:left w:val="single" w:sz="6" w:space="0" w:color="000000"/>
              <w:bottom w:val="single" w:sz="6" w:space="0" w:color="000000"/>
              <w:right w:val="single" w:sz="6" w:space="0" w:color="000000"/>
            </w:tcBorders>
          </w:tcPr>
          <w:p>
            <w:pPr/>
          </w:p>
        </w:tc>
        <w:tc>
          <w:tcPr>
            <w:tcW w:w="2830" w:type="dxa"/>
            <w:gridSpan w:val="3"/>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8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710" w:type="dxa"/>
            <w:gridSpan w:val="3"/>
            <w:tcBorders>
              <w:top w:val="single" w:sz="6" w:space="0" w:color="000000"/>
              <w:left w:val="single" w:sz="6" w:space="0" w:color="000000"/>
              <w:bottom w:val="single" w:sz="6" w:space="0" w:color="000000"/>
              <w:right w:val="single" w:sz="6" w:space="0" w:color="000000"/>
            </w:tcBorders>
          </w:tcPr>
          <w:p>
            <w:pPr/>
          </w:p>
        </w:tc>
        <w:tc>
          <w:tcPr>
            <w:tcW w:w="283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2" w:right="0"/>
              <w:jc w:val="left"/>
              <w:rPr>
                <w:rFonts w:ascii="宋体" w:hAnsi="宋体" w:cs="宋体" w:eastAsia="宋体" w:hint="default"/>
                <w:sz w:val="18"/>
                <w:szCs w:val="18"/>
              </w:rPr>
            </w:pPr>
            <w:r>
              <w:rPr>
                <w:rFonts w:ascii="宋体" w:hAnsi="宋体" w:cs="宋体" w:eastAsia="宋体" w:hint="default"/>
                <w:sz w:val="18"/>
                <w:szCs w:val="18"/>
              </w:rPr>
              <w:t>实现销售或者处置</w:t>
            </w:r>
          </w:p>
        </w:tc>
      </w:tr>
      <w:tr>
        <w:trPr>
          <w:trHeight w:val="348" w:hRule="exact"/>
        </w:trPr>
        <w:tc>
          <w:tcPr>
            <w:tcW w:w="1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8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710" w:type="dxa"/>
            <w:gridSpan w:val="3"/>
            <w:tcBorders>
              <w:top w:val="single" w:sz="6" w:space="0" w:color="000000"/>
              <w:left w:val="single" w:sz="6" w:space="0" w:color="000000"/>
              <w:bottom w:val="single" w:sz="6" w:space="0" w:color="000000"/>
              <w:right w:val="single" w:sz="6" w:space="0" w:color="000000"/>
            </w:tcBorders>
          </w:tcPr>
          <w:p>
            <w:pPr/>
          </w:p>
        </w:tc>
        <w:tc>
          <w:tcPr>
            <w:tcW w:w="283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实现销售或者处置</w:t>
            </w:r>
          </w:p>
        </w:tc>
      </w:tr>
      <w:tr>
        <w:trPr>
          <w:trHeight w:val="348" w:hRule="exact"/>
        </w:trPr>
        <w:tc>
          <w:tcPr>
            <w:tcW w:w="1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28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710" w:type="dxa"/>
            <w:gridSpan w:val="3"/>
            <w:tcBorders>
              <w:top w:val="single" w:sz="6" w:space="0" w:color="000000"/>
              <w:left w:val="single" w:sz="6" w:space="0" w:color="000000"/>
              <w:bottom w:val="single" w:sz="6" w:space="0" w:color="000000"/>
              <w:right w:val="single" w:sz="6" w:space="0" w:color="000000"/>
            </w:tcBorders>
          </w:tcPr>
          <w:p>
            <w:pPr/>
          </w:p>
        </w:tc>
        <w:tc>
          <w:tcPr>
            <w:tcW w:w="2830" w:type="dxa"/>
            <w:gridSpan w:val="3"/>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3</w:t>
      </w:r>
      <w:r>
        <w:rPr/>
        <w:t>）存货期末余额含有借款费用资本化金额的说明</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t>（</w:t>
      </w:r>
      <w:r>
        <w:rPr>
          <w:rFonts w:ascii="Tahoma" w:hAnsi="Tahoma" w:cs="Tahoma" w:eastAsia="Tahoma" w:hint="default"/>
        </w:rPr>
        <w:t>4</w:t>
      </w:r>
      <w:r>
        <w:rPr/>
        <w:t>）期末建造合同形成的已完工未结算资产情况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pt;mso-position-horizontal-relative:char;mso-position-vertical-relative:line" coordorigin="0,0" coordsize="9584,420">
            <v:group style="position:absolute;left:17;top:14;width:4772;height:392" coordorigin="17,14" coordsize="4772,392">
              <v:shape style="position:absolute;left:17;top:14;width:4772;height:392" coordorigin="17,14" coordsize="4772,392" path="m17,14l4788,14,4788,406,17,406,17,14xe" filled="true" fillcolor="#d3d3d3" stroked="false">
                <v:path arrowok="t"/>
                <v:fill type="solid"/>
              </v:shape>
            </v:group>
            <v:group style="position:absolute;left:4798;top:14;width:4776;height:392" coordorigin="4798,14" coordsize="4776,392">
              <v:shape style="position:absolute;left:4798;top:14;width:4776;height:392" coordorigin="4798,14" coordsize="4776,392" path="m4798,14l9574,14,9574,406,4798,406,4798,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79965pt" strokecolor="#000000">
                <v:path arrowok="t"/>
              </v:shape>
            </v:group>
            <v:group style="position:absolute;left:10;top:14;width:2;height:401" coordorigin="10,14" coordsize="2,401">
              <v:shape style="position:absolute;left:10;top:14;width:2;height:401" coordorigin="10,14" coordsize="0,401" path="m10,14l10,415e" filled="false" stroked="true" strokeweight=".479999pt" strokecolor="#000000">
                <v:path arrowok="t"/>
              </v:shape>
            </v:group>
            <v:group style="position:absolute;left:5;top:410;width:4784;height:2" coordorigin="5,410" coordsize="4784,2">
              <v:shape style="position:absolute;left:5;top:410;width:4784;height:2" coordorigin="5,410" coordsize="4784,0" path="m5,410l4788,410e" filled="false" stroked="true" strokeweight=".480011pt" strokecolor="#000000">
                <v:path arrowok="t"/>
              </v:shape>
            </v:group>
            <v:group style="position:absolute;left:4793;top:14;width:2;height:401" coordorigin="4793,14" coordsize="2,401">
              <v:shape style="position:absolute;left:4793;top:14;width:2;height:401" coordorigin="4793,14" coordsize="0,401" path="m4793,14l4793,415e" filled="false" stroked="true" strokeweight=".48001pt" strokecolor="#000000">
                <v:path arrowok="t"/>
              </v:shape>
            </v:group>
            <v:group style="position:absolute;left:4798;top:410;width:4776;height:2" coordorigin="4798,410" coordsize="4776,2">
              <v:shape style="position:absolute;left:4798;top:410;width:4776;height:2" coordorigin="4798,410" coordsize="4776,0" path="m4798,410l9574,410e" filled="false" stroked="true" strokeweight=".480011pt" strokecolor="#000000">
                <v:path arrowok="t"/>
              </v:shape>
            </v:group>
            <v:group style="position:absolute;left:9578;top:5;width:2;height:411" coordorigin="9578,5" coordsize="2,411">
              <v:shape style="position:absolute;left:9578;top:5;width:2;height:411" coordorigin="9578,5" coordsize="0,411" path="m9578,5l9578,415e" filled="false" stroked="true" strokeweight=".480011pt" strokecolor="#000000">
                <v:path arrowok="t"/>
              </v:shape>
              <v:shape style="position:absolute;left:2222;top:126;width:360;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6;top:126;width:360;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360" w:lineRule="auto" w:before="44"/>
        <w:ind w:right="98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7</w:t>
      </w:r>
      <w:r>
        <w:rPr/>
        <w:t>、其他流动资产</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待抵扣、待认证进项税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94,249,408.32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53,428,768.93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2,573,872.28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950,102.53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834,823,280.60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54,378,871.46</w:t>
            </w:r>
          </w:p>
        </w:tc>
      </w:tr>
    </w:tbl>
    <w:p>
      <w:pPr>
        <w:pStyle w:val="BodyText"/>
        <w:spacing w:line="360" w:lineRule="auto" w:before="49"/>
        <w:ind w:right="8054"/>
        <w:jc w:val="left"/>
      </w:pPr>
      <w:r>
        <w:rPr/>
        <w:t>其他说明： 报告期末公司理财产品明细如下：</w:t>
      </w:r>
    </w:p>
    <w:tbl>
      <w:tblPr>
        <w:tblW w:w="0" w:type="auto"/>
        <w:jc w:val="left"/>
        <w:tblInd w:w="145" w:type="dxa"/>
        <w:tblLayout w:type="fixed"/>
        <w:tblCellMar>
          <w:top w:w="0" w:type="dxa"/>
          <w:left w:w="0" w:type="dxa"/>
          <w:bottom w:w="0" w:type="dxa"/>
          <w:right w:w="0" w:type="dxa"/>
        </w:tblCellMar>
        <w:tblLook w:val="01E0"/>
      </w:tblPr>
      <w:tblGrid>
        <w:gridCol w:w="3403"/>
        <w:gridCol w:w="1985"/>
        <w:gridCol w:w="1843"/>
        <w:gridCol w:w="2268"/>
      </w:tblGrid>
      <w:tr>
        <w:trPr>
          <w:trHeight w:val="430" w:hRule="exact"/>
        </w:trPr>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4" w:right="0"/>
              <w:jc w:val="left"/>
              <w:rPr>
                <w:rFonts w:ascii="宋体" w:hAnsi="宋体" w:cs="宋体" w:eastAsia="宋体" w:hint="default"/>
                <w:sz w:val="18"/>
                <w:szCs w:val="18"/>
              </w:rPr>
            </w:pPr>
            <w:r>
              <w:rPr>
                <w:rFonts w:ascii="宋体" w:hAnsi="宋体" w:cs="宋体" w:eastAsia="宋体" w:hint="default"/>
                <w:sz w:val="18"/>
                <w:szCs w:val="18"/>
              </w:rPr>
              <w:t>产品起止日期</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类型</w:t>
            </w:r>
          </w:p>
        </w:tc>
      </w:tr>
    </w:tbl>
    <w:p>
      <w:pPr>
        <w:spacing w:after="0" w:line="240" w:lineRule="auto"/>
        <w:jc w:val="center"/>
        <w:rPr>
          <w:rFonts w:ascii="宋体" w:hAnsi="宋体" w:cs="宋体" w:eastAsia="宋体"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403"/>
        <w:gridCol w:w="1985"/>
        <w:gridCol w:w="1843"/>
        <w:gridCol w:w="2268"/>
      </w:tblGrid>
      <w:tr>
        <w:trPr>
          <w:trHeight w:val="739" w:hRule="exact"/>
        </w:trPr>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50"/>
              <w:jc w:val="left"/>
              <w:rPr>
                <w:rFonts w:ascii="宋体" w:hAnsi="宋体" w:cs="宋体" w:eastAsia="宋体" w:hint="default"/>
                <w:sz w:val="18"/>
                <w:szCs w:val="18"/>
              </w:rPr>
            </w:pPr>
            <w:r>
              <w:rPr>
                <w:rFonts w:ascii="宋体" w:hAnsi="宋体" w:cs="宋体" w:eastAsia="宋体" w:hint="default"/>
                <w:sz w:val="18"/>
                <w:szCs w:val="18"/>
              </w:rPr>
              <w:t>共赢利率结构</w:t>
            </w:r>
            <w:r>
              <w:rPr>
                <w:rFonts w:ascii="Times New Roman" w:hAnsi="Times New Roman" w:cs="Times New Roman" w:eastAsia="Times New Roman" w:hint="default"/>
                <w:sz w:val="18"/>
                <w:szCs w:val="18"/>
              </w:rPr>
              <w:t>23070</w:t>
            </w:r>
            <w:r>
              <w:rPr>
                <w:rFonts w:ascii="宋体" w:hAnsi="宋体" w:cs="宋体" w:eastAsia="宋体" w:hint="default"/>
                <w:sz w:val="18"/>
                <w:szCs w:val="18"/>
              </w:rPr>
              <w:t>期人民币结构性存款产 品（</w:t>
            </w:r>
            <w:r>
              <w:rPr>
                <w:rFonts w:ascii="Times New Roman" w:hAnsi="Times New Roman" w:cs="Times New Roman" w:eastAsia="Times New Roman" w:hint="default"/>
                <w:sz w:val="18"/>
                <w:szCs w:val="18"/>
              </w:rPr>
              <w:t>C180U0170</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5" w:right="0"/>
              <w:jc w:val="left"/>
              <w:rPr>
                <w:rFonts w:ascii="Times New Roman" w:hAnsi="Times New Roman" w:cs="Times New Roman" w:eastAsia="Times New Roman" w:hint="default"/>
                <w:sz w:val="18"/>
                <w:szCs w:val="18"/>
              </w:rPr>
            </w:pPr>
            <w:r>
              <w:rPr>
                <w:rFonts w:ascii="Times New Roman"/>
                <w:sz w:val="18"/>
              </w:rPr>
              <w:t>2018.11.30-2019.6.3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r>
      <w:tr>
        <w:trPr>
          <w:trHeight w:val="739" w:hRule="exact"/>
        </w:trPr>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19"/>
              <w:jc w:val="left"/>
              <w:rPr>
                <w:rFonts w:ascii="宋体" w:hAnsi="宋体" w:cs="宋体" w:eastAsia="宋体" w:hint="default"/>
                <w:sz w:val="18"/>
                <w:szCs w:val="18"/>
              </w:rPr>
            </w:pPr>
            <w:r>
              <w:rPr>
                <w:rFonts w:ascii="宋体" w:hAnsi="宋体" w:cs="宋体" w:eastAsia="宋体" w:hint="default"/>
                <w:sz w:val="18"/>
                <w:szCs w:val="18"/>
              </w:rPr>
              <w:t>平安银行对公结构性存款</w:t>
            </w:r>
            <w:r>
              <w:rPr>
                <w:rFonts w:ascii="Times New Roman" w:hAnsi="Times New Roman" w:cs="Times New Roman" w:eastAsia="Times New Roman" w:hint="default"/>
                <w:sz w:val="18"/>
                <w:szCs w:val="18"/>
              </w:rPr>
              <w:t>(</w:t>
            </w:r>
            <w:r>
              <w:rPr>
                <w:rFonts w:ascii="宋体" w:hAnsi="宋体" w:cs="宋体" w:eastAsia="宋体" w:hint="default"/>
                <w:sz w:val="18"/>
                <w:szCs w:val="18"/>
              </w:rPr>
              <w:t>保本</w:t>
            </w:r>
            <w:r>
              <w:rPr>
                <w:rFonts w:ascii="Times New Roman" w:hAnsi="Times New Roman" w:cs="Times New Roman" w:eastAsia="Times New Roman" w:hint="default"/>
                <w:sz w:val="18"/>
                <w:szCs w:val="18"/>
              </w:rPr>
              <w:t>100%</w:t>
            </w:r>
            <w:r>
              <w:rPr>
                <w:rFonts w:ascii="宋体" w:hAnsi="宋体" w:cs="宋体" w:eastAsia="宋体" w:hint="default"/>
                <w:sz w:val="18"/>
                <w:szCs w:val="18"/>
              </w:rPr>
              <w:t>挂钩利 率</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r>
              <w:rPr>
                <w:rFonts w:ascii="Times New Roman" w:hAnsi="Times New Roman" w:cs="Times New Roman" w:eastAsia="Times New Roman" w:hint="default"/>
                <w:sz w:val="18"/>
                <w:szCs w:val="18"/>
              </w:rPr>
              <w:t>TGG183729</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89" w:right="0"/>
              <w:jc w:val="left"/>
              <w:rPr>
                <w:rFonts w:ascii="Times New Roman" w:hAnsi="Times New Roman" w:cs="Times New Roman" w:eastAsia="Times New Roman" w:hint="default"/>
                <w:sz w:val="18"/>
                <w:szCs w:val="18"/>
              </w:rPr>
            </w:pPr>
            <w:r>
              <w:rPr>
                <w:rFonts w:ascii="Times New Roman"/>
                <w:sz w:val="18"/>
              </w:rPr>
              <w:t>2018.11.15-2019.2.13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60,000,000.00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r>
      <w:tr>
        <w:trPr>
          <w:trHeight w:val="739" w:hRule="exact"/>
        </w:trPr>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19"/>
              <w:jc w:val="left"/>
              <w:rPr>
                <w:rFonts w:ascii="宋体" w:hAnsi="宋体" w:cs="宋体" w:eastAsia="宋体" w:hint="default"/>
                <w:sz w:val="18"/>
                <w:szCs w:val="18"/>
              </w:rPr>
            </w:pPr>
            <w:r>
              <w:rPr>
                <w:rFonts w:ascii="宋体" w:hAnsi="宋体" w:cs="宋体" w:eastAsia="宋体" w:hint="default"/>
                <w:sz w:val="18"/>
                <w:szCs w:val="18"/>
              </w:rPr>
              <w:t>平安银行对公结构性存款</w:t>
            </w:r>
            <w:r>
              <w:rPr>
                <w:rFonts w:ascii="Times New Roman" w:hAnsi="Times New Roman" w:cs="Times New Roman" w:eastAsia="Times New Roman" w:hint="default"/>
                <w:sz w:val="18"/>
                <w:szCs w:val="18"/>
              </w:rPr>
              <w:t>(</w:t>
            </w:r>
            <w:r>
              <w:rPr>
                <w:rFonts w:ascii="宋体" w:hAnsi="宋体" w:cs="宋体" w:eastAsia="宋体" w:hint="default"/>
                <w:sz w:val="18"/>
                <w:szCs w:val="18"/>
              </w:rPr>
              <w:t>保本</w:t>
            </w:r>
            <w:r>
              <w:rPr>
                <w:rFonts w:ascii="Times New Roman" w:hAnsi="Times New Roman" w:cs="Times New Roman" w:eastAsia="Times New Roman" w:hint="default"/>
                <w:sz w:val="18"/>
                <w:szCs w:val="18"/>
              </w:rPr>
              <w:t>100%</w:t>
            </w:r>
            <w:r>
              <w:rPr>
                <w:rFonts w:ascii="宋体" w:hAnsi="宋体" w:cs="宋体" w:eastAsia="宋体" w:hint="default"/>
                <w:sz w:val="18"/>
                <w:szCs w:val="18"/>
              </w:rPr>
              <w:t>挂钩利 率</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r>
              <w:rPr>
                <w:rFonts w:ascii="Times New Roman" w:hAnsi="Times New Roman" w:cs="Times New Roman" w:eastAsia="Times New Roman" w:hint="default"/>
                <w:sz w:val="18"/>
                <w:szCs w:val="18"/>
              </w:rPr>
              <w:t>TGG183728</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89" w:right="0"/>
              <w:jc w:val="left"/>
              <w:rPr>
                <w:rFonts w:ascii="Times New Roman" w:hAnsi="Times New Roman" w:cs="Times New Roman" w:eastAsia="Times New Roman" w:hint="default"/>
                <w:sz w:val="18"/>
                <w:szCs w:val="18"/>
              </w:rPr>
            </w:pPr>
            <w:r>
              <w:rPr>
                <w:rFonts w:ascii="Times New Roman"/>
                <w:sz w:val="18"/>
              </w:rPr>
              <w:t>2018.11.15-2019.1.14</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40,000,000.00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r>
      <w:tr>
        <w:trPr>
          <w:trHeight w:val="739" w:hRule="exact"/>
        </w:trPr>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1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汇利丰</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w:t>
            </w:r>
            <w:r>
              <w:rPr>
                <w:rFonts w:ascii="Times New Roman" w:hAnsi="Times New Roman" w:cs="Times New Roman" w:eastAsia="Times New Roman" w:hint="default"/>
                <w:sz w:val="18"/>
                <w:szCs w:val="18"/>
              </w:rPr>
              <w:t>5611</w:t>
            </w:r>
            <w:r>
              <w:rPr>
                <w:rFonts w:ascii="宋体" w:hAnsi="宋体" w:cs="宋体" w:eastAsia="宋体" w:hint="default"/>
                <w:sz w:val="18"/>
                <w:szCs w:val="18"/>
              </w:rPr>
              <w:t>期对公定制人民币 结构性存款产品</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5" w:right="0"/>
              <w:jc w:val="left"/>
              <w:rPr>
                <w:rFonts w:ascii="Times New Roman" w:hAnsi="Times New Roman" w:cs="Times New Roman" w:eastAsia="Times New Roman" w:hint="default"/>
                <w:sz w:val="18"/>
                <w:szCs w:val="18"/>
              </w:rPr>
            </w:pPr>
            <w:r>
              <w:rPr>
                <w:rFonts w:ascii="Times New Roman"/>
                <w:sz w:val="18"/>
              </w:rPr>
              <w:t>2018.11.9-2019.2.13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80,000,000.00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r>
      <w:tr>
        <w:trPr>
          <w:trHeight w:val="427" w:hRule="exact"/>
        </w:trPr>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单位结构性存款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79" w:right="0"/>
              <w:jc w:val="left"/>
              <w:rPr>
                <w:rFonts w:ascii="Times New Roman" w:hAnsi="Times New Roman" w:cs="Times New Roman" w:eastAsia="Times New Roman" w:hint="default"/>
                <w:sz w:val="18"/>
                <w:szCs w:val="18"/>
              </w:rPr>
            </w:pPr>
            <w:r>
              <w:rPr>
                <w:rFonts w:ascii="Times New Roman"/>
                <w:sz w:val="18"/>
              </w:rPr>
              <w:t>2018.11.5-2019.2.3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130,000,000.00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r>
      <w:tr>
        <w:trPr>
          <w:trHeight w:val="737" w:hRule="exact"/>
        </w:trPr>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杭州银行</w:t>
            </w:r>
            <w:r>
              <w:rPr>
                <w:rFonts w:ascii="Times New Roman" w:hAnsi="Times New Roman" w:cs="Times New Roman" w:eastAsia="Times New Roman" w:hint="default"/>
                <w:sz w:val="18"/>
                <w:szCs w:val="18"/>
              </w:rPr>
              <w:t>“</w:t>
            </w:r>
            <w:r>
              <w:rPr>
                <w:rFonts w:ascii="宋体" w:hAnsi="宋体" w:cs="宋体" w:eastAsia="宋体" w:hint="default"/>
                <w:sz w:val="18"/>
                <w:szCs w:val="18"/>
              </w:rPr>
              <w:t>添利宝</w:t>
            </w:r>
            <w:r>
              <w:rPr>
                <w:rFonts w:ascii="Times New Roman" w:hAnsi="Times New Roman" w:cs="Times New Roman" w:eastAsia="Times New Roman" w:hint="default"/>
                <w:sz w:val="18"/>
                <w:szCs w:val="18"/>
              </w:rPr>
              <w:t>”</w:t>
            </w:r>
            <w:r>
              <w:rPr>
                <w:rFonts w:ascii="宋体" w:hAnsi="宋体" w:cs="宋体" w:eastAsia="宋体" w:hint="default"/>
                <w:sz w:val="18"/>
                <w:szCs w:val="18"/>
              </w:rPr>
              <w:t>结构性存款产品</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(TLB20181476)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89" w:right="0"/>
              <w:jc w:val="left"/>
              <w:rPr>
                <w:rFonts w:ascii="Times New Roman" w:hAnsi="Times New Roman" w:cs="Times New Roman" w:eastAsia="Times New Roman" w:hint="default"/>
                <w:sz w:val="18"/>
                <w:szCs w:val="18"/>
              </w:rPr>
            </w:pPr>
            <w:r>
              <w:rPr>
                <w:rFonts w:ascii="Times New Roman"/>
                <w:sz w:val="18"/>
              </w:rPr>
              <w:t>2018.10.26-2019.1.28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r>
      <w:tr>
        <w:trPr>
          <w:trHeight w:val="739" w:hRule="exact"/>
        </w:trPr>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杭州银行</w:t>
            </w:r>
            <w:r>
              <w:rPr>
                <w:rFonts w:ascii="Times New Roman" w:hAnsi="Times New Roman" w:cs="Times New Roman" w:eastAsia="Times New Roman" w:hint="default"/>
                <w:sz w:val="18"/>
                <w:szCs w:val="18"/>
              </w:rPr>
              <w:t>“</w:t>
            </w:r>
            <w:r>
              <w:rPr>
                <w:rFonts w:ascii="宋体" w:hAnsi="宋体" w:cs="宋体" w:eastAsia="宋体" w:hint="default"/>
                <w:sz w:val="18"/>
                <w:szCs w:val="18"/>
              </w:rPr>
              <w:t>添利宝</w:t>
            </w:r>
            <w:r>
              <w:rPr>
                <w:rFonts w:ascii="Times New Roman" w:hAnsi="Times New Roman" w:cs="Times New Roman" w:eastAsia="Times New Roman" w:hint="default"/>
                <w:sz w:val="18"/>
                <w:szCs w:val="18"/>
              </w:rPr>
              <w:t>”</w:t>
            </w:r>
            <w:r>
              <w:rPr>
                <w:rFonts w:ascii="宋体" w:hAnsi="宋体" w:cs="宋体" w:eastAsia="宋体" w:hint="default"/>
                <w:sz w:val="18"/>
                <w:szCs w:val="18"/>
              </w:rPr>
              <w:t>结构性存款产品</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(TLB20181477)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89" w:right="0"/>
              <w:jc w:val="left"/>
              <w:rPr>
                <w:rFonts w:ascii="Times New Roman" w:hAnsi="Times New Roman" w:cs="Times New Roman" w:eastAsia="Times New Roman" w:hint="default"/>
                <w:sz w:val="18"/>
                <w:szCs w:val="18"/>
              </w:rPr>
            </w:pPr>
            <w:r>
              <w:rPr>
                <w:rFonts w:ascii="Times New Roman"/>
                <w:sz w:val="18"/>
              </w:rPr>
              <w:t>2018.10.26-2019.1.28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90,000,000.00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r>
      <w:tr>
        <w:trPr>
          <w:trHeight w:val="427" w:hRule="exact"/>
        </w:trPr>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单位结构性存款</w:t>
            </w:r>
            <w:r>
              <w:rPr>
                <w:rFonts w:ascii="Times New Roman" w:hAnsi="Times New Roman" w:cs="Times New Roman" w:eastAsia="Times New Roman" w:hint="default"/>
                <w:sz w:val="18"/>
                <w:szCs w:val="18"/>
              </w:rPr>
              <w:t>185352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89" w:right="0"/>
              <w:jc w:val="left"/>
              <w:rPr>
                <w:rFonts w:ascii="Times New Roman" w:hAnsi="Times New Roman" w:cs="Times New Roman" w:eastAsia="Times New Roman" w:hint="default"/>
                <w:sz w:val="18"/>
                <w:szCs w:val="18"/>
              </w:rPr>
            </w:pPr>
            <w:r>
              <w:rPr>
                <w:rFonts w:ascii="Times New Roman"/>
                <w:sz w:val="18"/>
              </w:rPr>
              <w:t>2018.10.18-2019.1.22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75,000,000.00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保本浮动型</w:t>
            </w:r>
          </w:p>
        </w:tc>
      </w:tr>
      <w:tr>
        <w:trPr>
          <w:trHeight w:val="739" w:hRule="exact"/>
        </w:trPr>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141"/>
              <w:jc w:val="left"/>
              <w:rPr>
                <w:rFonts w:ascii="宋体" w:hAnsi="宋体" w:cs="宋体" w:eastAsia="宋体" w:hint="default"/>
                <w:sz w:val="18"/>
                <w:szCs w:val="18"/>
              </w:rPr>
            </w:pPr>
            <w:r>
              <w:rPr>
                <w:rFonts w:ascii="宋体" w:hAnsi="宋体" w:cs="宋体" w:eastAsia="宋体" w:hint="default"/>
                <w:sz w:val="18"/>
                <w:szCs w:val="18"/>
              </w:rPr>
              <w:t>慧盈人民币单位结构性存款产品（产品代 码：</w:t>
            </w:r>
            <w:r>
              <w:rPr>
                <w:rFonts w:ascii="Times New Roman" w:hAnsi="Times New Roman" w:cs="Times New Roman" w:eastAsia="Times New Roman" w:hint="default"/>
                <w:sz w:val="18"/>
                <w:szCs w:val="18"/>
              </w:rPr>
              <w:t>HY18230248</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44" w:right="0"/>
              <w:jc w:val="left"/>
              <w:rPr>
                <w:rFonts w:ascii="Times New Roman" w:hAnsi="Times New Roman" w:cs="Times New Roman" w:eastAsia="Times New Roman" w:hint="default"/>
                <w:sz w:val="18"/>
                <w:szCs w:val="18"/>
              </w:rPr>
            </w:pPr>
            <w:r>
              <w:rPr>
                <w:rFonts w:ascii="Times New Roman"/>
                <w:sz w:val="18"/>
              </w:rPr>
              <w:t>2018.12.19-2019.12.17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r>
      <w:tr>
        <w:trPr>
          <w:trHeight w:val="427" w:hRule="exact"/>
        </w:trPr>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单位结构性存款</w:t>
            </w:r>
            <w:r>
              <w:rPr>
                <w:rFonts w:ascii="Times New Roman" w:hAnsi="Times New Roman" w:cs="Times New Roman" w:eastAsia="Times New Roman" w:hint="default"/>
                <w:sz w:val="18"/>
                <w:szCs w:val="18"/>
              </w:rPr>
              <w:t>185351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89" w:right="0"/>
              <w:jc w:val="left"/>
              <w:rPr>
                <w:rFonts w:ascii="Times New Roman" w:hAnsi="Times New Roman" w:cs="Times New Roman" w:eastAsia="Times New Roman" w:hint="default"/>
                <w:sz w:val="18"/>
                <w:szCs w:val="18"/>
              </w:rPr>
            </w:pPr>
            <w:r>
              <w:rPr>
                <w:rFonts w:ascii="Times New Roman"/>
                <w:sz w:val="18"/>
              </w:rPr>
              <w:t>2018.10.18-2019.1.22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33,000,000.00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保本浮动型</w:t>
            </w:r>
          </w:p>
        </w:tc>
      </w:tr>
      <w:tr>
        <w:trPr>
          <w:trHeight w:val="427" w:hRule="exact"/>
        </w:trPr>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挂钩利率结构性存款（</w:t>
            </w:r>
            <w:r>
              <w:rPr>
                <w:rFonts w:ascii="Times New Roman" w:hAnsi="Times New Roman" w:cs="Times New Roman" w:eastAsia="Times New Roman" w:hint="default"/>
                <w:sz w:val="18"/>
                <w:szCs w:val="18"/>
              </w:rPr>
              <w:t>SDGA180707</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34" w:right="0"/>
              <w:jc w:val="left"/>
              <w:rPr>
                <w:rFonts w:ascii="Times New Roman" w:hAnsi="Times New Roman" w:cs="Times New Roman" w:eastAsia="Times New Roman" w:hint="default"/>
                <w:sz w:val="18"/>
                <w:szCs w:val="18"/>
              </w:rPr>
            </w:pPr>
            <w:r>
              <w:rPr>
                <w:rFonts w:ascii="Times New Roman"/>
                <w:sz w:val="18"/>
              </w:rPr>
              <w:t>2018.11.29-2019.3.1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30,000,000.00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r>
      <w:tr>
        <w:trPr>
          <w:trHeight w:val="427" w:hRule="exact"/>
        </w:trPr>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98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738,000,000.00</w:t>
            </w:r>
          </w:p>
        </w:tc>
        <w:tc>
          <w:tcPr>
            <w:tcW w:w="226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8</w:t>
      </w:r>
      <w:r>
        <w:rPr/>
        <w:t>、可供出售金融资产</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）可供出售金融资产情况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99"/>
        <w:gridCol w:w="1195"/>
        <w:gridCol w:w="1198"/>
        <w:gridCol w:w="1195"/>
        <w:gridCol w:w="1248"/>
        <w:gridCol w:w="1368"/>
        <w:gridCol w:w="1366"/>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1,000,000.00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1,000,000.00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1" w:right="0"/>
              <w:jc w:val="left"/>
              <w:rPr>
                <w:rFonts w:ascii="Times New Roman" w:hAnsi="Times New Roman" w:cs="Times New Roman" w:eastAsia="Times New Roman" w:hint="default"/>
                <w:sz w:val="18"/>
                <w:szCs w:val="18"/>
              </w:rPr>
            </w:pPr>
            <w:r>
              <w:rPr>
                <w:rFonts w:ascii="Times New Roman"/>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）期末按公允价值计量的可供出售金融资产</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footerReference w:type="default" r:id="rId28"/>
          <w:pgSz w:w="11910" w:h="16840"/>
          <w:pgMar w:footer="982" w:header="753" w:top="1060" w:bottom="1180" w:left="980" w:right="0"/>
          <w:pgNumType w:start="14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3</w:t>
      </w:r>
      <w:r>
        <w:rPr/>
        <w:t>）期末按成本计量的可供出售金融资产</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1"/>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69"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3D3D3"/>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3D3D3"/>
          </w:tcPr>
          <w:p>
            <w:pPr/>
          </w:p>
        </w:tc>
        <w:tc>
          <w:tcPr>
            <w:tcW w:w="871" w:type="dxa"/>
            <w:vMerge/>
            <w:tcBorders>
              <w:left w:val="single" w:sz="4" w:space="0" w:color="000000"/>
              <w:bottom w:val="single" w:sz="4" w:space="0" w:color="000000"/>
              <w:right w:val="single" w:sz="4" w:space="0" w:color="000000"/>
            </w:tcBorders>
            <w:shd w:val="clear" w:color="auto" w:fill="D3D3D3"/>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广州民营 投资股份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0.17%</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4</w:t>
      </w:r>
      <w:r>
        <w:rPr/>
        <w:t>）报告期内可供出售金融资产减值的变动情况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5</w:t>
      </w:r>
      <w:r>
        <w:rPr/>
        <w:t>）可供出售权益工具期末公允价值严重下跌或非暂时性下跌但未计提减值准备的相关说明</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09" w:right="45"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8" w:right="45"/>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1003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9</w:t>
      </w:r>
      <w:r>
        <w:rPr/>
        <w:t>、长期股权投资</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四川金剑 包装制品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3,409,935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3,409,935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3,409,935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r>
    </w:tbl>
    <w:p>
      <w:pPr>
        <w:pStyle w:val="BodyText"/>
        <w:spacing w:line="357" w:lineRule="auto" w:before="49"/>
        <w:ind w:right="1003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10</w:t>
      </w:r>
      <w:r>
        <w:rPr/>
        <w:t>、投资性房地产</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）采用成本计量模式的投资性房地产</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）采用公允价值计量模式的投资性房地产</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443,625,472.96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443,625,472.96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二、本期变动</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63,273,508.92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63,273,508.92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加：外购</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20,920,621.20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20,920,621.20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42,352,887.72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42,352,887.72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506,898,981.88</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pacing w:val="-1"/>
                <w:sz w:val="18"/>
              </w:rPr>
              <w:t>506,898,981.88</w:t>
            </w:r>
            <w:r>
              <w:rPr>
                <w:rFonts w:ascii="Times New Roman"/>
                <w:color w:val="FF0000"/>
                <w:spacing w:val="-1"/>
                <w:position w:val="8"/>
                <w:sz w:val="12"/>
              </w:rPr>
              <w:t>2</w:t>
            </w:r>
            <w:r>
              <w:rPr>
                <w:rFonts w:ascii="Times New Roman"/>
                <w:spacing w:val="-1"/>
                <w:sz w:val="12"/>
              </w:rPr>
            </w:r>
          </w:p>
        </w:tc>
      </w:tr>
    </w:tbl>
    <w:p>
      <w:pPr>
        <w:pStyle w:val="BodyText"/>
        <w:spacing w:line="304" w:lineRule="auto" w:before="49"/>
        <w:ind w:right="1129"/>
        <w:jc w:val="both"/>
      </w:pPr>
      <w:r>
        <w:rPr>
          <w:spacing w:val="-8"/>
        </w:rPr>
        <w:t>注：</w:t>
      </w:r>
      <w:r>
        <w:rPr>
          <w:rFonts w:ascii="Times New Roman" w:hAnsi="Times New Roman" w:cs="Times New Roman" w:eastAsia="Times New Roman" w:hint="default"/>
          <w:spacing w:val="-8"/>
        </w:rPr>
        <w:t>2</w:t>
      </w:r>
      <w:r>
        <w:rPr>
          <w:rFonts w:ascii="Times New Roman" w:hAnsi="Times New Roman" w:cs="Times New Roman" w:eastAsia="Times New Roman" w:hint="default"/>
          <w:spacing w:val="-7"/>
        </w:rPr>
        <w:t> </w:t>
      </w:r>
      <w:r>
        <w:rPr/>
        <w:t>公司委托沃克森（北京）国际资产评估有限公司对自持投资性房地产进行评估以确定投资性房地产的公允价值，评估 报告以</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12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日为评估基准日，分别出具了沃克森评报字【</w:t>
      </w:r>
      <w:r>
        <w:rPr>
          <w:rFonts w:ascii="Times New Roman" w:hAnsi="Times New Roman" w:cs="Times New Roman" w:eastAsia="Times New Roman" w:hint="default"/>
          <w:spacing w:val="-3"/>
        </w:rPr>
        <w:t>2019</w:t>
      </w:r>
      <w:r>
        <w:rPr>
          <w:spacing w:val="-3"/>
        </w:rPr>
        <w:t>】第</w:t>
      </w:r>
      <w:r>
        <w:rPr>
          <w:spacing w:val="-47"/>
        </w:rPr>
        <w:t> </w:t>
      </w:r>
      <w:r>
        <w:rPr>
          <w:rFonts w:ascii="Times New Roman" w:hAnsi="Times New Roman" w:cs="Times New Roman" w:eastAsia="Times New Roman" w:hint="default"/>
        </w:rPr>
        <w:t>0289 </w:t>
      </w:r>
      <w:r>
        <w:rPr/>
        <w:t>号《美盈森集团股份有限公司因会计核 </w:t>
      </w:r>
      <w:r>
        <w:rPr>
          <w:spacing w:val="-2"/>
        </w:rPr>
        <w:t>算需了解位于深圳市南山区滨海大道深圳软件产业基地投资性房地产公允价值资产评估报告》，采用市场法和收益法确定评</w:t>
      </w:r>
      <w:r>
        <w:rPr>
          <w:spacing w:val="-66"/>
        </w:rPr>
        <w:t> </w:t>
      </w:r>
      <w:r>
        <w:rPr>
          <w:spacing w:val="-66"/>
        </w:rPr>
      </w:r>
      <w:r>
        <w:rPr/>
        <w:t>估总值</w:t>
      </w:r>
      <w:r>
        <w:rPr>
          <w:spacing w:val="-49"/>
        </w:rPr>
        <w:t> </w:t>
      </w:r>
      <w:r>
        <w:rPr>
          <w:rFonts w:ascii="Times New Roman" w:hAnsi="Times New Roman" w:cs="Times New Roman" w:eastAsia="Times New Roman" w:hint="default"/>
        </w:rPr>
        <w:t>43,273.39</w:t>
      </w:r>
      <w:r>
        <w:rPr>
          <w:rFonts w:ascii="Times New Roman" w:hAnsi="Times New Roman" w:cs="Times New Roman" w:eastAsia="Times New Roman" w:hint="default"/>
          <w:spacing w:val="-3"/>
        </w:rPr>
        <w:t> </w:t>
      </w:r>
      <w:r>
        <w:rPr>
          <w:spacing w:val="-5"/>
        </w:rPr>
        <w:t>万元；沃克森评报字【</w:t>
      </w:r>
      <w:r>
        <w:rPr>
          <w:rFonts w:ascii="Times New Roman" w:hAnsi="Times New Roman" w:cs="Times New Roman" w:eastAsia="Times New Roman" w:hint="default"/>
          <w:spacing w:val="-5"/>
        </w:rPr>
        <w:t>2019</w:t>
      </w:r>
      <w:r>
        <w:rPr>
          <w:spacing w:val="-5"/>
        </w:rPr>
        <w:t>】第</w:t>
      </w:r>
      <w:r>
        <w:rPr>
          <w:spacing w:val="-49"/>
        </w:rPr>
        <w:t> </w:t>
      </w:r>
      <w:r>
        <w:rPr>
          <w:rFonts w:ascii="Times New Roman" w:hAnsi="Times New Roman" w:cs="Times New Roman" w:eastAsia="Times New Roman" w:hint="default"/>
        </w:rPr>
        <w:t>0287</w:t>
      </w:r>
      <w:r>
        <w:rPr>
          <w:rFonts w:ascii="Times New Roman" w:hAnsi="Times New Roman" w:cs="Times New Roman" w:eastAsia="Times New Roman" w:hint="default"/>
          <w:spacing w:val="-2"/>
        </w:rPr>
        <w:t> </w:t>
      </w:r>
      <w:r>
        <w:rPr/>
        <w:t>号《重庆市美盈森环保包装工程有限公司因会计核算需了解位于重庆 </w:t>
      </w:r>
      <w:r>
        <w:rPr>
          <w:spacing w:val="-3"/>
        </w:rPr>
        <w:t>市沙坪坝西永组团投资性房地产公允价值资产评估报告》，采用收益法确定评估总值</w:t>
      </w:r>
      <w:r>
        <w:rPr/>
        <w:t> </w:t>
      </w:r>
      <w:r>
        <w:rPr>
          <w:rFonts w:ascii="Times New Roman" w:hAnsi="Times New Roman" w:cs="Times New Roman" w:eastAsia="Times New Roman" w:hint="default"/>
          <w:spacing w:val="-1"/>
        </w:rPr>
        <w:t>4,458.08</w:t>
      </w:r>
      <w:r>
        <w:rPr>
          <w:rFonts w:ascii="Times New Roman" w:hAnsi="Times New Roman" w:cs="Times New Roman" w:eastAsia="Times New Roman" w:hint="default"/>
        </w:rPr>
        <w:t> </w:t>
      </w:r>
      <w:r>
        <w:rPr>
          <w:spacing w:val="-1"/>
        </w:rPr>
        <w:t>万元；沃克森评报字【</w:t>
      </w:r>
      <w:r>
        <w:rPr>
          <w:rFonts w:ascii="Times New Roman" w:hAnsi="Times New Roman" w:cs="Times New Roman" w:eastAsia="Times New Roman" w:hint="default"/>
          <w:spacing w:val="-1"/>
        </w:rPr>
        <w:t>2019</w:t>
      </w:r>
      <w:r>
        <w:rPr>
          <w:spacing w:val="-1"/>
        </w:rPr>
        <w:t>】</w:t>
      </w:r>
    </w:p>
    <w:p>
      <w:pPr>
        <w:pStyle w:val="BodyText"/>
        <w:spacing w:line="240" w:lineRule="auto" w:before="9"/>
        <w:ind w:right="0"/>
        <w:jc w:val="both"/>
      </w:pPr>
      <w:r>
        <w:rPr/>
        <w:t>第</w:t>
      </w:r>
      <w:r>
        <w:rPr>
          <w:spacing w:val="-44"/>
        </w:rPr>
        <w:t> </w:t>
      </w:r>
      <w:r>
        <w:rPr>
          <w:rFonts w:ascii="Times New Roman" w:hAnsi="Times New Roman" w:cs="Times New Roman" w:eastAsia="Times New Roman" w:hint="default"/>
        </w:rPr>
        <w:t>0288</w:t>
      </w:r>
      <w:r>
        <w:rPr>
          <w:rFonts w:ascii="Times New Roman" w:hAnsi="Times New Roman" w:cs="Times New Roman" w:eastAsia="Times New Roman" w:hint="default"/>
          <w:spacing w:val="1"/>
        </w:rPr>
        <w:t> </w:t>
      </w:r>
      <w:r>
        <w:rPr/>
        <w:t>号《成都市美盈森环保科技有限公司因会计核算需了解位于成都崇州经济开发区崇阳大道</w:t>
      </w:r>
      <w:r>
        <w:rPr>
          <w:spacing w:val="-45"/>
        </w:rPr>
        <w:t> </w:t>
      </w:r>
      <w:r>
        <w:rPr>
          <w:rFonts w:ascii="Times New Roman" w:hAnsi="Times New Roman" w:cs="Times New Roman" w:eastAsia="Times New Roman" w:hint="default"/>
        </w:rPr>
        <w:t>898</w:t>
      </w:r>
      <w:r>
        <w:rPr>
          <w:rFonts w:ascii="Times New Roman" w:hAnsi="Times New Roman" w:cs="Times New Roman" w:eastAsia="Times New Roman" w:hint="default"/>
          <w:spacing w:val="1"/>
        </w:rPr>
        <w:t> </w:t>
      </w:r>
      <w:r>
        <w:rPr/>
        <w:t>号投资性房地产公允</w:t>
      </w:r>
    </w:p>
    <w:p>
      <w:pPr>
        <w:pStyle w:val="BodyText"/>
        <w:spacing w:line="240" w:lineRule="auto" w:before="63"/>
        <w:ind w:right="0"/>
        <w:jc w:val="both"/>
      </w:pPr>
      <w:r>
        <w:rPr/>
        <w:t>价值资产评估报告</w:t>
      </w:r>
      <w:r>
        <w:rPr>
          <w:spacing w:val="-92"/>
        </w:rPr>
        <w:t>》</w:t>
      </w:r>
      <w:r>
        <w:rPr/>
        <w:t>，采用收</w:t>
      </w:r>
      <w:r>
        <w:rPr>
          <w:spacing w:val="3"/>
        </w:rPr>
        <w:t>益</w:t>
      </w:r>
      <w:r>
        <w:rPr/>
        <w:t>法确定评估总值</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
        </w:rPr>
        <w:t>4</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万</w:t>
      </w:r>
      <w:r>
        <w:rPr>
          <w:spacing w:val="-2"/>
        </w:rPr>
        <w:t>元</w:t>
      </w:r>
      <w:r>
        <w:rPr/>
        <w:t>。</w:t>
      </w:r>
    </w:p>
    <w:p>
      <w:pPr>
        <w:spacing w:line="240" w:lineRule="auto" w:before="2"/>
        <w:rPr>
          <w:rFonts w:ascii="宋体" w:hAnsi="宋体" w:cs="宋体" w:eastAsia="宋体" w:hint="default"/>
          <w:sz w:val="26"/>
          <w:szCs w:val="26"/>
        </w:rPr>
      </w:pPr>
    </w:p>
    <w:p>
      <w:pPr>
        <w:pStyle w:val="Heading3"/>
        <w:spacing w:line="240" w:lineRule="auto"/>
        <w:ind w:right="0"/>
        <w:jc w:val="both"/>
        <w:rPr>
          <w:rFonts w:ascii="Tahoma" w:hAnsi="Tahoma" w:cs="Tahoma" w:eastAsia="Tahoma" w:hint="default"/>
        </w:rPr>
      </w:pPr>
      <w:r>
        <w:rPr/>
        <w:t>（</w:t>
      </w:r>
      <w:r>
        <w:rPr>
          <w:rFonts w:ascii="Tahoma" w:hAnsi="Tahoma" w:cs="Tahoma" w:eastAsia="Tahoma" w:hint="default"/>
        </w:rPr>
        <w:t>3</w:t>
      </w:r>
      <w:r>
        <w:rPr/>
        <w:t>）未办妥产权证书的投资性房地产情况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重庆美盈森仓库及宿舍楼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44,580,764.00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产权证书尚待办理完成</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成都美盈森厂房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29,584,358.68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产权证书尚待办理完成</w:t>
            </w:r>
          </w:p>
        </w:tc>
      </w:tr>
    </w:tbl>
    <w:p>
      <w:pPr>
        <w:pStyle w:val="BodyText"/>
        <w:spacing w:line="357" w:lineRule="auto" w:before="49"/>
        <w:ind w:right="1003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11</w:t>
      </w:r>
      <w:r>
        <w:rPr/>
        <w:t>、固定资产</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4"/>
        <w:gridCol w:w="3187"/>
        <w:gridCol w:w="3187"/>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1,219,297,623.63</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869,341,393.02</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1,219,297,623.63</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869,341,393.02</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1</w:t>
      </w:r>
      <w:r>
        <w:rPr/>
        <w:t>）固定资产情况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555,410,978.12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599,261,069.81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46,428,958.41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42,577,932.71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6,836,620.54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1,250,515,559.59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311,099,963.73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129,971,023.97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2,286,984.11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2,931,363.55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2,750,048.05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449,039,383.41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218,486.68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71,020,373.92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2,253,116.24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2,675,390.26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2,750,048.05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78,917,415.15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24" w:right="2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310,881,477.05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58,865,164.88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369,746,641.93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85,485.17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33,867.87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255,973.29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375,326.33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49"/>
              <w:ind w:left="24" w:right="1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）投资性房地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产转入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17,131,560.06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15,779,837.61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1,235,720.51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4,960,118.13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52,070.79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39,159,307.10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14,940,057.61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1,235,720.51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4,960,118.13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52,070.79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21,187,967.04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97" w:lineRule="auto" w:before="49"/>
              <w:ind w:left="24" w:right="1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）转投资性房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地产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17,131,560.06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17,131,560.06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49"/>
              <w:ind w:left="24" w:right="1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）转入在建工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程</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839,780.00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839,780.00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49"/>
              <w:ind w:left="24" w:right="1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）企业合并减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849,379,381.79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713,452,256.17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47,480,222.01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40,549,178.13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9,534,597.80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1,660,395,635.90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82,896,712.01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236,441,774.45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31,242,850.48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27,020,039.52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3,393,249.66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380,994,626.12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17,774,411.01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41,130,149.24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3,045,445.03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3,623,916.36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987,093.93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66,561,015.57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17,774,411.01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41,127,341.03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3,023,659.92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3,607,704.72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987,093.93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66,520,210.61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2,808.21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w w:val="95"/>
                <w:sz w:val="18"/>
              </w:rPr>
              <w:t>21,785.11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16,211.64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40,804.96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6,471,051.01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901,317.49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4,088,611.30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30,946.31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11,491,926.11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2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6,130,144.54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901,317.49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4,088,611.30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30,946.31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11,151,019.64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49"/>
              <w:ind w:left="24" w:right="1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）转入投资性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房地产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97" w:lineRule="auto" w:before="51"/>
              <w:ind w:left="24" w:right="1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）转入在建工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程</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340,906.47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340,906.47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97" w:lineRule="auto" w:before="51"/>
              <w:ind w:left="24" w:right="1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）企业合并减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100,671,123.02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271,100,872.68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33,386,978.02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26,555,344.58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4,349,397.28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436,063,715.58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136,931.56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42,608.89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179,540.45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4,850,811.52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8,138.90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4,858,950.42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4,850,811.52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8,138.90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4,858,950.42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4,194.18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4,194.18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2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4,194.18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4,194.18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4,983,548.90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50,747.79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5,034,296.69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748,708,258.77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437,367,834.59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14,042,496.20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13,993,833.55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5,185,200.52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1,219,297,623.63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472,514,266.11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362,682,363.80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15,143,499.04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15,557,893.19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3,443,370.88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869,341,393.02</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）暂时闲置的固定资产情况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3</w:t>
      </w:r>
      <w:r>
        <w:rPr/>
        <w:t>）通过融资租赁租入的固定资产情况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4</w:t>
      </w:r>
      <w:r>
        <w:rPr/>
        <w:t>）通过经营租赁租出的固定资产</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781"/>
        <w:gridCol w:w="4788"/>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5</w:t>
      </w:r>
      <w:r>
        <w:rPr/>
        <w:t>）未办妥产权证书的固定资产情况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重庆美盈森厂区厂房、办公楼及宿舍楼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84,200,462.72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产权证书尚待办理完成</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东莞美盈森厂区厂房、办公楼及宿舍楼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227,787,047.69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产权证书尚待办理完成</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苏州美盈森厂区厂房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62,836,019.39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产权证书尚待办理完成</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低碳环保包装研发总部基地项目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209,415,199.76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产权证书尚待办理完成</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成都美盈森厂区厂房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16,258,834.28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产权证书尚待办理完成</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宿迁厂区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25,395,510.82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产权证书尚待办理完成</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泸州厂区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18,180,054.67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产权证书尚待办理完成</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合江厂区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2,483,691.58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产权证书尚待办理完成</w:t>
            </w:r>
          </w:p>
        </w:tc>
      </w:tr>
    </w:tbl>
    <w:p>
      <w:pPr>
        <w:pStyle w:val="BodyText"/>
        <w:spacing w:line="357" w:lineRule="auto" w:before="49"/>
        <w:ind w:right="1003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6</w:t>
      </w:r>
      <w:r>
        <w:rPr/>
        <w:t>）固定资产清理</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4"/>
        <w:jc w:val="left"/>
      </w:pPr>
      <w:r>
        <w:rPr/>
        <w:t>其他说明</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rFonts w:ascii="Tahoma" w:hAnsi="Tahoma" w:cs="Tahoma" w:eastAsia="Tahoma" w:hint="default"/>
        </w:rPr>
        <w:t>12</w:t>
      </w:r>
      <w:r>
        <w:rPr/>
        <w:t>、在建工程</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896"/>
        <w:gridCol w:w="3814"/>
        <w:gridCol w:w="3859"/>
      </w:tblGrid>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316,579,242.27</w:t>
            </w: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239,139,776.49</w:t>
            </w:r>
          </w:p>
        </w:tc>
      </w:tr>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316,579,242.27</w:t>
            </w: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239,139,776.49</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1</w:t>
      </w:r>
      <w:r>
        <w:rPr/>
        <w:t>）在建工程情况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低碳环保包装研 发总部基地项目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578,789.81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578,789.81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152,328,322.37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152,328,322.37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环保包装生产建 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14,995,476.85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14,995,476.85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14,373,327.96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14,373,327.96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成都综合基地项 目工程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2,433,328.43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2,433,328.43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5,809,668.52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5,809,668.52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战略性包装工业</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483,785.48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483,785.48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440,936.42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440,936.42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2,439,770.84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2,439,770.84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1,610,053.60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1,610,053.60</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包装印刷工业</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智慧型工厂</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（东莞）项目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4,508,070.97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4,508,070.97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35,701,265.71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35,701,265.71</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包装印刷工业</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智慧型工厂</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（成都）项目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69,969,482.51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69,969,482.51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27,249,314.17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27,249,314.17</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包装印刷工业</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智慧型工厂</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（长沙）项目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138,351,134.15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138,351,134.15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1,626,887.74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1,626,887.74</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包装印刷工业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智慧型工厂 </w:t>
            </w:r>
            <w:r>
              <w:rPr>
                <w:rFonts w:ascii="Times New Roman" w:hAnsi="Times New Roman" w:cs="Times New Roman" w:eastAsia="Times New Roman" w:hint="default"/>
                <w:sz w:val="18"/>
                <w:szCs w:val="18"/>
              </w:rPr>
              <w:t>(</w:t>
            </w:r>
            <w:r>
              <w:rPr>
                <w:rFonts w:ascii="宋体" w:hAnsi="宋体" w:cs="宋体" w:eastAsia="宋体" w:hint="default"/>
                <w:sz w:val="18"/>
                <w:szCs w:val="18"/>
              </w:rPr>
              <w:t>六安</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54,204,265.62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54,204,265.62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智能包装研发生 产基地项目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223,179.99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223,179.99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美盈森包装印刷 工业进出口贸易 及保税加工（岳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24,215,522.97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24,215,522.97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阳）项目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基于装备制造的 智慧包装工业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产业园项目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164,514.38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164,514.38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深圳智慧农谷项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4,011,920.27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4,011,920.27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316,579,242.27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316,579,242.27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239,139,776.49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239,139,776.49</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）重要在建工程项目本期变动情况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96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包装印 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 型工厂</w:t>
            </w:r>
          </w:p>
          <w:p>
            <w:pPr>
              <w:pStyle w:val="TableParagraph"/>
              <w:spacing w:line="316" w:lineRule="auto" w:before="22"/>
              <w:ind w:left="24" w:right="-22"/>
              <w:jc w:val="left"/>
              <w:rPr>
                <w:rFonts w:ascii="宋体" w:hAnsi="宋体" w:cs="宋体" w:eastAsia="宋体" w:hint="default"/>
                <w:sz w:val="18"/>
                <w:szCs w:val="18"/>
              </w:rPr>
            </w:pPr>
            <w:r>
              <w:rPr>
                <w:rFonts w:ascii="宋体" w:hAnsi="宋体" w:cs="宋体" w:eastAsia="宋体" w:hint="default"/>
                <w:sz w:val="18"/>
                <w:szCs w:val="18"/>
              </w:rPr>
              <w:t>（东莞）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660,476,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35,701,2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26,619,2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57,812,4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40.28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4,508,07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44.07%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截止本 报告披 </w:t>
            </w:r>
            <w:r>
              <w:rPr>
                <w:rFonts w:ascii="宋体" w:hAnsi="宋体" w:cs="宋体" w:eastAsia="宋体" w:hint="default"/>
                <w:spacing w:val="-11"/>
                <w:sz w:val="18"/>
                <w:szCs w:val="18"/>
              </w:rPr>
              <w:t>露日，已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逐步投 入使用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63"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包装印</w:t>
            </w: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刷工业</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00" w:lineRule="auto" w:before="3"/>
              <w:ind w:left="24"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 型工厂</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50"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72" w:right="0"/>
              <w:jc w:val="left"/>
              <w:rPr>
                <w:rFonts w:ascii="Times New Roman" w:hAnsi="Times New Roman" w:cs="Times New Roman" w:eastAsia="Times New Roman" w:hint="default"/>
                <w:sz w:val="18"/>
                <w:szCs w:val="18"/>
              </w:rPr>
            </w:pPr>
            <w:r>
              <w:rPr>
                <w:rFonts w:ascii="Times New Roman"/>
                <w:sz w:val="18"/>
              </w:rPr>
              <w:t>1,626,88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7.74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50" w:right="0"/>
              <w:jc w:val="center"/>
              <w:rPr>
                <w:rFonts w:ascii="Times New Roman" w:hAnsi="Times New Roman" w:cs="Times New Roman" w:eastAsia="Times New Roman" w:hint="default"/>
                <w:sz w:val="18"/>
                <w:szCs w:val="18"/>
              </w:rPr>
            </w:pPr>
            <w:r>
              <w:rPr>
                <w:rFonts w:ascii="Times New Roman"/>
                <w:sz w:val="18"/>
              </w:rPr>
              <w:t>136,724,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246.41</w:t>
            </w: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50" w:right="0"/>
              <w:jc w:val="center"/>
              <w:rPr>
                <w:rFonts w:ascii="Times New Roman" w:hAnsi="Times New Roman" w:cs="Times New Roman" w:eastAsia="Times New Roman" w:hint="default"/>
                <w:sz w:val="18"/>
                <w:szCs w:val="18"/>
              </w:rPr>
            </w:pPr>
            <w:r>
              <w:rPr>
                <w:rFonts w:ascii="Times New Roman"/>
                <w:sz w:val="18"/>
              </w:rPr>
              <w:t>138,351,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134.15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40.30%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58"/>
              <w:jc w:val="left"/>
              <w:rPr>
                <w:rFonts w:ascii="宋体" w:hAnsi="宋体" w:cs="宋体" w:eastAsia="宋体" w:hint="default"/>
                <w:sz w:val="18"/>
                <w:szCs w:val="18"/>
              </w:rPr>
            </w:pPr>
            <w:r>
              <w:rPr>
                <w:rFonts w:ascii="宋体" w:hAnsi="宋体" w:cs="宋体" w:eastAsia="宋体" w:hint="default"/>
                <w:sz w:val="18"/>
                <w:szCs w:val="18"/>
              </w:rPr>
              <w:t>尚未投 产</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22"/>
              <w:jc w:val="left"/>
              <w:rPr>
                <w:rFonts w:ascii="宋体" w:hAnsi="宋体" w:cs="宋体" w:eastAsia="宋体" w:hint="default"/>
                <w:sz w:val="18"/>
                <w:szCs w:val="18"/>
              </w:rPr>
            </w:pPr>
            <w:r>
              <w:rPr>
                <w:rFonts w:ascii="宋体" w:hAnsi="宋体" w:cs="宋体" w:eastAsia="宋体" w:hint="default"/>
                <w:sz w:val="18"/>
                <w:szCs w:val="18"/>
              </w:rPr>
              <w:t>（长沙）</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包装印</w:t>
            </w: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刷工业</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00" w:lineRule="auto" w:before="3"/>
              <w:ind w:left="24"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 型工厂</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50" w:right="0"/>
              <w:jc w:val="center"/>
              <w:rPr>
                <w:rFonts w:ascii="Times New Roman" w:hAnsi="Times New Roman" w:cs="Times New Roman" w:eastAsia="Times New Roman" w:hint="default"/>
                <w:sz w:val="18"/>
                <w:szCs w:val="18"/>
              </w:rPr>
            </w:pPr>
            <w:r>
              <w:rPr>
                <w:rFonts w:ascii="Times New Roman"/>
                <w:sz w:val="18"/>
              </w:rPr>
              <w:t>600,703,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72" w:right="0"/>
              <w:jc w:val="left"/>
              <w:rPr>
                <w:rFonts w:ascii="Times New Roman" w:hAnsi="Times New Roman" w:cs="Times New Roman" w:eastAsia="Times New Roman" w:hint="default"/>
                <w:sz w:val="18"/>
                <w:szCs w:val="18"/>
              </w:rPr>
            </w:pPr>
            <w:r>
              <w:rPr>
                <w:rFonts w:ascii="Times New Roman"/>
                <w:sz w:val="18"/>
              </w:rPr>
              <w:t>27,249,3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14.17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72" w:right="0"/>
              <w:jc w:val="left"/>
              <w:rPr>
                <w:rFonts w:ascii="Times New Roman" w:hAnsi="Times New Roman" w:cs="Times New Roman" w:eastAsia="Times New Roman" w:hint="default"/>
                <w:sz w:val="18"/>
                <w:szCs w:val="18"/>
              </w:rPr>
            </w:pPr>
            <w:r>
              <w:rPr>
                <w:rFonts w:ascii="Times New Roman"/>
                <w:sz w:val="18"/>
              </w:rPr>
              <w:t>72,396,9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39.80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72" w:right="0"/>
              <w:jc w:val="left"/>
              <w:rPr>
                <w:rFonts w:ascii="Times New Roman" w:hAnsi="Times New Roman" w:cs="Times New Roman" w:eastAsia="Times New Roman" w:hint="default"/>
                <w:sz w:val="18"/>
                <w:szCs w:val="18"/>
              </w:rPr>
            </w:pPr>
            <w:r>
              <w:rPr>
                <w:rFonts w:ascii="Times New Roman"/>
                <w:sz w:val="18"/>
              </w:rPr>
              <w:t>29,676,7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71.46</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71" w:right="0"/>
              <w:jc w:val="left"/>
              <w:rPr>
                <w:rFonts w:ascii="Times New Roman" w:hAnsi="Times New Roman" w:cs="Times New Roman" w:eastAsia="Times New Roman" w:hint="default"/>
                <w:sz w:val="18"/>
                <w:szCs w:val="18"/>
              </w:rPr>
            </w:pPr>
            <w:r>
              <w:rPr>
                <w:rFonts w:ascii="Times New Roman"/>
                <w:sz w:val="18"/>
              </w:rPr>
              <w:t>69,969,4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82.51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18.99%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58"/>
              <w:jc w:val="left"/>
              <w:rPr>
                <w:rFonts w:ascii="宋体" w:hAnsi="宋体" w:cs="宋体" w:eastAsia="宋体" w:hint="default"/>
                <w:sz w:val="18"/>
                <w:szCs w:val="18"/>
              </w:rPr>
            </w:pPr>
            <w:r>
              <w:rPr>
                <w:rFonts w:ascii="宋体" w:hAnsi="宋体" w:cs="宋体" w:eastAsia="宋体" w:hint="default"/>
                <w:sz w:val="18"/>
                <w:szCs w:val="18"/>
              </w:rPr>
              <w:t>尚未投 产</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22"/>
              <w:jc w:val="left"/>
              <w:rPr>
                <w:rFonts w:ascii="宋体" w:hAnsi="宋体" w:cs="宋体" w:eastAsia="宋体" w:hint="default"/>
                <w:sz w:val="18"/>
                <w:szCs w:val="18"/>
              </w:rPr>
            </w:pPr>
            <w:r>
              <w:rPr>
                <w:rFonts w:ascii="宋体" w:hAnsi="宋体" w:cs="宋体" w:eastAsia="宋体" w:hint="default"/>
                <w:sz w:val="18"/>
                <w:szCs w:val="18"/>
              </w:rPr>
              <w:t>（成都）</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低碳环</w:t>
            </w: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4"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56"/>
              <w:jc w:val="both"/>
              <w:rPr>
                <w:rFonts w:ascii="宋体" w:hAnsi="宋体" w:cs="宋体" w:eastAsia="宋体" w:hint="default"/>
                <w:sz w:val="18"/>
                <w:szCs w:val="18"/>
              </w:rPr>
            </w:pPr>
            <w:r>
              <w:rPr>
                <w:rFonts w:ascii="宋体" w:hAnsi="宋体" w:cs="宋体" w:eastAsia="宋体" w:hint="default"/>
                <w:sz w:val="18"/>
                <w:szCs w:val="18"/>
              </w:rPr>
              <w:t>保包装 研发总 部基地</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230,000,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152,328,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322.37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57,445,0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91.96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209,415,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199.76</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358,214.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28" w:right="0"/>
              <w:jc w:val="center"/>
              <w:rPr>
                <w:rFonts w:ascii="Times New Roman" w:hAnsi="Times New Roman" w:cs="Times New Roman" w:eastAsia="Times New Roman" w:hint="default"/>
                <w:sz w:val="18"/>
                <w:szCs w:val="18"/>
              </w:rPr>
            </w:pPr>
            <w:r>
              <w:rPr>
                <w:rFonts w:ascii="Times New Roman"/>
                <w:sz w:val="18"/>
              </w:rPr>
              <w:t>91.21%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314" w:lineRule="auto" w:before="159"/>
              <w:ind w:left="24" w:right="158"/>
              <w:jc w:val="left"/>
              <w:rPr>
                <w:rFonts w:ascii="宋体" w:hAnsi="宋体" w:cs="宋体" w:eastAsia="宋体" w:hint="default"/>
                <w:sz w:val="18"/>
                <w:szCs w:val="18"/>
              </w:rPr>
            </w:pPr>
            <w:r>
              <w:rPr>
                <w:rFonts w:ascii="宋体" w:hAnsi="宋体" w:cs="宋体" w:eastAsia="宋体" w:hint="default"/>
                <w:sz w:val="18"/>
                <w:szCs w:val="18"/>
              </w:rPr>
              <w:t>尚未投 产</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8"/>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9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2"/>
              <w:jc w:val="both"/>
              <w:rPr>
                <w:rFonts w:ascii="宋体" w:hAnsi="宋体" w:cs="宋体" w:eastAsia="宋体" w:hint="default"/>
                <w:sz w:val="18"/>
                <w:szCs w:val="18"/>
              </w:rPr>
            </w:pPr>
            <w:r>
              <w:rPr>
                <w:rFonts w:ascii="宋体" w:hAnsi="宋体" w:cs="宋体" w:eastAsia="宋体" w:hint="default"/>
                <w:sz w:val="18"/>
                <w:szCs w:val="18"/>
              </w:rPr>
              <w:t>包装印 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56,279,4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2,075,22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54,204,2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28" w:right="0"/>
              <w:jc w:val="center"/>
              <w:rPr>
                <w:rFonts w:ascii="Times New Roman" w:hAnsi="Times New Roman" w:cs="Times New Roman" w:eastAsia="Times New Roman" w:hint="default"/>
                <w:sz w:val="18"/>
                <w:szCs w:val="18"/>
              </w:rPr>
            </w:pPr>
            <w:r>
              <w:rPr>
                <w:rFonts w:ascii="Times New Roman"/>
                <w:sz w:val="18"/>
              </w:rPr>
              <w:t>13.09%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尚未投 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316"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36"/>
              <w:jc w:val="left"/>
              <w:rPr>
                <w:rFonts w:ascii="宋体" w:hAnsi="宋体" w:cs="宋体" w:eastAsia="宋体" w:hint="default"/>
                <w:sz w:val="18"/>
                <w:szCs w:val="18"/>
              </w:rPr>
            </w:pPr>
            <w:r>
              <w:rPr>
                <w:rFonts w:ascii="宋体" w:hAnsi="宋体" w:cs="宋体" w:eastAsia="宋体" w:hint="default"/>
                <w:sz w:val="18"/>
                <w:szCs w:val="18"/>
              </w:rPr>
              <w:t>型工厂 </w:t>
            </w:r>
            <w:r>
              <w:rPr>
                <w:rFonts w:ascii="Times New Roman" w:hAnsi="Times New Roman" w:cs="Times New Roman" w:eastAsia="Times New Roman" w:hint="default"/>
                <w:sz w:val="18"/>
                <w:szCs w:val="18"/>
              </w:rPr>
              <w:t>(</w:t>
            </w:r>
            <w:r>
              <w:rPr>
                <w:rFonts w:ascii="宋体" w:hAnsi="宋体" w:cs="宋体" w:eastAsia="宋体" w:hint="default"/>
                <w:sz w:val="18"/>
                <w:szCs w:val="18"/>
              </w:rPr>
              <w:t>六安</w:t>
            </w:r>
            <w:r>
              <w:rPr>
                <w:rFonts w:ascii="Times New Roman" w:hAnsi="Times New Roman" w:cs="Times New Roman" w:eastAsia="Times New Roman" w:hint="default"/>
                <w:sz w:val="18"/>
                <w:szCs w:val="18"/>
              </w:rPr>
              <w:t>)</w:t>
            </w:r>
            <w:r>
              <w:rPr>
                <w:rFonts w:ascii="宋体" w:hAnsi="宋体" w:cs="宋体" w:eastAsia="宋体" w:hint="default"/>
                <w:sz w:val="18"/>
                <w:szCs w:val="18"/>
              </w:rPr>
              <w:t>项 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美盈森 包装印 刷工业 进出口 贸易及 保税加 工（岳 </w:t>
            </w:r>
            <w:r>
              <w:rPr>
                <w:rFonts w:ascii="宋体" w:hAnsi="宋体" w:cs="宋体" w:eastAsia="宋体" w:hint="default"/>
                <w:spacing w:val="-11"/>
                <w:sz w:val="18"/>
                <w:szCs w:val="18"/>
              </w:rPr>
              <w:t>阳）项目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25,769,6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1,554,16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24,215,5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尚未投 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3,291,18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0,700.00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216,905,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789.99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375,234,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701.53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300,533,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800.73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291,606,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690.79</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3</w:t>
      </w:r>
      <w:r>
        <w:rPr/>
        <w:t>）本期计提在建工程减值准备情况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1003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4</w:t>
      </w:r>
      <w:r>
        <w:rPr/>
        <w:t>）工程物资</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5"/>
        <w:gridCol w:w="1193"/>
      </w:tblGrid>
      <w:tr>
        <w:trPr>
          <w:trHeight w:val="402" w:hRule="exact"/>
        </w:trPr>
        <w:tc>
          <w:tcPr>
            <w:tcW w:w="21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0" w:type="dxa"/>
            <w:vMerge/>
            <w:tcBorders>
              <w:left w:val="single" w:sz="4" w:space="0" w:color="000000"/>
              <w:bottom w:val="single" w:sz="4" w:space="0" w:color="000000"/>
              <w:right w:val="single" w:sz="4" w:space="0" w:color="000000"/>
            </w:tcBorders>
            <w:shd w:val="clear" w:color="auto" w:fill="D3D3D3"/>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13</w:t>
      </w:r>
      <w:r>
        <w:rPr/>
        <w:t>、生产性生物资产</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）采用成本计量模式的生产性生物资产</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种植业</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畜牧养殖业</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林业</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水产业</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898,195.61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898,195.61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1,294,971.96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1,294,971.96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1,294,971.96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1,294,971.96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自行培育</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2,193,167.57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2,193,167.57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2,193,167.57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2,193,167.57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898,195.61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898,195.61</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）采用公允价值计量模式的生产性生物资产</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14</w:t>
      </w:r>
      <w:r>
        <w:rPr/>
        <w:t>、无形资产</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）无形资产情况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426,688,286.76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5,875,239.89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432,563,526.65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35,720,053.76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328,245.45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36,048,299.21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35,720,053.76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328,245.45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36,048,299.21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548,679.51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548,679.51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 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548,679.51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548,679.51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）企业合并减少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461,859,661.01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6,203,485.34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468,063,146.35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36,012,196.57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3,469,291.74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39,481,488.31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9,214,805.61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775,595.64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9,990,401.25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9,214,805.61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775,595.64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9,990,401.25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23,776.12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23,776.12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 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23,776.12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23,776.12</w:t>
            </w:r>
          </w:p>
        </w:tc>
      </w:tr>
    </w:tbl>
    <w:p>
      <w:pPr>
        <w:spacing w:after="0" w:line="240" w:lineRule="auto"/>
        <w:jc w:val="right"/>
        <w:rPr>
          <w:rFonts w:ascii="Times New Roman" w:hAnsi="Times New Roman" w:cs="Times New Roman" w:eastAsia="Times New Roman" w:hint="default"/>
          <w:sz w:val="18"/>
          <w:szCs w:val="18"/>
        </w:rPr>
        <w:sectPr>
          <w:footerReference w:type="default" r:id="rId29"/>
          <w:pgSz w:w="11910" w:h="16840"/>
          <w:pgMar w:footer="982" w:header="753" w:top="1060" w:bottom="1180" w:left="980" w:right="0"/>
          <w:pgNumType w:start="15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）企业合并减少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45,203,226.06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4,244,887.38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49,448,113.44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416,656,434.95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1,958,597.96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418,615,032.91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390,676,090.19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2,405,948.15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393,082,038.34</w:t>
            </w:r>
          </w:p>
        </w:tc>
      </w:tr>
    </w:tbl>
    <w:p>
      <w:pPr>
        <w:pStyle w:val="BodyText"/>
        <w:spacing w:line="240" w:lineRule="auto" w:before="49"/>
        <w:ind w:right="984"/>
        <w:jc w:val="left"/>
      </w:pPr>
      <w:r>
        <w:rPr/>
        <w:t>本期末通过公司内部研发形成的无形资产占无形资产余额的比例</w:t>
      </w:r>
      <w:r>
        <w:rPr>
          <w:spacing w:val="-47"/>
        </w:rPr>
        <w:t> </w:t>
      </w:r>
      <w:r>
        <w:rPr>
          <w:rFonts w:ascii="Times New Roman" w:hAnsi="Times New Roman" w:cs="Times New Roman" w:eastAsia="Times New Roman" w:hint="default"/>
        </w:rPr>
        <w:t>0.00%</w:t>
      </w:r>
      <w:r>
        <w:rPr/>
        <w:t>。</w:t>
      </w:r>
    </w:p>
    <w:p>
      <w:pPr>
        <w:spacing w:line="240" w:lineRule="auto" w:before="13"/>
        <w:rPr>
          <w:rFonts w:ascii="宋体" w:hAnsi="宋体" w:cs="宋体" w:eastAsia="宋体" w:hint="default"/>
          <w:sz w:val="25"/>
          <w:szCs w:val="25"/>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）未办妥产权证书的土地使用权情况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郑州美盈森土地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32,728,253.83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15</w:t>
      </w:r>
      <w:r>
        <w:rPr/>
        <w:t>、商誉</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）商誉账面原值</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8"/>
        <w:gridCol w:w="1366"/>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深圳市金之彩文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174,891,428.47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174,891,428.47</w:t>
            </w:r>
          </w:p>
        </w:tc>
      </w:tr>
    </w:tbl>
    <w:p>
      <w:pPr>
        <w:spacing w:after="0" w:line="240" w:lineRule="auto"/>
        <w:jc w:val="lef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8"/>
              <w:ind w:right="48"/>
              <w:jc w:val="center"/>
              <w:rPr>
                <w:rFonts w:ascii="宋体" w:hAnsi="宋体" w:cs="宋体" w:eastAsia="宋体" w:hint="default"/>
                <w:sz w:val="18"/>
                <w:szCs w:val="18"/>
              </w:rPr>
            </w:pPr>
            <w:r>
              <w:rPr>
                <w:rFonts w:ascii="宋体" w:hAnsi="宋体" w:cs="宋体" w:eastAsia="宋体" w:hint="default"/>
                <w:sz w:val="18"/>
                <w:szCs w:val="18"/>
              </w:rPr>
              <w:t>化创意有限公司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174,891,428.47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174,891,428.47</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）商誉减值准备</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深圳市金之彩文 化创意有限公司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144,912,179.22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29,979,249.25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174,891,428.47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144,912,179.22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29,979,249.25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174,891,428.47</w:t>
            </w:r>
          </w:p>
        </w:tc>
      </w:tr>
    </w:tbl>
    <w:p>
      <w:pPr>
        <w:pStyle w:val="BodyText"/>
        <w:spacing w:line="338" w:lineRule="auto" w:before="49"/>
        <w:ind w:right="984"/>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71"/>
        </w:rPr>
        <w:t> </w:t>
      </w:r>
      <w:r>
        <w:rPr>
          <w:spacing w:val="-71"/>
        </w:rPr>
      </w:r>
      <w:r>
        <w:rPr/>
        <w:t>等）及商誉减值损失的确认方法：</w:t>
      </w:r>
    </w:p>
    <w:p>
      <w:pPr>
        <w:pStyle w:val="BodyText"/>
        <w:spacing w:line="312" w:lineRule="auto" w:before="41"/>
        <w:ind w:right="1131" w:firstLine="360"/>
        <w:jc w:val="both"/>
      </w:pPr>
      <w:r>
        <w:rPr>
          <w:spacing w:val="-1"/>
        </w:rPr>
        <w:t>报告期末商誉账面余额</w:t>
      </w:r>
      <w:r>
        <w:rPr>
          <w:rFonts w:ascii="Times New Roman" w:hAnsi="Times New Roman" w:cs="Times New Roman" w:eastAsia="Times New Roman" w:hint="default"/>
          <w:spacing w:val="-1"/>
        </w:rPr>
        <w:t>174,891,428.47</w:t>
      </w:r>
      <w:r>
        <w:rPr>
          <w:spacing w:val="-1"/>
        </w:rPr>
        <w:t>为</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日收购深圳市金之彩文化创意有限公司时形成。公司期末对与商誉</w:t>
      </w:r>
      <w:r>
        <w:rPr/>
        <w:t> </w:t>
      </w:r>
      <w:r>
        <w:rPr>
          <w:spacing w:val="-2"/>
        </w:rPr>
        <w:t>相关的深圳市金之彩文化创意有限公司资产组进行了减值测试，首先将该商誉及归属于少数股东权益的商誉包括在内，调整</w:t>
      </w:r>
      <w:r>
        <w:rPr>
          <w:spacing w:val="-64"/>
        </w:rPr>
        <w:t> </w:t>
      </w:r>
      <w:r>
        <w:rPr>
          <w:spacing w:val="-64"/>
        </w:rPr>
      </w:r>
      <w:r>
        <w:rPr>
          <w:spacing w:val="-2"/>
        </w:rPr>
        <w:t>各资产组的账面价值，然后将调整后的各资产组账面价值与其可收回金额进行比较，以确定各资产组（包括商誉）是否发生</w:t>
      </w:r>
      <w:r>
        <w:rPr>
          <w:spacing w:val="-65"/>
        </w:rPr>
        <w:t> </w:t>
      </w:r>
      <w:r>
        <w:rPr>
          <w:spacing w:val="-65"/>
        </w:rPr>
      </w:r>
      <w:r>
        <w:rPr/>
        <w:t>了减值。</w:t>
      </w:r>
    </w:p>
    <w:p>
      <w:pPr>
        <w:pStyle w:val="BodyText"/>
        <w:spacing w:line="240" w:lineRule="auto" w:before="145"/>
        <w:ind w:left="512" w:right="984"/>
        <w:jc w:val="left"/>
      </w:pPr>
      <w:r>
        <w:rPr/>
        <w:t>（</w:t>
      </w:r>
      <w:r>
        <w:rPr>
          <w:rFonts w:ascii="Times New Roman" w:hAnsi="Times New Roman" w:cs="Times New Roman" w:eastAsia="Times New Roman" w:hint="default"/>
        </w:rPr>
        <w:t>1</w:t>
      </w:r>
      <w:r>
        <w:rPr/>
        <w:t>）商誉减值测试情况如下：</w:t>
      </w:r>
    </w:p>
    <w:p>
      <w:pPr>
        <w:spacing w:line="240" w:lineRule="auto" w:before="2"/>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5568"/>
        <w:gridCol w:w="4224"/>
      </w:tblGrid>
      <w:tr>
        <w:trPr>
          <w:trHeight w:val="427" w:hRule="exact"/>
        </w:trPr>
        <w:tc>
          <w:tcPr>
            <w:tcW w:w="5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44" w:right="0"/>
              <w:jc w:val="left"/>
              <w:rPr>
                <w:rFonts w:ascii="宋体" w:hAnsi="宋体" w:cs="宋体" w:eastAsia="宋体" w:hint="default"/>
                <w:sz w:val="18"/>
                <w:szCs w:val="18"/>
              </w:rPr>
            </w:pPr>
            <w:r>
              <w:rPr>
                <w:rFonts w:ascii="宋体" w:hAnsi="宋体" w:cs="宋体" w:eastAsia="宋体" w:hint="default"/>
                <w:sz w:val="18"/>
                <w:szCs w:val="18"/>
              </w:rPr>
              <w:t>深圳市金之彩文化创意有限公司</w:t>
            </w:r>
          </w:p>
        </w:tc>
      </w:tr>
      <w:tr>
        <w:trPr>
          <w:trHeight w:val="427" w:hRule="exact"/>
        </w:trPr>
        <w:tc>
          <w:tcPr>
            <w:tcW w:w="5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未确认归属于少数股东权益的商誉账面金额①</w:t>
            </w:r>
          </w:p>
        </w:tc>
        <w:tc>
          <w:tcPr>
            <w:tcW w:w="4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74,953,469.34</w:t>
            </w:r>
          </w:p>
        </w:tc>
      </w:tr>
      <w:tr>
        <w:trPr>
          <w:trHeight w:val="427" w:hRule="exact"/>
        </w:trPr>
        <w:tc>
          <w:tcPr>
            <w:tcW w:w="5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包含归属于少数股东权益的商誉账面金额②</w:t>
            </w:r>
          </w:p>
        </w:tc>
        <w:tc>
          <w:tcPr>
            <w:tcW w:w="4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249,844,897.81</w:t>
            </w:r>
          </w:p>
        </w:tc>
      </w:tr>
      <w:tr>
        <w:trPr>
          <w:trHeight w:val="427" w:hRule="exact"/>
        </w:trPr>
        <w:tc>
          <w:tcPr>
            <w:tcW w:w="5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资产组的账面价值③</w:t>
            </w:r>
          </w:p>
        </w:tc>
        <w:tc>
          <w:tcPr>
            <w:tcW w:w="4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64,160,526.36</w:t>
            </w:r>
          </w:p>
        </w:tc>
      </w:tr>
      <w:tr>
        <w:trPr>
          <w:trHeight w:val="427" w:hRule="exact"/>
        </w:trPr>
        <w:tc>
          <w:tcPr>
            <w:tcW w:w="5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包含整体商誉的资产组的账面价值④</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4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314,005,424.17</w:t>
            </w:r>
          </w:p>
        </w:tc>
      </w:tr>
      <w:tr>
        <w:trPr>
          <w:trHeight w:val="427" w:hRule="exact"/>
        </w:trPr>
        <w:tc>
          <w:tcPr>
            <w:tcW w:w="5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资产组预计未来现金流量现值（可收回金额）⑤</w:t>
            </w:r>
          </w:p>
        </w:tc>
        <w:tc>
          <w:tcPr>
            <w:tcW w:w="4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30,948,300.00</w:t>
            </w:r>
          </w:p>
        </w:tc>
      </w:tr>
      <w:tr>
        <w:trPr>
          <w:trHeight w:val="427" w:hRule="exact"/>
        </w:trPr>
        <w:tc>
          <w:tcPr>
            <w:tcW w:w="5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商誉减值损失（大于</w:t>
            </w:r>
            <w:r>
              <w:rPr>
                <w:rFonts w:ascii="Times New Roman" w:hAnsi="Times New Roman" w:cs="Times New Roman" w:eastAsia="Times New Roman" w:hint="default"/>
                <w:sz w:val="18"/>
                <w:szCs w:val="18"/>
              </w:rPr>
              <w:t>0</w:t>
            </w:r>
            <w:r>
              <w:rPr>
                <w:rFonts w:ascii="宋体" w:hAnsi="宋体" w:cs="宋体" w:eastAsia="宋体" w:hint="default"/>
                <w:sz w:val="18"/>
                <w:szCs w:val="18"/>
              </w:rPr>
              <w:t>时）⑥</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r>
              <w:rPr>
                <w:rFonts w:ascii="宋体" w:hAnsi="宋体" w:cs="宋体" w:eastAsia="宋体" w:hint="default"/>
                <w:sz w:val="18"/>
                <w:szCs w:val="18"/>
              </w:rPr>
              <w:t>⑤</w:t>
            </w:r>
          </w:p>
        </w:tc>
        <w:tc>
          <w:tcPr>
            <w:tcW w:w="4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249,844,897.81</w:t>
            </w:r>
          </w:p>
        </w:tc>
      </w:tr>
      <w:tr>
        <w:trPr>
          <w:trHeight w:val="427" w:hRule="exact"/>
        </w:trPr>
        <w:tc>
          <w:tcPr>
            <w:tcW w:w="5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归属于母公司商誉减值损失⑦</w:t>
            </w:r>
          </w:p>
        </w:tc>
        <w:tc>
          <w:tcPr>
            <w:tcW w:w="4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174,891,428.47</w:t>
            </w:r>
          </w:p>
        </w:tc>
      </w:tr>
    </w:tbl>
    <w:p>
      <w:pPr>
        <w:spacing w:line="240" w:lineRule="auto" w:before="13"/>
        <w:rPr>
          <w:rFonts w:ascii="宋体" w:hAnsi="宋体" w:cs="宋体" w:eastAsia="宋体" w:hint="default"/>
          <w:sz w:val="6"/>
          <w:szCs w:val="6"/>
        </w:rPr>
      </w:pPr>
    </w:p>
    <w:p>
      <w:pPr>
        <w:pStyle w:val="BodyText"/>
        <w:spacing w:line="240" w:lineRule="auto" w:before="37"/>
        <w:ind w:left="512" w:right="984"/>
        <w:jc w:val="left"/>
      </w:pPr>
      <w:r>
        <w:rPr/>
        <w:t>（</w:t>
      </w:r>
      <w:r>
        <w:rPr>
          <w:rFonts w:ascii="Times New Roman" w:hAnsi="Times New Roman" w:cs="Times New Roman" w:eastAsia="Times New Roman" w:hint="default"/>
        </w:rPr>
        <w:t>2</w:t>
      </w:r>
      <w:r>
        <w:rPr/>
        <w:t>）历年商誉减值情况如下</w:t>
      </w:r>
    </w:p>
    <w:p>
      <w:pPr>
        <w:spacing w:line="240" w:lineRule="auto" w:before="5"/>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2268"/>
        <w:gridCol w:w="1934"/>
        <w:gridCol w:w="1937"/>
        <w:gridCol w:w="1740"/>
        <w:gridCol w:w="1975"/>
      </w:tblGrid>
      <w:tr>
        <w:trPr>
          <w:trHeight w:val="73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871"/>
              <w:jc w:val="righ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54"/>
                <w:sz w:val="18"/>
                <w:szCs w:val="18"/>
              </w:rPr>
              <w:t> </w:t>
            </w:r>
            <w:r>
              <w:rPr>
                <w:rFonts w:ascii="宋体" w:hAnsi="宋体" w:cs="宋体" w:eastAsia="宋体" w:hint="default"/>
                <w:sz w:val="18"/>
                <w:szCs w:val="18"/>
              </w:rPr>
              <w:t>别</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892" w:right="74" w:hanging="812"/>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年累计减值金 额</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73,340,667.24</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66,141,417.40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5,430,094.58</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144,912,179.22</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871"/>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73,340,667.24</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66,141,417.40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5,430,094.58</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144,912,179.22</w:t>
            </w:r>
          </w:p>
        </w:tc>
      </w:tr>
    </w:tbl>
    <w:p>
      <w:pPr>
        <w:spacing w:line="240" w:lineRule="auto" w:before="13"/>
        <w:rPr>
          <w:rFonts w:ascii="宋体" w:hAnsi="宋体" w:cs="宋体" w:eastAsia="宋体" w:hint="default"/>
          <w:sz w:val="6"/>
          <w:szCs w:val="6"/>
        </w:rPr>
      </w:pPr>
    </w:p>
    <w:p>
      <w:pPr>
        <w:pStyle w:val="BodyText"/>
        <w:spacing w:line="240" w:lineRule="auto" w:before="37"/>
        <w:ind w:left="512" w:right="984"/>
        <w:jc w:val="left"/>
      </w:pPr>
      <w:r>
        <w:rPr/>
        <w:t>（</w:t>
      </w:r>
      <w:r>
        <w:rPr>
          <w:rFonts w:ascii="Times New Roman" w:hAnsi="Times New Roman" w:cs="Times New Roman" w:eastAsia="Times New Roman" w:hint="default"/>
        </w:rPr>
        <w:t>3</w:t>
      </w:r>
      <w:r>
        <w:rPr/>
        <w:t>）商誉所在资产组或资产组组合的相关信息</w:t>
      </w:r>
    </w:p>
    <w:p>
      <w:pPr>
        <w:pStyle w:val="BodyText"/>
        <w:spacing w:line="357" w:lineRule="auto" w:before="103"/>
        <w:ind w:left="512" w:right="984"/>
        <w:jc w:val="left"/>
      </w:pPr>
      <w:r>
        <w:rPr/>
        <w:t>（ⅰ）商誉减值的资产组或资产组组合的构成情况 </w:t>
      </w:r>
      <w:r>
        <w:rPr>
          <w:spacing w:val="-2"/>
        </w:rPr>
        <w:t>深圳市金之彩文化创意有限公司资产组与购买日及以前年度商誉减值测试时所确定的资产组一致，范围包括组成资产组</w:t>
      </w:r>
    </w:p>
    <w:p>
      <w:pPr>
        <w:spacing w:after="0" w:line="357"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right="984"/>
        <w:jc w:val="left"/>
      </w:pPr>
      <w:r>
        <w:rPr/>
        <w:t>的包含固定资产、在建工程、无形资产等长期资产及其他相关经营性资产。</w:t>
      </w:r>
    </w:p>
    <w:p>
      <w:pPr>
        <w:pStyle w:val="BodyText"/>
        <w:spacing w:line="357" w:lineRule="auto" w:before="117"/>
        <w:ind w:left="512" w:right="984"/>
        <w:jc w:val="left"/>
      </w:pPr>
      <w:r>
        <w:rPr/>
        <w:t>（ⅱ）资产组预计未来现金流量现值（可收回金额）的评估结果 </w:t>
      </w:r>
      <w:r>
        <w:rPr>
          <w:spacing w:val="-2"/>
        </w:rPr>
        <w:t>商誉所在资产组预计未来现金流量现值（可收回金额）利用沃克森（北京）国际资产评估有限公司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日出具的</w:t>
      </w:r>
    </w:p>
    <w:p>
      <w:pPr>
        <w:pStyle w:val="BodyText"/>
        <w:spacing w:line="201" w:lineRule="exact"/>
        <w:ind w:right="984"/>
        <w:jc w:val="left"/>
      </w:pPr>
      <w:r>
        <w:rPr/>
        <w:t>《深圳市金之彩文化创意有限公司股东拟进行商誉减值测试涉及的商誉所在资产组可收回价值资产评估报告</w:t>
      </w:r>
      <w:r>
        <w:rPr>
          <w:spacing w:val="-81"/>
        </w:rPr>
        <w:t>》</w:t>
      </w:r>
      <w:r>
        <w:rPr/>
        <w:t>（沃克森评报</w:t>
      </w:r>
    </w:p>
    <w:p>
      <w:pPr>
        <w:pStyle w:val="BodyText"/>
        <w:spacing w:line="240" w:lineRule="auto" w:before="76"/>
        <w:ind w:right="984"/>
        <w:jc w:val="left"/>
      </w:pPr>
      <w:r>
        <w:rPr/>
        <w:t>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0326</w:t>
      </w:r>
      <w:r>
        <w:rPr/>
        <w:t>号）的评估结果。</w:t>
      </w:r>
    </w:p>
    <w:p>
      <w:pPr>
        <w:pStyle w:val="BodyText"/>
        <w:spacing w:line="240" w:lineRule="auto" w:before="103"/>
        <w:ind w:left="512" w:right="984"/>
        <w:jc w:val="left"/>
      </w:pPr>
      <w:r>
        <w:rPr/>
        <w:t>（</w:t>
      </w:r>
      <w:r>
        <w:rPr>
          <w:rFonts w:ascii="Times New Roman" w:hAnsi="Times New Roman" w:cs="Times New Roman" w:eastAsia="Times New Roman" w:hint="default"/>
        </w:rPr>
        <w:t>4</w:t>
      </w:r>
      <w:r>
        <w:rPr/>
        <w:t>）商誉减值测试过程、参数及商誉减值损失的确认方法</w:t>
      </w:r>
    </w:p>
    <w:p>
      <w:pPr>
        <w:pStyle w:val="BodyText"/>
        <w:spacing w:line="240" w:lineRule="auto" w:before="103"/>
        <w:ind w:left="512" w:right="984"/>
        <w:jc w:val="left"/>
      </w:pPr>
      <w:r>
        <w:rPr/>
        <w:t>（ⅰ）重要假设及依据</w:t>
      </w:r>
    </w:p>
    <w:p>
      <w:pPr>
        <w:pStyle w:val="BodyText"/>
        <w:spacing w:line="316" w:lineRule="auto" w:before="115"/>
        <w:ind w:right="984" w:firstLine="360"/>
        <w:jc w:val="left"/>
      </w:pPr>
      <w:r>
        <w:rPr>
          <w:spacing w:val="-2"/>
        </w:rPr>
        <w:t>①假设评估基准日后被评估单位所处国家现行的有关法律法规及政策、国家宏观经济形势无重大变化，本次交易各方所</w:t>
      </w:r>
      <w:r>
        <w:rPr/>
        <w:t> 处地区的政治、经济和社会环境无重大变化。</w:t>
      </w:r>
    </w:p>
    <w:p>
      <w:pPr>
        <w:pStyle w:val="BodyText"/>
        <w:spacing w:line="240" w:lineRule="auto" w:before="59"/>
        <w:ind w:left="512" w:right="984"/>
        <w:jc w:val="left"/>
      </w:pPr>
      <w:r>
        <w:rPr/>
        <w:t>②假设评估基准日后被评估单位的经营者是负责的，并且公司管理层有能力担当其职务。</w:t>
      </w:r>
    </w:p>
    <w:p>
      <w:pPr>
        <w:pStyle w:val="BodyText"/>
        <w:spacing w:line="240" w:lineRule="auto" w:before="117"/>
        <w:ind w:left="512" w:right="984"/>
        <w:jc w:val="left"/>
      </w:pPr>
      <w:r>
        <w:rPr/>
        <w:t>③假设被评估单位完全遵守所有有关的法律法规。</w:t>
      </w:r>
    </w:p>
    <w:p>
      <w:pPr>
        <w:pStyle w:val="BodyText"/>
        <w:spacing w:line="240" w:lineRule="auto" w:before="115"/>
        <w:ind w:left="512" w:right="984"/>
        <w:jc w:val="left"/>
      </w:pPr>
      <w:r>
        <w:rPr/>
        <w:t>④假设和被评估单位相关的利率、汇率、赋税基准及税率、政策性征收费用等评估基准日后不发生重大变化。</w:t>
      </w:r>
    </w:p>
    <w:p>
      <w:pPr>
        <w:pStyle w:val="BodyText"/>
        <w:spacing w:line="240" w:lineRule="auto" w:before="117"/>
        <w:ind w:left="512" w:right="984"/>
        <w:jc w:val="left"/>
      </w:pPr>
      <w:r>
        <w:rPr/>
        <w:t>⑤假设评估基准日后无其他人力不可抗拒因素及不可预见因素对企业造成重大不利影响。</w:t>
      </w:r>
    </w:p>
    <w:p>
      <w:pPr>
        <w:pStyle w:val="BodyText"/>
        <w:spacing w:line="240" w:lineRule="auto" w:before="117"/>
        <w:ind w:left="512" w:right="984"/>
        <w:jc w:val="left"/>
      </w:pPr>
      <w:r>
        <w:rPr/>
        <w:t>（ⅱ）关键参数</w:t>
      </w:r>
    </w:p>
    <w:p>
      <w:pPr>
        <w:spacing w:line="240" w:lineRule="auto" w:before="5"/>
        <w:rPr>
          <w:rFonts w:ascii="宋体" w:hAnsi="宋体" w:cs="宋体" w:eastAsia="宋体"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1385"/>
        <w:gridCol w:w="1274"/>
        <w:gridCol w:w="991"/>
        <w:gridCol w:w="1421"/>
        <w:gridCol w:w="979"/>
        <w:gridCol w:w="1217"/>
        <w:gridCol w:w="1255"/>
      </w:tblGrid>
      <w:tr>
        <w:trPr>
          <w:trHeight w:val="427" w:hRule="exact"/>
        </w:trPr>
        <w:tc>
          <w:tcPr>
            <w:tcW w:w="1385" w:type="dxa"/>
            <w:vMerge w:val="restart"/>
            <w:tcBorders>
              <w:top w:val="single" w:sz="6" w:space="0" w:color="000000"/>
              <w:left w:val="single" w:sz="6" w:space="0" w:color="000000"/>
              <w:right w:val="single" w:sz="6" w:space="0" w:color="000000"/>
            </w:tcBorders>
          </w:tcPr>
          <w:p>
            <w:pPr>
              <w:pStyle w:val="TableParagraph"/>
              <w:spacing w:line="240" w:lineRule="auto" w:before="58"/>
              <w:ind w:left="36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138"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0" w:right="0"/>
              <w:jc w:val="center"/>
              <w:rPr>
                <w:rFonts w:ascii="宋体" w:hAnsi="宋体" w:cs="宋体" w:eastAsia="宋体" w:hint="default"/>
                <w:sz w:val="18"/>
                <w:szCs w:val="18"/>
              </w:rPr>
            </w:pPr>
            <w:r>
              <w:rPr>
                <w:rFonts w:ascii="宋体" w:hAnsi="宋体" w:cs="宋体" w:eastAsia="宋体" w:hint="default"/>
                <w:sz w:val="18"/>
                <w:szCs w:val="18"/>
              </w:rPr>
              <w:t>关键参数</w:t>
            </w:r>
          </w:p>
        </w:tc>
      </w:tr>
      <w:tr>
        <w:trPr>
          <w:trHeight w:val="375" w:hRule="exact"/>
        </w:trPr>
        <w:tc>
          <w:tcPr>
            <w:tcW w:w="1385" w:type="dxa"/>
            <w:vMerge/>
            <w:tcBorders>
              <w:left w:val="single" w:sz="6" w:space="0" w:color="000000"/>
              <w:right w:val="single" w:sz="6" w:space="0" w:color="000000"/>
            </w:tcBorders>
          </w:tcPr>
          <w:p>
            <w:pPr/>
          </w:p>
        </w:tc>
        <w:tc>
          <w:tcPr>
            <w:tcW w:w="12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预测期</w:t>
            </w:r>
          </w:p>
        </w:tc>
        <w:tc>
          <w:tcPr>
            <w:tcW w:w="9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预测期增长</w:t>
            </w:r>
          </w:p>
        </w:tc>
        <w:tc>
          <w:tcPr>
            <w:tcW w:w="142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稳定期</w:t>
            </w:r>
          </w:p>
        </w:tc>
        <w:tc>
          <w:tcPr>
            <w:tcW w:w="9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稳定期增长</w:t>
            </w:r>
          </w:p>
        </w:tc>
        <w:tc>
          <w:tcPr>
            <w:tcW w:w="121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8"/>
              <w:ind w:left="331" w:right="0"/>
              <w:jc w:val="left"/>
              <w:rPr>
                <w:rFonts w:ascii="宋体" w:hAnsi="宋体" w:cs="宋体" w:eastAsia="宋体" w:hint="default"/>
                <w:sz w:val="18"/>
                <w:szCs w:val="18"/>
              </w:rPr>
            </w:pPr>
            <w:r>
              <w:rPr>
                <w:rFonts w:ascii="宋体" w:hAnsi="宋体" w:cs="宋体" w:eastAsia="宋体" w:hint="default"/>
                <w:sz w:val="18"/>
                <w:szCs w:val="18"/>
              </w:rPr>
              <w:t>利润率</w:t>
            </w:r>
          </w:p>
        </w:tc>
        <w:tc>
          <w:tcPr>
            <w:tcW w:w="125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pacing w:val="-4"/>
                <w:sz w:val="18"/>
                <w:szCs w:val="18"/>
              </w:rPr>
              <w:t>折现率（税前加</w:t>
            </w:r>
          </w:p>
        </w:tc>
      </w:tr>
      <w:tr>
        <w:trPr>
          <w:trHeight w:val="312" w:hRule="exact"/>
        </w:trPr>
        <w:tc>
          <w:tcPr>
            <w:tcW w:w="1385" w:type="dxa"/>
            <w:vMerge/>
            <w:tcBorders>
              <w:left w:val="single" w:sz="6" w:space="0" w:color="000000"/>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421" w:type="dxa"/>
            <w:tcBorders>
              <w:top w:val="nil" w:sz="6" w:space="0" w:color="auto"/>
              <w:left w:val="single" w:sz="6" w:space="0" w:color="000000"/>
              <w:bottom w:val="nil" w:sz="6" w:space="0" w:color="auto"/>
              <w:right w:val="single" w:sz="6" w:space="0" w:color="000000"/>
            </w:tcBorders>
          </w:tcPr>
          <w:p>
            <w:pPr/>
          </w:p>
        </w:tc>
        <w:tc>
          <w:tcPr>
            <w:tcW w:w="979"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217" w:type="dxa"/>
            <w:tcBorders>
              <w:top w:val="nil" w:sz="6" w:space="0" w:color="auto"/>
              <w:left w:val="single" w:sz="6" w:space="0" w:color="000000"/>
              <w:bottom w:val="nil" w:sz="6" w:space="0" w:color="auto"/>
              <w:right w:val="single" w:sz="6" w:space="0" w:color="000000"/>
            </w:tcBorders>
          </w:tcPr>
          <w:p>
            <w:pPr/>
          </w:p>
        </w:tc>
        <w:tc>
          <w:tcPr>
            <w:tcW w:w="1255"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权平均资本成</w:t>
            </w:r>
          </w:p>
        </w:tc>
      </w:tr>
      <w:tr>
        <w:trPr>
          <w:trHeight w:val="362" w:hRule="exact"/>
        </w:trPr>
        <w:tc>
          <w:tcPr>
            <w:tcW w:w="1385" w:type="dxa"/>
            <w:vMerge/>
            <w:tcBorders>
              <w:left w:val="single" w:sz="6" w:space="0" w:color="000000"/>
              <w:bottom w:val="single" w:sz="6" w:space="0" w:color="000000"/>
              <w:right w:val="single" w:sz="6" w:space="0" w:color="000000"/>
            </w:tcBorders>
          </w:tcPr>
          <w:p>
            <w:pPr/>
          </w:p>
        </w:tc>
        <w:tc>
          <w:tcPr>
            <w:tcW w:w="1274" w:type="dxa"/>
            <w:tcBorders>
              <w:top w:val="nil" w:sz="6" w:space="0" w:color="auto"/>
              <w:left w:val="single" w:sz="6" w:space="0" w:color="000000"/>
              <w:bottom w:val="single" w:sz="6" w:space="0" w:color="000000"/>
              <w:right w:val="single" w:sz="6" w:space="0" w:color="000000"/>
            </w:tcBorders>
          </w:tcPr>
          <w:p>
            <w:pPr/>
          </w:p>
        </w:tc>
        <w:tc>
          <w:tcPr>
            <w:tcW w:w="991" w:type="dxa"/>
            <w:tcBorders>
              <w:top w:val="nil" w:sz="6" w:space="0" w:color="auto"/>
              <w:left w:val="single" w:sz="6" w:space="0" w:color="000000"/>
              <w:bottom w:val="single" w:sz="6" w:space="0" w:color="000000"/>
              <w:right w:val="single" w:sz="6" w:space="0" w:color="000000"/>
            </w:tcBorders>
          </w:tcPr>
          <w:p>
            <w:pPr/>
          </w:p>
        </w:tc>
        <w:tc>
          <w:tcPr>
            <w:tcW w:w="1421" w:type="dxa"/>
            <w:tcBorders>
              <w:top w:val="nil" w:sz="6" w:space="0" w:color="auto"/>
              <w:left w:val="single" w:sz="6" w:space="0" w:color="000000"/>
              <w:bottom w:val="single" w:sz="6" w:space="0" w:color="000000"/>
              <w:right w:val="single" w:sz="6" w:space="0" w:color="000000"/>
            </w:tcBorders>
          </w:tcPr>
          <w:p>
            <w:pPr/>
          </w:p>
        </w:tc>
        <w:tc>
          <w:tcPr>
            <w:tcW w:w="979" w:type="dxa"/>
            <w:tcBorders>
              <w:top w:val="nil" w:sz="6" w:space="0" w:color="auto"/>
              <w:left w:val="single" w:sz="6" w:space="0" w:color="000000"/>
              <w:bottom w:val="single" w:sz="6" w:space="0" w:color="000000"/>
              <w:right w:val="single" w:sz="6" w:space="0" w:color="000000"/>
            </w:tcBorders>
          </w:tcPr>
          <w:p>
            <w:pPr/>
          </w:p>
        </w:tc>
        <w:tc>
          <w:tcPr>
            <w:tcW w:w="1217" w:type="dxa"/>
            <w:tcBorders>
              <w:top w:val="nil" w:sz="6" w:space="0" w:color="auto"/>
              <w:left w:val="single" w:sz="6" w:space="0" w:color="000000"/>
              <w:bottom w:val="single" w:sz="6" w:space="0" w:color="000000"/>
              <w:right w:val="single" w:sz="6" w:space="0" w:color="000000"/>
            </w:tcBorders>
          </w:tcPr>
          <w:p>
            <w:pPr/>
          </w:p>
        </w:tc>
        <w:tc>
          <w:tcPr>
            <w:tcW w:w="125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本）</w:t>
            </w:r>
          </w:p>
        </w:tc>
      </w:tr>
      <w:tr>
        <w:trPr>
          <w:trHeight w:val="378" w:hRule="exact"/>
        </w:trPr>
        <w:tc>
          <w:tcPr>
            <w:tcW w:w="138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14"/>
                <w:sz w:val="18"/>
                <w:szCs w:val="18"/>
              </w:rPr>
              <w:t>深圳市金之彩文</w:t>
            </w:r>
          </w:p>
        </w:tc>
        <w:tc>
          <w:tcPr>
            <w:tcW w:w="12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2019-2023</w:t>
            </w:r>
            <w:r>
              <w:rPr>
                <w:rFonts w:ascii="宋体" w:hAnsi="宋体" w:cs="宋体" w:eastAsia="宋体" w:hint="default"/>
                <w:sz w:val="18"/>
                <w:szCs w:val="18"/>
              </w:rPr>
              <w:t>年</w:t>
            </w:r>
          </w:p>
        </w:tc>
        <w:tc>
          <w:tcPr>
            <w:tcW w:w="9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42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432" w:right="0"/>
              <w:jc w:val="left"/>
              <w:rPr>
                <w:rFonts w:ascii="宋体" w:hAnsi="宋体" w:cs="宋体" w:eastAsia="宋体" w:hint="default"/>
                <w:sz w:val="18"/>
                <w:szCs w:val="18"/>
              </w:rPr>
            </w:pPr>
            <w:r>
              <w:rPr>
                <w:rFonts w:ascii="宋体" w:hAnsi="宋体" w:cs="宋体" w:eastAsia="宋体" w:hint="default"/>
                <w:sz w:val="18"/>
                <w:szCs w:val="18"/>
              </w:rPr>
              <w:t>永续期</w:t>
            </w:r>
          </w:p>
        </w:tc>
        <w:tc>
          <w:tcPr>
            <w:tcW w:w="9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121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60"/>
              <w:jc w:val="right"/>
              <w:rPr>
                <w:rFonts w:ascii="宋体" w:hAnsi="宋体" w:cs="宋体" w:eastAsia="宋体" w:hint="default"/>
                <w:sz w:val="18"/>
                <w:szCs w:val="18"/>
              </w:rPr>
            </w:pPr>
            <w:r>
              <w:rPr>
                <w:rFonts w:ascii="宋体" w:hAnsi="宋体" w:cs="宋体" w:eastAsia="宋体" w:hint="default"/>
                <w:sz w:val="18"/>
                <w:szCs w:val="18"/>
              </w:rPr>
              <w:t>根据预测的收</w:t>
            </w:r>
          </w:p>
        </w:tc>
        <w:tc>
          <w:tcPr>
            <w:tcW w:w="125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14.68%</w:t>
            </w:r>
          </w:p>
        </w:tc>
      </w:tr>
      <w:tr>
        <w:trPr>
          <w:trHeight w:val="311" w:hRule="exact"/>
        </w:trPr>
        <w:tc>
          <w:tcPr>
            <w:tcW w:w="1385"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pacing w:val="14"/>
                <w:sz w:val="18"/>
                <w:szCs w:val="18"/>
              </w:rPr>
              <w:t>化创意有限公司</w:t>
            </w:r>
          </w:p>
        </w:tc>
        <w:tc>
          <w:tcPr>
            <w:tcW w:w="1274"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
        </w:tc>
        <w:tc>
          <w:tcPr>
            <w:tcW w:w="979" w:type="dxa"/>
            <w:tcBorders>
              <w:top w:val="nil" w:sz="6" w:space="0" w:color="auto"/>
              <w:left w:val="single" w:sz="6" w:space="0" w:color="000000"/>
              <w:bottom w:val="nil" w:sz="6" w:space="0" w:color="auto"/>
              <w:right w:val="single" w:sz="6" w:space="0" w:color="000000"/>
            </w:tcBorders>
          </w:tcPr>
          <w:p>
            <w:pPr/>
          </w:p>
        </w:tc>
        <w:tc>
          <w:tcPr>
            <w:tcW w:w="121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right"/>
              <w:rPr>
                <w:rFonts w:ascii="宋体" w:hAnsi="宋体" w:cs="宋体" w:eastAsia="宋体" w:hint="default"/>
                <w:sz w:val="18"/>
                <w:szCs w:val="18"/>
              </w:rPr>
            </w:pPr>
            <w:r>
              <w:rPr>
                <w:rFonts w:ascii="宋体" w:hAnsi="宋体" w:cs="宋体" w:eastAsia="宋体" w:hint="default"/>
                <w:spacing w:val="-10"/>
                <w:sz w:val="18"/>
                <w:szCs w:val="18"/>
              </w:rPr>
              <w:t>入、成本、费用</w:t>
            </w:r>
          </w:p>
        </w:tc>
        <w:tc>
          <w:tcPr>
            <w:tcW w:w="1255" w:type="dxa"/>
            <w:tcBorders>
              <w:top w:val="nil" w:sz="6" w:space="0" w:color="auto"/>
              <w:left w:val="single" w:sz="6" w:space="0" w:color="000000"/>
              <w:bottom w:val="nil" w:sz="6" w:space="0" w:color="auto"/>
              <w:right w:val="single" w:sz="6" w:space="0" w:color="000000"/>
            </w:tcBorders>
          </w:tcPr>
          <w:p>
            <w:pPr/>
          </w:p>
        </w:tc>
      </w:tr>
      <w:tr>
        <w:trPr>
          <w:trHeight w:val="364" w:hRule="exact"/>
        </w:trPr>
        <w:tc>
          <w:tcPr>
            <w:tcW w:w="138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
              <w:ind w:left="4" w:right="0"/>
              <w:jc w:val="left"/>
              <w:rPr>
                <w:rFonts w:ascii="宋体" w:hAnsi="宋体" w:cs="宋体" w:eastAsia="宋体" w:hint="default"/>
                <w:sz w:val="18"/>
                <w:szCs w:val="18"/>
              </w:rPr>
            </w:pPr>
            <w:r>
              <w:rPr>
                <w:rFonts w:ascii="宋体" w:hAnsi="宋体" w:cs="宋体" w:eastAsia="宋体" w:hint="default"/>
                <w:sz w:val="18"/>
                <w:szCs w:val="18"/>
              </w:rPr>
              <w:t>资产组</w:t>
            </w:r>
          </w:p>
        </w:tc>
        <w:tc>
          <w:tcPr>
            <w:tcW w:w="1274" w:type="dxa"/>
            <w:tcBorders>
              <w:top w:val="nil" w:sz="6" w:space="0" w:color="auto"/>
              <w:left w:val="single" w:sz="6" w:space="0" w:color="000000"/>
              <w:bottom w:val="single" w:sz="6" w:space="0" w:color="000000"/>
              <w:right w:val="single" w:sz="6" w:space="0" w:color="000000"/>
            </w:tcBorders>
          </w:tcPr>
          <w:p>
            <w:pPr/>
          </w:p>
        </w:tc>
        <w:tc>
          <w:tcPr>
            <w:tcW w:w="991" w:type="dxa"/>
            <w:tcBorders>
              <w:top w:val="nil" w:sz="6" w:space="0" w:color="auto"/>
              <w:left w:val="single" w:sz="6" w:space="0" w:color="000000"/>
              <w:bottom w:val="single" w:sz="6" w:space="0" w:color="000000"/>
              <w:right w:val="single" w:sz="6" w:space="0" w:color="000000"/>
            </w:tcBorders>
          </w:tcPr>
          <w:p>
            <w:pPr/>
          </w:p>
        </w:tc>
        <w:tc>
          <w:tcPr>
            <w:tcW w:w="1421" w:type="dxa"/>
            <w:tcBorders>
              <w:top w:val="nil" w:sz="6" w:space="0" w:color="auto"/>
              <w:left w:val="single" w:sz="6" w:space="0" w:color="000000"/>
              <w:bottom w:val="single" w:sz="6" w:space="0" w:color="000000"/>
              <w:right w:val="single" w:sz="6" w:space="0" w:color="000000"/>
            </w:tcBorders>
          </w:tcPr>
          <w:p>
            <w:pPr/>
          </w:p>
        </w:tc>
        <w:tc>
          <w:tcPr>
            <w:tcW w:w="979" w:type="dxa"/>
            <w:tcBorders>
              <w:top w:val="nil" w:sz="6" w:space="0" w:color="auto"/>
              <w:left w:val="single" w:sz="6" w:space="0" w:color="000000"/>
              <w:bottom w:val="single" w:sz="6" w:space="0" w:color="000000"/>
              <w:right w:val="single" w:sz="6" w:space="0" w:color="000000"/>
            </w:tcBorders>
          </w:tcPr>
          <w:p>
            <w:pPr/>
          </w:p>
        </w:tc>
        <w:tc>
          <w:tcPr>
            <w:tcW w:w="121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
              <w:ind w:left="331" w:right="0"/>
              <w:jc w:val="left"/>
              <w:rPr>
                <w:rFonts w:ascii="宋体" w:hAnsi="宋体" w:cs="宋体" w:eastAsia="宋体" w:hint="default"/>
                <w:sz w:val="18"/>
                <w:szCs w:val="18"/>
              </w:rPr>
            </w:pPr>
            <w:r>
              <w:rPr>
                <w:rFonts w:ascii="宋体" w:hAnsi="宋体" w:cs="宋体" w:eastAsia="宋体" w:hint="default"/>
                <w:sz w:val="18"/>
                <w:szCs w:val="18"/>
              </w:rPr>
              <w:t>等计算</w:t>
            </w:r>
          </w:p>
        </w:tc>
        <w:tc>
          <w:tcPr>
            <w:tcW w:w="1255" w:type="dxa"/>
            <w:tcBorders>
              <w:top w:val="nil" w:sz="6" w:space="0" w:color="auto"/>
              <w:left w:val="single" w:sz="6" w:space="0" w:color="000000"/>
              <w:bottom w:val="single" w:sz="6" w:space="0" w:color="000000"/>
              <w:right w:val="single" w:sz="6" w:space="0" w:color="000000"/>
            </w:tcBorders>
          </w:tcPr>
          <w:p>
            <w:pPr/>
          </w:p>
        </w:tc>
      </w:tr>
    </w:tbl>
    <w:p>
      <w:pPr>
        <w:pStyle w:val="BodyText"/>
        <w:spacing w:line="300" w:lineRule="auto" w:before="49"/>
        <w:ind w:right="1131" w:firstLine="360"/>
        <w:jc w:val="both"/>
      </w:pPr>
      <w:r>
        <w:rPr>
          <w:spacing w:val="-2"/>
        </w:rPr>
        <w:t>注</w:t>
      </w:r>
      <w:r>
        <w:rPr>
          <w:rFonts w:ascii="Times New Roman" w:hAnsi="Times New Roman" w:cs="Times New Roman" w:eastAsia="Times New Roman" w:hint="default"/>
          <w:spacing w:val="-2"/>
        </w:rPr>
        <w:t>1</w:t>
      </w:r>
      <w:r>
        <w:rPr>
          <w:spacing w:val="-2"/>
        </w:rPr>
        <w:t>：根据深圳金之彩已经签订的合同、协议、发展规划、历年经营趋势等因素综合分析，对预测日未来</w:t>
      </w:r>
      <w:r>
        <w:rPr>
          <w:rFonts w:ascii="Times New Roman" w:hAnsi="Times New Roman" w:cs="Times New Roman" w:eastAsia="Times New Roman" w:hint="default"/>
          <w:spacing w:val="-2"/>
        </w:rPr>
        <w:t>5</w:t>
      </w:r>
      <w:r>
        <w:rPr>
          <w:spacing w:val="-2"/>
        </w:rPr>
        <w:t>年的收入、成</w:t>
      </w:r>
      <w:r>
        <w:rPr/>
        <w:t> </w:t>
      </w:r>
      <w:r>
        <w:rPr>
          <w:spacing w:val="-2"/>
        </w:rPr>
        <w:t>本、费用等进行预测。根据公司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2017</w:t>
      </w:r>
      <w:r>
        <w:rPr>
          <w:spacing w:val="-2"/>
        </w:rPr>
        <w:t>年的经营数据，参考酒包装行业自身及白酒行业的发展情况，并合理考虑目前</w:t>
      </w:r>
      <w:r>
        <w:rPr>
          <w:spacing w:val="-62"/>
        </w:rPr>
        <w:t> </w:t>
      </w:r>
      <w:r>
        <w:rPr>
          <w:spacing w:val="-62"/>
        </w:rPr>
      </w:r>
      <w:r>
        <w:rPr>
          <w:spacing w:val="-2"/>
        </w:rPr>
        <w:t>公司提供的合同意向及合同内容，并基于</w:t>
      </w:r>
      <w:r>
        <w:rPr>
          <w:rFonts w:ascii="Times New Roman" w:hAnsi="Times New Roman" w:cs="Times New Roman" w:eastAsia="Times New Roman" w:hint="default"/>
          <w:spacing w:val="-2"/>
        </w:rPr>
        <w:t>2018</w:t>
      </w:r>
      <w:r>
        <w:rPr>
          <w:spacing w:val="-2"/>
        </w:rPr>
        <w:t>年公司的实际运营情况，预测各年收入，深圳金之彩</w:t>
      </w:r>
      <w:r>
        <w:rPr>
          <w:rFonts w:ascii="Times New Roman" w:hAnsi="Times New Roman" w:cs="Times New Roman" w:eastAsia="Times New Roman" w:hint="default"/>
          <w:spacing w:val="-2"/>
        </w:rPr>
        <w:t>2019</w:t>
      </w:r>
      <w:r>
        <w:rPr>
          <w:spacing w:val="-2"/>
        </w:rPr>
        <w:t>年至</w:t>
      </w:r>
      <w:r>
        <w:rPr>
          <w:rFonts w:ascii="Times New Roman" w:hAnsi="Times New Roman" w:cs="Times New Roman" w:eastAsia="Times New Roman" w:hint="default"/>
          <w:spacing w:val="-2"/>
        </w:rPr>
        <w:t>2023</w:t>
      </w:r>
      <w:r>
        <w:rPr>
          <w:spacing w:val="-2"/>
        </w:rPr>
        <w:t>年预计营业</w:t>
      </w:r>
      <w:r>
        <w:rPr>
          <w:spacing w:val="-59"/>
        </w:rPr>
        <w:t> </w:t>
      </w:r>
      <w:r>
        <w:rPr>
          <w:spacing w:val="-59"/>
        </w:rPr>
      </w:r>
      <w:r>
        <w:rPr/>
        <w:t>收入增长率分别为</w:t>
      </w:r>
      <w:r>
        <w:rPr>
          <w:rFonts w:ascii="Times New Roman" w:hAnsi="Times New Roman" w:cs="Times New Roman" w:eastAsia="Times New Roman" w:hint="default"/>
        </w:rPr>
        <w:t>15.00%</w:t>
      </w:r>
      <w:r>
        <w:rPr/>
        <w:t>、</w:t>
      </w:r>
      <w:r>
        <w:rPr>
          <w:rFonts w:ascii="Times New Roman" w:hAnsi="Times New Roman" w:cs="Times New Roman" w:eastAsia="Times New Roman" w:hint="default"/>
        </w:rPr>
        <w:t>12.00%</w:t>
      </w:r>
      <w:r>
        <w:rPr/>
        <w:t>、</w:t>
      </w:r>
      <w:r>
        <w:rPr>
          <w:rFonts w:ascii="Times New Roman" w:hAnsi="Times New Roman" w:cs="Times New Roman" w:eastAsia="Times New Roman" w:hint="default"/>
        </w:rPr>
        <w:t>10.00%</w:t>
      </w:r>
      <w:r>
        <w:rPr/>
        <w:t>、</w:t>
      </w:r>
      <w:r>
        <w:rPr>
          <w:rFonts w:ascii="Times New Roman" w:hAnsi="Times New Roman" w:cs="Times New Roman" w:eastAsia="Times New Roman" w:hint="default"/>
        </w:rPr>
        <w:t>8.00%</w:t>
      </w:r>
      <w:r>
        <w:rPr/>
        <w:t>、</w:t>
      </w:r>
      <w:r>
        <w:rPr>
          <w:rFonts w:ascii="Times New Roman" w:hAnsi="Times New Roman" w:cs="Times New Roman" w:eastAsia="Times New Roman" w:hint="default"/>
        </w:rPr>
        <w:t>6.00%</w:t>
      </w:r>
      <w:r>
        <w:rPr/>
        <w:t>，</w:t>
      </w:r>
      <w:r>
        <w:rPr>
          <w:rFonts w:ascii="Times New Roman" w:hAnsi="Times New Roman" w:cs="Times New Roman" w:eastAsia="Times New Roman" w:hint="default"/>
        </w:rPr>
        <w:t>2023</w:t>
      </w:r>
      <w:r>
        <w:rPr/>
        <w:t>年度以后各年营业收入稳定在</w:t>
      </w:r>
      <w:r>
        <w:rPr>
          <w:rFonts w:ascii="Times New Roman" w:hAnsi="Times New Roman" w:cs="Times New Roman" w:eastAsia="Times New Roman" w:hint="default"/>
        </w:rPr>
        <w:t>2023</w:t>
      </w:r>
      <w:r>
        <w:rPr/>
        <w:t>年的水平。</w:t>
      </w:r>
    </w:p>
    <w:p>
      <w:pPr>
        <w:pStyle w:val="BodyText"/>
        <w:spacing w:line="360" w:lineRule="auto" w:before="53"/>
        <w:ind w:right="9134"/>
        <w:jc w:val="left"/>
      </w:pPr>
      <w:r>
        <w:rPr/>
        <w:t>商誉减值测试的影响 其他说明</w:t>
      </w:r>
    </w:p>
    <w:p>
      <w:pPr>
        <w:pStyle w:val="BodyText"/>
        <w:spacing w:line="240" w:lineRule="auto" w:before="25"/>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rFonts w:ascii="Tahoma" w:hAnsi="Tahoma" w:cs="Tahoma" w:eastAsia="Tahoma" w:hint="default"/>
        </w:rPr>
        <w:t>16</w:t>
      </w:r>
      <w:r>
        <w:rPr/>
        <w:t>、长期待摊费用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left"/>
              <w:rPr>
                <w:rFonts w:ascii="宋体" w:hAnsi="宋体" w:cs="宋体" w:eastAsia="宋体" w:hint="default"/>
                <w:sz w:val="18"/>
                <w:szCs w:val="18"/>
              </w:rPr>
            </w:pPr>
            <w:r>
              <w:rPr>
                <w:rFonts w:ascii="宋体" w:hAnsi="宋体" w:cs="宋体" w:eastAsia="宋体" w:hint="default"/>
                <w:spacing w:val="-9"/>
                <w:sz w:val="18"/>
                <w:szCs w:val="18"/>
              </w:rPr>
              <w:t>办公场所装修费、绿</w:t>
            </w:r>
            <w:r>
              <w:rPr>
                <w:rFonts w:ascii="宋体" w:hAnsi="宋体" w:cs="宋体" w:eastAsia="宋体" w:hint="default"/>
                <w:sz w:val="18"/>
                <w:szCs w:val="18"/>
              </w:rPr>
              <w:t> 化工程、景观湖等</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21,376,467.49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4,356,641.22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7,345,204.62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427,527.25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17,960,376.84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21,376,467.49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4,356,641.22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7,345,204.62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427,527.25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17,960,376.84</w:t>
            </w:r>
          </w:p>
        </w:tc>
      </w:tr>
    </w:tbl>
    <w:p>
      <w:pPr>
        <w:pStyle w:val="BodyText"/>
        <w:spacing w:line="357" w:lineRule="auto" w:before="49"/>
        <w:ind w:right="10034"/>
        <w:jc w:val="left"/>
      </w:pPr>
      <w:r>
        <w:rPr/>
        <w:t>其他说明 无</w:t>
      </w:r>
    </w:p>
    <w:p>
      <w:pPr>
        <w:spacing w:after="0" w:line="357" w:lineRule="auto"/>
        <w:jc w:val="left"/>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17</w:t>
      </w:r>
      <w:r>
        <w:rPr/>
        <w:t>、递延所得税资产</w:t>
      </w:r>
      <w:r>
        <w:rPr>
          <w:rFonts w:ascii="Tahoma" w:hAnsi="Tahoma" w:cs="Tahoma" w:eastAsia="Tahoma" w:hint="default"/>
        </w:rPr>
        <w:t>/</w:t>
      </w:r>
      <w:r>
        <w:rPr/>
        <w:t>递延所得税负债</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）未经抵销的递延所得税资产</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94,234,263.30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14,724,688.72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84,170,068.40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12,858,620.06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3,575,555.29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607,333.29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3,842,222.01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667,333.30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420,224.44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63,033.67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177,032.10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26,554.82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98,230,043.03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15,395,055.68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88,189,322.51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13,552,508.18</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）未经抵销的递延所得税负债</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按公允价值模式计量的 投资性房地产</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190,008,372.41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29,367,629.61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147,068,157.22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22,060,223.58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190,008,372.41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29,367,629.61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147,068,157.22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22,060,223.58</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3</w:t>
      </w:r>
      <w:r>
        <w:rPr/>
        <w:t>）以抵销后净额列示的递延所得税资产或负债</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15,395,055.68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13,552,508.18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29,367,629.61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22,060,223.58</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4</w:t>
      </w:r>
      <w:r>
        <w:rPr/>
        <w:t>）未确认递延所得税资产明细</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82,892,878.45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64,488,027.76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82,892,878.45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64,488,027.76</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5</w:t>
      </w:r>
      <w:r>
        <w:rPr/>
        <w:t>）未确认递延所得税资产的可抵扣亏损将于以下年度到期</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88"/>
        <w:gridCol w:w="2395"/>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3,719,137.91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2,131,615.77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3,362,626.57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6,616,742.57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6,799,391.76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24,477,791.24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25,526,814.28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18,263,002.29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25,080,057.24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31,403,726.58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82,892,878.45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64,488,027.76</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18</w:t>
      </w:r>
      <w:r>
        <w:rPr/>
        <w:t>、其他非流动资产</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96,148,072.13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42,752,166.57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预付土地款及土地交易保证金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129,021,500.00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2,087,991.97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816,791.97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227,257,564.10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58,068,958.54</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19</w:t>
      </w:r>
      <w:r>
        <w:rPr/>
        <w:t>、短期借款</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）短期借款分类</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353,833,483.99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353,833,483.99</w:t>
            </w:r>
          </w:p>
        </w:tc>
      </w:tr>
    </w:tbl>
    <w:p>
      <w:pPr>
        <w:pStyle w:val="BodyText"/>
        <w:spacing w:line="360" w:lineRule="auto" w:before="49"/>
        <w:ind w:right="8954"/>
        <w:jc w:val="left"/>
      </w:pPr>
      <w:r>
        <w:rPr/>
        <w:t>短期借款分类的说明： 无</w:t>
      </w:r>
    </w:p>
    <w:p>
      <w:pPr>
        <w:spacing w:after="0" w:line="360" w:lineRule="auto"/>
        <w:jc w:val="left"/>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）已逾期未偿还的短期借款情况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t>本期末已逾期未偿还的短期借款总额为</w:t>
      </w:r>
      <w:r>
        <w:rPr>
          <w:spacing w:val="-47"/>
        </w:rPr>
        <w:t> </w:t>
      </w:r>
      <w:r>
        <w:rPr>
          <w:rFonts w:ascii="Times New Roman" w:hAnsi="Times New Roman" w:cs="Times New Roman" w:eastAsia="Times New Roman" w:hint="default"/>
        </w:rPr>
        <w:t>0.00 </w:t>
      </w:r>
      <w:r>
        <w:rPr/>
        <w:t>元，其中重要的已逾期未偿还的短期借款情况如下：</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20</w:t>
      </w:r>
      <w:r>
        <w:rPr/>
        <w:t>、应付票据及应付账款</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517,588,314.52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440,195,708.94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629,341,765.09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484,840,134.89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1,146,930,079.61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925,035,843.83</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1</w:t>
      </w:r>
      <w:r>
        <w:rPr/>
        <w:t>）应付票据分类列示</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517,588,314.52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440,195,708.94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517,588,314.52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440,195,708.94</w:t>
            </w:r>
          </w:p>
        </w:tc>
      </w:tr>
    </w:tbl>
    <w:p>
      <w:pPr>
        <w:pStyle w:val="BodyText"/>
        <w:spacing w:line="240" w:lineRule="auto" w:before="49"/>
        <w:ind w:right="984"/>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）应付账款列示</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587,587,698.52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450,212,929.23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41,754,066.57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34,627,205.66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629,341,765.09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484,840,134.89</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3</w:t>
      </w:r>
      <w:r>
        <w:rPr/>
        <w:t>）账龄超过</w:t>
      </w:r>
      <w:r>
        <w:rPr>
          <w:spacing w:val="-58"/>
        </w:rPr>
        <w:t> </w:t>
      </w:r>
      <w:r>
        <w:rPr>
          <w:rFonts w:ascii="Tahoma" w:hAnsi="Tahoma" w:cs="Tahoma" w:eastAsia="Tahoma" w:hint="default"/>
        </w:rPr>
        <w:t>1</w:t>
      </w:r>
      <w:r>
        <w:rPr>
          <w:rFonts w:ascii="Tahoma" w:hAnsi="Tahoma" w:cs="Tahoma" w:eastAsia="Tahoma" w:hint="default"/>
          <w:spacing w:val="-20"/>
        </w:rPr>
        <w:t> </w:t>
      </w:r>
      <w:r>
        <w:rPr/>
        <w:t>年的重要应付账款</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重庆中达正建筑工程有限公司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5,474,686.45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工程款尚未结算完成</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厦门安能建设有限公司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8,319,948.82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工程款尚未结算完成</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江西亚华建筑工程有限公司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4,515,876.79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33"/>
              <w:jc w:val="right"/>
              <w:rPr>
                <w:rFonts w:ascii="宋体" w:hAnsi="宋体" w:cs="宋体" w:eastAsia="宋体" w:hint="default"/>
                <w:sz w:val="18"/>
                <w:szCs w:val="18"/>
              </w:rPr>
            </w:pPr>
            <w:r>
              <w:rPr>
                <w:rFonts w:ascii="宋体" w:hAnsi="宋体" w:cs="宋体" w:eastAsia="宋体" w:hint="default"/>
                <w:sz w:val="18"/>
                <w:szCs w:val="18"/>
              </w:rPr>
              <w:t>工程款尚未结算完成</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18,310,512.06</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529"/>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21</w:t>
      </w:r>
      <w:r>
        <w:rPr/>
        <w:t>、预收款项</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）预收款项列示</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12,743,065.88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11,540,122.64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5,095,463.85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2,878,147.91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17,838,529.73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14,418,270.55</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）账龄超过</w:t>
      </w:r>
      <w:r>
        <w:rPr>
          <w:spacing w:val="-58"/>
        </w:rPr>
        <w:t> </w:t>
      </w:r>
      <w:r>
        <w:rPr>
          <w:rFonts w:ascii="Tahoma" w:hAnsi="Tahoma" w:cs="Tahoma" w:eastAsia="Tahoma" w:hint="default"/>
        </w:rPr>
        <w:t>1</w:t>
      </w:r>
      <w:r>
        <w:rPr>
          <w:rFonts w:ascii="Tahoma" w:hAnsi="Tahoma" w:cs="Tahoma" w:eastAsia="Tahoma" w:hint="default"/>
          <w:spacing w:val="-20"/>
        </w:rPr>
        <w:t> </w:t>
      </w:r>
      <w:r>
        <w:rPr/>
        <w:t>年的重要预收款项</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3</w:t>
      </w:r>
      <w:r>
        <w:rPr/>
        <w:t>）期末建造合同形成的已结算未完工项目情况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15pt;mso-position-horizontal-relative:char;mso-position-vertical-relative:line" coordorigin="0,0" coordsize="9584,423">
            <v:group style="position:absolute;left:17;top:14;width:4769;height:392" coordorigin="17,14" coordsize="4769,392">
              <v:shape style="position:absolute;left:17;top:14;width:4769;height:392" coordorigin="17,14" coordsize="4769,392" path="m17,14l4786,14,4786,406,17,406,17,14xe" filled="true" fillcolor="#d3d3d3" stroked="false">
                <v:path arrowok="t"/>
                <v:fill type="solid"/>
              </v:shape>
            </v:group>
            <v:group style="position:absolute;left:4795;top:14;width:4779;height:392" coordorigin="4795,14" coordsize="4779,392">
              <v:shape style="position:absolute;left:4795;top:14;width:4779;height:392" coordorigin="4795,14" coordsize="4779,392" path="m4795,14l9574,14,9574,406,4795,406,4795,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79965pt" strokecolor="#000000">
                <v:path arrowok="t"/>
              </v:shape>
            </v:group>
            <v:group style="position:absolute;left:10;top:14;width:2;height:404" coordorigin="10,14" coordsize="2,404">
              <v:shape style="position:absolute;left:10;top:14;width:2;height:404" coordorigin="10,14" coordsize="0,404" path="m10,14l10,418e" filled="false" stroked="true" strokeweight=".479999pt" strokecolor="#000000">
                <v:path arrowok="t"/>
              </v:shape>
            </v:group>
            <v:group style="position:absolute;left:5;top:413;width:4779;height:2" coordorigin="5,413" coordsize="4779,2">
              <v:shape style="position:absolute;left:5;top:413;width:4779;height:2" coordorigin="5,413" coordsize="4779,0" path="m5,413l4783,413e" filled="false" stroked="true" strokeweight=".480011pt" strokecolor="#000000">
                <v:path arrowok="t"/>
              </v:shape>
            </v:group>
            <v:group style="position:absolute;left:4788;top:14;width:2;height:404" coordorigin="4788,14" coordsize="2,404">
              <v:shape style="position:absolute;left:4788;top:14;width:2;height:404" coordorigin="4788,14" coordsize="0,404" path="m4788,14l4788,418e" filled="false" stroked="true" strokeweight=".479988pt" strokecolor="#000000">
                <v:path arrowok="t"/>
              </v:shape>
            </v:group>
            <v:group style="position:absolute;left:4793;top:413;width:4781;height:2" coordorigin="4793,413" coordsize="4781,2">
              <v:shape style="position:absolute;left:4793;top:413;width:4781;height:2" coordorigin="4793,413" coordsize="4781,0" path="m4793,413l9574,413e" filled="false" stroked="true" strokeweight=".480011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80011pt" strokecolor="#000000">
                <v:path arrowok="t"/>
              </v:shape>
              <v:shape style="position:absolute;left:2220;top:126;width:360;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3;top:126;width:360;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22</w:t>
      </w:r>
      <w:r>
        <w:rPr/>
        <w:t>、应付职工薪酬</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）应付职工薪酬列示</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33,715,094.05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441,220,963.21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438,544,131.15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36,391,926.11</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42,125.12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24,291,562.27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24,283,565.77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50,121.62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33,891.40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2,480,184.30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2,054,427.40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459,648.30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33,791,110.57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467,992,709.78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464,882,124.32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36,901,696.03</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）短期薪酬列示</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补贴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33,666,362.84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408,157,136.01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405,722,169.86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36,101,328.99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21,906.13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17,801,424.32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17,803,794.13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19,536.32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7,042.08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9,532,967.94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9,530,067.81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9,942.21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7,042.08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6,882,571.42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6,881,061.54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8,551.96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1,388,962.14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1,387,701.25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1,260.89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1,038,148.76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1,038,019.40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残疾人就业险</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223,285.62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223,285.62</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4,980,544.45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4,979,264.45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19,783.00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748,890.49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508,834.90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259,838.59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33,715,094.05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441,220,963.21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438,544,131.15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36,391,926.11</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3</w:t>
      </w:r>
      <w:r>
        <w:rPr/>
        <w:t>）设定提存计划列示</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39,061.48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23,457,936.82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23,449,217.48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47,780.82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3,063.64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833,625.45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834,348.29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2,340.80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42,125.12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24,291,562.27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24,283,565.77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50,121.62</w:t>
            </w: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23</w:t>
      </w:r>
      <w:r>
        <w:rPr/>
        <w:t>、应交税费</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9,503,229.49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6,650,279.19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25,136,264.42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23,524,548.47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646,505.19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1,262,115.64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1,165,096.30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946,820.02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902,093.45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726,361.67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1,526,679.87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2,624,639.87</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38,879,868.72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35,734,764.86</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24</w:t>
      </w:r>
      <w:r>
        <w:rPr/>
        <w:t>、其他应付款</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106,125.89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18,761,942.38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35,532,061.41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18,868,068.27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35,532,061.41</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1</w:t>
      </w:r>
      <w:r>
        <w:rPr/>
        <w:t>）应付利息</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106,125.89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106,125.89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4"/>
        <w:jc w:val="left"/>
      </w:pPr>
      <w:r>
        <w:rPr/>
        <w:t>重要的已逾期未支付的利息情况：</w:t>
      </w:r>
    </w:p>
    <w:p>
      <w:pPr>
        <w:pStyle w:val="BodyText"/>
        <w:spacing w:line="240" w:lineRule="auto" w:before="11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）应付股利</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38" w:lineRule="auto" w:before="50"/>
        <w:ind w:right="4995"/>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7"/>
        <w:rPr>
          <w:rFonts w:ascii="宋体" w:hAnsi="宋体" w:cs="宋体" w:eastAsia="宋体" w:hint="default"/>
          <w:sz w:val="21"/>
          <w:szCs w:val="21"/>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3</w:t>
      </w:r>
      <w:r>
        <w:rPr/>
        <w:t>）其他应付款</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1,765,131.25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3,574,500.69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11,346,480.36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11,653,211.00</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5,650,330.77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20,304,349.72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18,761,942.38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35,532,061.41</w:t>
            </w:r>
          </w:p>
        </w:tc>
      </w:tr>
    </w:tbl>
    <w:p>
      <w:pPr>
        <w:pStyle w:val="BodyText"/>
        <w:spacing w:line="240" w:lineRule="auto" w:before="49"/>
        <w:ind w:right="984"/>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中核华泰建设有限公司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东莞市达嘉纸业有限公司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1003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25</w:t>
      </w:r>
      <w:r>
        <w:rPr/>
        <w:t>、递延收益</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55,387,556.34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40,104,900.00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996,666.68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94,495,789.66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55,387,556.34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40,104,900.00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996,666.68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94,495,789.66</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4"/>
        <w:jc w:val="left"/>
      </w:pPr>
      <w:r>
        <w:rPr/>
        <w:t>涉及政府补助的项目：</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063"/>
        <w:gridCol w:w="1066"/>
        <w:gridCol w:w="1063"/>
        <w:gridCol w:w="1063"/>
        <w:gridCol w:w="1061"/>
        <w:gridCol w:w="1063"/>
        <w:gridCol w:w="1063"/>
        <w:gridCol w:w="1063"/>
        <w:gridCol w:w="1063"/>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r>
        <w:trPr>
          <w:trHeight w:val="364"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年市</w:t>
            </w: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127"/>
              <w:jc w:val="left"/>
              <w:rPr>
                <w:rFonts w:ascii="宋体" w:hAnsi="宋体" w:cs="宋体" w:eastAsia="宋体" w:hint="default"/>
                <w:sz w:val="18"/>
                <w:szCs w:val="18"/>
              </w:rPr>
            </w:pPr>
            <w:r>
              <w:rPr>
                <w:rFonts w:ascii="宋体" w:hAnsi="宋体" w:cs="宋体" w:eastAsia="宋体" w:hint="default"/>
                <w:sz w:val="18"/>
                <w:szCs w:val="18"/>
              </w:rPr>
              <w:t>战略性新兴 产业专项资</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2,026,422.57</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1,726,422.57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2"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金资助项目</w:t>
            </w: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投资项目</w:t>
            </w: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发展专项资</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622,222.01</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5"/>
              <w:jc w:val="right"/>
              <w:rPr>
                <w:rFonts w:ascii="Times New Roman" w:hAnsi="Times New Roman" w:cs="Times New Roman" w:eastAsia="Times New Roman" w:hint="default"/>
                <w:sz w:val="18"/>
                <w:szCs w:val="18"/>
              </w:rPr>
            </w:pPr>
            <w:r>
              <w:rPr>
                <w:rFonts w:ascii="Times New Roman"/>
                <w:spacing w:val="-1"/>
                <w:sz w:val="18"/>
              </w:rPr>
              <w:t>66,666.72</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555,555.29</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0"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深圳家居</w:t>
            </w: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127"/>
              <w:jc w:val="left"/>
              <w:rPr>
                <w:rFonts w:ascii="宋体" w:hAnsi="宋体" w:cs="宋体" w:eastAsia="宋体" w:hint="default"/>
                <w:sz w:val="18"/>
                <w:szCs w:val="18"/>
              </w:rPr>
            </w:pPr>
            <w:r>
              <w:rPr>
                <w:rFonts w:ascii="宋体" w:hAnsi="宋体" w:cs="宋体" w:eastAsia="宋体" w:hint="default"/>
                <w:sz w:val="18"/>
                <w:szCs w:val="18"/>
              </w:rPr>
              <w:t>产品创意设 计工程实验</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3,518,911.76</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429,999.96</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3,088,911.80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2"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室项目</w:t>
            </w: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年代</w:t>
            </w: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2"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金属复合工 艺技改项目</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2"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拨款</w:t>
            </w: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67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实现自动 一体化包装</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footerReference w:type="default" r:id="rId30"/>
          <w:pgSz w:w="11910" w:h="16840"/>
          <w:pgMar w:footer="982" w:header="753" w:top="1060" w:bottom="1180" w:left="980" w:right="0"/>
          <w:pgNumType w:start="16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063"/>
        <w:gridCol w:w="1066"/>
        <w:gridCol w:w="1063"/>
        <w:gridCol w:w="1063"/>
        <w:gridCol w:w="1061"/>
        <w:gridCol w:w="1063"/>
        <w:gridCol w:w="1063"/>
        <w:gridCol w:w="1063"/>
        <w:gridCol w:w="1063"/>
      </w:tblGrid>
      <w:tr>
        <w:trPr>
          <w:trHeight w:val="67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27"/>
              <w:jc w:val="left"/>
              <w:rPr>
                <w:rFonts w:ascii="宋体" w:hAnsi="宋体" w:cs="宋体" w:eastAsia="宋体" w:hint="default"/>
                <w:sz w:val="18"/>
                <w:szCs w:val="18"/>
              </w:rPr>
            </w:pPr>
            <w:r>
              <w:rPr>
                <w:rFonts w:ascii="宋体" w:hAnsi="宋体" w:cs="宋体" w:eastAsia="宋体" w:hint="default"/>
                <w:sz w:val="18"/>
                <w:szCs w:val="18"/>
              </w:rPr>
              <w:t>生产线的工 艺创新项目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废纸循环</w:t>
            </w: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纸浮雕</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印</w:t>
            </w:r>
          </w:p>
        </w:tc>
        <w:tc>
          <w:tcPr>
            <w:tcW w:w="1066"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刷产品产业</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spacing w:val="-1"/>
                <w:sz w:val="18"/>
              </w:rPr>
              <w:t>850,000.00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8"/>
              <w:jc w:val="right"/>
              <w:rPr>
                <w:rFonts w:ascii="Times New Roman" w:hAnsi="Times New Roman" w:cs="Times New Roman" w:eastAsia="Times New Roman" w:hint="default"/>
                <w:sz w:val="18"/>
                <w:szCs w:val="18"/>
              </w:rPr>
            </w:pPr>
            <w:r>
              <w:rPr>
                <w:rFonts w:ascii="Times New Roman"/>
                <w:spacing w:val="-1"/>
                <w:sz w:val="18"/>
              </w:rPr>
              <w:t>850,000.00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1"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化及市场推</w:t>
            </w:r>
          </w:p>
        </w:tc>
        <w:tc>
          <w:tcPr>
            <w:tcW w:w="1066"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广项目</w:t>
            </w: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环保立体</w:t>
            </w: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127"/>
              <w:jc w:val="left"/>
              <w:rPr>
                <w:rFonts w:ascii="宋体" w:hAnsi="宋体" w:cs="宋体" w:eastAsia="宋体" w:hint="default"/>
                <w:sz w:val="18"/>
                <w:szCs w:val="18"/>
              </w:rPr>
            </w:pPr>
            <w:r>
              <w:rPr>
                <w:rFonts w:ascii="宋体" w:hAnsi="宋体" w:cs="宋体" w:eastAsia="宋体" w:hint="default"/>
                <w:sz w:val="18"/>
                <w:szCs w:val="18"/>
              </w:rPr>
              <w:t>代金属高档 包装项目研</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2"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微纳结构</w:t>
            </w: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127"/>
              <w:jc w:val="left"/>
              <w:rPr>
                <w:rFonts w:ascii="宋体" w:hAnsi="宋体" w:cs="宋体" w:eastAsia="宋体" w:hint="default"/>
                <w:sz w:val="18"/>
                <w:szCs w:val="18"/>
              </w:rPr>
            </w:pPr>
            <w:r>
              <w:rPr>
                <w:rFonts w:ascii="宋体" w:hAnsi="宋体" w:cs="宋体" w:eastAsia="宋体" w:hint="default"/>
                <w:sz w:val="18"/>
                <w:szCs w:val="18"/>
              </w:rPr>
              <w:t>材料高端印 刷文化工程</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0"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实验室</w:t>
            </w: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27"/>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招商引资 固定资产投 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4"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降低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VOC</w:t>
            </w:r>
          </w:p>
        </w:tc>
        <w:tc>
          <w:tcPr>
            <w:tcW w:w="1066"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127"/>
              <w:jc w:val="left"/>
              <w:rPr>
                <w:rFonts w:ascii="宋体" w:hAnsi="宋体" w:cs="宋体" w:eastAsia="宋体" w:hint="default"/>
                <w:sz w:val="18"/>
                <w:szCs w:val="18"/>
              </w:rPr>
            </w:pPr>
            <w:r>
              <w:rPr>
                <w:rFonts w:ascii="宋体" w:hAnsi="宋体" w:cs="宋体" w:eastAsia="宋体" w:hint="default"/>
                <w:sz w:val="18"/>
                <w:szCs w:val="18"/>
              </w:rPr>
              <w:t>排放的绿色 印刷关键技</w:t>
            </w:r>
          </w:p>
        </w:tc>
        <w:tc>
          <w:tcPr>
            <w:tcW w:w="1066"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0"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术研究</w:t>
            </w:r>
          </w:p>
        </w:tc>
        <w:tc>
          <w:tcPr>
            <w:tcW w:w="1066"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产业发展 引导资金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31,604,900.0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31,604,900.0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投资补助</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55,387,556.3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40,104,900.0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996,666.68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94,495,789.6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26</w:t>
      </w:r>
      <w:r>
        <w:rPr/>
        <w:t>、股本</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401"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8"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1,542,323,685.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-11,000,000.00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-11,000,000.00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1,531,323,685.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49"/>
        <w:ind w:right="984"/>
        <w:jc w:val="left"/>
      </w:pPr>
      <w:r>
        <w:rPr/>
        <w:t>其他说明：</w:t>
      </w:r>
    </w:p>
    <w:p>
      <w:pPr>
        <w:spacing w:line="240" w:lineRule="auto" w:before="0"/>
        <w:rPr>
          <w:rFonts w:ascii="宋体" w:hAnsi="宋体" w:cs="宋体" w:eastAsia="宋体" w:hint="default"/>
          <w:sz w:val="18"/>
          <w:szCs w:val="18"/>
        </w:rPr>
      </w:pPr>
    </w:p>
    <w:p>
      <w:pPr>
        <w:pStyle w:val="BodyText"/>
        <w:spacing w:line="300" w:lineRule="auto" w:before="141"/>
        <w:ind w:right="984"/>
        <w:jc w:val="left"/>
      </w:pPr>
      <w:r>
        <w:rPr>
          <w:spacing w:val="-2"/>
        </w:rPr>
        <w:t>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日召开的</w:t>
      </w:r>
      <w:r>
        <w:rPr>
          <w:rFonts w:ascii="Times New Roman" w:hAnsi="Times New Roman" w:cs="Times New Roman" w:eastAsia="Times New Roman" w:hint="default"/>
          <w:spacing w:val="-2"/>
        </w:rPr>
        <w:t>2018</w:t>
      </w:r>
      <w:r>
        <w:rPr>
          <w:spacing w:val="-2"/>
        </w:rPr>
        <w:t>年第二次临时股东大会审议通过了回购股份事项的相关议案。</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日，股份回购事项</w:t>
      </w:r>
      <w:r>
        <w:rPr>
          <w:spacing w:val="-57"/>
        </w:rPr>
        <w:t> </w:t>
      </w:r>
      <w:r>
        <w:rPr>
          <w:spacing w:val="-57"/>
        </w:rPr>
      </w:r>
      <w:r>
        <w:rPr/>
        <w:t>实施完毕，股份回购实施结果为：回购股份数量</w:t>
      </w:r>
      <w:r>
        <w:rPr>
          <w:rFonts w:ascii="Times New Roman" w:hAnsi="Times New Roman" w:cs="Times New Roman" w:eastAsia="Times New Roman" w:hint="default"/>
        </w:rPr>
        <w:t>11,000,000</w:t>
      </w:r>
      <w:r>
        <w:rPr/>
        <w:t>股，占回购股份方案实施前公司总股本的</w:t>
      </w:r>
      <w:r>
        <w:rPr>
          <w:rFonts w:ascii="Times New Roman" w:hAnsi="Times New Roman" w:cs="Times New Roman" w:eastAsia="Times New Roman" w:hint="default"/>
        </w:rPr>
        <w:t>0.7132%</w:t>
      </w:r>
      <w:r>
        <w:rPr/>
        <w:t>，最高成交价</w:t>
      </w:r>
    </w:p>
    <w:p>
      <w:pPr>
        <w:spacing w:after="0" w:line="30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00" w:lineRule="auto" w:before="37"/>
        <w:ind w:right="984"/>
        <w:jc w:val="left"/>
      </w:pPr>
      <w:r>
        <w:rPr/>
        <w:t>为</w:t>
      </w:r>
      <w:r>
        <w:rPr>
          <w:rFonts w:ascii="Times New Roman" w:hAnsi="Times New Roman" w:cs="Times New Roman" w:eastAsia="Times New Roman" w:hint="default"/>
        </w:rPr>
        <w:t>5.79</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5.32</w:t>
      </w:r>
      <w:r>
        <w:rPr/>
        <w:t>元</w:t>
      </w:r>
      <w:r>
        <w:rPr>
          <w:rFonts w:ascii="Times New Roman" w:hAnsi="Times New Roman" w:cs="Times New Roman" w:eastAsia="Times New Roman" w:hint="default"/>
        </w:rPr>
        <w:t>/</w:t>
      </w:r>
      <w:r>
        <w:rPr/>
        <w:t>股，支付的总金额为</w:t>
      </w:r>
      <w:r>
        <w:rPr>
          <w:rFonts w:ascii="Times New Roman" w:hAnsi="Times New Roman" w:cs="Times New Roman" w:eastAsia="Times New Roman" w:hint="default"/>
        </w:rPr>
        <w:t>61,008,416.97 </w:t>
      </w:r>
      <w:r>
        <w:rPr/>
        <w:t>元（含交易费用）。上述股份已于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日完</w:t>
      </w:r>
      <w:r>
        <w:rPr>
          <w:spacing w:val="-73"/>
        </w:rPr>
        <w:t> </w:t>
      </w:r>
      <w:r>
        <w:rPr>
          <w:spacing w:val="-73"/>
        </w:rPr>
      </w:r>
      <w:r>
        <w:rPr/>
        <w:t>成注销。本次股份回购完成后，公司总股本由</w:t>
      </w:r>
      <w:r>
        <w:rPr>
          <w:rFonts w:ascii="Times New Roman" w:hAnsi="Times New Roman" w:cs="Times New Roman" w:eastAsia="Times New Roman" w:hint="default"/>
        </w:rPr>
        <w:t>1,542,323,685</w:t>
      </w:r>
      <w:r>
        <w:rPr/>
        <w:t>股减少至</w:t>
      </w:r>
      <w:r>
        <w:rPr>
          <w:rFonts w:ascii="Times New Roman" w:hAnsi="Times New Roman" w:cs="Times New Roman" w:eastAsia="Times New Roman" w:hint="default"/>
        </w:rPr>
        <w:t>1,531,323,685</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27</w:t>
      </w:r>
      <w:r>
        <w:rPr/>
        <w:t>、资本公积</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4" w:right="0"/>
              <w:jc w:val="left"/>
              <w:rPr>
                <w:rFonts w:ascii="Times New Roman" w:hAnsi="Times New Roman" w:cs="Times New Roman" w:eastAsia="Times New Roman" w:hint="default"/>
                <w:sz w:val="18"/>
                <w:szCs w:val="18"/>
              </w:rPr>
            </w:pPr>
            <w:r>
              <w:rPr>
                <w:rFonts w:ascii="Times New Roman"/>
                <w:sz w:val="18"/>
              </w:rPr>
              <w:t>1,292,346,249.52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882,325.90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50,008,416.97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1,243,220,158.45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4" w:right="0"/>
              <w:jc w:val="left"/>
              <w:rPr>
                <w:rFonts w:ascii="Times New Roman" w:hAnsi="Times New Roman" w:cs="Times New Roman" w:eastAsia="Times New Roman" w:hint="default"/>
                <w:sz w:val="18"/>
                <w:szCs w:val="18"/>
              </w:rPr>
            </w:pPr>
            <w:r>
              <w:rPr>
                <w:rFonts w:ascii="Times New Roman"/>
                <w:sz w:val="18"/>
              </w:rPr>
              <w:t>1,292,346,249.52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882,325.90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50,008,416.97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1,243,220,158.45</w:t>
            </w:r>
          </w:p>
        </w:tc>
      </w:tr>
    </w:tbl>
    <w:p>
      <w:pPr>
        <w:pStyle w:val="BodyText"/>
        <w:spacing w:line="240" w:lineRule="auto" w:before="49"/>
        <w:ind w:right="0"/>
        <w:jc w:val="both"/>
      </w:pPr>
      <w:r>
        <w:rPr/>
        <w:t>其他说明，包括本期增减变动情况、变动原因说明：</w:t>
      </w:r>
    </w:p>
    <w:p>
      <w:pPr>
        <w:spacing w:line="240" w:lineRule="auto" w:before="0"/>
        <w:rPr>
          <w:rFonts w:ascii="宋体" w:hAnsi="宋体" w:cs="宋体" w:eastAsia="宋体" w:hint="default"/>
          <w:sz w:val="18"/>
          <w:szCs w:val="18"/>
        </w:rPr>
      </w:pPr>
    </w:p>
    <w:p>
      <w:pPr>
        <w:pStyle w:val="BodyText"/>
        <w:spacing w:line="309" w:lineRule="auto" w:before="141"/>
        <w:ind w:right="1130"/>
        <w:jc w:val="both"/>
      </w:pPr>
      <w:r>
        <w:rPr>
          <w:spacing w:val="-2"/>
        </w:rPr>
        <w:t>本期增加的资本公积为购买少数股东权益形成，本期减少的资本公积为回购股份注销库存股时形成。详见附注七、合并财务</w:t>
      </w:r>
      <w:r>
        <w:rPr>
          <w:spacing w:val="-64"/>
        </w:rPr>
        <w:t> </w:t>
      </w:r>
      <w:r>
        <w:rPr>
          <w:spacing w:val="-64"/>
        </w:rPr>
      </w:r>
      <w:r>
        <w:rPr/>
        <w:t>报表项目注释</w:t>
      </w:r>
      <w:r>
        <w:rPr>
          <w:rFonts w:ascii="Times New Roman" w:hAnsi="Times New Roman" w:cs="Times New Roman" w:eastAsia="Times New Roman" w:hint="default"/>
        </w:rPr>
        <w:t>26</w:t>
      </w:r>
      <w:r>
        <w:rPr/>
        <w:t>中所述，支付的股份回购款为</w:t>
      </w:r>
      <w:r>
        <w:rPr>
          <w:rFonts w:ascii="Times New Roman" w:hAnsi="Times New Roman" w:cs="Times New Roman" w:eastAsia="Times New Roman" w:hint="default"/>
        </w:rPr>
        <w:t>61,008,416.97</w:t>
      </w:r>
      <w:r>
        <w:rPr/>
        <w:t>元，其中</w:t>
      </w:r>
      <w:r>
        <w:rPr>
          <w:rFonts w:ascii="Times New Roman" w:hAnsi="Times New Roman" w:cs="Times New Roman" w:eastAsia="Times New Roman" w:hint="default"/>
        </w:rPr>
        <w:t>11,000,000.00</w:t>
      </w:r>
      <w:r>
        <w:rPr/>
        <w:t>减少注册股本，</w:t>
      </w:r>
      <w:r>
        <w:rPr>
          <w:rFonts w:ascii="Times New Roman" w:hAnsi="Times New Roman" w:cs="Times New Roman" w:eastAsia="Times New Roman" w:hint="default"/>
        </w:rPr>
        <w:t>50,008,416.97</w:t>
      </w:r>
      <w:r>
        <w:rPr/>
        <w:t>减少资本公</w:t>
      </w:r>
      <w:r>
        <w:rPr>
          <w:spacing w:val="-64"/>
        </w:rPr>
        <w:t> </w:t>
      </w:r>
      <w:r>
        <w:rPr>
          <w:spacing w:val="-64"/>
        </w:rPr>
      </w:r>
      <w:r>
        <w:rPr/>
        <w:t>积。</w:t>
      </w:r>
    </w:p>
    <w:p>
      <w:pPr>
        <w:spacing w:line="240" w:lineRule="auto" w:before="3"/>
        <w:rPr>
          <w:rFonts w:ascii="宋体" w:hAnsi="宋体" w:cs="宋体" w:eastAsia="宋体" w:hint="default"/>
          <w:sz w:val="23"/>
          <w:szCs w:val="23"/>
        </w:rPr>
      </w:pPr>
    </w:p>
    <w:p>
      <w:pPr>
        <w:pStyle w:val="Heading3"/>
        <w:spacing w:line="240" w:lineRule="auto"/>
        <w:ind w:right="0"/>
        <w:jc w:val="both"/>
        <w:rPr>
          <w:rFonts w:ascii="Tahoma" w:hAnsi="Tahoma" w:cs="Tahoma" w:eastAsia="Tahoma" w:hint="default"/>
        </w:rPr>
      </w:pPr>
      <w:r>
        <w:rPr>
          <w:rFonts w:ascii="Tahoma" w:hAnsi="Tahoma" w:cs="Tahoma" w:eastAsia="Tahoma" w:hint="default"/>
        </w:rPr>
        <w:t>28</w:t>
      </w:r>
      <w:r>
        <w:rPr/>
        <w:t>、其他综合收益</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810"/>
        <w:gridCol w:w="1068"/>
        <w:gridCol w:w="936"/>
        <w:gridCol w:w="1152"/>
        <w:gridCol w:w="934"/>
        <w:gridCol w:w="936"/>
        <w:gridCol w:w="936"/>
        <w:gridCol w:w="797"/>
      </w:tblGrid>
      <w:tr>
        <w:trPr>
          <w:trHeight w:val="401" w:hRule="exact"/>
        </w:trPr>
        <w:tc>
          <w:tcPr>
            <w:tcW w:w="2810" w:type="dxa"/>
            <w:vMerge w:val="restart"/>
            <w:tcBorders>
              <w:top w:val="single" w:sz="4" w:space="0" w:color="000000"/>
              <w:left w:val="single" w:sz="4" w:space="0" w:color="000000"/>
              <w:right w:val="single" w:sz="4" w:space="0" w:color="000000"/>
            </w:tcBorders>
            <w:shd w:val="clear" w:color="auto" w:fill="D3D3D3"/>
          </w:tcPr>
          <w:p>
            <w:pPr/>
          </w:p>
        </w:tc>
        <w:tc>
          <w:tcPr>
            <w:tcW w:w="10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8" w:hRule="exact"/>
        </w:trPr>
        <w:tc>
          <w:tcPr>
            <w:tcW w:w="2810" w:type="dxa"/>
            <w:vMerge/>
            <w:tcBorders>
              <w:left w:val="single" w:sz="4" w:space="0" w:color="000000"/>
              <w:bottom w:val="nil" w:sz="6" w:space="0" w:color="auto"/>
              <w:right w:val="single" w:sz="4" w:space="0" w:color="000000"/>
            </w:tcBorders>
            <w:shd w:val="clear" w:color="auto" w:fill="D3D3D3"/>
          </w:tcPr>
          <w:p>
            <w:pPr/>
          </w:p>
        </w:tc>
        <w:tc>
          <w:tcPr>
            <w:tcW w:w="1068" w:type="dxa"/>
            <w:vMerge/>
            <w:tcBorders>
              <w:left w:val="single" w:sz="4" w:space="0" w:color="000000"/>
              <w:right w:val="single" w:sz="4" w:space="0" w:color="000000"/>
            </w:tcBorders>
            <w:shd w:val="clear" w:color="auto" w:fill="D3D3D3"/>
          </w:tcPr>
          <w:p>
            <w:pPr/>
          </w:p>
        </w:tc>
        <w:tc>
          <w:tcPr>
            <w:tcW w:w="9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5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4" w:type="dxa"/>
            <w:tcBorders>
              <w:top w:val="single" w:sz="4" w:space="0" w:color="000000"/>
              <w:left w:val="single" w:sz="4" w:space="0" w:color="000000"/>
              <w:bottom w:val="nil" w:sz="6" w:space="0" w:color="auto"/>
              <w:right w:val="single" w:sz="4" w:space="0" w:color="000000"/>
            </w:tcBorders>
            <w:shd w:val="clear" w:color="auto" w:fill="D3D3D3"/>
          </w:tcPr>
          <w:p>
            <w:pPr/>
          </w:p>
        </w:tc>
        <w:tc>
          <w:tcPr>
            <w:tcW w:w="936" w:type="dxa"/>
            <w:tcBorders>
              <w:top w:val="single" w:sz="4" w:space="0" w:color="000000"/>
              <w:left w:val="single" w:sz="4" w:space="0" w:color="000000"/>
              <w:bottom w:val="nil" w:sz="6" w:space="0" w:color="auto"/>
              <w:right w:val="single" w:sz="4" w:space="0" w:color="000000"/>
            </w:tcBorders>
            <w:shd w:val="clear" w:color="auto" w:fill="D3D3D3"/>
          </w:tcPr>
          <w:p>
            <w:pPr/>
          </w:p>
        </w:tc>
        <w:tc>
          <w:tcPr>
            <w:tcW w:w="9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r>
      <w:tr>
        <w:trPr>
          <w:trHeight w:val="391"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tcBorders>
              <w:left w:val="single" w:sz="4" w:space="0" w:color="000000"/>
              <w:right w:val="single" w:sz="4" w:space="0" w:color="000000"/>
            </w:tcBorders>
            <w:shd w:val="clear" w:color="auto" w:fill="D3D3D3"/>
          </w:tcPr>
          <w:p>
            <w:pPr/>
          </w:p>
        </w:tc>
        <w:tc>
          <w:tcPr>
            <w:tcW w:w="936" w:type="dxa"/>
            <w:vMerge w:val="restart"/>
            <w:tcBorders>
              <w:top w:val="nil" w:sz="6" w:space="0" w:color="auto"/>
              <w:left w:val="single" w:sz="4" w:space="0" w:color="000000"/>
              <w:right w:val="single" w:sz="4" w:space="0" w:color="000000"/>
            </w:tcBorders>
            <w:shd w:val="clear" w:color="auto" w:fill="D3D3D3"/>
          </w:tcPr>
          <w:p>
            <w:pPr>
              <w:pStyle w:val="TableParagraph"/>
              <w:spacing w:line="172"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本期所得</w:t>
            </w:r>
          </w:p>
          <w:p>
            <w:pPr>
              <w:pStyle w:val="TableParagraph"/>
              <w:spacing w:line="316" w:lineRule="auto" w:before="76"/>
              <w:ind w:left="372" w:right="101" w:hanging="269"/>
              <w:jc w:val="left"/>
              <w:rPr>
                <w:rFonts w:ascii="宋体" w:hAnsi="宋体" w:cs="宋体" w:eastAsia="宋体" w:hint="default"/>
                <w:sz w:val="18"/>
                <w:szCs w:val="18"/>
              </w:rPr>
            </w:pPr>
            <w:r>
              <w:rPr>
                <w:rFonts w:ascii="宋体" w:hAnsi="宋体" w:cs="宋体" w:eastAsia="宋体" w:hint="default"/>
                <w:sz w:val="18"/>
                <w:szCs w:val="18"/>
              </w:rPr>
              <w:t>税前发生 额</w:t>
            </w:r>
          </w:p>
        </w:tc>
        <w:tc>
          <w:tcPr>
            <w:tcW w:w="1152" w:type="dxa"/>
            <w:vMerge w:val="restart"/>
            <w:tcBorders>
              <w:top w:val="nil" w:sz="6" w:space="0" w:color="auto"/>
              <w:left w:val="single" w:sz="4" w:space="0" w:color="000000"/>
              <w:right w:val="single" w:sz="4" w:space="0" w:color="000000"/>
            </w:tcBorders>
            <w:shd w:val="clear" w:color="auto" w:fill="D3D3D3"/>
          </w:tcPr>
          <w:p>
            <w:pPr>
              <w:pStyle w:val="TableParagraph"/>
              <w:spacing w:line="172" w:lineRule="exact"/>
              <w:ind w:left="31" w:right="0"/>
              <w:jc w:val="left"/>
              <w:rPr>
                <w:rFonts w:ascii="宋体" w:hAnsi="宋体" w:cs="宋体" w:eastAsia="宋体" w:hint="default"/>
                <w:sz w:val="18"/>
                <w:szCs w:val="18"/>
              </w:rPr>
            </w:pPr>
            <w:r>
              <w:rPr>
                <w:rFonts w:ascii="宋体" w:hAnsi="宋体" w:cs="宋体" w:eastAsia="宋体" w:hint="default"/>
                <w:sz w:val="18"/>
                <w:szCs w:val="18"/>
              </w:rPr>
              <w:t>减：前期计入</w:t>
            </w:r>
          </w:p>
          <w:p>
            <w:pPr>
              <w:pStyle w:val="TableParagraph"/>
              <w:spacing w:line="316" w:lineRule="auto" w:before="76"/>
              <w:ind w:left="31" w:right="29"/>
              <w:jc w:val="left"/>
              <w:rPr>
                <w:rFonts w:ascii="宋体" w:hAnsi="宋体" w:cs="宋体" w:eastAsia="宋体" w:hint="default"/>
                <w:sz w:val="18"/>
                <w:szCs w:val="18"/>
              </w:rPr>
            </w:pPr>
            <w:r>
              <w:rPr>
                <w:rFonts w:ascii="宋体" w:hAnsi="宋体" w:cs="宋体" w:eastAsia="宋体" w:hint="default"/>
                <w:sz w:val="18"/>
                <w:szCs w:val="18"/>
              </w:rPr>
              <w:t>其他综合收益 当期转入损益</w:t>
            </w:r>
          </w:p>
        </w:tc>
        <w:tc>
          <w:tcPr>
            <w:tcW w:w="93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92"/>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92"/>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val="restart"/>
            <w:tcBorders>
              <w:top w:val="nil" w:sz="6" w:space="0" w:color="auto"/>
              <w:left w:val="single" w:sz="4" w:space="0" w:color="000000"/>
              <w:right w:val="single" w:sz="4" w:space="0" w:color="000000"/>
            </w:tcBorders>
            <w:shd w:val="clear" w:color="auto" w:fill="D3D3D3"/>
          </w:tcPr>
          <w:p>
            <w:pPr>
              <w:pStyle w:val="TableParagraph"/>
              <w:spacing w:line="172" w:lineRule="exact"/>
              <w:ind w:left="105" w:right="0"/>
              <w:jc w:val="left"/>
              <w:rPr>
                <w:rFonts w:ascii="宋体" w:hAnsi="宋体" w:cs="宋体" w:eastAsia="宋体" w:hint="default"/>
                <w:sz w:val="18"/>
                <w:szCs w:val="18"/>
              </w:rPr>
            </w:pPr>
            <w:r>
              <w:rPr>
                <w:rFonts w:ascii="宋体" w:hAnsi="宋体" w:cs="宋体" w:eastAsia="宋体" w:hint="default"/>
                <w:sz w:val="18"/>
                <w:szCs w:val="18"/>
              </w:rPr>
              <w:t>税后归属</w:t>
            </w:r>
          </w:p>
          <w:p>
            <w:pPr>
              <w:pStyle w:val="TableParagraph"/>
              <w:spacing w:line="316" w:lineRule="auto" w:before="76"/>
              <w:ind w:left="374" w:right="98" w:hanging="269"/>
              <w:jc w:val="left"/>
              <w:rPr>
                <w:rFonts w:ascii="宋体" w:hAnsi="宋体" w:cs="宋体" w:eastAsia="宋体" w:hint="default"/>
                <w:sz w:val="18"/>
                <w:szCs w:val="18"/>
              </w:rPr>
            </w:pPr>
            <w:r>
              <w:rPr>
                <w:rFonts w:ascii="宋体" w:hAnsi="宋体" w:cs="宋体" w:eastAsia="宋体" w:hint="default"/>
                <w:sz w:val="18"/>
                <w:szCs w:val="18"/>
              </w:rPr>
              <w:t>于少数股 东</w:t>
            </w:r>
          </w:p>
        </w:tc>
        <w:tc>
          <w:tcPr>
            <w:tcW w:w="797" w:type="dxa"/>
            <w:vMerge/>
            <w:tcBorders>
              <w:left w:val="single" w:sz="4" w:space="0" w:color="000000"/>
              <w:right w:val="single" w:sz="4" w:space="0" w:color="000000"/>
            </w:tcBorders>
            <w:shd w:val="clear" w:color="auto" w:fill="D3D3D3"/>
          </w:tcPr>
          <w:p>
            <w:pPr/>
          </w:p>
        </w:tc>
      </w:tr>
      <w:tr>
        <w:trPr>
          <w:trHeight w:val="518"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8" w:type="dxa"/>
            <w:vMerge/>
            <w:tcBorders>
              <w:left w:val="single" w:sz="4" w:space="0" w:color="000000"/>
              <w:bottom w:val="single" w:sz="4" w:space="0" w:color="000000"/>
              <w:right w:val="single" w:sz="4" w:space="0" w:color="000000"/>
            </w:tcBorders>
            <w:shd w:val="clear" w:color="auto" w:fill="D3D3D3"/>
          </w:tcPr>
          <w:p>
            <w:pPr/>
          </w:p>
        </w:tc>
        <w:tc>
          <w:tcPr>
            <w:tcW w:w="936" w:type="dxa"/>
            <w:vMerge/>
            <w:tcBorders>
              <w:left w:val="single" w:sz="4" w:space="0" w:color="000000"/>
              <w:bottom w:val="single" w:sz="4" w:space="0" w:color="000000"/>
              <w:right w:val="single" w:sz="4" w:space="0" w:color="000000"/>
            </w:tcBorders>
            <w:shd w:val="clear" w:color="auto" w:fill="D3D3D3"/>
          </w:tcPr>
          <w:p>
            <w:pPr/>
          </w:p>
        </w:tc>
        <w:tc>
          <w:tcPr>
            <w:tcW w:w="1152" w:type="dxa"/>
            <w:vMerge/>
            <w:tcBorders>
              <w:left w:val="single" w:sz="4" w:space="0" w:color="000000"/>
              <w:bottom w:val="single" w:sz="4" w:space="0" w:color="000000"/>
              <w:right w:val="single" w:sz="4" w:space="0" w:color="000000"/>
            </w:tcBorders>
            <w:shd w:val="clear" w:color="auto" w:fill="D3D3D3"/>
          </w:tcPr>
          <w:p>
            <w:pPr/>
          </w:p>
        </w:tc>
        <w:tc>
          <w:tcPr>
            <w:tcW w:w="934" w:type="dxa"/>
            <w:vMerge/>
            <w:tcBorders>
              <w:left w:val="single" w:sz="4" w:space="0" w:color="000000"/>
              <w:bottom w:val="single" w:sz="4" w:space="0" w:color="000000"/>
              <w:right w:val="single" w:sz="4" w:space="0" w:color="000000"/>
            </w:tcBorders>
            <w:shd w:val="clear" w:color="auto" w:fill="D3D3D3"/>
          </w:tcPr>
          <w:p>
            <w:pPr/>
          </w:p>
        </w:tc>
        <w:tc>
          <w:tcPr>
            <w:tcW w:w="936" w:type="dxa"/>
            <w:vMerge/>
            <w:tcBorders>
              <w:left w:val="single" w:sz="4" w:space="0" w:color="000000"/>
              <w:bottom w:val="single" w:sz="4" w:space="0" w:color="000000"/>
              <w:right w:val="single" w:sz="4" w:space="0" w:color="000000"/>
            </w:tcBorders>
            <w:shd w:val="clear" w:color="auto" w:fill="D3D3D3"/>
          </w:tcPr>
          <w:p>
            <w:pPr/>
          </w:p>
        </w:tc>
        <w:tc>
          <w:tcPr>
            <w:tcW w:w="93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364" w:hRule="exact"/>
        </w:trPr>
        <w:tc>
          <w:tcPr>
            <w:tcW w:w="281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w:t>
            </w:r>
          </w:p>
        </w:tc>
        <w:tc>
          <w:tcPr>
            <w:tcW w:w="10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65,491,525.1</w:t>
            </w:r>
          </w:p>
        </w:tc>
        <w:tc>
          <w:tcPr>
            <w:tcW w:w="9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6,188,784.3</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6,188,784.3</w:t>
            </w:r>
          </w:p>
        </w:tc>
        <w:tc>
          <w:tcPr>
            <w:tcW w:w="936"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71,680,30</w:t>
            </w:r>
          </w:p>
        </w:tc>
      </w:tr>
      <w:tr>
        <w:trPr>
          <w:trHeight w:val="349"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068" w:type="dxa"/>
            <w:tcBorders>
              <w:top w:val="nil" w:sz="6" w:space="0" w:color="auto"/>
              <w:left w:val="single" w:sz="12" w:space="0" w:color="D3D3D3"/>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7</w:t>
            </w:r>
          </w:p>
        </w:tc>
        <w:tc>
          <w:tcPr>
            <w:tcW w:w="9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9</w:t>
            </w: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right="18"/>
              <w:jc w:val="right"/>
              <w:rPr>
                <w:rFonts w:ascii="Times New Roman" w:hAnsi="Times New Roman" w:cs="Times New Roman" w:eastAsia="Times New Roman" w:hint="default"/>
                <w:sz w:val="18"/>
                <w:szCs w:val="18"/>
              </w:rPr>
            </w:pPr>
            <w:r>
              <w:rPr>
                <w:rFonts w:ascii="Times New Roman"/>
                <w:sz w:val="18"/>
              </w:rPr>
              <w:t>9</w:t>
            </w:r>
          </w:p>
        </w:tc>
        <w:tc>
          <w:tcPr>
            <w:tcW w:w="936"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spacing w:val="-1"/>
                <w:sz w:val="18"/>
              </w:rPr>
              <w:t>9.56</w:t>
            </w:r>
          </w:p>
        </w:tc>
      </w:tr>
      <w:tr>
        <w:trPr>
          <w:trHeight w:val="161" w:hRule="exact"/>
        </w:trPr>
        <w:tc>
          <w:tcPr>
            <w:tcW w:w="2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2,806,926.88</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2,924,626.6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2,924,626.6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5,731,553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r>
      <w:tr>
        <w:trPr>
          <w:trHeight w:val="394"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713" w:hRule="exact"/>
        </w:trPr>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62,684,598.2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3,264,157.7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3,264,157.7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65,948,75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6.03</w:t>
            </w: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65,491,525.1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6,188,784.3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6,188,784.3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71,680,30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9.56</w:t>
            </w:r>
          </w:p>
        </w:tc>
      </w:tr>
    </w:tbl>
    <w:p>
      <w:pPr>
        <w:pStyle w:val="BodyText"/>
        <w:spacing w:line="357" w:lineRule="auto" w:before="49"/>
        <w:ind w:right="4094"/>
        <w:jc w:val="left"/>
      </w:pPr>
      <w:r>
        <w:rPr/>
        <w:t>其他说明，包括对现金流量套期损益的有效部分转为被套期项目初始确认金额调整：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29</w:t>
      </w:r>
      <w:r>
        <w:rPr/>
        <w:t>、盈余公积</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770"/>
              <w:jc w:val="right"/>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97"/>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122,519,041.42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41,376,385.79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163,895,427.21</w:t>
            </w:r>
          </w:p>
        </w:tc>
      </w:tr>
    </w:tbl>
    <w:p>
      <w:pPr>
        <w:spacing w:after="0" w:line="240" w:lineRule="auto"/>
        <w:jc w:val="lef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122,519,041.42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41,376,385.79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163,895,427.21</w:t>
            </w:r>
          </w:p>
        </w:tc>
      </w:tr>
    </w:tbl>
    <w:p>
      <w:pPr>
        <w:pStyle w:val="BodyText"/>
        <w:spacing w:line="240" w:lineRule="auto" w:before="49"/>
        <w:ind w:right="984"/>
        <w:jc w:val="left"/>
      </w:pPr>
      <w:r>
        <w:rPr/>
        <w:t>盈余公积说明，包括本期增减变动情况、变动原因说明：</w:t>
      </w:r>
    </w:p>
    <w:p>
      <w:pPr>
        <w:pStyle w:val="BodyText"/>
        <w:spacing w:line="300" w:lineRule="auto" w:before="115"/>
        <w:ind w:right="1124" w:firstLine="300"/>
        <w:jc w:val="left"/>
      </w:pPr>
      <w:r>
        <w:rPr>
          <w:rFonts w:ascii="Times New Roman" w:hAnsi="Times New Roman" w:cs="Times New Roman" w:eastAsia="Times New Roman" w:hint="default"/>
        </w:rPr>
        <w:t>2018</w:t>
      </w:r>
      <w:r>
        <w:rPr/>
        <w:t>年盈余公积的增加系根据《公司法》和本公司章程的规定按母公司当期净利润的</w:t>
      </w:r>
      <w:r>
        <w:rPr>
          <w:rFonts w:ascii="Times New Roman" w:hAnsi="Times New Roman" w:cs="Times New Roman" w:eastAsia="Times New Roman" w:hint="default"/>
        </w:rPr>
        <w:t>10%</w:t>
      </w:r>
      <w:r>
        <w:rPr/>
        <w:t>计提的法定盈余公积；法定盈 余公积累计提取达到本公司注册资本</w:t>
      </w:r>
      <w:r>
        <w:rPr>
          <w:rFonts w:ascii="Times New Roman" w:hAnsi="Times New Roman" w:cs="Times New Roman" w:eastAsia="Times New Roman" w:hint="default"/>
        </w:rPr>
        <w:t>50%</w:t>
      </w:r>
      <w:r>
        <w:rPr/>
        <w:t>以上时，可不再提取。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30</w:t>
      </w:r>
      <w:r>
        <w:rPr/>
        <w:t>、未分配利润</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725"/>
        <w:gridCol w:w="2923"/>
        <w:gridCol w:w="2918"/>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1,307,039,303.05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1,001,096,424.14</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1,307,039,303.05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1,001,096,424.14</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401,205,568.76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348,186,315.19</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41,376,385.79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8,312,315.21</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200,502,079.05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33,931,121.07</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1,466,366,406.97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1,307,039,303.05</w:t>
            </w:r>
          </w:p>
        </w:tc>
      </w:tr>
    </w:tbl>
    <w:p>
      <w:pPr>
        <w:pStyle w:val="BodyText"/>
        <w:spacing w:line="240" w:lineRule="auto" w:before="49"/>
        <w:ind w:right="984"/>
        <w:jc w:val="left"/>
      </w:pPr>
      <w:r>
        <w:rPr/>
        <w:t>调整期初未分配利润明细：</w:t>
      </w:r>
    </w:p>
    <w:p>
      <w:pPr>
        <w:pStyle w:val="BodyText"/>
        <w:spacing w:line="240" w:lineRule="auto" w:before="115"/>
        <w:ind w:right="984"/>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84"/>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984"/>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84"/>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84"/>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31</w:t>
      </w:r>
      <w:r>
        <w:rPr/>
        <w:t>、营业收入和营业成本</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3,125,396,512.31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2,186,861,518.27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2,768,627,947.74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1,862,664,508.75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123,549,037.04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9,348,541.57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88,791,355.23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9,301,298.18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3,248,945,549.35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2,196,210,059.84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2,857,419,302.97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1,871,965,806.93</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32</w:t>
      </w:r>
      <w:r>
        <w:rPr/>
        <w:t>、税金及附加</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10,858,129.62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10,207,306.87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8,695,825.72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8,161,809.61</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5,978,136.01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4,675,293.17</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7,587,330.59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3,923,451.50</w:t>
            </w:r>
          </w:p>
        </w:tc>
      </w:tr>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49,437.47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43,950.00</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2,606,481.36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1,884,026.05</w:t>
            </w:r>
          </w:p>
        </w:tc>
      </w:tr>
      <w:tr>
        <w:trPr>
          <w:trHeight w:val="401"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640,449.78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4,544.73</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36,415,790.55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28,900,381.93</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33</w:t>
      </w:r>
      <w:r>
        <w:rPr/>
        <w:t>、销售费用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4,629,199.96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10,266,568.23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7,544,229.48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9,527,789.04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交际应酬费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51,216,537.97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34,389,249.60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49,605,065.69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50,288,604.44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3,181,002.78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3,084,581.56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1,153,039.30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1,320,528.17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82,077,606.94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73,697,567.83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9,660,682.20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4,672,216.52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6,048,693.55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7,184,641.76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3,360,344.08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2,135,172.05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215,299.68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316,668.79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12,434.88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40,212.21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9,670,430.03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10,409,014.09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1,113,414.17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487,167.42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VMI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4,483,057.98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2,820,524.31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39,179.30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4,407,532.26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10,730,770.13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238,380,120.95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221,410,455.45</w:t>
            </w: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34</w:t>
      </w:r>
      <w:r>
        <w:rPr/>
        <w:t>、管理费用</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after="0" w:line="240" w:lineRule="auto"/>
        <w:jc w:val="right"/>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4,201,001.36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4,782,401.39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4,616,058.83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4,218,776.34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5,547,096.82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3,447,961.18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管理人员工资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80,222,350.07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86,615,560.36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管理人员社保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6,857,027.64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7,435,816.19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管理人员福利费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10,426,999.46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6,683,808.60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749,562.28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498,754.40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21,150,386.17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13,884,776.63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3,977,414.42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4,047,311.92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1,826,303.35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2,010,297.00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租金及管理费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6,020,129.64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6,805,955.56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5,493,138.64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3,986,225.05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13,033,684.81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14,852,585.89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2,787,448.40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4,292,565.27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1,812,183.68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1,467,346.92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9,990,401.24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8,674,321.30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629,919.54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571,101.92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10,637,841.38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16,306,092.22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178,966.30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318,933.19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行业协会费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787,533.43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407,060.38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265,800.33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7,208,880.58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9,635,141.66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3,791,567.97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4,736,080.66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环境绿化费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1,893,974.58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2,150,021.69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204,079,870.59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208,094,696.05</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35</w:t>
      </w:r>
      <w:r>
        <w:rPr/>
        <w:t>、研发费用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69,698,804.55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60,596,654.28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48,839,709.32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44,986,514.66</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1,795,217.86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1,992,840.18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6,747,905.41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5,533,410.62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127,081,637.14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113,109,419.74</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36</w:t>
      </w:r>
      <w:r>
        <w:rPr/>
        <w:t>、财务费用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16,165,646.29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6,285,449.22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19,732,308.16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34,860,015.00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23,998,256.77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33,156,078.40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41,268,395.65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8,119,557.74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1,590,280.82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1,482,829.63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-19,246,519.93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-2,055,215.49</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37</w:t>
      </w:r>
      <w:r>
        <w:rPr/>
        <w:t>、资产减值损失</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18,963,082.40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17,785,592.83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3,839,140.09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1,906,217.99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4,858,950.41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29,979,249.25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5,430,094.58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57,640,422.15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25,121,905.40</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38</w:t>
      </w:r>
      <w:r>
        <w:rPr/>
        <w:t>、其他收益</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年一季度出口信用保险保费资助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75,350.00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中国出口信用保险公司深圳分公司资信 资助款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11,200.00</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中国国际贸易促进委员会深圳市委员会 补贴款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10,980.00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年市战略性新兴产业专项资金资助 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309,085.84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深圳家居产品创意设计工程实验室项目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429,999.96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420,914.15</w:t>
            </w:r>
          </w:p>
        </w:tc>
      </w:tr>
      <w:tr>
        <w:trPr>
          <w:trHeight w:val="102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深圳市经济贸易和信息化委员会</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市 工业设计创新攻关成果转化应用第一批 资助款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830,000.00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深圳市市场和质量监督管理委员会知识 产权专利资金资助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收到深圳市经济贸易和信息化委员会</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军民融合专项资金第一批资助款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深圳市监督管理局</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年第一批专利资 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科学枝术研发投入补助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995,500.00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机器换人项目补助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1,402,500.00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1,547,000.00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年一季度发展、改革发电补助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902,700.00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329,636.30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513,907.53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招商局（经费补助）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802,489.92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投资项目发展专项资金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66,666.72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66,666.72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经信委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年度上档升级补助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东莞科技局高新培育补贴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年代金属复合工艺技改项目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增值税退库</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118,824.82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洋河经发局产业引导资金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深圳市科技创新委员会企业研发资助款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地税局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年个人所得税手续费返还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296,638.22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深圳市光明区规上企业做大做强资助款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879,145.00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年科技创新技术服务平台资助款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 </w:t>
            </w:r>
            <w:r>
              <w:rPr>
                <w:rFonts w:ascii="宋体" w:hAnsi="宋体" w:cs="宋体" w:eastAsia="宋体" w:hint="default"/>
                <w:sz w:val="18"/>
                <w:szCs w:val="18"/>
              </w:rPr>
              <w:t>批退新型墙体材料专项基金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612,623.30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东莞市经济和信息化局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年倍增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东莞市科学技术局倍增计划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贯标认证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科学技术局</w:t>
            </w:r>
            <w:r>
              <w:rPr>
                <w:rFonts w:ascii="Times New Roman" w:hAnsi="Times New Roman" w:cs="Times New Roman" w:eastAsia="Times New Roman" w:hint="default"/>
                <w:sz w:val="18"/>
                <w:szCs w:val="18"/>
              </w:rPr>
              <w:t>-</w:t>
            </w:r>
            <w:r>
              <w:rPr>
                <w:rFonts w:ascii="宋体" w:hAnsi="宋体" w:cs="宋体" w:eastAsia="宋体" w:hint="default"/>
                <w:sz w:val="18"/>
                <w:szCs w:val="18"/>
              </w:rPr>
              <w:t>专利优势补助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财政国库</w:t>
            </w:r>
            <w:r>
              <w:rPr>
                <w:rFonts w:ascii="Times New Roman" w:hAnsi="Times New Roman" w:cs="Times New Roman" w:eastAsia="Times New Roman" w:hint="default"/>
                <w:sz w:val="18"/>
                <w:szCs w:val="18"/>
              </w:rPr>
              <w:t>-</w:t>
            </w:r>
            <w:r>
              <w:rPr>
                <w:rFonts w:ascii="宋体" w:hAnsi="宋体" w:cs="宋体" w:eastAsia="宋体" w:hint="default"/>
                <w:sz w:val="18"/>
                <w:szCs w:val="18"/>
              </w:rPr>
              <w:t>企业知知产权贯标补助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吴江经济开发区经发局对于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年度工 业转型升级扶持项目款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东莞市科学技术局补贴（研发补助）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工业设计创新改革成果转化项目资助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深圳龙华新区科技创新局高新技术补贴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11,322,409.50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6,453,118.98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39</w:t>
      </w:r>
      <w:r>
        <w:rPr/>
        <w:t>、投资收益</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461"/>
        <w:gridCol w:w="3190"/>
        <w:gridCol w:w="2918"/>
      </w:tblGrid>
      <w:tr>
        <w:trPr>
          <w:trHeight w:val="402"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7,740,221.01</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58,000.00</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12,908,667.30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12,908,667.30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7,798,221.01</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40</w:t>
      </w:r>
      <w:r>
        <w:rPr/>
        <w:t>、公允价值变动收益</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42,352,887.72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5,094,445.69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42,352,887.72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5,094,445.69</w:t>
            </w: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41</w:t>
      </w:r>
      <w:r>
        <w:rPr/>
        <w:t>、资产处置收益</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-969,614.68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-1,030,508.43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-969,614.68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-1,030,508.43</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42</w:t>
      </w:r>
      <w:r>
        <w:rPr/>
        <w:t>、营业外收入</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4"/>
        <w:gridCol w:w="2392"/>
      </w:tblGrid>
      <w:tr>
        <w:trPr>
          <w:trHeight w:val="161" w:hRule="exact"/>
        </w:trPr>
        <w:tc>
          <w:tcPr>
            <w:tcW w:w="23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1100"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7" w:type="dxa"/>
            <w:vMerge/>
            <w:tcBorders>
              <w:left w:val="single" w:sz="4" w:space="0" w:color="000000"/>
              <w:right w:val="single" w:sz="4" w:space="0" w:color="000000"/>
            </w:tcBorders>
            <w:shd w:val="clear" w:color="auto" w:fill="D3D3D3"/>
          </w:tcPr>
          <w:p>
            <w:pPr/>
          </w:p>
        </w:tc>
        <w:tc>
          <w:tcPr>
            <w:tcW w:w="2395" w:type="dxa"/>
            <w:vMerge/>
            <w:tcBorders>
              <w:left w:val="single" w:sz="4" w:space="0" w:color="000000"/>
              <w:right w:val="single" w:sz="4" w:space="0" w:color="000000"/>
            </w:tcBorders>
            <w:shd w:val="clear" w:color="auto" w:fill="D3D3D3"/>
          </w:tcPr>
          <w:p>
            <w:pPr/>
          </w:p>
        </w:tc>
        <w:tc>
          <w:tcPr>
            <w:tcW w:w="23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7" w:type="dxa"/>
            <w:vMerge/>
            <w:tcBorders>
              <w:left w:val="single" w:sz="4" w:space="0" w:color="000000"/>
              <w:bottom w:val="single" w:sz="4" w:space="0" w:color="000000"/>
              <w:right w:val="single" w:sz="4" w:space="0" w:color="000000"/>
            </w:tcBorders>
            <w:shd w:val="clear" w:color="auto" w:fill="D3D3D3"/>
          </w:tcPr>
          <w:p>
            <w:pPr/>
          </w:p>
        </w:tc>
        <w:tc>
          <w:tcPr>
            <w:tcW w:w="2395" w:type="dxa"/>
            <w:vMerge/>
            <w:tcBorders>
              <w:left w:val="single" w:sz="4" w:space="0" w:color="000000"/>
              <w:bottom w:val="single" w:sz="4" w:space="0" w:color="000000"/>
              <w:right w:val="single" w:sz="4" w:space="0" w:color="000000"/>
            </w:tcBorders>
            <w:shd w:val="clear" w:color="auto" w:fill="D3D3D3"/>
          </w:tcPr>
          <w:p>
            <w:pPr/>
          </w:p>
        </w:tc>
        <w:tc>
          <w:tcPr>
            <w:tcW w:w="23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5" w:right="0"/>
              <w:jc w:val="left"/>
              <w:rPr>
                <w:rFonts w:ascii="Times New Roman" w:hAnsi="Times New Roman" w:cs="Times New Roman" w:eastAsia="Times New Roman" w:hint="default"/>
                <w:sz w:val="18"/>
                <w:szCs w:val="18"/>
              </w:rPr>
            </w:pPr>
            <w:r>
              <w:rPr>
                <w:rFonts w:ascii="Times New Roman"/>
                <w:sz w:val="18"/>
              </w:rPr>
              <w:t>274,100.00</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1,668,926.67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6" w:right="0"/>
              <w:jc w:val="left"/>
              <w:rPr>
                <w:rFonts w:ascii="Times New Roman" w:hAnsi="Times New Roman" w:cs="Times New Roman" w:eastAsia="Times New Roman" w:hint="default"/>
                <w:sz w:val="18"/>
                <w:szCs w:val="18"/>
              </w:rPr>
            </w:pPr>
            <w:r>
              <w:rPr>
                <w:rFonts w:ascii="Times New Roman"/>
                <w:sz w:val="18"/>
              </w:rPr>
              <w:t>274,100.00</w:t>
            </w:r>
          </w:p>
        </w:tc>
      </w:tr>
    </w:tbl>
    <w:p>
      <w:pPr>
        <w:spacing w:after="0" w:line="240" w:lineRule="auto"/>
        <w:jc w:val="lef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r>
        <w:rPr/>
        <w:pict>
          <v:shape style="position:absolute;margin-left:262.681885pt;margin-top:268.559998pt;width:59.65pt;height:66.5pt;mso-position-horizontal-relative:page;mso-position-vertical-relative:page;z-index:-1320904"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262.681885pt;margin-top:335.519989pt;width:59.65pt;height:66.4pt;mso-position-horizontal-relative:page;mso-position-vertical-relative:page;z-index:-1320880"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262.681885pt;margin-top:402.359985pt;width:59.65pt;height:66.5pt;mso-position-horizontal-relative:page;mso-position-vertical-relative:page;z-index:-1320856"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262.681885pt;margin-top:469.320007pt;width:59.65pt;height:66.4pt;mso-position-horizontal-relative:page;mso-position-vertical-relative:page;z-index:-1320832"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262.681885pt;margin-top:536.160034pt;width:59.65pt;height:66.5pt;mso-position-horizontal-relative:page;mso-position-vertical-relative:page;z-index:-1320808"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69.639984pt;margin-top:268.559998pt;width:52.7pt;height:334.1pt;mso-position-horizontal-relative:page;mso-position-vertical-relative:page;z-index:-1320784" coordorigin="5393,5371" coordsize="1054,6682">
            <v:group style="position:absolute;left:5393;top:5371;width:1054;height:1330" coordorigin="5393,5371" coordsize="1054,1330">
              <v:shape style="position:absolute;left:5393;top:5371;width:1054;height:1330" coordorigin="5393,5371" coordsize="1054,1330" path="m5393,5371l6446,5371,6446,6701,5393,6701,5393,5371xe" filled="true" fillcolor="#ffffff" stroked="false">
                <v:path arrowok="t"/>
                <v:fill type="solid"/>
              </v:shape>
            </v:group>
            <v:group style="position:absolute;left:5417;top:5839;width:1006;height:394" coordorigin="5417,5839" coordsize="1006,394">
              <v:shape style="position:absolute;left:5417;top:5839;width:1006;height:394" coordorigin="5417,5839" coordsize="1006,394" path="m5417,5839l6422,5839,6422,6233,5417,6233,5417,5839xe" filled="true" fillcolor="#ffffff" stroked="false">
                <v:path arrowok="t"/>
                <v:fill type="solid"/>
              </v:shape>
            </v:group>
            <v:group style="position:absolute;left:5393;top:6710;width:1054;height:1328" coordorigin="5393,6710" coordsize="1054,1328">
              <v:shape style="position:absolute;left:5393;top:6710;width:1054;height:1328" coordorigin="5393,6710" coordsize="1054,1328" path="m5393,6710l6446,6710,6446,8038,5393,8038,5393,6710xe" filled="true" fillcolor="#ffffff" stroked="false">
                <v:path arrowok="t"/>
                <v:fill type="solid"/>
              </v:shape>
            </v:group>
            <v:group style="position:absolute;left:5417;top:7178;width:1006;height:392" coordorigin="5417,7178" coordsize="1006,392">
              <v:shape style="position:absolute;left:5417;top:7178;width:1006;height:392" coordorigin="5417,7178" coordsize="1006,392" path="m5417,7178l6422,7178,6422,7570,5417,7570,5417,7178xe" filled="true" fillcolor="#ffffff" stroked="false">
                <v:path arrowok="t"/>
                <v:fill type="solid"/>
              </v:shape>
            </v:group>
            <v:group style="position:absolute;left:5393;top:8047;width:1054;height:1330" coordorigin="5393,8047" coordsize="1054,1330">
              <v:shape style="position:absolute;left:5393;top:8047;width:1054;height:1330" coordorigin="5393,8047" coordsize="1054,1330" path="m5393,8047l6446,8047,6446,9377,5393,9377,5393,8047xe" filled="true" fillcolor="#ffffff" stroked="false">
                <v:path arrowok="t"/>
                <v:fill type="solid"/>
              </v:shape>
            </v:group>
            <v:group style="position:absolute;left:5417;top:8515;width:1006;height:394" coordorigin="5417,8515" coordsize="1006,394">
              <v:shape style="position:absolute;left:5417;top:8515;width:1006;height:394" coordorigin="5417,8515" coordsize="1006,394" path="m5417,8515l6422,8515,6422,8909,5417,8909,5417,8515xe" filled="true" fillcolor="#ffffff" stroked="false">
                <v:path arrowok="t"/>
                <v:fill type="solid"/>
              </v:shape>
            </v:group>
            <v:group style="position:absolute;left:5393;top:9386;width:1054;height:1328" coordorigin="5393,9386" coordsize="1054,1328">
              <v:shape style="position:absolute;left:5393;top:9386;width:1054;height:1328" coordorigin="5393,9386" coordsize="1054,1328" path="m5393,9386l6446,9386,6446,10714,5393,10714,5393,9386xe" filled="true" fillcolor="#ffffff" stroked="false">
                <v:path arrowok="t"/>
                <v:fill type="solid"/>
              </v:shape>
            </v:group>
            <v:group style="position:absolute;left:5417;top:9854;width:1006;height:392" coordorigin="5417,9854" coordsize="1006,392">
              <v:shape style="position:absolute;left:5417;top:9854;width:1006;height:392" coordorigin="5417,9854" coordsize="1006,392" path="m5417,9854l6422,9854,6422,10246,5417,10246,5417,9854xe" filled="true" fillcolor="#ffffff" stroked="false">
                <v:path arrowok="t"/>
                <v:fill type="solid"/>
              </v:shape>
            </v:group>
            <v:group style="position:absolute;left:5393;top:10723;width:1054;height:1330" coordorigin="5393,10723" coordsize="1054,1330">
              <v:shape style="position:absolute;left:5393;top:10723;width:1054;height:1330" coordorigin="5393,10723" coordsize="1054,1330" path="m5393,10723l6446,10723,6446,12053,5393,12053,5393,10723xe" filled="true" fillcolor="#ffffff" stroked="false">
                <v:path arrowok="t"/>
                <v:fill type="solid"/>
              </v:shape>
            </v:group>
            <v:group style="position:absolute;left:5417;top:11191;width:1006;height:394" coordorigin="5417,11191" coordsize="1006,394">
              <v:shape style="position:absolute;left:5417;top:11191;width:1006;height:394" coordorigin="5417,11191" coordsize="1006,394" path="m5417,11191l6422,11191,6422,11585,5417,11585,5417,11191xe" filled="true" fillcolor="#ffffff" stroked="false">
                <v:path arrowok="t"/>
                <v:fill type="solid"/>
              </v:shape>
            </v:group>
            <w10:wrap type="none"/>
          </v:group>
        </w:pict>
      </w:r>
    </w:p>
    <w:tbl>
      <w:tblPr>
        <w:tblW w:w="0" w:type="auto"/>
        <w:jc w:val="left"/>
        <w:tblInd w:w="147"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474,428.51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134,249.92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474,428.51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748,528.51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1,803,176.59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748,528.51</w:t>
            </w:r>
          </w:p>
        </w:tc>
      </w:tr>
    </w:tbl>
    <w:p>
      <w:pPr>
        <w:pStyle w:val="BodyText"/>
        <w:spacing w:line="240" w:lineRule="auto" w:before="49"/>
        <w:ind w:right="984"/>
        <w:jc w:val="left"/>
      </w:pPr>
      <w:r>
        <w:rPr/>
        <w:t>计入当期损益的政府补助：</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r>
        <w:trPr>
          <w:trHeight w:val="362"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深圳市财政</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政府招商引</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29"/>
              <w:jc w:val="right"/>
              <w:rPr>
                <w:rFonts w:ascii="宋体" w:hAnsi="宋体" w:cs="宋体" w:eastAsia="宋体" w:hint="default"/>
                <w:sz w:val="18"/>
                <w:szCs w:val="18"/>
              </w:rPr>
            </w:pPr>
            <w:r>
              <w:rPr>
                <w:rFonts w:ascii="宋体" w:hAnsi="宋体" w:cs="宋体" w:eastAsia="宋体" w:hint="default"/>
                <w:sz w:val="18"/>
                <w:szCs w:val="18"/>
              </w:rPr>
              <w:t>税局退税款</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pacing w:val="-12"/>
                <w:sz w:val="18"/>
                <w:szCs w:val="18"/>
              </w:rPr>
              <w:t>局、东莞市财</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资等地方性</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279,426.67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0"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政局等</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扶持政策而</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年度深 圳市专利奖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2"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4" w:lineRule="auto" w:before="4"/>
              <w:ind w:left="24" w:right="129"/>
              <w:jc w:val="left"/>
              <w:rPr>
                <w:rFonts w:ascii="宋体" w:hAnsi="宋体" w:cs="宋体" w:eastAsia="宋体" w:hint="default"/>
                <w:sz w:val="18"/>
                <w:szCs w:val="18"/>
              </w:rPr>
            </w:pPr>
            <w:r>
              <w:rPr>
                <w:rFonts w:ascii="宋体" w:hAnsi="宋体" w:cs="宋体" w:eastAsia="宋体" w:hint="default"/>
                <w:sz w:val="18"/>
                <w:szCs w:val="18"/>
              </w:rPr>
              <w:t>东莞市科学 技术奖励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4" w:lineRule="auto" w:before="4"/>
              <w:ind w:left="23" w:right="127"/>
              <w:jc w:val="left"/>
              <w:rPr>
                <w:rFonts w:ascii="宋体" w:hAnsi="宋体" w:cs="宋体" w:eastAsia="宋体" w:hint="default"/>
                <w:sz w:val="18"/>
                <w:szCs w:val="18"/>
              </w:rPr>
            </w:pPr>
            <w:r>
              <w:rPr>
                <w:rFonts w:ascii="宋体" w:hAnsi="宋体" w:cs="宋体" w:eastAsia="宋体" w:hint="default"/>
                <w:sz w:val="18"/>
                <w:szCs w:val="18"/>
              </w:rPr>
              <w:t>东莞市科学 技术局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3" w:right="127"/>
              <w:jc w:val="left"/>
              <w:rPr>
                <w:rFonts w:ascii="宋体" w:hAnsi="宋体" w:cs="宋体" w:eastAsia="宋体" w:hint="default"/>
                <w:sz w:val="18"/>
                <w:szCs w:val="18"/>
              </w:rPr>
            </w:pPr>
            <w:r>
              <w:rPr>
                <w:rFonts w:ascii="宋体" w:hAnsi="宋体" w:cs="宋体" w:eastAsia="宋体" w:hint="default"/>
                <w:sz w:val="18"/>
                <w:szCs w:val="18"/>
              </w:rPr>
              <w:t>技术更新及 改造等获得</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1,039,500.00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29"/>
              <w:jc w:val="left"/>
              <w:rPr>
                <w:rFonts w:ascii="宋体" w:hAnsi="宋体" w:cs="宋体" w:eastAsia="宋体" w:hint="default"/>
                <w:sz w:val="18"/>
                <w:szCs w:val="18"/>
              </w:rPr>
            </w:pPr>
            <w:r>
              <w:rPr>
                <w:rFonts w:ascii="宋体" w:hAnsi="宋体" w:cs="宋体" w:eastAsia="宋体" w:hint="default"/>
                <w:sz w:val="18"/>
                <w:szCs w:val="18"/>
              </w:rPr>
              <w:t>经济商务科 技局奖励款</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127"/>
              <w:jc w:val="left"/>
              <w:rPr>
                <w:rFonts w:ascii="宋体" w:hAnsi="宋体" w:cs="宋体" w:eastAsia="宋体" w:hint="default"/>
                <w:sz w:val="18"/>
                <w:szCs w:val="18"/>
              </w:rPr>
            </w:pPr>
            <w:r>
              <w:rPr>
                <w:rFonts w:ascii="宋体" w:hAnsi="宋体" w:cs="宋体" w:eastAsia="宋体" w:hint="default"/>
                <w:sz w:val="18"/>
                <w:szCs w:val="18"/>
              </w:rPr>
              <w:t>纳溪区经济 商务科技局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127"/>
              <w:jc w:val="left"/>
              <w:rPr>
                <w:rFonts w:ascii="宋体" w:hAnsi="宋体" w:cs="宋体" w:eastAsia="宋体" w:hint="default"/>
                <w:sz w:val="18"/>
                <w:szCs w:val="18"/>
              </w:rPr>
            </w:pPr>
            <w:r>
              <w:rPr>
                <w:rFonts w:ascii="宋体" w:hAnsi="宋体" w:cs="宋体" w:eastAsia="宋体" w:hint="default"/>
                <w:sz w:val="18"/>
                <w:szCs w:val="18"/>
              </w:rPr>
              <w:t>技术更新及 改造等获得</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机器换人</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项目奖励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吴江区经济 技术开发区 经发局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114,100.00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29"/>
              <w:jc w:val="left"/>
              <w:rPr>
                <w:rFonts w:ascii="宋体" w:hAnsi="宋体" w:cs="宋体" w:eastAsia="宋体" w:hint="default"/>
                <w:sz w:val="18"/>
                <w:szCs w:val="18"/>
              </w:rPr>
            </w:pPr>
            <w:r>
              <w:rPr>
                <w:rFonts w:ascii="宋体" w:hAnsi="宋体" w:cs="宋体" w:eastAsia="宋体" w:hint="default"/>
                <w:sz w:val="18"/>
                <w:szCs w:val="18"/>
              </w:rPr>
              <w:t>高新技术企 业奖励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吴江区经济 技术开发区 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4" w:right="129"/>
              <w:jc w:val="left"/>
              <w:rPr>
                <w:rFonts w:ascii="宋体" w:hAnsi="宋体" w:cs="宋体" w:eastAsia="宋体" w:hint="default"/>
                <w:sz w:val="18"/>
                <w:szCs w:val="18"/>
              </w:rPr>
            </w:pPr>
            <w:r>
              <w:rPr>
                <w:rFonts w:ascii="宋体" w:hAnsi="宋体" w:cs="宋体" w:eastAsia="宋体" w:hint="default"/>
                <w:sz w:val="18"/>
                <w:szCs w:val="18"/>
              </w:rPr>
              <w:t>安全考核奖 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中国白酒金 三角酒业园 区管理委员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3"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29"/>
              <w:jc w:val="both"/>
              <w:rPr>
                <w:rFonts w:ascii="宋体" w:hAnsi="宋体" w:cs="宋体" w:eastAsia="宋体" w:hint="default"/>
                <w:sz w:val="18"/>
                <w:szCs w:val="18"/>
              </w:rPr>
            </w:pPr>
            <w:r>
              <w:rPr>
                <w:rFonts w:ascii="宋体" w:hAnsi="宋体" w:cs="宋体" w:eastAsia="宋体" w:hint="default"/>
                <w:sz w:val="18"/>
                <w:szCs w:val="18"/>
              </w:rPr>
              <w:t>新区政府规 模企业奖补 资金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3" w:right="127"/>
              <w:jc w:val="left"/>
              <w:rPr>
                <w:rFonts w:ascii="宋体" w:hAnsi="宋体" w:cs="宋体" w:eastAsia="宋体" w:hint="default"/>
                <w:sz w:val="18"/>
                <w:szCs w:val="18"/>
              </w:rPr>
            </w:pPr>
            <w:r>
              <w:rPr>
                <w:rFonts w:ascii="宋体" w:hAnsi="宋体" w:cs="宋体" w:eastAsia="宋体" w:hint="default"/>
                <w:sz w:val="18"/>
                <w:szCs w:val="18"/>
              </w:rPr>
              <w:t>洋河新区财 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8"/>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274,100.00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1,668,926.67</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43</w:t>
      </w:r>
      <w:r>
        <w:rPr/>
        <w:t>、营业外支出</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vMerge/>
            <w:tcBorders>
              <w:left w:val="single" w:sz="4" w:space="0" w:color="000000"/>
              <w:right w:val="single" w:sz="4" w:space="0" w:color="000000"/>
            </w:tcBorders>
            <w:shd w:val="clear" w:color="auto" w:fill="D3D3D3"/>
          </w:tcPr>
          <w:p>
            <w:pPr/>
          </w:p>
        </w:tc>
        <w:tc>
          <w:tcPr>
            <w:tcW w:w="2395" w:type="dxa"/>
            <w:vMerge/>
            <w:tcBorders>
              <w:left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3D3D3"/>
          </w:tcPr>
          <w:p>
            <w:pPr/>
          </w:p>
        </w:tc>
        <w:tc>
          <w:tcPr>
            <w:tcW w:w="2395"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579,583.00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579,583.00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3,884,416.89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2,183,788.99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3,884,416.89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固定资产损坏报废损失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2,020,189.20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190,393.90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2,020,189.20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6,484,189.09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3,047,182.89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6,484,189.09</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44</w:t>
      </w:r>
      <w:r>
        <w:rPr/>
        <w:t>、所得税费用</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）所得税费用表</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70,326,705.23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65,351,725.18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5,480,228.33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-2,228,744.53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75,806,933.56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63,122,980.65</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）会计利润与所得税费用调整过程</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778"/>
        <w:gridCol w:w="4790"/>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468,262,857.32</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70,239,428.60</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2,613,775.19</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-1,239,722.47</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8,591,938.38</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-1,527,411.84</w:t>
            </w:r>
          </w:p>
        </w:tc>
      </w:tr>
      <w:tr>
        <w:trPr>
          <w:trHeight w:val="71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10,307,641.21</w:t>
            </w:r>
          </w:p>
        </w:tc>
      </w:tr>
    </w:tbl>
    <w:p>
      <w:pPr>
        <w:spacing w:after="0" w:line="240" w:lineRule="auto"/>
        <w:jc w:val="right"/>
        <w:rPr>
          <w:rFonts w:ascii="Times New Roman" w:hAnsi="Times New Roman" w:cs="Times New Roman" w:eastAsia="Times New Roman" w:hint="default"/>
          <w:sz w:val="18"/>
          <w:szCs w:val="18"/>
        </w:rPr>
        <w:sectPr>
          <w:footerReference w:type="default" r:id="rId31"/>
          <w:pgSz w:w="11910" w:h="16840"/>
          <w:pgMar w:footer="982" w:header="753" w:top="1060" w:bottom="1180" w:left="980" w:right="0"/>
          <w:pgNumType w:start="17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4778"/>
        <w:gridCol w:w="4790"/>
      </w:tblGrid>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政策优惠</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-142,792.83</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-13,035,922.68</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75,806,933.56</w:t>
            </w:r>
          </w:p>
        </w:tc>
      </w:tr>
    </w:tbl>
    <w:p>
      <w:pPr>
        <w:pStyle w:val="BodyText"/>
        <w:spacing w:line="357" w:lineRule="auto" w:before="49"/>
        <w:ind w:right="10034"/>
        <w:jc w:val="left"/>
      </w:pPr>
      <w:r>
        <w:rPr/>
        <w:t>其他说明 无</w:t>
      </w:r>
    </w:p>
    <w:p>
      <w:pPr>
        <w:spacing w:line="240" w:lineRule="auto" w:before="6"/>
        <w:rPr>
          <w:rFonts w:ascii="宋体" w:hAnsi="宋体" w:cs="宋体" w:eastAsia="宋体" w:hint="default"/>
          <w:sz w:val="20"/>
          <w:szCs w:val="20"/>
        </w:rPr>
      </w:pPr>
    </w:p>
    <w:p>
      <w:pPr>
        <w:spacing w:line="547" w:lineRule="auto" w:before="0"/>
        <w:ind w:left="152" w:right="7423" w:firstLine="0"/>
        <w:jc w:val="left"/>
        <w:rPr>
          <w:rFonts w:ascii="Tahoma" w:hAnsi="Tahoma" w:cs="Tahoma" w:eastAsia="Tahoma" w:hint="default"/>
          <w:sz w:val="21"/>
          <w:szCs w:val="21"/>
        </w:rPr>
      </w:pPr>
      <w:r>
        <w:rPr>
          <w:rFonts w:ascii="Tahoma" w:hAnsi="Tahoma" w:cs="Tahoma" w:eastAsia="Tahoma" w:hint="default"/>
          <w:sz w:val="21"/>
          <w:szCs w:val="21"/>
        </w:rPr>
        <w:t>45</w:t>
      </w:r>
      <w:r>
        <w:rPr>
          <w:rFonts w:ascii="宋体" w:hAnsi="宋体" w:cs="宋体" w:eastAsia="宋体" w:hint="default"/>
          <w:sz w:val="21"/>
          <w:szCs w:val="21"/>
        </w:rPr>
        <w:t>、其他综合收益</w:t>
      </w:r>
      <w:r>
        <w:rPr>
          <w:rFonts w:ascii="Tahoma" w:hAnsi="Tahoma" w:cs="Tahoma" w:eastAsia="Tahoma" w:hint="default"/>
          <w:w w:val="80"/>
          <w:sz w:val="21"/>
          <w:szCs w:val="21"/>
        </w:rPr>
        <w:t> </w:t>
      </w:r>
      <w:r>
        <w:rPr>
          <w:rFonts w:ascii="宋体" w:hAnsi="宋体" w:cs="宋体" w:eastAsia="宋体" w:hint="default"/>
          <w:sz w:val="18"/>
          <w:szCs w:val="18"/>
        </w:rPr>
        <w:t>详见附注七、合并财务报表项目注释</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 </w:t>
      </w:r>
      <w:r>
        <w:rPr>
          <w:rFonts w:ascii="Tahoma" w:hAnsi="Tahoma" w:cs="Tahoma" w:eastAsia="Tahoma" w:hint="default"/>
          <w:sz w:val="21"/>
          <w:szCs w:val="21"/>
        </w:rPr>
        <w:t>46</w:t>
      </w:r>
      <w:r>
        <w:rPr>
          <w:rFonts w:ascii="宋体" w:hAnsi="宋体" w:cs="宋体" w:eastAsia="宋体" w:hint="default"/>
          <w:sz w:val="21"/>
          <w:szCs w:val="21"/>
        </w:rPr>
        <w:t>、现金流量表项目</w:t>
      </w:r>
      <w:r>
        <w:rPr>
          <w:rFonts w:ascii="Tahoma" w:hAnsi="Tahoma" w:cs="Tahoma" w:eastAsia="Tahoma" w:hint="default"/>
          <w:w w:val="80"/>
          <w:sz w:val="21"/>
          <w:szCs w:val="21"/>
        </w:rPr>
        <w:t> </w:t>
      </w:r>
      <w:r>
        <w:rPr>
          <w:rFonts w:ascii="Tahoma" w:hAnsi="Tahoma" w:cs="Tahoma" w:eastAsia="Tahoma" w:hint="default"/>
          <w:sz w:val="21"/>
          <w:szCs w:val="21"/>
        </w:rPr>
      </w:r>
    </w:p>
    <w:p>
      <w:pPr>
        <w:pStyle w:val="Heading3"/>
        <w:spacing w:line="240" w:lineRule="auto" w:before="1"/>
        <w:ind w:right="984"/>
        <w:jc w:val="left"/>
        <w:rPr>
          <w:rFonts w:ascii="Tahoma" w:hAnsi="Tahoma" w:cs="Tahoma" w:eastAsia="Tahoma" w:hint="default"/>
        </w:rPr>
      </w:pPr>
      <w:r>
        <w:rPr/>
        <w:t>（</w:t>
      </w:r>
      <w:r>
        <w:rPr>
          <w:rFonts w:ascii="Tahoma" w:hAnsi="Tahoma" w:cs="Tahoma" w:eastAsia="Tahoma" w:hint="default"/>
        </w:rPr>
        <w:t>1</w:t>
      </w:r>
      <w:r>
        <w:rPr/>
        <w:t>）收到的其他与经营活动有关的现金</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50,703,519.25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52,983,555.43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32,003,173.57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26,768,855.30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11,345,803.08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8,474,540.40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押金、定金及保证金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10,108,779.94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24,207,578.56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42,505.29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9,942,017.59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104,203,781.13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122,376,547.28</w:t>
            </w:r>
          </w:p>
        </w:tc>
      </w:tr>
    </w:tbl>
    <w:p>
      <w:pPr>
        <w:pStyle w:val="BodyText"/>
        <w:spacing w:line="357" w:lineRule="auto" w:before="49"/>
        <w:ind w:right="7514"/>
        <w:jc w:val="left"/>
      </w:pPr>
      <w:r>
        <w:rPr/>
        <w:t>收到的其他与经营活动有关的现金说明：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）支付的其他与经营活动有关的现金</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招待费差旅费办公费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71,358,019.58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42,956,190.83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9,466,673.01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6,789,970.69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报关费用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3,869,256.24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3,106,314.91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1,629,794.87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2,044,919.57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10,439,612.27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8,490,336.45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1,418,609.49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1,492,172.93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经营租赁及仓储管理等支出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18,531,872.90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18,852,453.85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咨询及会务等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8,661,733.44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9,308,386.33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44,960,899.85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18,331,282.92</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1,588,017.41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1,466,438.43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公司内部员工借支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18,219,228.50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10,888,565.08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24,878,745.00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5,910,368.84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215,022,462.56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129,637,400.83</w:t>
            </w:r>
          </w:p>
        </w:tc>
      </w:tr>
    </w:tbl>
    <w:p>
      <w:pPr>
        <w:pStyle w:val="BodyText"/>
        <w:spacing w:line="357" w:lineRule="auto" w:before="49"/>
        <w:ind w:right="7514"/>
        <w:jc w:val="left"/>
      </w:pPr>
      <w:r>
        <w:rPr/>
        <w:t>支付的其他与经营活动有关的现金说明：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3</w:t>
      </w:r>
      <w:r>
        <w:rPr/>
        <w:t>）收到的其他与投资活动有关的现金</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7514"/>
        <w:jc w:val="left"/>
      </w:pPr>
      <w:r>
        <w:rPr/>
        <w:t>收到的其他与投资活动有关的现金说明：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4</w:t>
      </w:r>
      <w:r>
        <w:rPr/>
        <w:t>）支付的其他与投资活动有关的现金</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7514"/>
        <w:jc w:val="left"/>
      </w:pPr>
      <w:r>
        <w:rPr/>
        <w:t>支付的其他与投资活动有关的现金说明：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5</w:t>
      </w:r>
      <w:r>
        <w:rPr/>
        <w:t>）收到的其他与筹资活动有关的现金</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7514"/>
        <w:jc w:val="left"/>
      </w:pPr>
      <w:r>
        <w:rPr/>
        <w:t>收到的其他与筹资活动有关的现金说明： 无</w:t>
      </w:r>
    </w:p>
    <w:p>
      <w:pPr>
        <w:spacing w:line="240" w:lineRule="auto" w:before="4"/>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6</w:t>
      </w:r>
      <w:r>
        <w:rPr/>
        <w:t>）支付的其他与筹资活动有关的现金</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分红派息手续费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94,106.15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48,440.05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61,008,416.97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发行股票费用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融资租赁支付的现金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653,247.82</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r>
        <w:rPr/>
        <w:pict>
          <v:shape style="position:absolute;margin-left:217.081131pt;margin-top:494.640015pt;width:158.550pt;height:19.6pt;mso-position-horizontal-relative:page;mso-position-vertical-relative:page;z-index:-1320760"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217.081131pt;margin-top:514.679993pt;width:158.550pt;height:19.7pt;mso-position-horizontal-relative:page;mso-position-vertical-relative:page;z-index:-1320736"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23.320007pt;margin-top:494.640015pt;width:152.3pt;height:39.75pt;mso-position-horizontal-relative:page;mso-position-vertical-relative:page;z-index:-1320712" coordorigin="4466,9893" coordsize="3046,795">
            <v:group style="position:absolute;left:4466;top:9893;width:3046;height:392" coordorigin="4466,9893" coordsize="3046,392">
              <v:shape style="position:absolute;left:4466;top:9893;width:3046;height:392" coordorigin="4466,9893" coordsize="3046,392" path="m4466,9893l7512,9893,7512,10284,4466,10284,4466,9893xe" filled="true" fillcolor="#ffffff" stroked="false">
                <v:path arrowok="t"/>
                <v:fill type="solid"/>
              </v:shape>
            </v:group>
            <v:group style="position:absolute;left:4466;top:10294;width:3046;height:394" coordorigin="4466,10294" coordsize="3046,394">
              <v:shape style="position:absolute;left:4466;top:10294;width:3046;height:394" coordorigin="4466,10294" coordsize="3046,394" path="m4466,10294l7512,10294,7512,10687,4466,10687,4466,1029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61,102,523.12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2,101,687.87</w:t>
            </w:r>
          </w:p>
        </w:tc>
      </w:tr>
    </w:tbl>
    <w:p>
      <w:pPr>
        <w:pStyle w:val="BodyText"/>
        <w:spacing w:line="357" w:lineRule="auto" w:before="49"/>
        <w:ind w:right="7514"/>
        <w:jc w:val="left"/>
      </w:pPr>
      <w:r>
        <w:rPr/>
        <w:t>支付的其他与筹资活动有关的现金说明：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47</w:t>
      </w:r>
      <w:r>
        <w:rPr/>
        <w:t>、现金流量表补充资料</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）现金流量表补充资料</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392,455,923.76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344,820,143.26</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57,640,422.15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25,121,905.40</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66,520,210.61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65,402,059.24</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9,990,401.25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8,664,202.46</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7,345,204.62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9,467,136.99</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969,614.68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1,030,508.43</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2,020,189.20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190,393.90</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-42,352,887.72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-5,094,445.69</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-17,270,138.19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25,808,781.37</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-12,908,667.30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-7,798,221.01</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-1,842,547.50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-1,856,659.77</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7,307,406.03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436,252.40</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-13,181,091.70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-268,240,596.66</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-442,840,179.66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-265,672,022.47</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260,072,707.15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331,875,879.70</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273,926,567.38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264,155,317.55</w:t>
            </w:r>
          </w:p>
        </w:tc>
      </w:tr>
      <w:tr>
        <w:trPr>
          <w:trHeight w:val="161" w:hRule="exact"/>
        </w:trPr>
        <w:tc>
          <w:tcPr>
            <w:tcW w:w="3326"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49"/>
              <w:ind w:left="24"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3326" w:type="dxa"/>
            <w:vMerge/>
            <w:tcBorders>
              <w:left w:val="single" w:sz="4" w:space="0" w:color="000000"/>
              <w:right w:val="single" w:sz="4" w:space="0" w:color="000000"/>
            </w:tcBorders>
            <w:shd w:val="clear" w:color="auto" w:fill="D3D3D3"/>
          </w:tcPr>
          <w:p>
            <w:pPr/>
          </w:p>
        </w:tc>
        <w:tc>
          <w:tcPr>
            <w:tcW w:w="30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6" w:type="dxa"/>
            <w:vMerge/>
            <w:tcBorders>
              <w:left w:val="single" w:sz="4" w:space="0" w:color="000000"/>
              <w:bottom w:val="single" w:sz="4" w:space="0" w:color="000000"/>
              <w:right w:val="single" w:sz="4" w:space="0" w:color="000000"/>
            </w:tcBorders>
            <w:shd w:val="clear" w:color="auto" w:fill="D3D3D3"/>
          </w:tcPr>
          <w:p>
            <w:pPr/>
          </w:p>
        </w:tc>
        <w:tc>
          <w:tcPr>
            <w:tcW w:w="305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989,511,500.82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2,153,297,209.95</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2,153,297,209.95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2,076,527,592.23</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-1,163,785,709.13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76,769,617.72</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）本期支付的取得子公司的现金净额</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6"/>
        <w:gridCol w:w="4582"/>
      </w:tblGrid>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3</w:t>
      </w:r>
      <w:r>
        <w:rPr/>
        <w:t>）本期收到的处置子公司的现金净额</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987"/>
        <w:gridCol w:w="4582"/>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19,330,948.42</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汇天云网集团有限公司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19,330,948.42</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19,330,948.42</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4</w:t>
      </w:r>
      <w:r>
        <w:rPr/>
        <w:t>）现金和现金等价物的构成</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326"/>
        <w:gridCol w:w="3058"/>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989,511,500.82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2,153,297,209.95</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597,925.67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1,003,533.68</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983,843,706.57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2,044,074,965.67</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5,069,868.58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108,218,710.60</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989,511,500.82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2,153,297,209.95</w:t>
            </w: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48</w:t>
      </w:r>
      <w:r>
        <w:rPr/>
        <w:t>、所有者权益变动表项目注释</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rFonts w:ascii="Tahoma" w:hAnsi="Tahoma" w:cs="Tahoma" w:eastAsia="Tahoma" w:hint="default"/>
        </w:rPr>
        <w:t>49</w:t>
      </w:r>
      <w:r>
        <w:rPr/>
        <w:t>、外币货币性项目</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）外币货币性项目</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496"/>
        <w:gridCol w:w="2292"/>
        <w:gridCol w:w="2390"/>
        <w:gridCol w:w="2390"/>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209,670,948.74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29,170,508.29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200,203,032.48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2,478,719.67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0.87620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2,171,854.18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2,617,074.00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0.22340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584,643.74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22,718,931,259.00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0.000295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6,711,418.34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398,331,140.66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55,380,090.68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380,084,638.29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12,378.99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7.8473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97,141.65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6,285,370.24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0.87620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5,507,241.42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14,492,387.79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0.22340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3,237,540.77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31,835,591,571.50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0.000295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9,404,578.53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25,222,804.83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3,161,017.06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21,694,692.29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393,750.00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0.87620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345,003.75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12,375,852.00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0.22340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2,764,715.24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1,416,310,803.00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0.000295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418,393.55</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61" w:lineRule="auto"/>
        <w:ind w:right="984"/>
        <w:jc w:val="left"/>
        <w:rPr>
          <w:rFonts w:ascii="Tahoma" w:hAnsi="Tahoma" w:cs="Tahoma" w:eastAsia="Tahoma" w:hint="default"/>
        </w:rPr>
      </w:pPr>
      <w:r>
        <w:rPr/>
        <w:t>（</w:t>
      </w:r>
      <w:r>
        <w:rPr>
          <w:rFonts w:ascii="Tahoma" w:hAnsi="Tahoma" w:cs="Tahoma" w:eastAsia="Tahoma" w:hint="default"/>
        </w:rPr>
        <w:t>2</w:t>
      </w:r>
      <w:r>
        <w:rPr/>
        <w:t>）境外经营实体说明，包括对于重要的境外经营实体，应披露其境外主要经营地、记账本位币及选择</w:t>
      </w:r>
      <w:r>
        <w:rPr>
          <w:spacing w:val="-38"/>
        </w:rPr>
        <w:t> </w:t>
      </w:r>
      <w:r>
        <w:rPr>
          <w:spacing w:val="-38"/>
        </w:rPr>
      </w:r>
      <w:r>
        <w:rPr/>
        <w:t>依据，记账本位币发生变化的还应披露原因。</w:t>
      </w:r>
      <w:r>
        <w:rPr>
          <w:rFonts w:ascii="Tahoma" w:hAnsi="Tahoma" w:cs="Tahoma" w:eastAsia="Tahoma" w:hint="default"/>
          <w:w w:val="80"/>
        </w:rPr>
        <w:t> </w:t>
      </w:r>
      <w:r>
        <w:rPr>
          <w:rFonts w:ascii="Tahoma" w:hAnsi="Tahoma" w:cs="Tahoma" w:eastAsia="Tahoma" w:hint="default"/>
        </w:rPr>
      </w:r>
    </w:p>
    <w:p>
      <w:pPr>
        <w:spacing w:line="240" w:lineRule="auto" w:before="1"/>
        <w:rPr>
          <w:rFonts w:ascii="Tahoma" w:hAnsi="Tahoma" w:cs="Tahoma" w:eastAsia="Tahoma" w:hint="default"/>
          <w:sz w:val="28"/>
          <w:szCs w:val="28"/>
        </w:rPr>
      </w:pPr>
    </w:p>
    <w:p>
      <w:pPr>
        <w:pStyle w:val="BodyText"/>
        <w:spacing w:line="328"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 </w:t>
      </w:r>
      <w:r>
        <w:rPr>
          <w:spacing w:val="-2"/>
        </w:rPr>
        <w:t>本公司下属有四家境外实体，两家为全资子公司，其中：一家为香港美盈森，注册地香港，记账本位币为港币；一家为美国</w:t>
      </w:r>
      <w:r>
        <w:rPr>
          <w:spacing w:val="-68"/>
        </w:rPr>
        <w:t> </w:t>
      </w:r>
      <w:r>
        <w:rPr>
          <w:spacing w:val="-68"/>
        </w:rPr>
      </w:r>
      <w:r>
        <w:rPr>
          <w:spacing w:val="-2"/>
        </w:rPr>
        <w:t>美盈森，注册地美国加州，记账本位币为美元。两家为香港美盈森子公司，其中：一家为全资子公司台湾美盈森，注册地台</w:t>
      </w:r>
    </w:p>
    <w:p>
      <w:pPr>
        <w:spacing w:after="0" w:line="328" w:lineRule="auto"/>
        <w:jc w:val="left"/>
        <w:sectPr>
          <w:footerReference w:type="default" r:id="rId32"/>
          <w:pgSz w:w="11910" w:h="16840"/>
          <w:pgMar w:footer="982" w:header="753" w:top="1060" w:bottom="1180" w:left="980" w:right="0"/>
          <w:pgNumType w:start="175"/>
        </w:sectPr>
      </w:pPr>
    </w:p>
    <w:p>
      <w:pPr>
        <w:spacing w:line="240" w:lineRule="auto" w:before="4"/>
        <w:rPr>
          <w:rFonts w:ascii="宋体" w:hAnsi="宋体" w:cs="宋体" w:eastAsia="宋体" w:hint="default"/>
          <w:sz w:val="26"/>
          <w:szCs w:val="26"/>
        </w:rPr>
      </w:pPr>
    </w:p>
    <w:p>
      <w:pPr>
        <w:pStyle w:val="BodyText"/>
        <w:spacing w:line="240" w:lineRule="auto" w:before="37"/>
        <w:ind w:right="984"/>
        <w:jc w:val="left"/>
      </w:pPr>
      <w:r>
        <w:rPr/>
        <w:t>湾，记账本位币为新台币；一家为全资子公司越南美盈森，注册地越南，记账本位币越南盾。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84"/>
        <w:jc w:val="left"/>
        <w:rPr>
          <w:rFonts w:ascii="Tahoma" w:hAnsi="Tahoma" w:cs="Tahoma" w:eastAsia="Tahoma" w:hint="default"/>
        </w:rPr>
      </w:pPr>
      <w:r>
        <w:rPr>
          <w:rFonts w:ascii="Tahoma" w:hAnsi="Tahoma" w:cs="Tahoma" w:eastAsia="Tahoma" w:hint="default"/>
        </w:rPr>
        <w:t>50</w:t>
      </w:r>
      <w:r>
        <w:rPr/>
        <w:t>、套期</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57" w:lineRule="auto"/>
        <w:ind w:right="4634"/>
        <w:jc w:val="left"/>
      </w:pPr>
      <w:r>
        <w:rPr/>
        <w:t>按照套期类别披露套期项目及相关套期工具、被套期风险的定性和定量信息：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51</w:t>
      </w:r>
      <w:r>
        <w:rPr/>
        <w:t>、政府补助</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）政府补助基本情况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年市战略性新兴产业专 项资金资助项目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1,726,422.57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投资项目发展专项资金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555,555.29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66,666.72</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深圳家居产品创意设计工程 实验室项目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3,088,911.80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429,999.96</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年代金属复合工艺技改 项目拨款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实现自动一体化包装生产线 的工艺创新项目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废纸循环纸浮雕</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印刷产品 产业化及市场推广项目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环保立体代金属高档包装项 目研发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微纳结构材料高端印刷文化 工程实验室</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招商引资固定资产投资补助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VOC </w:t>
            </w:r>
            <w:r>
              <w:rPr>
                <w:rFonts w:ascii="宋体" w:hAnsi="宋体" w:cs="宋体" w:eastAsia="宋体" w:hint="default"/>
                <w:sz w:val="18"/>
                <w:szCs w:val="18"/>
              </w:rPr>
              <w:t>排放的绿色印刷关 键技术研究</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产业发展引导资金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31,604,900.00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收到深圳市经济贸易和信息 化委员会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军民融合专项 资金第一批资助款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深圳市监督管理局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一批专利资助费</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科学枝术研发投入补助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995,500.00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995,500.00</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机器换人项目补助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1,402,500.00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1,402,500.00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329,636.30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329,636.30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东莞科技局高新培育补贴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深圳市科技创新委员会企业 研发资助款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1,393,000.00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个人所得税手续费返还</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296,638.22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296,638.22</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深圳市光明区规上企业做大 做强资助款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879,145.00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879,145.00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年科技创新技术服务平 台资助款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批退新型墙体材料专项 基金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612,623.30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612,623.30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东莞市经济和信息化局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年倍增</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东莞市科学技术局倍增计划</w:t>
            </w:r>
            <w:r>
              <w:rPr>
                <w:rFonts w:ascii="Times New Roman" w:hAnsi="Times New Roman" w:cs="Times New Roman" w:eastAsia="Times New Roman" w:hint="default"/>
                <w:sz w:val="18"/>
                <w:szCs w:val="18"/>
              </w:rPr>
              <w:t>- </w:t>
            </w:r>
            <w:r>
              <w:rPr>
                <w:rFonts w:ascii="宋体" w:hAnsi="宋体" w:cs="宋体" w:eastAsia="宋体" w:hint="default"/>
                <w:sz w:val="18"/>
                <w:szCs w:val="18"/>
              </w:rPr>
              <w:t>贯标认证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科学技术局</w:t>
            </w:r>
            <w:r>
              <w:rPr>
                <w:rFonts w:ascii="Times New Roman" w:hAnsi="Times New Roman" w:cs="Times New Roman" w:eastAsia="Times New Roman" w:hint="default"/>
                <w:sz w:val="18"/>
                <w:szCs w:val="18"/>
              </w:rPr>
              <w:t>-</w:t>
            </w:r>
            <w:r>
              <w:rPr>
                <w:rFonts w:ascii="宋体" w:hAnsi="宋体" w:cs="宋体" w:eastAsia="宋体" w:hint="default"/>
                <w:sz w:val="18"/>
                <w:szCs w:val="18"/>
              </w:rPr>
              <w:t>专利优势补助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财政国库</w:t>
            </w:r>
            <w:r>
              <w:rPr>
                <w:rFonts w:ascii="Times New Roman" w:hAnsi="Times New Roman" w:cs="Times New Roman" w:eastAsia="Times New Roman" w:hint="default"/>
                <w:sz w:val="18"/>
                <w:szCs w:val="18"/>
              </w:rPr>
              <w:t>-</w:t>
            </w:r>
            <w:r>
              <w:rPr>
                <w:rFonts w:ascii="宋体" w:hAnsi="宋体" w:cs="宋体" w:eastAsia="宋体" w:hint="default"/>
                <w:sz w:val="18"/>
                <w:szCs w:val="18"/>
              </w:rPr>
              <w:t>企业知知产权贯标 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吴江经济开发区经发局对于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年度工业转型升级扶持 项目款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东莞市科学技术局补贴（研发 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267,700.00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267,700.00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工业设计创新改革成果转化 项目资助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深圳龙华新区科技创新局高 新技术补贴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机器换人</w:t>
            </w:r>
            <w:r>
              <w:rPr>
                <w:rFonts w:ascii="Times New Roman" w:hAnsi="Times New Roman" w:cs="Times New Roman" w:eastAsia="Times New Roman" w:hint="default"/>
                <w:sz w:val="18"/>
                <w:szCs w:val="18"/>
              </w:rPr>
              <w:t>"</w:t>
            </w:r>
            <w:r>
              <w:rPr>
                <w:rFonts w:ascii="宋体" w:hAnsi="宋体" w:cs="宋体" w:eastAsia="宋体" w:hint="default"/>
                <w:sz w:val="18"/>
                <w:szCs w:val="18"/>
              </w:rPr>
              <w:t>项目奖励</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高新技术企业奖励</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安全考核奖励</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新区政府规模企业奖补资金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105,095,632.48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11,596,509.50</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）政府补助退回情况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3"/>
        <w:jc w:val="right"/>
      </w:pPr>
      <w:r>
        <w:rPr/>
        <w:t>单位：</w:t>
      </w:r>
      <w:r>
        <w:rPr>
          <w:spacing w:val="1"/>
        </w:rPr>
        <w:t> </w:t>
      </w:r>
      <w:r>
        <w:rPr/>
        <w:t>元</w:t>
      </w:r>
    </w:p>
    <w:p>
      <w:pPr>
        <w:spacing w:after="0" w:line="240" w:lineRule="auto"/>
        <w:jc w:val="right"/>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64" w:hRule="exact"/>
        </w:trPr>
        <w:tc>
          <w:tcPr>
            <w:tcW w:w="3187" w:type="dxa"/>
            <w:tcBorders>
              <w:top w:val="single" w:sz="4" w:space="0" w:color="000000"/>
              <w:left w:val="single" w:sz="4" w:space="0" w:color="000000"/>
              <w:bottom w:val="nil" w:sz="6" w:space="0" w:color="auto"/>
              <w:right w:val="single" w:sz="4" w:space="0" w:color="000000"/>
            </w:tcBorders>
          </w:tcPr>
          <w:p>
            <w:pPr/>
          </w:p>
        </w:tc>
        <w:tc>
          <w:tcPr>
            <w:tcW w:w="3192"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金之彩全息三复膜项目未按要求进行验</w:t>
            </w:r>
          </w:p>
        </w:tc>
      </w:tr>
      <w:tr>
        <w:trPr>
          <w:trHeight w:val="313" w:hRule="exact"/>
        </w:trPr>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全息三复膜项目</w:t>
            </w: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3,200,000.00</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收而被撤项，退回补助款项至深圳市发</w:t>
            </w:r>
          </w:p>
        </w:tc>
      </w:tr>
      <w:tr>
        <w:trPr>
          <w:trHeight w:val="350" w:hRule="exact"/>
        </w:trPr>
        <w:tc>
          <w:tcPr>
            <w:tcW w:w="3187" w:type="dxa"/>
            <w:tcBorders>
              <w:top w:val="nil" w:sz="6" w:space="0" w:color="auto"/>
              <w:left w:val="single" w:sz="4" w:space="0" w:color="000000"/>
              <w:bottom w:val="single" w:sz="4" w:space="0" w:color="000000"/>
              <w:right w:val="single" w:sz="4" w:space="0" w:color="000000"/>
            </w:tcBorders>
          </w:tcPr>
          <w:p>
            <w:pPr/>
          </w:p>
        </w:tc>
        <w:tc>
          <w:tcPr>
            <w:tcW w:w="3192"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展与改革委员会财政专户。</w:t>
            </w:r>
          </w:p>
        </w:tc>
      </w:tr>
    </w:tbl>
    <w:p>
      <w:pPr>
        <w:pStyle w:val="BodyText"/>
        <w:spacing w:line="357" w:lineRule="auto" w:before="49"/>
        <w:ind w:right="1034"/>
        <w:jc w:val="left"/>
      </w:pPr>
      <w:r>
        <w:rPr/>
        <w:t>其他说明： 公司已将上述政府补助退回事项作为金之彩原股东违约的一项证据向深圳仲裁委提交，并请求追偿金之彩原股东违约责任。</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52</w:t>
      </w:r>
      <w:r>
        <w:rPr/>
        <w:t>、其他</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line="240" w:lineRule="auto" w:before="3"/>
        <w:rPr>
          <w:rFonts w:ascii="宋体" w:hAnsi="宋体" w:cs="宋体" w:eastAsia="宋体" w:hint="default"/>
          <w:sz w:val="25"/>
          <w:szCs w:val="25"/>
        </w:rPr>
      </w:pPr>
    </w:p>
    <w:p>
      <w:pPr>
        <w:pStyle w:val="Heading2"/>
        <w:spacing w:line="240" w:lineRule="auto"/>
        <w:ind w:right="984"/>
        <w:jc w:val="left"/>
        <w:rPr>
          <w:rFonts w:ascii="Tahoma" w:hAnsi="Tahoma" w:cs="Tahoma" w:eastAsia="Tahoma" w:hint="default"/>
        </w:rPr>
      </w:pPr>
      <w:r>
        <w:rPr/>
        <w:t>八、合并范围的变更</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、非同一控制下企业合并</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）本期发生的非同一控制下企业合并</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3"/>
        <w:gridCol w:w="1066"/>
        <w:gridCol w:w="1061"/>
        <w:gridCol w:w="1063"/>
        <w:gridCol w:w="1061"/>
      </w:tblGrid>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）合并成本及商誉</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15pt;mso-position-horizontal-relative:char;mso-position-vertical-relative:line" coordorigin="0,0" coordsize="9584,423">
            <v:group style="position:absolute;left:17;top:14;width:4774;height:394" coordorigin="17,14" coordsize="4774,394">
              <v:shape style="position:absolute;left:17;top:14;width:4774;height:394" coordorigin="17,14" coordsize="4774,394" path="m17,14l4790,14,4790,408,17,408,17,14xe" filled="true" fillcolor="#d3d3d3" stroked="false">
                <v:path arrowok="t"/>
                <v:fill type="solid"/>
              </v:shape>
            </v:group>
            <v:group style="position:absolute;left:4800;top:14;width:4774;height:394" coordorigin="4800,14" coordsize="4774,394">
              <v:shape style="position:absolute;left:4800;top:14;width:4774;height:394" coordorigin="4800,14" coordsize="4774,394" path="m4800,14l9574,14,9574,408,4800,408,4800,14xe" filled="true" fillcolor="#e1ffff"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80011pt" strokecolor="#000000">
                <v:path arrowok="t"/>
              </v:shape>
            </v:group>
            <v:group style="position:absolute;left:10;top:14;width:2;height:404" coordorigin="10,14" coordsize="2,404">
              <v:shape style="position:absolute;left:10;top:14;width:2;height:404" coordorigin="10,14" coordsize="0,404" path="m10,14l10,418e" filled="false" stroked="true" strokeweight=".479999pt" strokecolor="#000000">
                <v:path arrowok="t"/>
              </v:shape>
            </v:group>
            <v:group style="position:absolute;left:5;top:413;width:4784;height:2" coordorigin="5,413" coordsize="4784,2">
              <v:shape style="position:absolute;left:5;top:413;width:4784;height:2" coordorigin="5,413" coordsize="4784,0" path="m5,413l4788,413e" filled="false" stroked="true" strokeweight=".480011pt" strokecolor="#000000">
                <v:path arrowok="t"/>
              </v:shape>
            </v:group>
            <v:group style="position:absolute;left:4793;top:14;width:2;height:404" coordorigin="4793,14" coordsize="2,404">
              <v:shape style="position:absolute;left:4793;top:14;width:2;height:404" coordorigin="4793,14" coordsize="0,404" path="m4793,14l4793,418e" filled="false" stroked="true" strokeweight=".48001pt" strokecolor="#000000">
                <v:path arrowok="t"/>
              </v:shape>
            </v:group>
            <v:group style="position:absolute;left:4798;top:413;width:4776;height:2" coordorigin="4798,413" coordsize="4776,2">
              <v:shape style="position:absolute;left:4798;top:413;width:4776;height:2" coordorigin="4798,413" coordsize="4776,0" path="m4798,413l9574,413e" filled="false" stroked="true" strokeweight=".480011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80011pt" strokecolor="#000000">
                <v:path arrowok="t"/>
              </v:shape>
              <v:shape style="position:absolute;left:11;top:10;width:4784;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6074"/>
        <w:jc w:val="left"/>
      </w:pPr>
      <w:r>
        <w:rPr/>
        <w:t>合并成本公允价值的确定方法、或有对价及其变动的说明： 无</w:t>
      </w:r>
    </w:p>
    <w:p>
      <w:pPr>
        <w:pStyle w:val="BodyText"/>
        <w:spacing w:line="357" w:lineRule="auto" w:before="29"/>
        <w:ind w:right="8594"/>
        <w:jc w:val="left"/>
      </w:pPr>
      <w:r>
        <w:rPr/>
        <w:t>大额商誉形成的主要原因： 无</w:t>
      </w:r>
    </w:p>
    <w:p>
      <w:pPr>
        <w:pStyle w:val="BodyText"/>
        <w:spacing w:line="360" w:lineRule="auto" w:before="29"/>
        <w:ind w:right="98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3</w:t>
      </w:r>
      <w:r>
        <w:rPr/>
        <w:t>）被购买方于购买日可辨认资产、负债</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2"/>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82" w:type="dxa"/>
            <w:gridSpan w:val="2"/>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57" w:lineRule="auto" w:before="37"/>
        <w:ind w:right="7514"/>
        <w:jc w:val="left"/>
      </w:pPr>
      <w:r>
        <w:rPr/>
        <w:t>可辨认资产、负债公允价值的确定方法： 无 企业合并中承担的被购买方的或有负债： 无</w:t>
      </w:r>
    </w:p>
    <w:p>
      <w:pPr>
        <w:pStyle w:val="BodyText"/>
        <w:spacing w:line="357" w:lineRule="auto" w:before="2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4</w:t>
      </w:r>
      <w:r>
        <w:rPr/>
        <w:t>）购买日之前持有的股权按照公允价值重新计量产生的利得或损失</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是否存在通过多次交易分步实现企业合并且在报告期内取得控制权的交易</w:t>
      </w:r>
    </w:p>
    <w:p>
      <w:pPr>
        <w:pStyle w:val="BodyText"/>
        <w:spacing w:line="240" w:lineRule="auto" w:before="117"/>
        <w:ind w:right="98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3"/>
        <w:rPr>
          <w:rFonts w:ascii="宋体" w:hAnsi="宋体" w:cs="宋体" w:eastAsia="宋体" w:hint="default"/>
          <w:sz w:val="25"/>
          <w:szCs w:val="25"/>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5</w:t>
      </w:r>
      <w:r>
        <w:rPr/>
        <w:t>）购买日或合并当期期末无法合理确定合并对价或被购买方可辨认资产、负债公允价值的相关说明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t>（</w:t>
      </w:r>
      <w:r>
        <w:rPr>
          <w:rFonts w:ascii="Tahoma" w:hAnsi="Tahoma" w:cs="Tahoma" w:eastAsia="Tahoma" w:hint="default"/>
        </w:rPr>
        <w:t>6</w:t>
      </w:r>
      <w:r>
        <w:rPr/>
        <w:t>）其他说明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rFonts w:ascii="Tahoma" w:hAnsi="Tahoma" w:cs="Tahoma" w:eastAsia="Tahoma" w:hint="default"/>
        </w:rPr>
        <w:t>2</w:t>
      </w:r>
      <w:r>
        <w:rPr/>
        <w:t>、同一控制下企业合并</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）本期发生的同一控制下企业合并</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3"/>
        <w:gridCol w:w="1063"/>
        <w:gridCol w:w="1066"/>
        <w:gridCol w:w="1063"/>
      </w:tblGrid>
      <w:tr>
        <w:trPr>
          <w:trHeight w:val="1338"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40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）合并成本</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15pt;mso-position-horizontal-relative:char;mso-position-vertical-relative:line" coordorigin="0,0" coordsize="9584,423">
            <v:group style="position:absolute;left:17;top:14;width:4774;height:394" coordorigin="17,14" coordsize="4774,394">
              <v:shape style="position:absolute;left:17;top:14;width:4774;height:394" coordorigin="17,14" coordsize="4774,394" path="m17,14l4790,14,4790,408,17,408,17,14xe" filled="true" fillcolor="#d3d3d3" stroked="false">
                <v:path arrowok="t"/>
                <v:fill type="solid"/>
              </v:shape>
            </v:group>
            <v:group style="position:absolute;left:4800;top:14;width:4774;height:394" coordorigin="4800,14" coordsize="4774,394">
              <v:shape style="position:absolute;left:4800;top:14;width:4774;height:394" coordorigin="4800,14" coordsize="4774,394" path="m4800,14l9574,14,9574,408,4800,408,4800,14xe" filled="true" fillcolor="#e1ffff"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79965pt" strokecolor="#000000">
                <v:path arrowok="t"/>
              </v:shape>
            </v:group>
            <v:group style="position:absolute;left:10;top:14;width:2;height:404" coordorigin="10,14" coordsize="2,404">
              <v:shape style="position:absolute;left:10;top:14;width:2;height:404" coordorigin="10,14" coordsize="0,404" path="m10,14l10,418e" filled="false" stroked="true" strokeweight=".479999pt" strokecolor="#000000">
                <v:path arrowok="t"/>
              </v:shape>
            </v:group>
            <v:group style="position:absolute;left:5;top:413;width:4784;height:2" coordorigin="5,413" coordsize="4784,2">
              <v:shape style="position:absolute;left:5;top:413;width:4784;height:2" coordorigin="5,413" coordsize="4784,0" path="m5,413l4788,413e" filled="false" stroked="true" strokeweight=".480011pt" strokecolor="#000000">
                <v:path arrowok="t"/>
              </v:shape>
            </v:group>
            <v:group style="position:absolute;left:4793;top:14;width:2;height:404" coordorigin="4793,14" coordsize="2,404">
              <v:shape style="position:absolute;left:4793;top:14;width:2;height:404" coordorigin="4793,14" coordsize="0,404" path="m4793,14l4793,418e" filled="false" stroked="true" strokeweight=".48001pt" strokecolor="#000000">
                <v:path arrowok="t"/>
              </v:shape>
            </v:group>
            <v:group style="position:absolute;left:4798;top:413;width:4776;height:2" coordorigin="4798,413" coordsize="4776,2">
              <v:shape style="position:absolute;left:4798;top:413;width:4776;height:2" coordorigin="4798,413" coordsize="4776,0" path="m4798,413l9574,413e" filled="false" stroked="true" strokeweight=".480011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80011pt" strokecolor="#000000">
                <v:path arrowok="t"/>
              </v:shape>
              <v:shape style="position:absolute;left:11;top:10;width:4784;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8594"/>
        <w:jc w:val="left"/>
      </w:pPr>
      <w:r>
        <w:rPr/>
        <w:t>或有对价及其变动的说明： 无</w:t>
      </w:r>
    </w:p>
    <w:p>
      <w:pPr>
        <w:pStyle w:val="BodyText"/>
        <w:spacing w:line="357" w:lineRule="auto" w:before="29"/>
        <w:ind w:right="9854"/>
        <w:jc w:val="left"/>
      </w:pPr>
      <w:r>
        <w:rPr/>
        <w:t>其他说明： 无</w:t>
      </w:r>
    </w:p>
    <w:p>
      <w:pPr>
        <w:spacing w:after="0" w:line="357" w:lineRule="auto"/>
        <w:jc w:val="left"/>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3</w:t>
      </w:r>
      <w:r>
        <w:rPr/>
        <w:t>）合并日被合并方资产、负债的账面价值</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823" w:lineRule="exact"/>
        <w:ind w:left="143"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3pt;height:41.2pt;mso-position-horizontal-relative:char;mso-position-vertical-relative:line" coordorigin="0,0" coordsize="9586,824">
            <v:group style="position:absolute;left:17;top:14;width:3180;height:394" coordorigin="17,14" coordsize="3180,394">
              <v:shape style="position:absolute;left:17;top:14;width:3180;height:394" coordorigin="17,14" coordsize="3180,394" path="m17,14l3197,14,3197,408,17,408,17,14xe" filled="true" fillcolor="#d3d3d3" stroked="false">
                <v:path arrowok="t"/>
                <v:fill type="solid"/>
              </v:shape>
            </v:group>
            <v:group style="position:absolute;left:3206;top:14;width:6370;height:394" coordorigin="3206,14" coordsize="6370,394">
              <v:shape style="position:absolute;left:3206;top:14;width:6370;height:394" coordorigin="3206,14" coordsize="6370,394" path="m3206,14l9576,14,9576,408,3206,408,3206,14xe" filled="true" fillcolor="#e1ffff" stroked="false">
                <v:path arrowok="t"/>
                <v:fill type="solid"/>
              </v:shape>
            </v:group>
            <v:group style="position:absolute;left:5;top:10;width:9572;height:2" coordorigin="5,10" coordsize="9572,2">
              <v:shape style="position:absolute;left:5;top:10;width:9572;height:2" coordorigin="5,10" coordsize="9572,0" path="m5,10l9576,10e" filled="false" stroked="true" strokeweight=".48pt" strokecolor="#000000">
                <v:path arrowok="t"/>
              </v:shape>
            </v:group>
            <v:group style="position:absolute;left:10;top:14;width:2;height:394" coordorigin="10,14" coordsize="2,394">
              <v:shape style="position:absolute;left:10;top:14;width:2;height:394" coordorigin="10,14" coordsize="0,394" path="m10,14l10,408e" filled="false" stroked="true" strokeweight=".479999pt" strokecolor="#000000">
                <v:path arrowok="t"/>
              </v:shape>
            </v:group>
            <v:group style="position:absolute;left:3199;top:14;width:2;height:394" coordorigin="3199,14" coordsize="2,394">
              <v:shape style="position:absolute;left:3199;top:14;width:2;height:394" coordorigin="3199,14" coordsize="0,394" path="m3199,14l3199,408e" filled="false" stroked="true" strokeweight=".480011pt" strokecolor="#000000">
                <v:path arrowok="t"/>
              </v:shape>
            </v:group>
            <v:group style="position:absolute;left:17;top:418;width:3180;height:392" coordorigin="17,418" coordsize="3180,392">
              <v:shape style="position:absolute;left:17;top:418;width:3180;height:392" coordorigin="17,418" coordsize="3180,392" path="m17,418l3197,418,3197,809,17,809,17,418xe" filled="true" fillcolor="#d3d3d3" stroked="false">
                <v:path arrowok="t"/>
                <v:fill type="solid"/>
              </v:shape>
            </v:group>
            <v:group style="position:absolute;left:3206;top:418;width:3180;height:392" coordorigin="3206,418" coordsize="3180,392">
              <v:shape style="position:absolute;left:3206;top:418;width:3180;height:392" coordorigin="3206,418" coordsize="3180,392" path="m3206,418l6386,418,6386,809,3206,809,3206,418xe" filled="true" fillcolor="#d3d3d3" stroked="false">
                <v:path arrowok="t"/>
                <v:fill type="solid"/>
              </v:shape>
            </v:group>
            <v:group style="position:absolute;left:6396;top:418;width:3180;height:392" coordorigin="6396,418" coordsize="3180,392">
              <v:shape style="position:absolute;left:6396;top:418;width:3180;height:392" coordorigin="6396,418" coordsize="3180,392" path="m6396,418l9576,418,9576,809,6396,809,6396,418xe" filled="true" fillcolor="#d3d3d3" stroked="false">
                <v:path arrowok="t"/>
                <v:fill type="solid"/>
              </v:shape>
            </v:group>
            <v:group style="position:absolute;left:5;top:413;width:9572;height:2" coordorigin="5,413" coordsize="9572,2">
              <v:shape style="position:absolute;left:5;top:413;width:9572;height:2" coordorigin="5,413" coordsize="9572,0" path="m5,413l9576,413e" filled="false" stroked="true" strokeweight=".479999pt" strokecolor="#000000">
                <v:path arrowok="t"/>
              </v:shape>
            </v:group>
            <v:group style="position:absolute;left:10;top:418;width:2;height:401" coordorigin="10,418" coordsize="2,401">
              <v:shape style="position:absolute;left:10;top:418;width:2;height:401" coordorigin="10,418" coordsize="0,401" path="m10,418l10,818e" filled="false" stroked="true" strokeweight=".479999pt" strokecolor="#000000">
                <v:path arrowok="t"/>
              </v:shape>
            </v:group>
            <v:group style="position:absolute;left:5;top:814;width:3190;height:2" coordorigin="5,814" coordsize="3190,2">
              <v:shape style="position:absolute;left:5;top:814;width:3190;height:2" coordorigin="5,814" coordsize="3190,0" path="m5,814l3194,814e" filled="false" stroked="true" strokeweight=".48pt" strokecolor="#000000">
                <v:path arrowok="t"/>
              </v:shape>
            </v:group>
            <v:group style="position:absolute;left:3199;top:418;width:2;height:401" coordorigin="3199,418" coordsize="2,401">
              <v:shape style="position:absolute;left:3199;top:418;width:2;height:401" coordorigin="3199,418" coordsize="0,401" path="m3199,418l3199,818e" filled="false" stroked="true" strokeweight=".480011pt" strokecolor="#000000">
                <v:path arrowok="t"/>
              </v:shape>
            </v:group>
            <v:group style="position:absolute;left:3204;top:814;width:3180;height:2" coordorigin="3204,814" coordsize="3180,2">
              <v:shape style="position:absolute;left:3204;top:814;width:3180;height:2" coordorigin="3204,814" coordsize="3180,0" path="m3204,814l6384,814e" filled="false" stroked="true" strokeweight=".48pt" strokecolor="#000000">
                <v:path arrowok="t"/>
              </v:shape>
            </v:group>
            <v:group style="position:absolute;left:6389;top:418;width:2;height:401" coordorigin="6389,418" coordsize="2,401">
              <v:shape style="position:absolute;left:6389;top:418;width:2;height:401" coordorigin="6389,418" coordsize="0,401" path="m6389,418l6389,818e" filled="false" stroked="true" strokeweight=".479988pt" strokecolor="#000000">
                <v:path arrowok="t"/>
              </v:shape>
            </v:group>
            <v:group style="position:absolute;left:6394;top:814;width:3183;height:2" coordorigin="6394,814" coordsize="3183,2">
              <v:shape style="position:absolute;left:6394;top:814;width:3183;height:2" coordorigin="6394,814" coordsize="3183,0" path="m6394,814l9576,814e" filled="false" stroked="true" strokeweight=".48pt" strokecolor="#000000">
                <v:path arrowok="t"/>
              </v:shape>
            </v:group>
            <v:group style="position:absolute;left:9581;top:5;width:2;height:814" coordorigin="9581,5" coordsize="2,814">
              <v:shape style="position:absolute;left:9581;top:5;width:2;height:814" coordorigin="9581,5" coordsize="0,814" path="m9581,5l9581,818e" filled="false" stroked="true" strokeweight=".479966pt" strokecolor="#000000">
                <v:path arrowok="t"/>
              </v:shape>
              <v:shape style="position:absolute;left:3199;top:413;width:3190;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9;top:413;width:3192;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4"/>
        <w:ind w:right="7514"/>
        <w:jc w:val="left"/>
      </w:pPr>
      <w:r>
        <w:rPr/>
        <w:t>企业合并中承担的被合并方的或有负债： 无</w:t>
      </w:r>
    </w:p>
    <w:p>
      <w:pPr>
        <w:pStyle w:val="BodyText"/>
        <w:spacing w:line="357" w:lineRule="auto" w:before="27"/>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both"/>
        <w:rPr>
          <w:rFonts w:ascii="Tahoma" w:hAnsi="Tahoma" w:cs="Tahoma" w:eastAsia="Tahoma" w:hint="default"/>
        </w:rPr>
      </w:pPr>
      <w:r>
        <w:rPr>
          <w:rFonts w:ascii="Tahoma" w:hAnsi="Tahoma" w:cs="Tahoma" w:eastAsia="Tahoma" w:hint="default"/>
        </w:rPr>
        <w:t>3</w:t>
      </w:r>
      <w:r>
        <w:rPr/>
        <w:t>、反向购买</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984"/>
        <w:jc w:val="left"/>
      </w:pPr>
      <w:r>
        <w:rPr>
          <w:spacing w:val="-2"/>
        </w:rPr>
        <w:t>交易基本信息、交易构成反向购买的依据、上市公司保留的资产、负债是否构成业务及其依据、合并成本的确定、按照权益</w:t>
      </w:r>
      <w:r>
        <w:rPr>
          <w:spacing w:val="-69"/>
        </w:rPr>
        <w:t> </w:t>
      </w:r>
      <w:r>
        <w:rPr>
          <w:spacing w:val="-69"/>
        </w:rPr>
      </w:r>
      <w:r>
        <w:rPr/>
        <w:t>性交易处理时调整权益的金额及其计算：</w:t>
      </w:r>
    </w:p>
    <w:p>
      <w:pPr>
        <w:pStyle w:val="BodyText"/>
        <w:spacing w:line="240" w:lineRule="auto" w:before="57"/>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both"/>
        <w:rPr>
          <w:rFonts w:ascii="Tahoma" w:hAnsi="Tahoma" w:cs="Tahoma" w:eastAsia="Tahoma" w:hint="default"/>
        </w:rPr>
      </w:pPr>
      <w:r>
        <w:rPr>
          <w:rFonts w:ascii="Tahoma" w:hAnsi="Tahoma" w:cs="Tahoma" w:eastAsia="Tahoma" w:hint="default"/>
        </w:rPr>
        <w:t>4</w:t>
      </w:r>
      <w:r>
        <w:rPr/>
        <w:t>、处置子公司</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pPr>
      <w:r>
        <w:rPr/>
        <w:t>是否存在单次处置对子公司投资即丧失控制权的情形</w:t>
      </w:r>
    </w:p>
    <w:p>
      <w:pPr>
        <w:pStyle w:val="BodyText"/>
        <w:spacing w:line="340" w:lineRule="auto" w:before="115"/>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both"/>
        <w:rPr>
          <w:rFonts w:ascii="Tahoma" w:hAnsi="Tahoma" w:cs="Tahoma" w:eastAsia="Tahoma" w:hint="default"/>
        </w:rPr>
      </w:pPr>
      <w:r>
        <w:rPr>
          <w:rFonts w:ascii="Tahoma" w:hAnsi="Tahoma" w:cs="Tahoma" w:eastAsia="Tahoma" w:hint="default"/>
        </w:rPr>
        <w:t>5</w:t>
      </w:r>
      <w:r>
        <w:rPr/>
        <w:t>、其他原因的合并范围变动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pPr>
      <w:r>
        <w:rPr/>
        <w:t>说明其他原因导致的合并范围变动（如，新设子公司、清算子公司等）及其相关情况：</w:t>
      </w:r>
    </w:p>
    <w:p>
      <w:pPr>
        <w:pStyle w:val="BodyText"/>
        <w:spacing w:line="300" w:lineRule="auto" w:before="117"/>
        <w:ind w:right="984"/>
        <w:jc w:val="left"/>
      </w:pPr>
      <w:r>
        <w:rPr>
          <w:spacing w:val="-2"/>
        </w:rPr>
        <w:t>（</w:t>
      </w:r>
      <w:r>
        <w:rPr>
          <w:rFonts w:ascii="Times New Roman" w:hAnsi="Times New Roman" w:cs="Times New Roman" w:eastAsia="Times New Roman" w:hint="default"/>
          <w:spacing w:val="-2"/>
        </w:rPr>
        <w:t>1</w:t>
      </w:r>
      <w:r>
        <w:rPr>
          <w:spacing w:val="-2"/>
        </w:rPr>
        <w:t>）本期公司设立西安美盈森智谷科技有限公司，于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日完成办理工商设立登记手续，并取得统一社会信用代码</w:t>
      </w:r>
      <w:r>
        <w:rPr>
          <w:spacing w:val="-62"/>
        </w:rPr>
        <w:t> </w:t>
      </w:r>
      <w:r>
        <w:rPr>
          <w:spacing w:val="-62"/>
        </w:rPr>
      </w:r>
      <w:r>
        <w:rPr/>
        <w:t>为</w:t>
      </w:r>
      <w:r>
        <w:rPr>
          <w:rFonts w:ascii="Times New Roman" w:hAnsi="Times New Roman" w:cs="Times New Roman" w:eastAsia="Times New Roman" w:hint="default"/>
        </w:rPr>
        <w:t>91610132MA6UR5P56E</w:t>
      </w:r>
      <w:r>
        <w:rPr/>
        <w:t>的企业法人营业执照；按照相应的会计编制规则，公司本期将西安美盈森纳入合并报表范围。</w:t>
      </w:r>
    </w:p>
    <w:p>
      <w:pPr>
        <w:pStyle w:val="BodyText"/>
        <w:spacing w:line="300" w:lineRule="auto" w:before="53"/>
        <w:ind w:right="1140"/>
        <w:jc w:val="both"/>
      </w:pPr>
      <w:r>
        <w:rPr/>
        <w:t>（</w:t>
      </w:r>
      <w:r>
        <w:rPr>
          <w:rFonts w:ascii="Times New Roman" w:hAnsi="Times New Roman" w:cs="Times New Roman" w:eastAsia="Times New Roman" w:hint="default"/>
        </w:rPr>
        <w:t>2</w:t>
      </w:r>
      <w:r>
        <w:rPr/>
        <w:t>）本期由公司全资子公司苏州美盈森设立苏州美盈森智谷科技有限公司，于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日完成办理工商设立登记手续， 并取得统一社会信用代码为</w:t>
      </w:r>
      <w:r>
        <w:rPr>
          <w:rFonts w:ascii="Times New Roman" w:hAnsi="Times New Roman" w:cs="Times New Roman" w:eastAsia="Times New Roman" w:hint="default"/>
        </w:rPr>
        <w:t>91320509MA1WH85UXW</w:t>
      </w:r>
      <w:r>
        <w:rPr/>
        <w:t>的企业法人营业执照；按照相应的会计编制规则，公司本期将苏州智 谷科技纳入合并报表范围。</w:t>
      </w:r>
    </w:p>
    <w:p>
      <w:pPr>
        <w:spacing w:line="240" w:lineRule="auto" w:before="7"/>
        <w:rPr>
          <w:rFonts w:ascii="宋体" w:hAnsi="宋体" w:cs="宋体" w:eastAsia="宋体" w:hint="default"/>
          <w:sz w:val="23"/>
          <w:szCs w:val="23"/>
        </w:rPr>
      </w:pPr>
    </w:p>
    <w:p>
      <w:pPr>
        <w:pStyle w:val="Heading3"/>
        <w:spacing w:line="240" w:lineRule="auto"/>
        <w:ind w:right="0"/>
        <w:jc w:val="both"/>
        <w:rPr>
          <w:rFonts w:ascii="Tahoma" w:hAnsi="Tahoma" w:cs="Tahoma" w:eastAsia="Tahoma" w:hint="default"/>
        </w:rPr>
      </w:pPr>
      <w:r>
        <w:rPr>
          <w:rFonts w:ascii="Tahoma" w:hAnsi="Tahoma" w:cs="Tahoma" w:eastAsia="Tahoma" w:hint="default"/>
        </w:rPr>
        <w:t>6</w:t>
      </w:r>
      <w:r>
        <w:rPr/>
        <w:t>、其他</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pPr>
      <w:r>
        <w:rPr/>
        <w:t>无</w:t>
      </w:r>
    </w:p>
    <w:p>
      <w:pPr>
        <w:spacing w:after="0" w:line="240" w:lineRule="auto"/>
        <w:jc w:val="both"/>
        <w:sectPr>
          <w:footerReference w:type="default" r:id="rId33"/>
          <w:pgSz w:w="11910" w:h="16840"/>
          <w:pgMar w:footer="982" w:header="753" w:top="1060" w:bottom="1180" w:left="980" w:right="0"/>
          <w:pgNumType w:start="180"/>
        </w:sectPr>
      </w:pPr>
    </w:p>
    <w:p>
      <w:pPr>
        <w:spacing w:line="240" w:lineRule="auto" w:before="8"/>
        <w:rPr>
          <w:rFonts w:ascii="宋体" w:hAnsi="宋体" w:cs="宋体" w:eastAsia="宋体" w:hint="default"/>
          <w:sz w:val="23"/>
          <w:szCs w:val="23"/>
        </w:rPr>
      </w:pPr>
    </w:p>
    <w:p>
      <w:pPr>
        <w:pStyle w:val="Heading2"/>
        <w:spacing w:line="240" w:lineRule="auto" w:before="26"/>
        <w:ind w:right="984"/>
        <w:jc w:val="left"/>
        <w:rPr>
          <w:rFonts w:ascii="Tahoma" w:hAnsi="Tahoma" w:cs="Tahoma" w:eastAsia="Tahoma" w:hint="default"/>
        </w:rPr>
      </w:pPr>
      <w:r>
        <w:rPr/>
        <w:t>九、在其他主体中的权益</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、在子公司中的权益</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）企业集团的构成</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ahoma" w:hAnsi="Tahoma" w:cs="Tahoma" w:eastAsia="Tahoma" w:hint="default"/>
                <w:sz w:val="20"/>
                <w:szCs w:val="20"/>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ahoma" w:hAnsi="Tahoma" w:cs="Tahoma" w:eastAsia="Tahoma" w:hint="default"/>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ahoma" w:hAnsi="Tahoma" w:cs="Tahoma" w:eastAsia="Tahoma" w:hint="default"/>
                <w:sz w:val="20"/>
                <w:szCs w:val="20"/>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ahoma" w:hAnsi="Tahoma" w:cs="Tahoma" w:eastAsia="Tahoma" w:hint="default"/>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ahoma" w:hAnsi="Tahoma" w:cs="Tahoma" w:eastAsia="Tahoma" w:hint="default"/>
                <w:sz w:val="20"/>
                <w:szCs w:val="20"/>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东莞市美盈森环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中山市美盈森环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广东中山市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广东中山市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苏州美盈森环保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江苏吴江市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江苏吴江市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重庆市美盈森环 保包装工程有限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中国重庆市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中国重庆市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东莞市美芯龙物 联网科技有限公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美盈森（香港） 国际控股有限公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成都市美盈森环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四川崇州市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四川崇州市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武汉市美盈森环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湖北鄂州市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湖北鄂州市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台湾美盈森有限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中国台湾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中国台湾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四川泸美供应链 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四川泸州市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四川泸州市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小美集科技有限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互联网包装印刷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美莲检测有限公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9"/>
              <w:jc w:val="left"/>
              <w:rPr>
                <w:rFonts w:ascii="宋体" w:hAnsi="宋体" w:cs="宋体" w:eastAsia="宋体" w:hint="default"/>
                <w:sz w:val="18"/>
                <w:szCs w:val="18"/>
              </w:rPr>
            </w:pPr>
            <w:r>
              <w:rPr>
                <w:rFonts w:ascii="宋体" w:hAnsi="宋体" w:cs="宋体" w:eastAsia="宋体" w:hint="default"/>
                <w:sz w:val="18"/>
                <w:szCs w:val="18"/>
              </w:rPr>
              <w:t>包装印刷行业检 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天津美盈森智谷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郑州市美盈森环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河南新郑市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河南新郑市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ahoma" w:hAnsi="Tahoma" w:cs="Tahoma" w:eastAsia="Tahoma" w:hint="default"/>
          <w:sz w:val="20"/>
          <w:szCs w:val="20"/>
        </w:rPr>
      </w:pPr>
    </w:p>
    <w:p>
      <w:pPr>
        <w:spacing w:line="240" w:lineRule="auto" w:before="11"/>
        <w:rPr>
          <w:rFonts w:ascii="Tahoma" w:hAnsi="Tahoma" w:cs="Tahoma" w:eastAsia="Tahoma" w:hint="default"/>
          <w:sz w:val="10"/>
          <w:szCs w:val="10"/>
        </w:rPr>
      </w:pPr>
    </w:p>
    <w:tbl>
      <w:tblPr>
        <w:tblW w:w="0" w:type="auto"/>
        <w:jc w:val="left"/>
        <w:tblInd w:w="147"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长沙美盈森智谷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湖南长沙市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湖南长沙市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四川宜美供应链 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四川宜宾市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四川宜宾市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东莞市美之兰环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佛山市美盈森绿 谷科技有限公司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广东佛山市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广东佛山市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中大绿谷实业股 份有限公司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农业、旅游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湖南美盈森实业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湖南岳阳市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湖南岳阳市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92.31%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安徽美盈森智谷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安徽六安市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安徽六安市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89.98%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MYS Global</w:t>
            </w:r>
            <w:r>
              <w:rPr>
                <w:rFonts w:ascii="Times New Roman"/>
                <w:spacing w:val="-1"/>
                <w:sz w:val="18"/>
              </w:rPr>
              <w:t> </w:t>
            </w:r>
            <w:r>
              <w:rPr>
                <w:rFonts w:ascii="Times New Roman"/>
                <w:sz w:val="18"/>
              </w:rPr>
              <w:t>Inc.</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美国加州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美国加州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西安美盈森智谷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陕西西安市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陕西西安市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291"/>
              <w:jc w:val="left"/>
              <w:rPr>
                <w:rFonts w:ascii="Times New Roman" w:hAnsi="Times New Roman" w:cs="Times New Roman" w:eastAsia="Times New Roman" w:hint="default"/>
                <w:sz w:val="18"/>
                <w:szCs w:val="18"/>
              </w:rPr>
            </w:pPr>
            <w:r>
              <w:rPr>
                <w:rFonts w:ascii="Times New Roman"/>
                <w:sz w:val="18"/>
              </w:rPr>
              <w:t>MYS</w:t>
            </w:r>
            <w:r>
              <w:rPr>
                <w:rFonts w:ascii="Times New Roman"/>
                <w:spacing w:val="-4"/>
                <w:sz w:val="18"/>
              </w:rPr>
              <w:t> </w:t>
            </w:r>
            <w:r>
              <w:rPr>
                <w:rFonts w:ascii="Times New Roman"/>
                <w:sz w:val="18"/>
              </w:rPr>
              <w:t>GROUP</w:t>
            </w:r>
            <w:r>
              <w:rPr>
                <w:rFonts w:ascii="Times New Roman"/>
                <w:w w:val="99"/>
                <w:sz w:val="18"/>
              </w:rPr>
              <w:t> </w:t>
            </w:r>
            <w:r>
              <w:rPr>
                <w:rFonts w:ascii="Times New Roman"/>
                <w:sz w:val="18"/>
              </w:rPr>
              <w:t>(VIETNAM)</w:t>
            </w:r>
            <w:r>
              <w:rPr>
                <w:rFonts w:ascii="Times New Roman"/>
                <w:w w:val="99"/>
                <w:sz w:val="18"/>
              </w:rPr>
              <w:t> </w:t>
            </w:r>
            <w:r>
              <w:rPr>
                <w:rFonts w:ascii="Times New Roman"/>
                <w:spacing w:val="-3"/>
                <w:sz w:val="18"/>
              </w:rPr>
              <w:t>COMPANY</w:t>
            </w:r>
            <w:r>
              <w:rPr>
                <w:rFonts w:ascii="Times New Roman"/>
                <w:spacing w:val="-42"/>
                <w:sz w:val="18"/>
              </w:rPr>
              <w:t> </w:t>
            </w:r>
            <w:r>
              <w:rPr>
                <w:rFonts w:ascii="Times New Roman"/>
                <w:spacing w:val="-42"/>
                <w:sz w:val="18"/>
              </w:rPr>
            </w:r>
            <w:r>
              <w:rPr>
                <w:rFonts w:ascii="Times New Roman"/>
                <w:sz w:val="18"/>
              </w:rPr>
              <w:t>LIMITED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314" w:lineRule="auto" w:before="146"/>
              <w:ind w:left="24" w:right="72"/>
              <w:jc w:val="left"/>
              <w:rPr>
                <w:rFonts w:ascii="宋体" w:hAnsi="宋体" w:cs="宋体" w:eastAsia="宋体" w:hint="default"/>
                <w:sz w:val="18"/>
                <w:szCs w:val="18"/>
              </w:rPr>
            </w:pPr>
            <w:r>
              <w:rPr>
                <w:rFonts w:ascii="宋体" w:hAnsi="宋体" w:cs="宋体" w:eastAsia="宋体" w:hint="default"/>
                <w:sz w:val="18"/>
                <w:szCs w:val="18"/>
              </w:rPr>
              <w:t>越南北宁省北宁 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314" w:lineRule="auto" w:before="146"/>
              <w:ind w:left="24" w:right="69"/>
              <w:jc w:val="left"/>
              <w:rPr>
                <w:rFonts w:ascii="宋体" w:hAnsi="宋体" w:cs="宋体" w:eastAsia="宋体" w:hint="default"/>
                <w:sz w:val="18"/>
                <w:szCs w:val="18"/>
              </w:rPr>
            </w:pPr>
            <w:r>
              <w:rPr>
                <w:rFonts w:ascii="宋体" w:hAnsi="宋体" w:cs="宋体" w:eastAsia="宋体" w:hint="default"/>
                <w:sz w:val="18"/>
                <w:szCs w:val="18"/>
              </w:rPr>
              <w:t>越南北宁省北宁 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0"/>
              <w:ind w:right="0"/>
              <w:jc w:val="left"/>
              <w:rPr>
                <w:rFonts w:ascii="Tahoma" w:hAnsi="Tahoma" w:cs="Tahoma" w:eastAsia="Tahoma"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0"/>
              <w:ind w:right="0"/>
              <w:jc w:val="left"/>
              <w:rPr>
                <w:rFonts w:ascii="Tahoma" w:hAnsi="Tahoma" w:cs="Tahoma" w:eastAsia="Tahoma"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深圳市汇天云网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9"/>
              <w:jc w:val="left"/>
              <w:rPr>
                <w:rFonts w:ascii="宋体" w:hAnsi="宋体" w:cs="宋体" w:eastAsia="宋体" w:hint="default"/>
                <w:sz w:val="18"/>
                <w:szCs w:val="18"/>
              </w:rPr>
            </w:pPr>
            <w:r>
              <w:rPr>
                <w:rFonts w:ascii="宋体" w:hAnsi="宋体" w:cs="宋体" w:eastAsia="宋体" w:hint="default"/>
                <w:sz w:val="18"/>
                <w:szCs w:val="18"/>
              </w:rPr>
              <w:t>互联网包装及文 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both"/>
              <w:rPr>
                <w:rFonts w:ascii="宋体" w:hAnsi="宋体" w:cs="宋体" w:eastAsia="宋体" w:hint="default"/>
                <w:sz w:val="18"/>
                <w:szCs w:val="18"/>
              </w:rPr>
            </w:pPr>
            <w:r>
              <w:rPr>
                <w:rFonts w:ascii="宋体" w:hAnsi="宋体" w:cs="宋体" w:eastAsia="宋体" w:hint="default"/>
                <w:sz w:val="18"/>
                <w:szCs w:val="18"/>
              </w:rPr>
              <w:t>美盈森智谷（苏 州）包装技术有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6"/>
              <w:ind w:left="24" w:right="0"/>
              <w:jc w:val="left"/>
              <w:rPr>
                <w:rFonts w:ascii="宋体" w:hAnsi="宋体" w:cs="宋体" w:eastAsia="宋体" w:hint="default"/>
                <w:sz w:val="18"/>
                <w:szCs w:val="18"/>
              </w:rPr>
            </w:pPr>
            <w:r>
              <w:rPr>
                <w:rFonts w:ascii="宋体" w:hAnsi="宋体" w:cs="宋体" w:eastAsia="宋体" w:hint="default"/>
                <w:sz w:val="18"/>
                <w:szCs w:val="18"/>
              </w:rPr>
              <w:t>江苏吴江市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6"/>
              <w:ind w:left="24" w:right="0"/>
              <w:jc w:val="left"/>
              <w:rPr>
                <w:rFonts w:ascii="宋体" w:hAnsi="宋体" w:cs="宋体" w:eastAsia="宋体" w:hint="default"/>
                <w:sz w:val="18"/>
                <w:szCs w:val="18"/>
              </w:rPr>
            </w:pPr>
            <w:r>
              <w:rPr>
                <w:rFonts w:ascii="宋体" w:hAnsi="宋体" w:cs="宋体" w:eastAsia="宋体" w:hint="default"/>
                <w:sz w:val="18"/>
                <w:szCs w:val="18"/>
              </w:rPr>
              <w:t>江苏吴江市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6"/>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7"/>
              <w:ind w:right="0"/>
              <w:jc w:val="left"/>
              <w:rPr>
                <w:rFonts w:ascii="Tahoma" w:hAnsi="Tahoma" w:cs="Tahoma" w:eastAsia="Tahoma"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江苏美彩供应链 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江苏宿迁市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江苏宿迁市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苏州美盈森智谷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江苏吴江市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江苏吴江市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深圳市金之彩文 化创意有限公司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pStyle w:val="BodyText"/>
        <w:spacing w:line="357" w:lineRule="auto" w:before="49"/>
        <w:ind w:right="6974"/>
        <w:jc w:val="left"/>
      </w:pPr>
      <w:r>
        <w:rPr/>
        <w:t>在子公司的持股比例不同于表决权比例的说明： 无</w:t>
      </w:r>
    </w:p>
    <w:p>
      <w:pPr>
        <w:pStyle w:val="BodyText"/>
        <w:spacing w:line="357" w:lineRule="auto" w:before="29"/>
        <w:ind w:right="2834"/>
        <w:jc w:val="left"/>
      </w:pPr>
      <w:r>
        <w:rPr/>
        <w:t>持有半数或以下表决权但仍控制被投资单位、以及持有半数以上表决权但不控制被投资单位的依据： 无</w:t>
      </w:r>
    </w:p>
    <w:p>
      <w:pPr>
        <w:pStyle w:val="BodyText"/>
        <w:spacing w:line="360" w:lineRule="auto" w:before="29"/>
        <w:ind w:right="6434"/>
        <w:jc w:val="left"/>
      </w:pPr>
      <w:r>
        <w:rPr/>
        <w:t>对于纳入合并范围的重要的结构化主体，控制的依据： 无</w:t>
      </w:r>
    </w:p>
    <w:p>
      <w:pPr>
        <w:pStyle w:val="BodyText"/>
        <w:spacing w:line="240" w:lineRule="auto" w:before="27"/>
        <w:ind w:right="984"/>
        <w:jc w:val="left"/>
      </w:pPr>
      <w:r>
        <w:rPr/>
        <w:t>确定公司是代理人还是委托人的依据：</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57" w:lineRule="auto" w:before="37"/>
        <w:ind w:right="9854"/>
        <w:jc w:val="left"/>
      </w:pPr>
      <w:r>
        <w:rPr/>
        <w:t>无 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）重要的非全资子公司</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6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深圳市金之彩文化创意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5" w:right="0"/>
              <w:jc w:val="left"/>
              <w:rPr>
                <w:rFonts w:ascii="Times New Roman" w:hAnsi="Times New Roman" w:cs="Times New Roman" w:eastAsia="Times New Roman" w:hint="default"/>
                <w:sz w:val="18"/>
                <w:szCs w:val="18"/>
              </w:rPr>
            </w:pPr>
            <w:r>
              <w:rPr>
                <w:rFonts w:ascii="Times New Roman"/>
                <w:sz w:val="18"/>
              </w:rPr>
              <w:t>-9,474,631.96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38,544,864.84</w:t>
            </w:r>
          </w:p>
        </w:tc>
      </w:tr>
    </w:tbl>
    <w:p>
      <w:pPr>
        <w:pStyle w:val="BodyText"/>
        <w:spacing w:line="357" w:lineRule="auto" w:before="49"/>
        <w:ind w:right="6434"/>
        <w:jc w:val="left"/>
      </w:pPr>
      <w:r>
        <w:rPr/>
        <w:t>子公司少数股东的持股比例不同于表决权比例的说明： 无</w:t>
      </w:r>
    </w:p>
    <w:p>
      <w:pPr>
        <w:pStyle w:val="BodyText"/>
        <w:spacing w:line="357" w:lineRule="auto" w:before="2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3</w:t>
      </w:r>
      <w:r>
        <w:rPr/>
        <w:t>）重要非全资子公司的主要财务信息</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402" w:hRule="exact"/>
        </w:trPr>
        <w:tc>
          <w:tcPr>
            <w:tcW w:w="7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64"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5"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161"/>
              <w:jc w:val="both"/>
              <w:rPr>
                <w:rFonts w:ascii="宋体" w:hAnsi="宋体" w:cs="宋体" w:eastAsia="宋体" w:hint="default"/>
                <w:sz w:val="18"/>
                <w:szCs w:val="18"/>
              </w:rPr>
            </w:pPr>
            <w:r>
              <w:rPr>
                <w:rFonts w:ascii="宋体" w:hAnsi="宋体" w:cs="宋体" w:eastAsia="宋体" w:hint="default"/>
                <w:sz w:val="18"/>
                <w:szCs w:val="18"/>
              </w:rPr>
              <w:t>金之彩 文化创 意有限</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111,278,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889.78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68,886,3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12.86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180,165,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202.64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45,615,0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79.46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3,020,00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48,635,0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79.46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143,879,</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657.71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78,428,2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46.10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222,307,</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903.81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55,975,6</w:t>
            </w:r>
          </w:p>
          <w:p>
            <w:pPr>
              <w:pStyle w:val="TableParagraph"/>
              <w:spacing w:line="240" w:lineRule="auto" w:before="102"/>
              <w:ind w:left="307" w:right="0"/>
              <w:jc w:val="left"/>
              <w:rPr>
                <w:rFonts w:ascii="Times New Roman" w:hAnsi="Times New Roman" w:cs="Times New Roman" w:eastAsia="Times New Roman" w:hint="default"/>
                <w:sz w:val="18"/>
                <w:szCs w:val="18"/>
              </w:rPr>
            </w:pPr>
            <w:r>
              <w:rPr>
                <w:rFonts w:ascii="Times New Roman"/>
                <w:sz w:val="18"/>
              </w:rPr>
              <w:t>74.11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3,220,00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59,195,6</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74.11</w:t>
            </w:r>
          </w:p>
        </w:tc>
      </w:tr>
      <w:tr>
        <w:trPr>
          <w:trHeight w:val="352"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深圳市金之 彩文化创意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163,514,811.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-31,582,106.5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-31,582,106.5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-5,574,197.52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177,402,677.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1,993,925.45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1,993,925.45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5,664,512.74</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4</w:t>
      </w:r>
      <w:r>
        <w:rPr/>
        <w:t>）使用企业集团资产和清偿企业集团债务的重大限制</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after="0" w:line="240" w:lineRule="auto"/>
        <w:jc w:val="left"/>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5</w:t>
      </w:r>
      <w:r>
        <w:rPr/>
        <w:t>）向纳入合并财务报表范围的结构化主体提供的财务支持或其他支持</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57" w:lineRule="auto"/>
        <w:ind w:right="9854"/>
        <w:jc w:val="left"/>
      </w:pPr>
      <w:r>
        <w:rPr/>
        <w:t>无 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w:t>
      </w:r>
      <w:r>
        <w:rPr/>
        <w:t>、在子公司的所有者权益份额发生变化且仍控制子公司的交易</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）在子公司所有者权益份额发生变化的情况说明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t>（</w:t>
      </w:r>
      <w:r>
        <w:rPr>
          <w:rFonts w:ascii="Tahoma" w:hAnsi="Tahoma" w:cs="Tahoma" w:eastAsia="Tahoma" w:hint="default"/>
        </w:rPr>
        <w:t>2</w:t>
      </w:r>
      <w:r>
        <w:rPr/>
        <w:t>）交易对于少数股东权益及归属于母公司所有者权益的影响</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15pt;mso-position-horizontal-relative:char;mso-position-vertical-relative:line" coordorigin="0,0" coordsize="9584,423">
            <v:group style="position:absolute;left:17;top:14;width:4774;height:394" coordorigin="17,14" coordsize="4774,394">
              <v:shape style="position:absolute;left:17;top:14;width:4774;height:394" coordorigin="17,14" coordsize="4774,394" path="m17,14l4790,14,4790,408,17,408,17,14xe" filled="true" fillcolor="#d3d3d3" stroked="false">
                <v:path arrowok="t"/>
                <v:fill type="solid"/>
              </v:shape>
            </v:group>
            <v:group style="position:absolute;left:4800;top:14;width:4774;height:394" coordorigin="4800,14" coordsize="4774,394">
              <v:shape style="position:absolute;left:4800;top:14;width:4774;height:394" coordorigin="4800,14" coordsize="4774,394" path="m4800,14l9574,14,9574,408,4800,408,4800,14xe" filled="true" fillcolor="#e1ffff"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80011pt" strokecolor="#000000">
                <v:path arrowok="t"/>
              </v:shape>
            </v:group>
            <v:group style="position:absolute;left:10;top:14;width:2;height:404" coordorigin="10,14" coordsize="2,404">
              <v:shape style="position:absolute;left:10;top:14;width:2;height:404" coordorigin="10,14" coordsize="0,404" path="m10,14l10,418e" filled="false" stroked="true" strokeweight=".479999pt" strokecolor="#000000">
                <v:path arrowok="t"/>
              </v:shape>
            </v:group>
            <v:group style="position:absolute;left:5;top:413;width:4784;height:2" coordorigin="5,413" coordsize="4784,2">
              <v:shape style="position:absolute;left:5;top:413;width:4784;height:2" coordorigin="5,413" coordsize="4784,0" path="m5,413l4788,413e" filled="false" stroked="true" strokeweight=".480011pt" strokecolor="#000000">
                <v:path arrowok="t"/>
              </v:shape>
            </v:group>
            <v:group style="position:absolute;left:4793;top:14;width:2;height:404" coordorigin="4793,14" coordsize="2,404">
              <v:shape style="position:absolute;left:4793;top:14;width:2;height:404" coordorigin="4793,14" coordsize="0,404" path="m4793,14l4793,418e" filled="false" stroked="true" strokeweight=".48001pt" strokecolor="#000000">
                <v:path arrowok="t"/>
              </v:shape>
            </v:group>
            <v:group style="position:absolute;left:4798;top:413;width:4776;height:2" coordorigin="4798,413" coordsize="4776,2">
              <v:shape style="position:absolute;left:4798;top:413;width:4776;height:2" coordorigin="4798,413" coordsize="4776,0" path="m4798,413l9574,413e" filled="false" stroked="true" strokeweight=".480011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80011pt" strokecolor="#000000">
                <v:path arrowok="t"/>
              </v:shape>
            </v:group>
          </v:group>
        </w:pict>
      </w:r>
      <w:r>
        <w:rPr>
          <w:rFonts w:ascii="宋体" w:hAnsi="宋体" w:cs="宋体" w:eastAsia="宋体" w:hint="default"/>
          <w:position w:val="-7"/>
          <w:sz w:val="20"/>
          <w:szCs w:val="20"/>
        </w:rPr>
      </w:r>
    </w:p>
    <w:p>
      <w:pPr>
        <w:pStyle w:val="BodyText"/>
        <w:spacing w:line="357" w:lineRule="auto" w:before="44"/>
        <w:ind w:right="1003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w:t>
      </w:r>
      <w:r>
        <w:rPr/>
        <w:t>、在合营安排或联营企业中的权益</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）重要的合营企业或联营企业</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69"/>
        <w:gridCol w:w="1368"/>
        <w:gridCol w:w="1366"/>
        <w:gridCol w:w="1368"/>
        <w:gridCol w:w="1368"/>
        <w:gridCol w:w="1366"/>
        <w:gridCol w:w="1366"/>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8" w:right="45"/>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5894"/>
        <w:jc w:val="left"/>
      </w:pPr>
      <w:r>
        <w:rPr/>
        <w:t>在合营企业或联营企业的持股比例不同于表决权比例的说明： 无</w:t>
      </w:r>
    </w:p>
    <w:p>
      <w:pPr>
        <w:pStyle w:val="BodyText"/>
        <w:spacing w:line="338" w:lineRule="auto" w:before="27"/>
        <w:ind w:right="3349"/>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8"/>
        </w:rPr>
        <w:t> </w:t>
      </w:r>
      <w:r>
        <w:rPr>
          <w:rFonts w:ascii="Times New Roman" w:hAnsi="Times New Roman" w:cs="Times New Roman" w:eastAsia="Times New Roman" w:hint="default"/>
        </w:rPr>
        <w:t>20%</w:t>
      </w:r>
      <w:r>
        <w:rPr/>
        <w:t>或以上表决权但不具有重大影响的依据： 无</w:t>
      </w:r>
    </w:p>
    <w:p>
      <w:pPr>
        <w:spacing w:line="240" w:lineRule="auto" w:before="7"/>
        <w:rPr>
          <w:rFonts w:ascii="宋体" w:hAnsi="宋体" w:cs="宋体" w:eastAsia="宋体" w:hint="default"/>
          <w:sz w:val="21"/>
          <w:szCs w:val="21"/>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）重要合营企业的主要财务信息</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2"/>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pStyle w:val="BodyText"/>
        <w:spacing w:line="360" w:lineRule="auto" w:before="49"/>
        <w:ind w:right="10034"/>
        <w:jc w:val="left"/>
      </w:pPr>
      <w:r>
        <w:rPr/>
        <w:t>其他说明 无</w:t>
      </w:r>
    </w:p>
    <w:p>
      <w:pPr>
        <w:spacing w:after="0" w:line="360" w:lineRule="auto"/>
        <w:jc w:val="left"/>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3</w:t>
      </w:r>
      <w:r>
        <w:rPr/>
        <w:t>）重要联营企业的主要财务信息</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2"/>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pStyle w:val="BodyText"/>
        <w:spacing w:line="360" w:lineRule="auto" w:before="49"/>
        <w:ind w:right="1003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4</w:t>
      </w:r>
      <w:r>
        <w:rPr/>
        <w:t>）不重要的合营企业和联营企业的汇总财务信息</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1003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5</w:t>
      </w:r>
      <w:r>
        <w:rPr/>
        <w:t>）合营企业或联营企业向本公司转移资金的能力存在重大限制的说明</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t>（</w:t>
      </w:r>
      <w:r>
        <w:rPr>
          <w:rFonts w:ascii="Tahoma" w:hAnsi="Tahoma" w:cs="Tahoma" w:eastAsia="Tahoma" w:hint="default"/>
        </w:rPr>
        <w:t>6</w:t>
      </w:r>
      <w:r>
        <w:rPr/>
        <w:t>）合营企业或联营企业发生的超额亏损</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0"/>
        <w:gridCol w:w="2395"/>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1003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7</w:t>
      </w:r>
      <w:r>
        <w:rPr/>
        <w:t>）与合营企业投资相关的未确认承诺</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t>（</w:t>
      </w:r>
      <w:r>
        <w:rPr>
          <w:rFonts w:ascii="Tahoma" w:hAnsi="Tahoma" w:cs="Tahoma" w:eastAsia="Tahoma" w:hint="default"/>
        </w:rPr>
        <w:t>8</w:t>
      </w:r>
      <w:r>
        <w:rPr/>
        <w:t>）与合营企业或联营企业投资相关的或有负债</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t>无</w:t>
      </w:r>
    </w:p>
    <w:p>
      <w:pPr>
        <w:spacing w:after="0" w:line="240" w:lineRule="auto"/>
        <w:jc w:val="left"/>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4</w:t>
      </w:r>
      <w:r>
        <w:rPr/>
        <w:t>、重要的共同经营</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ahoma" w:hAnsi="Tahoma" w:cs="Tahoma" w:eastAsia="Tahoma" w:hint="default"/>
                <w:sz w:val="20"/>
                <w:szCs w:val="20"/>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ahoma" w:hAnsi="Tahoma" w:cs="Tahoma" w:eastAsia="Tahoma" w:hint="default"/>
                <w:sz w:val="20"/>
                <w:szCs w:val="20"/>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ahoma" w:hAnsi="Tahoma" w:cs="Tahoma" w:eastAsia="Tahoma" w:hint="default"/>
                <w:sz w:val="20"/>
                <w:szCs w:val="20"/>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ahoma" w:hAnsi="Tahoma" w:cs="Tahoma" w:eastAsia="Tahoma" w:hint="default"/>
                <w:sz w:val="20"/>
                <w:szCs w:val="20"/>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5534"/>
        <w:jc w:val="left"/>
      </w:pPr>
      <w:r>
        <w:rPr/>
        <w:t>在共同经营中的持股比例或享有的份额不同于表决权比例的说明： 无</w:t>
      </w:r>
    </w:p>
    <w:p>
      <w:pPr>
        <w:pStyle w:val="BodyText"/>
        <w:spacing w:line="357" w:lineRule="auto" w:before="27"/>
        <w:ind w:right="6794"/>
        <w:jc w:val="left"/>
      </w:pPr>
      <w:r>
        <w:rPr/>
        <w:t>共同经营为单独主体的，分类为共同经营的依据： 无</w:t>
      </w:r>
    </w:p>
    <w:p>
      <w:pPr>
        <w:pStyle w:val="BodyText"/>
        <w:spacing w:line="357" w:lineRule="auto" w:before="29"/>
        <w:ind w:right="1003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5</w:t>
      </w:r>
      <w:r>
        <w:rPr/>
        <w:t>、在未纳入合并财务报表范围的结构化主体中的权益</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57" w:lineRule="auto"/>
        <w:ind w:right="6614"/>
        <w:jc w:val="left"/>
      </w:pPr>
      <w:r>
        <w:rPr/>
        <w:t>未纳入合并财务报表范围的结构化主体的相关说明：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6</w:t>
      </w:r>
      <w:r>
        <w:rPr/>
        <w:t>、其他</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line="240" w:lineRule="auto" w:before="3"/>
        <w:rPr>
          <w:rFonts w:ascii="宋体" w:hAnsi="宋体" w:cs="宋体" w:eastAsia="宋体" w:hint="default"/>
          <w:sz w:val="25"/>
          <w:szCs w:val="25"/>
        </w:rPr>
      </w:pPr>
    </w:p>
    <w:p>
      <w:pPr>
        <w:pStyle w:val="Heading2"/>
        <w:spacing w:line="240" w:lineRule="auto"/>
        <w:ind w:right="984"/>
        <w:jc w:val="left"/>
        <w:rPr>
          <w:rFonts w:ascii="Tahoma" w:hAnsi="Tahoma" w:cs="Tahoma" w:eastAsia="Tahoma" w:hint="default"/>
        </w:rPr>
      </w:pPr>
      <w:r>
        <w:rPr/>
        <w:t>十、与金融工具相关的风险</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30"/>
        <w:jc w:val="both"/>
      </w:pPr>
      <w:r>
        <w:rPr>
          <w:spacing w:val="-2"/>
        </w:rPr>
        <w:t>本公司的主要金融工具包括股权投资、应收账款、应付账款等，各项金融工具的详细情况已于相关附注内披露。与这些金融</w:t>
      </w:r>
      <w:r>
        <w:rPr>
          <w:spacing w:val="-65"/>
        </w:rPr>
        <w:t> </w:t>
      </w:r>
      <w:r>
        <w:rPr>
          <w:spacing w:val="-65"/>
        </w:rPr>
      </w:r>
      <w:r>
        <w:rPr>
          <w:spacing w:val="-2"/>
        </w:rPr>
        <w:t>工具有关的风险，以及本公司为降低这些风险所采取的风险管理政策如下所述。本公司管理层对这些风险敞口进行管理和监</w:t>
      </w:r>
      <w:r>
        <w:rPr>
          <w:spacing w:val="-64"/>
        </w:rPr>
        <w:t> </w:t>
      </w:r>
      <w:r>
        <w:rPr>
          <w:spacing w:val="-64"/>
        </w:rPr>
      </w:r>
      <w:r>
        <w:rPr/>
        <w:t>控以确保将上述风险控制在限定的范围之内。</w:t>
      </w:r>
    </w:p>
    <w:p>
      <w:pPr>
        <w:pStyle w:val="BodyText"/>
        <w:spacing w:line="316" w:lineRule="auto" w:before="59"/>
        <w:ind w:right="1132" w:firstLine="288"/>
        <w:jc w:val="both"/>
      </w:pPr>
      <w:r>
        <w:rPr>
          <w:spacing w:val="-1"/>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pStyle w:val="BodyText"/>
        <w:spacing w:line="357" w:lineRule="auto" w:before="59"/>
        <w:ind w:left="512" w:right="984" w:hanging="72"/>
        <w:jc w:val="left"/>
      </w:pPr>
      <w:r>
        <w:rPr/>
        <w:t>（一）风险管理目标和政策 本公司从事风险管理的目标是在风险和收益之间取得适当的平衡，将风险对本公司经营业绩的负面影响降低到最低水</w:t>
      </w:r>
    </w:p>
    <w:p>
      <w:pPr>
        <w:pStyle w:val="BodyText"/>
        <w:spacing w:line="224" w:lineRule="exact"/>
        <w:ind w:right="984"/>
        <w:jc w:val="left"/>
      </w:pPr>
      <w:r>
        <w:rPr/>
        <w:t>平，使股东及其其他权益投资者的利益最大化。基于该风险管理目标，本公司风险管理的基本策略是确定和分析本公司所面</w:t>
      </w:r>
    </w:p>
    <w:p>
      <w:pPr>
        <w:pStyle w:val="BodyText"/>
        <w:spacing w:line="316" w:lineRule="auto" w:before="76"/>
        <w:ind w:right="984"/>
        <w:jc w:val="left"/>
        <w:rPr>
          <w:rFonts w:ascii="Tahoma" w:hAnsi="Tahoma" w:cs="Tahoma" w:eastAsia="Tahoma" w:hint="default"/>
        </w:rPr>
      </w:pPr>
      <w:r>
        <w:rPr>
          <w:spacing w:val="-2"/>
        </w:rPr>
        <w:t>临的各种风险，建立适当的风险承受底线和进行风险管理，并及时可靠地对各种风险进行监督，将风险控制在限定的范围之</w:t>
      </w:r>
      <w:r>
        <w:rPr>
          <w:spacing w:val="-62"/>
        </w:rPr>
        <w:t> </w:t>
      </w:r>
      <w:r>
        <w:rPr>
          <w:spacing w:val="-62"/>
        </w:rPr>
      </w:r>
      <w:r>
        <w:rPr/>
        <w:t>内。</w:t>
      </w:r>
      <w:r>
        <w:rPr>
          <w:rFonts w:ascii="Tahoma" w:hAnsi="Tahoma" w:cs="Tahoma" w:eastAsia="Tahoma" w:hint="default"/>
          <w:w w:val="80"/>
        </w:rPr>
        <w:t> </w:t>
      </w:r>
      <w:r>
        <w:rPr>
          <w:rFonts w:ascii="Tahoma" w:hAnsi="Tahoma" w:cs="Tahoma" w:eastAsia="Tahoma" w:hint="default"/>
        </w:rPr>
      </w:r>
    </w:p>
    <w:p>
      <w:pPr>
        <w:pStyle w:val="BodyText"/>
        <w:spacing w:line="240" w:lineRule="auto" w:before="59"/>
        <w:ind w:left="440" w:right="984"/>
        <w:jc w:val="left"/>
        <w:rPr>
          <w:rFonts w:ascii="Tahoma" w:hAnsi="Tahoma" w:cs="Tahoma" w:eastAsia="Tahoma" w:hint="default"/>
        </w:rPr>
      </w:pPr>
      <w:r>
        <w:rPr>
          <w:rFonts w:ascii="Times New Roman" w:hAnsi="Times New Roman" w:cs="Times New Roman" w:eastAsia="Times New Roman" w:hint="default"/>
        </w:rPr>
        <w:t>1.</w:t>
      </w:r>
      <w:r>
        <w:rPr/>
        <w:t>市场风险</w:t>
      </w:r>
      <w:r>
        <w:rPr>
          <w:rFonts w:ascii="Tahoma" w:hAnsi="Tahoma" w:cs="Tahoma" w:eastAsia="Tahoma" w:hint="default"/>
          <w:w w:val="80"/>
        </w:rPr>
        <w:t> </w:t>
      </w:r>
      <w:r>
        <w:rPr>
          <w:rFonts w:ascii="Tahoma" w:hAnsi="Tahoma" w:cs="Tahoma" w:eastAsia="Tahoma" w:hint="default"/>
        </w:rPr>
      </w:r>
    </w:p>
    <w:p>
      <w:pPr>
        <w:pStyle w:val="BodyText"/>
        <w:spacing w:line="338" w:lineRule="auto" w:before="103"/>
        <w:ind w:left="440" w:right="984"/>
        <w:jc w:val="left"/>
      </w:pPr>
      <w:r>
        <w:rPr/>
        <w:t>（</w:t>
      </w:r>
      <w:r>
        <w:rPr>
          <w:rFonts w:ascii="Times New Roman" w:hAnsi="Times New Roman" w:cs="Times New Roman" w:eastAsia="Times New Roman" w:hint="default"/>
        </w:rPr>
        <w:t>1</w:t>
      </w:r>
      <w:r>
        <w:rPr/>
        <w:t>）外汇风险</w:t>
      </w:r>
      <w:r>
        <w:rPr>
          <w:rFonts w:ascii="Tahoma" w:hAnsi="Tahoma" w:cs="Tahoma" w:eastAsia="Tahoma" w:hint="default"/>
          <w:w w:val="80"/>
        </w:rPr>
        <w:t> </w:t>
      </w:r>
      <w:r>
        <w:rPr>
          <w:spacing w:val="-1"/>
        </w:rPr>
        <w:t>外汇风险指因汇率变动产生损失的风险。本公司承受外汇风险主要与港币、美元、台币、越南盾及欧元有关，除本公司</w:t>
      </w:r>
    </w:p>
    <w:p>
      <w:pPr>
        <w:pStyle w:val="BodyText"/>
        <w:spacing w:line="300" w:lineRule="auto" w:before="2"/>
        <w:ind w:right="1034"/>
        <w:jc w:val="left"/>
        <w:rPr>
          <w:rFonts w:ascii="Tahoma" w:hAnsi="Tahoma" w:cs="Tahoma" w:eastAsia="Tahoma" w:hint="default"/>
        </w:rPr>
      </w:pPr>
      <w:r>
        <w:rPr>
          <w:spacing w:val="-2"/>
        </w:rPr>
        <w:t>及几个下属子公司以港币、台币、美元、越南盾进行采购与销售外，本公司的其他主要业务活动以人民币计价结算。于</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日，除下表所述资产或负债为美元、港币、新台币、越南盾及欧元余额外，本公司的资产及负债均为人民币余额。 该等外币余额的资产和负债产生的外汇风险可能对本公司的经营业绩产生影响。</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994"/>
        <w:gridCol w:w="3125"/>
        <w:gridCol w:w="2736"/>
      </w:tblGrid>
      <w:tr>
        <w:trPr>
          <w:trHeight w:val="348"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1"/>
                <w:sz w:val="20"/>
                <w:szCs w:val="20"/>
              </w:rPr>
              <w:t> </w:t>
            </w:r>
            <w:r>
              <w:rPr>
                <w:rFonts w:ascii="宋体" w:hAnsi="宋体" w:cs="宋体" w:eastAsia="宋体" w:hint="default"/>
                <w:sz w:val="20"/>
                <w:szCs w:val="20"/>
              </w:rPr>
              <w:t>目</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48"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现金及现金等价物</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856" w:right="0"/>
              <w:jc w:val="left"/>
              <w:rPr>
                <w:rFonts w:ascii="Times New Roman" w:hAnsi="Times New Roman" w:cs="Times New Roman" w:eastAsia="Times New Roman" w:hint="default"/>
                <w:sz w:val="20"/>
                <w:szCs w:val="20"/>
              </w:rPr>
            </w:pPr>
            <w:r>
              <w:rPr>
                <w:rFonts w:ascii="Times New Roman"/>
                <w:sz w:val="20"/>
              </w:rPr>
              <w:t>209,670,948.74</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468" w:right="0"/>
              <w:jc w:val="left"/>
              <w:rPr>
                <w:rFonts w:ascii="Times New Roman" w:hAnsi="Times New Roman" w:cs="Times New Roman" w:eastAsia="Times New Roman" w:hint="default"/>
                <w:sz w:val="20"/>
                <w:szCs w:val="20"/>
              </w:rPr>
            </w:pPr>
            <w:r>
              <w:rPr>
                <w:rFonts w:ascii="Times New Roman"/>
                <w:sz w:val="20"/>
              </w:rPr>
              <w:t>231,551,713.63</w:t>
            </w:r>
          </w:p>
        </w:tc>
      </w:tr>
    </w:tbl>
    <w:p>
      <w:pPr>
        <w:spacing w:after="0" w:line="240" w:lineRule="auto"/>
        <w:jc w:val="left"/>
        <w:rPr>
          <w:rFonts w:ascii="Times New Roman" w:hAnsi="Times New Roman" w:cs="Times New Roman" w:eastAsia="Times New Roman" w:hint="default"/>
          <w:sz w:val="20"/>
          <w:szCs w:val="20"/>
        </w:rPr>
        <w:sectPr>
          <w:pgSz w:w="11910" w:h="16840"/>
          <w:pgMar w:header="753" w:footer="982" w:top="1060" w:bottom="1180" w:left="980" w:right="0"/>
        </w:sectPr>
      </w:pPr>
    </w:p>
    <w:p>
      <w:pPr>
        <w:spacing w:line="240" w:lineRule="auto" w:before="0"/>
        <w:rPr>
          <w:rFonts w:ascii="Tahoma" w:hAnsi="Tahoma" w:cs="Tahoma" w:eastAsia="Tahoma" w:hint="default"/>
          <w:sz w:val="20"/>
          <w:szCs w:val="20"/>
        </w:rPr>
      </w:pPr>
    </w:p>
    <w:p>
      <w:pPr>
        <w:spacing w:line="240" w:lineRule="auto" w:before="11"/>
        <w:rPr>
          <w:rFonts w:ascii="Tahoma" w:hAnsi="Tahoma" w:cs="Tahoma" w:eastAsia="Tahoma"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3994"/>
        <w:gridCol w:w="3125"/>
        <w:gridCol w:w="2736"/>
      </w:tblGrid>
      <w:tr>
        <w:trPr>
          <w:trHeight w:val="348"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398,331,140.66</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335,712,472.85</w:t>
            </w:r>
          </w:p>
        </w:tc>
      </w:tr>
      <w:tr>
        <w:trPr>
          <w:trHeight w:val="346"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25,222,804.83</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39,115,361.07</w:t>
            </w:r>
          </w:p>
        </w:tc>
      </w:tr>
    </w:tbl>
    <w:p>
      <w:pPr>
        <w:pStyle w:val="BodyText"/>
        <w:spacing w:line="360" w:lineRule="auto" w:before="49"/>
        <w:ind w:left="440" w:right="4994"/>
        <w:jc w:val="left"/>
        <w:rPr>
          <w:rFonts w:ascii="Tahoma" w:hAnsi="Tahoma" w:cs="Tahoma" w:eastAsia="Tahoma" w:hint="default"/>
        </w:rPr>
      </w:pPr>
      <w:r>
        <w:rPr/>
        <w:t>本公司密切关注汇率变动对本公司外汇风险的影响。</w:t>
      </w:r>
      <w:r>
        <w:rPr>
          <w:rFonts w:ascii="Tahoma" w:hAnsi="Tahoma" w:cs="Tahoma" w:eastAsia="Tahoma" w:hint="default"/>
          <w:w w:val="80"/>
        </w:rPr>
        <w:t> </w:t>
      </w:r>
      <w:r>
        <w:rPr/>
        <w:t>外汇风险敏感性分析：</w:t>
      </w:r>
      <w:r>
        <w:rPr>
          <w:rFonts w:ascii="Tahoma" w:hAnsi="Tahoma" w:cs="Tahoma" w:eastAsia="Tahoma" w:hint="default"/>
          <w:w w:val="80"/>
        </w:rPr>
        <w:t> </w:t>
      </w:r>
      <w:r>
        <w:rPr>
          <w:rFonts w:ascii="Tahoma" w:hAnsi="Tahoma" w:cs="Tahoma" w:eastAsia="Tahoma" w:hint="default"/>
        </w:rPr>
      </w:r>
    </w:p>
    <w:p>
      <w:pPr>
        <w:pStyle w:val="BodyText"/>
        <w:spacing w:line="316" w:lineRule="auto" w:before="25"/>
        <w:ind w:right="984" w:firstLine="288"/>
        <w:jc w:val="left"/>
        <w:rPr>
          <w:rFonts w:ascii="Tahoma" w:hAnsi="Tahoma" w:cs="Tahoma" w:eastAsia="Tahoma" w:hint="default"/>
        </w:rPr>
      </w:pPr>
      <w:r>
        <w:rPr>
          <w:spacing w:val="-1"/>
        </w:rPr>
        <w:t>外汇风险敏感性分析假设：所有境外经营净投资套期及现金流量套期均高度有效。在上述假设的基础上，在其他变量不</w:t>
      </w:r>
      <w:r>
        <w:rPr/>
        <w:t> 变的情况下，汇率可能发生的合理变动对当期损益和股东权益的税前影响如下：</w:t>
      </w:r>
      <w:r>
        <w:rPr>
          <w:rFonts w:ascii="Tahoma" w:hAnsi="Tahoma" w:cs="Tahoma" w:eastAsia="Tahoma" w:hint="default"/>
          <w:w w:val="80"/>
        </w:rPr>
        <w:t> </w:t>
      </w:r>
      <w:r>
        <w:rPr>
          <w:rFonts w:ascii="Tahoma" w:hAnsi="Tahoma" w:cs="Tahoma" w:eastAsia="Tahoma" w:hint="default"/>
        </w:rPr>
      </w:r>
    </w:p>
    <w:p>
      <w:pPr>
        <w:pStyle w:val="BodyText"/>
        <w:spacing w:line="240" w:lineRule="auto" w:before="59"/>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241"/>
        <w:gridCol w:w="1819"/>
        <w:gridCol w:w="1543"/>
        <w:gridCol w:w="1826"/>
        <w:gridCol w:w="1546"/>
        <w:gridCol w:w="1682"/>
      </w:tblGrid>
      <w:tr>
        <w:trPr>
          <w:trHeight w:val="346" w:hRule="exact"/>
        </w:trPr>
        <w:tc>
          <w:tcPr>
            <w:tcW w:w="1241" w:type="dxa"/>
            <w:vMerge w:val="restart"/>
            <w:tcBorders>
              <w:top w:val="single" w:sz="6" w:space="0" w:color="000000"/>
              <w:left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819" w:type="dxa"/>
            <w:vMerge w:val="restart"/>
            <w:tcBorders>
              <w:top w:val="single" w:sz="6" w:space="0" w:color="000000"/>
              <w:left w:val="single" w:sz="6" w:space="0" w:color="000000"/>
              <w:right w:val="single" w:sz="6" w:space="0" w:color="000000"/>
            </w:tcBorders>
          </w:tcPr>
          <w:p>
            <w:pPr>
              <w:pStyle w:val="TableParagraph"/>
              <w:spacing w:line="240" w:lineRule="auto" w:before="1"/>
              <w:ind w:left="504" w:right="0"/>
              <w:jc w:val="left"/>
              <w:rPr>
                <w:rFonts w:ascii="宋体" w:hAnsi="宋体" w:cs="宋体" w:eastAsia="宋体" w:hint="default"/>
                <w:sz w:val="20"/>
                <w:szCs w:val="20"/>
              </w:rPr>
            </w:pPr>
            <w:r>
              <w:rPr>
                <w:rFonts w:ascii="宋体" w:hAnsi="宋体" w:cs="宋体" w:eastAsia="宋体" w:hint="default"/>
                <w:sz w:val="20"/>
                <w:szCs w:val="20"/>
              </w:rPr>
              <w:t>汇率变动</w:t>
            </w:r>
          </w:p>
        </w:tc>
        <w:tc>
          <w:tcPr>
            <w:tcW w:w="33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本期数</w:t>
            </w:r>
          </w:p>
        </w:tc>
        <w:tc>
          <w:tcPr>
            <w:tcW w:w="32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上年度</w:t>
            </w:r>
          </w:p>
        </w:tc>
      </w:tr>
      <w:tr>
        <w:trPr>
          <w:trHeight w:val="348" w:hRule="exact"/>
        </w:trPr>
        <w:tc>
          <w:tcPr>
            <w:tcW w:w="1241" w:type="dxa"/>
            <w:vMerge/>
            <w:tcBorders>
              <w:left w:val="single" w:sz="6" w:space="0" w:color="000000"/>
              <w:bottom w:val="single" w:sz="6" w:space="0" w:color="000000"/>
              <w:right w:val="single" w:sz="6" w:space="0" w:color="000000"/>
            </w:tcBorders>
          </w:tcPr>
          <w:p>
            <w:pPr/>
          </w:p>
        </w:tc>
        <w:tc>
          <w:tcPr>
            <w:tcW w:w="1819" w:type="dxa"/>
            <w:vMerge/>
            <w:tcBorders>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65" w:right="0"/>
              <w:jc w:val="left"/>
              <w:rPr>
                <w:rFonts w:ascii="宋体" w:hAnsi="宋体" w:cs="宋体" w:eastAsia="宋体" w:hint="default"/>
                <w:sz w:val="20"/>
                <w:szCs w:val="20"/>
              </w:rPr>
            </w:pPr>
            <w:r>
              <w:rPr>
                <w:rFonts w:ascii="宋体" w:hAnsi="宋体" w:cs="宋体" w:eastAsia="宋体" w:hint="default"/>
                <w:sz w:val="20"/>
                <w:szCs w:val="20"/>
              </w:rPr>
              <w:t>对利润的影响</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5" w:right="0"/>
              <w:jc w:val="left"/>
              <w:rPr>
                <w:rFonts w:ascii="宋体" w:hAnsi="宋体" w:cs="宋体" w:eastAsia="宋体" w:hint="default"/>
                <w:sz w:val="20"/>
                <w:szCs w:val="20"/>
              </w:rPr>
            </w:pPr>
            <w:r>
              <w:rPr>
                <w:rFonts w:ascii="宋体" w:hAnsi="宋体" w:cs="宋体" w:eastAsia="宋体" w:hint="default"/>
                <w:sz w:val="20"/>
                <w:szCs w:val="20"/>
              </w:rPr>
              <w:t>对股东权益的影响</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65" w:right="0"/>
              <w:jc w:val="left"/>
              <w:rPr>
                <w:rFonts w:ascii="宋体" w:hAnsi="宋体" w:cs="宋体" w:eastAsia="宋体" w:hint="default"/>
                <w:sz w:val="20"/>
                <w:szCs w:val="20"/>
              </w:rPr>
            </w:pPr>
            <w:r>
              <w:rPr>
                <w:rFonts w:ascii="宋体" w:hAnsi="宋体" w:cs="宋体" w:eastAsia="宋体" w:hint="default"/>
                <w:sz w:val="20"/>
                <w:szCs w:val="20"/>
              </w:rPr>
              <w:t>对利润的影响</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32"/>
              <w:jc w:val="right"/>
              <w:rPr>
                <w:rFonts w:ascii="宋体" w:hAnsi="宋体" w:cs="宋体" w:eastAsia="宋体" w:hint="default"/>
                <w:sz w:val="20"/>
                <w:szCs w:val="20"/>
              </w:rPr>
            </w:pPr>
            <w:r>
              <w:rPr>
                <w:rFonts w:ascii="宋体" w:hAnsi="宋体" w:cs="宋体" w:eastAsia="宋体" w:hint="default"/>
                <w:w w:val="95"/>
                <w:sz w:val="20"/>
                <w:szCs w:val="20"/>
              </w:rPr>
              <w:t>对股东权益的影响</w:t>
            </w:r>
            <w:r>
              <w:rPr>
                <w:rFonts w:ascii="宋体" w:hAnsi="宋体" w:cs="宋体" w:eastAsia="宋体" w:hint="default"/>
                <w:sz w:val="20"/>
                <w:szCs w:val="20"/>
              </w:rPr>
            </w:r>
          </w:p>
        </w:tc>
      </w:tr>
      <w:tr>
        <w:trPr>
          <w:trHeight w:val="346" w:hRule="exact"/>
        </w:trPr>
        <w:tc>
          <w:tcPr>
            <w:tcW w:w="1241" w:type="dxa"/>
            <w:vMerge w:val="restart"/>
            <w:tcBorders>
              <w:top w:val="single" w:sz="6" w:space="0" w:color="000000"/>
              <w:left w:val="single" w:sz="6" w:space="0" w:color="000000"/>
              <w:right w:val="single" w:sz="6" w:space="0" w:color="000000"/>
            </w:tcBorders>
          </w:tcPr>
          <w:p>
            <w:pPr>
              <w:pStyle w:val="TableParagraph"/>
              <w:spacing w:line="285" w:lineRule="auto" w:before="1"/>
              <w:ind w:left="415" w:right="12" w:hanging="401"/>
              <w:jc w:val="left"/>
              <w:rPr>
                <w:rFonts w:ascii="宋体" w:hAnsi="宋体" w:cs="宋体" w:eastAsia="宋体" w:hint="default"/>
                <w:sz w:val="20"/>
                <w:szCs w:val="20"/>
              </w:rPr>
            </w:pPr>
            <w:r>
              <w:rPr>
                <w:rFonts w:ascii="宋体" w:hAnsi="宋体" w:cs="宋体" w:eastAsia="宋体" w:hint="default"/>
                <w:sz w:val="20"/>
                <w:szCs w:val="20"/>
              </w:rPr>
              <w:t>现金及现金等</w:t>
            </w:r>
            <w:r>
              <w:rPr>
                <w:rFonts w:ascii="宋体" w:hAnsi="宋体" w:cs="宋体" w:eastAsia="宋体" w:hint="default"/>
                <w:w w:val="99"/>
                <w:sz w:val="20"/>
                <w:szCs w:val="20"/>
              </w:rPr>
              <w:t> </w:t>
            </w:r>
            <w:r>
              <w:rPr>
                <w:rFonts w:ascii="宋体" w:hAnsi="宋体" w:cs="宋体" w:eastAsia="宋体" w:hint="default"/>
                <w:sz w:val="20"/>
                <w:szCs w:val="20"/>
              </w:rPr>
              <w:t>价物</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-2,096,709.49</w:t>
            </w:r>
            <w:r>
              <w:rPr>
                <w:rFonts w:ascii="Times New Roman"/>
                <w:sz w:val="20"/>
              </w:rPr>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-2,096,709.49</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-2,315,517.14</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z w:val="20"/>
              </w:rPr>
              <w:t>-2,315,517.14</w:t>
            </w:r>
          </w:p>
        </w:tc>
      </w:tr>
      <w:tr>
        <w:trPr>
          <w:trHeight w:val="348" w:hRule="exact"/>
        </w:trPr>
        <w:tc>
          <w:tcPr>
            <w:tcW w:w="1241" w:type="dxa"/>
            <w:vMerge/>
            <w:tcBorders>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2,096,709.49</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2,096,709.49</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2,315,517.14</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2,315,517.14</w:t>
            </w:r>
          </w:p>
        </w:tc>
      </w:tr>
      <w:tr>
        <w:trPr>
          <w:trHeight w:val="348" w:hRule="exact"/>
        </w:trPr>
        <w:tc>
          <w:tcPr>
            <w:tcW w:w="1241" w:type="dxa"/>
            <w:vMerge w:val="restart"/>
            <w:tcBorders>
              <w:top w:val="single" w:sz="6" w:space="0" w:color="000000"/>
              <w:left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-3,983,311.41</w:t>
            </w:r>
            <w:r>
              <w:rPr>
                <w:rFonts w:ascii="Times New Roman"/>
                <w:sz w:val="20"/>
              </w:rPr>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-3,983,311.41</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-3,357,124.73</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z w:val="20"/>
              </w:rPr>
              <w:t>-3,357,124.73</w:t>
            </w:r>
          </w:p>
        </w:tc>
      </w:tr>
      <w:tr>
        <w:trPr>
          <w:trHeight w:val="346" w:hRule="exact"/>
        </w:trPr>
        <w:tc>
          <w:tcPr>
            <w:tcW w:w="1241" w:type="dxa"/>
            <w:vMerge/>
            <w:tcBorders>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3,983,311.41</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3,983,311.41</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3,357,124.73</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3,357,124.73</w:t>
            </w:r>
          </w:p>
        </w:tc>
      </w:tr>
      <w:tr>
        <w:trPr>
          <w:trHeight w:val="348" w:hRule="exact"/>
        </w:trPr>
        <w:tc>
          <w:tcPr>
            <w:tcW w:w="1241" w:type="dxa"/>
            <w:vMerge w:val="restart"/>
            <w:tcBorders>
              <w:top w:val="single" w:sz="6" w:space="0" w:color="000000"/>
              <w:left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252,228.05</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252,228.05</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391,153.61</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391,153.61</w:t>
            </w:r>
          </w:p>
        </w:tc>
      </w:tr>
      <w:tr>
        <w:trPr>
          <w:trHeight w:val="348" w:hRule="exact"/>
        </w:trPr>
        <w:tc>
          <w:tcPr>
            <w:tcW w:w="1241" w:type="dxa"/>
            <w:vMerge/>
            <w:tcBorders>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-252,228.05</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-252,228.05</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-391,153.61</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-391,153.61</w:t>
            </w:r>
          </w:p>
        </w:tc>
      </w:tr>
    </w:tbl>
    <w:p>
      <w:pPr>
        <w:pStyle w:val="BodyText"/>
        <w:spacing w:line="338" w:lineRule="auto" w:before="49"/>
        <w:ind w:left="440" w:right="3446"/>
        <w:jc w:val="left"/>
      </w:pPr>
      <w:r>
        <w:rPr/>
        <w:t>（</w:t>
      </w:r>
      <w:r>
        <w:rPr>
          <w:rFonts w:ascii="Times New Roman" w:hAnsi="Times New Roman" w:cs="Times New Roman" w:eastAsia="Times New Roman" w:hint="default"/>
        </w:rPr>
        <w:t>2</w:t>
      </w:r>
      <w:r>
        <w:rPr/>
        <w:t>）利率风险</w:t>
      </w:r>
      <w:r>
        <w:rPr>
          <w:rFonts w:ascii="Tahoma" w:hAnsi="Tahoma" w:cs="Tahoma" w:eastAsia="Tahoma" w:hint="default"/>
          <w:w w:val="80"/>
        </w:rPr>
        <w:t> </w:t>
      </w:r>
      <w:r>
        <w:rPr/>
        <w:t>利率风险，是指金融工具的公允价值或未来现金流量因市场利率变动而发生波动的风险。</w:t>
      </w:r>
    </w:p>
    <w:p>
      <w:pPr>
        <w:pStyle w:val="BodyText"/>
        <w:spacing w:line="316" w:lineRule="auto" w:before="43"/>
        <w:ind w:right="1130" w:firstLine="288"/>
        <w:jc w:val="both"/>
        <w:rPr>
          <w:rFonts w:ascii="Tahoma" w:hAnsi="Tahoma" w:cs="Tahoma" w:eastAsia="Tahoma" w:hint="default"/>
        </w:rPr>
      </w:pPr>
      <w:r>
        <w:rPr>
          <w:spacing w:val="-1"/>
        </w:rPr>
        <w:t>本公司面临的利率风险主要来源于银行短期借款。公司通过建立良好的银企关系，对授信额度、授信品种以及授信期限</w:t>
      </w:r>
      <w:r>
        <w:rPr/>
        <w:t> </w:t>
      </w:r>
      <w:r>
        <w:rPr>
          <w:spacing w:val="-2"/>
        </w:rPr>
        <w:t>进行合理的设计，保障银行授信额度充足，满足公司各类融资需求。尽管该政策不能使本公司完全避免支付的利率超出现行</w:t>
      </w:r>
      <w:r>
        <w:rPr>
          <w:spacing w:val="-62"/>
        </w:rPr>
        <w:t> </w:t>
      </w:r>
      <w:r>
        <w:rPr>
          <w:spacing w:val="-62"/>
        </w:rPr>
      </w:r>
      <w:r>
        <w:rPr/>
        <w:t>市场利率的风险，</w:t>
      </w:r>
      <w:r>
        <w:rPr>
          <w:spacing w:val="-3"/>
        </w:rPr>
        <w:t> </w:t>
      </w:r>
      <w:r>
        <w:rPr/>
        <w:t>也不能完全消除与利息支付波动相关的现金流量风险，但是管理层认为该政策实现了这些风险之间的合</w:t>
      </w:r>
      <w:r>
        <w:rPr>
          <w:spacing w:val="-87"/>
        </w:rPr>
        <w:t> </w:t>
      </w:r>
      <w:r>
        <w:rPr>
          <w:spacing w:val="-87"/>
        </w:rPr>
      </w:r>
      <w:r>
        <w:rPr/>
        <w:t>理平衡。</w:t>
      </w:r>
      <w:r>
        <w:rPr>
          <w:rFonts w:ascii="Tahoma" w:hAnsi="Tahoma" w:cs="Tahoma" w:eastAsia="Tahoma" w:hint="default"/>
          <w:w w:val="80"/>
        </w:rPr>
        <w:t> </w:t>
      </w:r>
      <w:r>
        <w:rPr>
          <w:rFonts w:ascii="Tahoma" w:hAnsi="Tahoma" w:cs="Tahoma" w:eastAsia="Tahoma" w:hint="default"/>
        </w:rPr>
      </w:r>
    </w:p>
    <w:p>
      <w:pPr>
        <w:pStyle w:val="BodyText"/>
        <w:spacing w:line="350" w:lineRule="auto" w:before="57"/>
        <w:ind w:left="440" w:right="7694"/>
        <w:jc w:val="left"/>
        <w:rPr>
          <w:rFonts w:ascii="Tahoma" w:hAnsi="Tahoma" w:cs="Tahoma" w:eastAsia="Tahoma" w:hint="default"/>
        </w:rPr>
      </w:pPr>
      <w:r>
        <w:rPr/>
        <w:t>（</w:t>
      </w:r>
      <w:r>
        <w:rPr>
          <w:rFonts w:ascii="Times New Roman" w:hAnsi="Times New Roman" w:cs="Times New Roman" w:eastAsia="Times New Roman" w:hint="default"/>
        </w:rPr>
        <w:t>3</w:t>
      </w:r>
      <w:r>
        <w:rPr/>
        <w:t>）其他价格风险</w:t>
      </w:r>
      <w:r>
        <w:rPr>
          <w:rFonts w:ascii="Tahoma" w:hAnsi="Tahoma" w:cs="Tahoma" w:eastAsia="Tahoma" w:hint="default"/>
          <w:w w:val="80"/>
        </w:rPr>
        <w:t> </w:t>
      </w:r>
      <w:r>
        <w:rPr/>
        <w:t>本公司无其他价格风险。</w:t>
      </w:r>
      <w:r>
        <w:rPr>
          <w:rFonts w:ascii="Tahoma" w:hAnsi="Tahoma" w:cs="Tahoma" w:eastAsia="Tahoma" w:hint="default"/>
          <w:w w:val="80"/>
        </w:rPr>
        <w:t> </w:t>
      </w:r>
      <w:r>
        <w:rPr>
          <w:rFonts w:ascii="Times New Roman" w:hAnsi="Times New Roman" w:cs="Times New Roman" w:eastAsia="Times New Roman" w:hint="default"/>
        </w:rPr>
        <w:t>2.</w:t>
      </w:r>
      <w:r>
        <w:rPr/>
        <w:t>信用风险</w:t>
      </w:r>
      <w:r>
        <w:rPr>
          <w:rFonts w:ascii="Tahoma" w:hAnsi="Tahoma" w:cs="Tahoma" w:eastAsia="Tahoma" w:hint="default"/>
          <w:w w:val="80"/>
        </w:rPr>
        <w:t> </w:t>
      </w:r>
      <w:r>
        <w:rPr>
          <w:rFonts w:ascii="Tahoma" w:hAnsi="Tahoma" w:cs="Tahoma" w:eastAsia="Tahoma" w:hint="default"/>
        </w:rPr>
      </w:r>
    </w:p>
    <w:p>
      <w:pPr>
        <w:pStyle w:val="BodyText"/>
        <w:spacing w:line="300" w:lineRule="auto" w:before="9"/>
        <w:ind w:right="1133" w:firstLine="360"/>
        <w:jc w:val="both"/>
        <w:rPr>
          <w:rFonts w:ascii="Tahoma" w:hAnsi="Tahoma" w:cs="Tahoma" w:eastAsia="Tahoma" w:hint="default"/>
        </w:rPr>
      </w:pP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日，可能引起本公司财务损失的最大信用风险敞口主要来自于合同另一方未能履行付款义务而导致本</w:t>
      </w:r>
      <w:r>
        <w:rPr/>
        <w:t> 公司金融资产产生的损失，具体包括：</w:t>
      </w:r>
      <w:r>
        <w:rPr>
          <w:rFonts w:ascii="Tahoma" w:hAnsi="Tahoma" w:cs="Tahoma" w:eastAsia="Tahoma" w:hint="default"/>
          <w:w w:val="80"/>
        </w:rPr>
        <w:t> </w:t>
      </w:r>
      <w:r>
        <w:rPr>
          <w:rFonts w:ascii="Tahoma" w:hAnsi="Tahoma" w:cs="Tahoma" w:eastAsia="Tahoma" w:hint="default"/>
        </w:rPr>
      </w:r>
    </w:p>
    <w:p>
      <w:pPr>
        <w:pStyle w:val="BodyText"/>
        <w:spacing w:line="316" w:lineRule="auto" w:before="72"/>
        <w:ind w:right="1051" w:firstLine="360"/>
        <w:jc w:val="both"/>
        <w:rPr>
          <w:rFonts w:ascii="Tahoma" w:hAnsi="Tahoma" w:cs="Tahoma" w:eastAsia="Tahoma" w:hint="default"/>
        </w:rPr>
      </w:pPr>
      <w:r>
        <w:rPr/>
        <w:t>合并资产负债表中已确认的金融资产的账面金额；对于以公允价值计量的金融工具而言，账面价值反映了其风险敞口， 但并非最大风险敞口，其最大风险敞口将随着未来公允价值的变化而改变。</w:t>
      </w:r>
      <w:r>
        <w:rPr>
          <w:rFonts w:ascii="Tahoma" w:hAnsi="Tahoma" w:cs="Tahoma" w:eastAsia="Tahoma" w:hint="default"/>
          <w:w w:val="80"/>
        </w:rPr>
        <w:t> </w:t>
      </w:r>
      <w:r>
        <w:rPr>
          <w:rFonts w:ascii="Tahoma" w:hAnsi="Tahoma" w:cs="Tahoma" w:eastAsia="Tahoma" w:hint="default"/>
        </w:rPr>
      </w:r>
    </w:p>
    <w:p>
      <w:pPr>
        <w:pStyle w:val="BodyText"/>
        <w:spacing w:line="316" w:lineRule="auto" w:before="59"/>
        <w:ind w:right="1132" w:firstLine="288"/>
        <w:jc w:val="both"/>
        <w:rPr>
          <w:rFonts w:ascii="Tahoma" w:hAnsi="Tahoma" w:cs="Tahoma" w:eastAsia="Tahoma" w:hint="default"/>
        </w:rPr>
      </w:pPr>
      <w:r>
        <w:rPr>
          <w:spacing w:val="-1"/>
        </w:rPr>
        <w:t>为降低信用风险，本公司设立专门岗位负责确定信用额度、进行信用审批，并执行其他监控程序以确保采取必要的措施</w:t>
      </w:r>
      <w:r>
        <w:rPr/>
        <w:t> </w:t>
      </w:r>
      <w:r>
        <w:rPr>
          <w:spacing w:val="-2"/>
        </w:rPr>
        <w:t>回收过期债权；此外，本公司于每个资产负债表日审核每一单项应收款的回收情况，以确保就无法回收的款项计提充分的坏</w:t>
      </w:r>
      <w:r>
        <w:rPr>
          <w:spacing w:val="-65"/>
        </w:rPr>
        <w:t> </w:t>
      </w:r>
      <w:r>
        <w:rPr>
          <w:spacing w:val="-65"/>
        </w:rPr>
      </w:r>
      <w:r>
        <w:rPr/>
        <w:t>账准备。因此，本公司管理层认为本公司所承担的信用风险已经大为降低。</w:t>
      </w:r>
      <w:r>
        <w:rPr>
          <w:rFonts w:ascii="Tahoma" w:hAnsi="Tahoma" w:cs="Tahoma" w:eastAsia="Tahoma" w:hint="default"/>
          <w:w w:val="80"/>
        </w:rPr>
        <w:t> </w:t>
      </w:r>
      <w:r>
        <w:rPr>
          <w:rFonts w:ascii="Tahoma" w:hAnsi="Tahoma" w:cs="Tahoma" w:eastAsia="Tahoma" w:hint="default"/>
        </w:rPr>
      </w:r>
    </w:p>
    <w:p>
      <w:pPr>
        <w:pStyle w:val="BodyText"/>
        <w:spacing w:line="240" w:lineRule="auto" w:before="57"/>
        <w:ind w:left="440" w:right="984"/>
        <w:jc w:val="left"/>
        <w:rPr>
          <w:rFonts w:ascii="Tahoma" w:hAnsi="Tahoma" w:cs="Tahoma" w:eastAsia="Tahoma" w:hint="default"/>
        </w:rPr>
      </w:pPr>
      <w:r>
        <w:rPr/>
        <w:t>本公司的流动资金存放在信用评级较高的银行，故流动资金的信用风险较低。</w:t>
      </w:r>
      <w:r>
        <w:rPr>
          <w:rFonts w:ascii="Tahoma" w:hAnsi="Tahoma" w:cs="Tahoma" w:eastAsia="Tahoma" w:hint="default"/>
          <w:w w:val="80"/>
        </w:rPr>
        <w:t> </w:t>
      </w:r>
      <w:r>
        <w:rPr>
          <w:rFonts w:ascii="Tahoma" w:hAnsi="Tahoma" w:cs="Tahoma" w:eastAsia="Tahoma" w:hint="default"/>
        </w:rPr>
      </w:r>
    </w:p>
    <w:p>
      <w:pPr>
        <w:pStyle w:val="BodyText"/>
        <w:spacing w:line="240" w:lineRule="auto" w:before="117"/>
        <w:ind w:left="440" w:right="984"/>
        <w:jc w:val="left"/>
        <w:rPr>
          <w:rFonts w:ascii="Tahoma" w:hAnsi="Tahoma" w:cs="Tahoma" w:eastAsia="Tahoma" w:hint="default"/>
        </w:rPr>
      </w:pPr>
      <w:r>
        <w:rPr>
          <w:rFonts w:ascii="Times New Roman" w:hAnsi="Times New Roman" w:cs="Times New Roman" w:eastAsia="Times New Roman" w:hint="default"/>
        </w:rPr>
        <w:t>3.</w:t>
      </w:r>
      <w:r>
        <w:rPr/>
        <w:t>流动风险</w:t>
      </w:r>
      <w:r>
        <w:rPr>
          <w:rFonts w:ascii="Tahoma" w:hAnsi="Tahoma" w:cs="Tahoma" w:eastAsia="Tahoma" w:hint="default"/>
          <w:w w:val="80"/>
        </w:rPr>
        <w:t> </w:t>
      </w:r>
      <w:r>
        <w:rPr>
          <w:rFonts w:ascii="Tahoma" w:hAnsi="Tahoma" w:cs="Tahoma" w:eastAsia="Tahoma" w:hint="default"/>
        </w:rPr>
      </w:r>
    </w:p>
    <w:p>
      <w:pPr>
        <w:pStyle w:val="BodyText"/>
        <w:spacing w:line="316" w:lineRule="auto" w:before="103"/>
        <w:ind w:right="1130" w:firstLine="360"/>
        <w:jc w:val="both"/>
      </w:pPr>
      <w:r>
        <w:rPr>
          <w:spacing w:val="-2"/>
        </w:rPr>
        <w:t>管理流动风险时，本公司管理层认为需要保持充分的现金及现金等价物并对其进行监控，以满足本公司经营需要，并降</w:t>
      </w:r>
      <w:r>
        <w:rPr/>
        <w:t> 低现金流量波动的影响。</w:t>
      </w:r>
    </w:p>
    <w:p>
      <w:pPr>
        <w:pStyle w:val="BodyText"/>
        <w:spacing w:line="240" w:lineRule="auto" w:before="57"/>
        <w:ind w:left="512" w:right="984"/>
        <w:jc w:val="left"/>
        <w:rPr>
          <w:rFonts w:ascii="Tahoma" w:hAnsi="Tahoma" w:cs="Tahoma" w:eastAsia="Tahoma" w:hint="default"/>
        </w:rPr>
      </w:pPr>
      <w:r>
        <w:rPr/>
        <w:t>于资产负债表日，本公司各项金融资产及金融负债以未折现的合同现金流量按到期日列示如下：</w:t>
      </w:r>
      <w:r>
        <w:rPr>
          <w:rFonts w:ascii="Tahoma" w:hAnsi="Tahoma" w:cs="Tahoma" w:eastAsia="Tahoma" w:hint="default"/>
          <w:w w:val="80"/>
        </w:rPr>
        <w:t> </w:t>
      </w:r>
      <w:r>
        <w:rPr>
          <w:rFonts w:ascii="Tahoma" w:hAnsi="Tahoma" w:cs="Tahoma" w:eastAsia="Tahoma" w:hint="default"/>
        </w:rPr>
      </w:r>
    </w:p>
    <w:p>
      <w:pPr>
        <w:pStyle w:val="BodyText"/>
        <w:spacing w:line="240" w:lineRule="auto" w:before="117"/>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026"/>
        <w:gridCol w:w="1615"/>
        <w:gridCol w:w="1522"/>
        <w:gridCol w:w="1464"/>
        <w:gridCol w:w="1464"/>
        <w:gridCol w:w="1764"/>
      </w:tblGrid>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1"/>
                <w:sz w:val="20"/>
                <w:szCs w:val="20"/>
              </w:rPr>
              <w:t> </w:t>
            </w:r>
            <w:r>
              <w:rPr>
                <w:rFonts w:ascii="宋体" w:hAnsi="宋体" w:cs="宋体" w:eastAsia="宋体" w:hint="default"/>
                <w:sz w:val="20"/>
                <w:szCs w:val="20"/>
              </w:rPr>
              <w:t>目</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5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7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年以上</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非衍金融资产</w:t>
            </w:r>
          </w:p>
        </w:tc>
        <w:tc>
          <w:tcPr>
            <w:tcW w:w="161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货币资金</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348" w:right="0"/>
              <w:jc w:val="left"/>
              <w:rPr>
                <w:rFonts w:ascii="Times New Roman" w:hAnsi="Times New Roman" w:cs="Times New Roman" w:eastAsia="Times New Roman" w:hint="default"/>
                <w:sz w:val="20"/>
                <w:szCs w:val="20"/>
              </w:rPr>
            </w:pPr>
            <w:r>
              <w:rPr>
                <w:rFonts w:ascii="Times New Roman"/>
                <w:sz w:val="20"/>
              </w:rPr>
              <w:t>989,511,500.82</w:t>
            </w: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96" w:right="0"/>
              <w:jc w:val="left"/>
              <w:rPr>
                <w:rFonts w:ascii="Times New Roman" w:hAnsi="Times New Roman" w:cs="Times New Roman" w:eastAsia="Times New Roman" w:hint="default"/>
                <w:sz w:val="20"/>
                <w:szCs w:val="20"/>
              </w:rPr>
            </w:pPr>
            <w:r>
              <w:rPr>
                <w:rFonts w:ascii="Times New Roman"/>
                <w:sz w:val="20"/>
              </w:rPr>
              <w:t>989,511,500.82</w:t>
            </w:r>
          </w:p>
        </w:tc>
      </w:tr>
    </w:tbl>
    <w:p>
      <w:pPr>
        <w:spacing w:after="0" w:line="240" w:lineRule="auto"/>
        <w:jc w:val="left"/>
        <w:rPr>
          <w:rFonts w:ascii="Times New Roman" w:hAnsi="Times New Roman" w:cs="Times New Roman" w:eastAsia="Times New Roman" w:hint="default"/>
          <w:sz w:val="20"/>
          <w:szCs w:val="20"/>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026"/>
        <w:gridCol w:w="1615"/>
        <w:gridCol w:w="1522"/>
        <w:gridCol w:w="1464"/>
        <w:gridCol w:w="1464"/>
        <w:gridCol w:w="1764"/>
      </w:tblGrid>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应收票据</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82,564,300.79</w:t>
            </w: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82,564,300.79</w:t>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应收账款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1,030,438,231.57</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17,112,661.75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4,825,769.74</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22,625,710.17</w:t>
            </w:r>
            <w:r>
              <w:rPr>
                <w:rFonts w:ascii="Times New Roman"/>
                <w:sz w:val="20"/>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1,075,002,373.23</w:t>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预付账款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8,818,115.52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999,532.80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279,049.30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336,151.73</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10,432,849.35</w:t>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34,224,842.35</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9,697,442.09</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7,464,360.76</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7,224,682.79</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58,611,327.99</w:t>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2,145,556,991.05</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27,809,636.64</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12,569,179.80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30,186,544.69</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2,216,122,352.18</w:t>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非衍金融负债：</w:t>
            </w:r>
          </w:p>
        </w:tc>
        <w:tc>
          <w:tcPr>
            <w:tcW w:w="161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应付票据</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517,588,314.52</w:t>
            </w: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517,588,314.52</w:t>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短期借款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399,000,000.00</w:t>
            </w: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399,000,000.00</w:t>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应付账款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587,587,698.52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27,894,112.49</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613,773.35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13,246,180.73</w:t>
            </w:r>
            <w:r>
              <w:rPr>
                <w:rFonts w:ascii="Times New Roman"/>
                <w:sz w:val="20"/>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629,341,765.09</w:t>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预收账款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12,743,065.88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3,096,402.18</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1,098,664.27</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900,397.40</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17,838,529.73</w:t>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其他应付款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6,789,305.00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6,153,684.11</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3,956,871.62</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1,862,081.65</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18,761,942.38</w:t>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1,523,708,383.92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37,144,198.78</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5,669,309.24</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16,008,659.78</w:t>
            </w:r>
            <w:r>
              <w:rPr>
                <w:rFonts w:ascii="Times New Roman"/>
                <w:sz w:val="20"/>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1,582,530,551.72</w:t>
            </w:r>
          </w:p>
        </w:tc>
      </w:tr>
    </w:tbl>
    <w:p>
      <w:pPr>
        <w:pStyle w:val="BodyText"/>
        <w:spacing w:line="240" w:lineRule="auto" w:before="84"/>
        <w:ind w:left="512" w:right="0"/>
        <w:jc w:val="left"/>
        <w:rPr>
          <w:rFonts w:ascii="Tahoma" w:hAnsi="Tahoma" w:cs="Tahoma" w:eastAsia="Tahoma" w:hint="default"/>
        </w:rPr>
      </w:pPr>
      <w:r>
        <w:rPr>
          <w:rFonts w:ascii="Tahoma"/>
          <w:w w:val="80"/>
        </w:rPr>
        <w:t> </w:t>
      </w:r>
      <w:r>
        <w:rPr>
          <w:rFonts w:ascii="Tahoma"/>
        </w:rPr>
      </w:r>
    </w:p>
    <w:p>
      <w:pPr>
        <w:pStyle w:val="BodyText"/>
        <w:tabs>
          <w:tab w:pos="1910" w:val="left" w:leader="none"/>
        </w:tabs>
        <w:spacing w:line="240" w:lineRule="auto" w:before="100"/>
        <w:ind w:left="0" w:right="8231"/>
        <w:jc w:val="center"/>
        <w:rPr>
          <w:rFonts w:ascii="Tahoma" w:hAnsi="Tahoma" w:cs="Tahoma" w:eastAsia="Tahoma" w:hint="default"/>
        </w:rPr>
      </w:pPr>
      <w:r>
        <w:rPr/>
        <w:t>（二）金融资产转移</w:t>
        <w:tab/>
      </w:r>
      <w:r>
        <w:rPr>
          <w:rFonts w:ascii="Tahoma" w:hAnsi="Tahoma" w:cs="Tahoma" w:eastAsia="Tahoma" w:hint="default"/>
          <w:w w:val="80"/>
        </w:rPr>
        <w:t> </w:t>
      </w:r>
      <w:r>
        <w:rPr>
          <w:rFonts w:ascii="Tahoma" w:hAnsi="Tahoma" w:cs="Tahoma" w:eastAsia="Tahoma" w:hint="default"/>
        </w:rPr>
      </w:r>
    </w:p>
    <w:p>
      <w:pPr>
        <w:pStyle w:val="BodyText"/>
        <w:spacing w:line="240" w:lineRule="auto" w:before="115"/>
        <w:ind w:right="984"/>
        <w:jc w:val="left"/>
        <w:rPr>
          <w:rFonts w:ascii="Tahoma" w:hAnsi="Tahoma" w:cs="Tahoma" w:eastAsia="Tahoma" w:hint="default"/>
        </w:rPr>
      </w:pPr>
      <w:r>
        <w:rPr/>
        <w:t>本公司本报告期未发生与金融资产转移有关的事项。</w:t>
      </w:r>
      <w:r>
        <w:rPr>
          <w:spacing w:val="-19"/>
        </w:rPr>
        <w:t> </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18"/>
          <w:szCs w:val="18"/>
        </w:rPr>
      </w:pPr>
    </w:p>
    <w:p>
      <w:pPr>
        <w:spacing w:line="240" w:lineRule="auto" w:before="0"/>
        <w:rPr>
          <w:rFonts w:ascii="Tahoma" w:hAnsi="Tahoma" w:cs="Tahoma" w:eastAsia="Tahoma" w:hint="default"/>
          <w:sz w:val="18"/>
          <w:szCs w:val="18"/>
        </w:rPr>
      </w:pPr>
    </w:p>
    <w:p>
      <w:pPr>
        <w:spacing w:line="240" w:lineRule="auto" w:before="7"/>
        <w:rPr>
          <w:rFonts w:ascii="Tahoma" w:hAnsi="Tahoma" w:cs="Tahoma" w:eastAsia="Tahoma" w:hint="default"/>
          <w:sz w:val="20"/>
          <w:szCs w:val="20"/>
        </w:rPr>
      </w:pPr>
    </w:p>
    <w:p>
      <w:pPr>
        <w:pStyle w:val="Heading2"/>
        <w:spacing w:line="240" w:lineRule="auto"/>
        <w:ind w:right="984"/>
        <w:jc w:val="left"/>
        <w:rPr>
          <w:rFonts w:ascii="Tahoma" w:hAnsi="Tahoma" w:cs="Tahoma" w:eastAsia="Tahoma" w:hint="default"/>
        </w:rPr>
      </w:pPr>
      <w:r>
        <w:rPr/>
        <w:t>十一、公允价值的披露</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、以公允价值计量的资产和负债的期末公允价值</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（三）投资性房地产</w:t>
            </w: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506,898,981.88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506,898,981.88</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506,898,981.88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506,898,981.88</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506,898,981.88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506,898,981.88</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2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rFonts w:ascii="Tahoma" w:hAnsi="Tahoma" w:cs="Tahoma" w:eastAsia="Tahoma" w:hint="default"/>
        </w:rPr>
      </w:pPr>
      <w:r>
        <w:rPr>
          <w:rFonts w:ascii="Tahoma" w:hAnsi="Tahoma" w:cs="Tahoma" w:eastAsia="Tahoma" w:hint="default"/>
        </w:rPr>
        <w:t>2</w:t>
      </w:r>
      <w:r>
        <w:rPr/>
        <w:t>、持续和非持续第一层次公允价值计量项目市价的确定依据</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0"/>
        <w:jc w:val="both"/>
        <w:rPr>
          <w:rFonts w:ascii="Tahoma" w:hAnsi="Tahoma" w:cs="Tahoma" w:eastAsia="Tahoma" w:hint="default"/>
        </w:rPr>
      </w:pPr>
      <w:r>
        <w:rPr>
          <w:rFonts w:ascii="Tahoma" w:hAnsi="Tahoma" w:cs="Tahoma" w:eastAsia="Tahoma" w:hint="default"/>
        </w:rPr>
        <w:t>3</w:t>
      </w:r>
      <w:r>
        <w:rPr/>
        <w:t>、持续和非持续第二层次公允价值计量项目，采用的估值技术和重要参数的定性及定量信息</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30"/>
        <w:jc w:val="both"/>
      </w:pPr>
      <w:r>
        <w:rPr>
          <w:spacing w:val="-2"/>
        </w:rPr>
        <w:t>公司已经出租的建筑物均位于经济活跃的城市，根据出租建筑物的实际情况，因所在区域附近交易市场活跃，且易找到类似</w:t>
      </w:r>
      <w:r>
        <w:rPr>
          <w:spacing w:val="-62"/>
        </w:rPr>
        <w:t> </w:t>
      </w:r>
      <w:r>
        <w:rPr>
          <w:spacing w:val="-62"/>
        </w:rPr>
      </w:r>
      <w:r>
        <w:rPr>
          <w:spacing w:val="-2"/>
        </w:rPr>
        <w:t>的案例，故采用市场法进行估值，以公司聘请的评估师出具的评估结果定性和定量。对不易找到交易案例的厂房等，因所在</w:t>
      </w:r>
      <w:r>
        <w:rPr>
          <w:spacing w:val="-66"/>
        </w:rPr>
        <w:t> </w:t>
      </w:r>
      <w:r>
        <w:rPr>
          <w:spacing w:val="-66"/>
        </w:rPr>
      </w:r>
      <w:r>
        <w:rPr/>
        <w:t>区域附近类似租赁市场较为活跃，故采用收益法进行估值，具体以公司聘请的评估师出具的评估结果定性和定量。</w:t>
      </w:r>
    </w:p>
    <w:p>
      <w:pPr>
        <w:spacing w:after="0" w:line="316" w:lineRule="auto"/>
        <w:jc w:val="both"/>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4</w:t>
      </w:r>
      <w:r>
        <w:rPr/>
        <w:t>、持续和非持续第三层次公允价值计量项目，采用的估值技术和重要参数的定性及定量信息</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5</w:t>
      </w:r>
      <w:r>
        <w:rPr/>
        <w:t>、持续的第三层次公允价值计量项目，期初与期末账面价值间的调节信息及不可观察参数敏感性分析</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6</w:t>
      </w:r>
      <w:r>
        <w:rPr/>
        <w:t>、持续的公允价值计量项目，本期内发生各层级之间转换的，转换的原因及确定转换时点的政策</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7</w:t>
      </w:r>
      <w:r>
        <w:rPr/>
        <w:t>、本期内发生的估值技术变更及变更原因</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8</w:t>
      </w:r>
      <w:r>
        <w:rPr/>
        <w:t>、不以公允价值计量的金融资产和金融负债的公允价值情况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line="487" w:lineRule="auto" w:before="0"/>
        <w:ind w:left="152" w:right="7694" w:firstLine="0"/>
        <w:jc w:val="left"/>
        <w:rPr>
          <w:rFonts w:ascii="Tahoma" w:hAnsi="Tahoma" w:cs="Tahoma" w:eastAsia="Tahoma" w:hint="default"/>
          <w:sz w:val="21"/>
          <w:szCs w:val="21"/>
        </w:rPr>
      </w:pPr>
      <w:r>
        <w:rPr>
          <w:rFonts w:ascii="Tahoma" w:hAnsi="Tahoma" w:cs="Tahoma" w:eastAsia="Tahoma" w:hint="default"/>
          <w:sz w:val="21"/>
          <w:szCs w:val="21"/>
        </w:rPr>
        <w:t>9</w:t>
      </w:r>
      <w:r>
        <w:rPr>
          <w:rFonts w:ascii="宋体" w:hAnsi="宋体" w:cs="宋体" w:eastAsia="宋体" w:hint="default"/>
          <w:sz w:val="21"/>
          <w:szCs w:val="21"/>
        </w:rPr>
        <w:t>、其他</w:t>
      </w:r>
      <w:r>
        <w:rPr>
          <w:rFonts w:ascii="Tahoma" w:hAnsi="Tahoma" w:cs="Tahoma" w:eastAsia="Tahoma" w:hint="default"/>
          <w:w w:val="80"/>
          <w:sz w:val="21"/>
          <w:szCs w:val="21"/>
        </w:rPr>
        <w:t> </w:t>
      </w:r>
      <w:r>
        <w:rPr>
          <w:rFonts w:ascii="宋体" w:hAnsi="宋体" w:cs="宋体" w:eastAsia="宋体" w:hint="default"/>
          <w:sz w:val="24"/>
          <w:szCs w:val="24"/>
        </w:rPr>
        <w:t>十二、关联方及关联交易</w:t>
      </w:r>
      <w:r>
        <w:rPr>
          <w:rFonts w:ascii="宋体" w:hAnsi="宋体" w:cs="宋体" w:eastAsia="宋体" w:hint="default"/>
          <w:spacing w:val="-114"/>
          <w:sz w:val="24"/>
          <w:szCs w:val="24"/>
        </w:rPr>
        <w:t> </w:t>
      </w:r>
      <w:r>
        <w:rPr>
          <w:rFonts w:ascii="Tahoma" w:hAnsi="Tahoma" w:cs="Tahoma" w:eastAsia="Tahoma" w:hint="default"/>
          <w:spacing w:val="-114"/>
          <w:sz w:val="24"/>
          <w:szCs w:val="24"/>
        </w:rPr>
      </w:r>
      <w:r>
        <w:rPr>
          <w:rFonts w:ascii="Tahoma" w:hAnsi="Tahoma" w:cs="Tahoma" w:eastAsia="Tahoma" w:hint="default"/>
          <w:sz w:val="21"/>
          <w:szCs w:val="21"/>
        </w:rPr>
        <w:t>1</w:t>
      </w:r>
      <w:r>
        <w:rPr>
          <w:rFonts w:ascii="宋体" w:hAnsi="宋体" w:cs="宋体" w:eastAsia="宋体" w:hint="default"/>
          <w:sz w:val="21"/>
          <w:szCs w:val="21"/>
        </w:rPr>
        <w:t>、本企业的母公司情况</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2"/>
        <w:rPr>
          <w:rFonts w:ascii="Tahoma" w:hAnsi="Tahoma" w:cs="Tahoma" w:eastAsia="Tahoma"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2"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43.40%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43.40%</w:t>
            </w:r>
          </w:p>
        </w:tc>
      </w:tr>
    </w:tbl>
    <w:p>
      <w:pPr>
        <w:pStyle w:val="BodyText"/>
        <w:spacing w:line="338" w:lineRule="auto" w:before="49"/>
        <w:ind w:right="984"/>
        <w:jc w:val="left"/>
      </w:pPr>
      <w:r>
        <w:rPr/>
        <w:t>本企业的母公司情况的说明 </w:t>
      </w:r>
      <w:r>
        <w:rPr>
          <w:spacing w:val="-2"/>
        </w:rPr>
        <w:t>王海鹏先生担任中共美盈森集团股份有限公司委员会书记、中国包装联合会副会长、东莞市环保包装行业协会会长，并兼任</w:t>
      </w:r>
      <w:r>
        <w:rPr>
          <w:spacing w:val="-62"/>
        </w:rPr>
        <w:t> </w:t>
      </w:r>
      <w:r>
        <w:rPr>
          <w:spacing w:val="-62"/>
        </w:rPr>
      </w:r>
      <w:r>
        <w:rPr/>
        <w:t>香港美盈森董事、深圳金之彩董事、佳宝隆董事、中大绿谷董事长兼总经理等职务。</w:t>
      </w:r>
    </w:p>
    <w:p>
      <w:pPr>
        <w:pStyle w:val="BodyText"/>
        <w:spacing w:line="357" w:lineRule="auto" w:before="43"/>
        <w:ind w:right="8414"/>
        <w:jc w:val="left"/>
      </w:pPr>
      <w:r>
        <w:rPr/>
        <w:t>本企业最终控制方是王海鹏。 其他说明：</w:t>
      </w:r>
    </w:p>
    <w:p>
      <w:pPr>
        <w:pStyle w:val="BodyText"/>
        <w:spacing w:line="240" w:lineRule="auto" w:before="29"/>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rFonts w:ascii="Tahoma" w:hAnsi="Tahoma" w:cs="Tahoma" w:eastAsia="Tahoma" w:hint="default"/>
        </w:rPr>
        <w:t>2</w:t>
      </w:r>
      <w:r>
        <w:rPr/>
        <w:t>、本企业的子公司情况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t>本企业子公司的情况详见附注九、在子公司中的权益之说明。</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rFonts w:ascii="Tahoma" w:hAnsi="Tahoma" w:cs="Tahoma" w:eastAsia="Tahoma" w:hint="default"/>
        </w:rPr>
        <w:t>3</w:t>
      </w:r>
      <w:r>
        <w:rPr/>
        <w:t>、本企业合营和联营企业情况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60" w:lineRule="auto"/>
        <w:ind w:right="2294"/>
        <w:jc w:val="left"/>
      </w:pPr>
      <w:r>
        <w:rPr/>
        <w:t>本企业重要的合营或联营企业详见附注九、在合营安排或联营企业中的权益之说明。 本期与本公司发生关联方交易，或前期与本公司发生关联方交易形成余额的其他合营或联营企业情况如下：</w:t>
      </w: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65"/>
        <w:ind w:right="1003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4</w:t>
      </w:r>
      <w:r>
        <w:rPr/>
        <w:t>、其他关联方情况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7"/>
          <w:szCs w:val="27"/>
        </w:rPr>
      </w:pPr>
    </w:p>
    <w:p>
      <w:pPr>
        <w:spacing w:line="422" w:lineRule="exact"/>
        <w:ind w:left="143" w:right="0" w:firstLine="0"/>
        <w:rPr>
          <w:rFonts w:ascii="Tahoma" w:hAnsi="Tahoma" w:cs="Tahoma" w:eastAsia="Tahoma" w:hint="default"/>
          <w:sz w:val="20"/>
          <w:szCs w:val="20"/>
        </w:rPr>
      </w:pPr>
      <w:r>
        <w:rPr>
          <w:rFonts w:ascii="Tahoma" w:hAnsi="Tahoma" w:cs="Tahoma" w:eastAsia="Tahoma" w:hint="default"/>
          <w:position w:val="-7"/>
          <w:sz w:val="20"/>
          <w:szCs w:val="20"/>
        </w:rPr>
        <w:pict>
          <v:group style="width:479.2pt;height:21.15pt;mso-position-horizontal-relative:char;mso-position-vertical-relative:line" coordorigin="0,0" coordsize="9584,423">
            <v:group style="position:absolute;left:17;top:14;width:4772;height:394" coordorigin="17,14" coordsize="4772,394">
              <v:shape style="position:absolute;left:17;top:14;width:4772;height:394" coordorigin="17,14" coordsize="4772,394" path="m17,14l4788,14,4788,408,17,408,17,14xe" filled="true" fillcolor="#d3d3d3" stroked="false">
                <v:path arrowok="t"/>
                <v:fill type="solid"/>
              </v:shape>
            </v:group>
            <v:group style="position:absolute;left:4798;top:14;width:4776;height:394" coordorigin="4798,14" coordsize="4776,394">
              <v:shape style="position:absolute;left:4798;top:14;width:4776;height:394" coordorigin="4798,14" coordsize="4776,394" path="m4798,14l9574,14,9574,408,4798,408,4798,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79965pt" strokecolor="#000000">
                <v:path arrowok="t"/>
              </v:shape>
            </v:group>
            <v:group style="position:absolute;left:10;top:14;width:2;height:404" coordorigin="10,14" coordsize="2,404">
              <v:shape style="position:absolute;left:10;top:14;width:2;height:404" coordorigin="10,14" coordsize="0,404" path="m10,14l10,418e" filled="false" stroked="true" strokeweight=".479999pt" strokecolor="#000000">
                <v:path arrowok="t"/>
              </v:shape>
            </v:group>
            <v:group style="position:absolute;left:5;top:413;width:4784;height:2" coordorigin="5,413" coordsize="4784,2">
              <v:shape style="position:absolute;left:5;top:413;width:4784;height:2" coordorigin="5,413" coordsize="4784,0" path="m5,413l4788,413e" filled="false" stroked="true" strokeweight=".480011pt" strokecolor="#000000">
                <v:path arrowok="t"/>
              </v:shape>
            </v:group>
            <v:group style="position:absolute;left:4793;top:14;width:2;height:404" coordorigin="4793,14" coordsize="2,404">
              <v:shape style="position:absolute;left:4793;top:14;width:2;height:404" coordorigin="4793,14" coordsize="0,404" path="m4793,14l4793,418e" filled="false" stroked="true" strokeweight=".48001pt" strokecolor="#000000">
                <v:path arrowok="t"/>
              </v:shape>
            </v:group>
            <v:group style="position:absolute;left:4798;top:413;width:4776;height:2" coordorigin="4798,413" coordsize="4776,2">
              <v:shape style="position:absolute;left:4798;top:413;width:4776;height:2" coordorigin="4798,413" coordsize="4776,0" path="m4798,413l9574,413e" filled="false" stroked="true" strokeweight=".480011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80011pt" strokecolor="#000000">
                <v:path arrowok="t"/>
              </v:shape>
              <v:shape style="position:absolute;left:11;top:10;width:4782;height:404" type="#_x0000_t202" filled="false" stroked="false">
                <v:textbox inset="0,0,0,0">
                  <w:txbxContent>
                    <w:p>
                      <w:pPr>
                        <w:spacing w:before="53"/>
                        <w:ind w:left="0" w:right="1" w:firstLine="0"/>
                        <w:jc w:val="center"/>
                        <w:rPr>
                          <w:rFonts w:ascii="宋体" w:hAnsi="宋体" w:cs="宋体" w:eastAsia="宋体" w:hint="default"/>
                          <w:sz w:val="18"/>
                          <w:szCs w:val="18"/>
                        </w:rPr>
                      </w:pPr>
                      <w:r>
                        <w:rPr>
                          <w:rFonts w:ascii="宋体" w:hAnsi="宋体" w:cs="宋体" w:eastAsia="宋体" w:hint="default"/>
                          <w:sz w:val="18"/>
                          <w:szCs w:val="18"/>
                        </w:rPr>
                        <w:t>其他关联方名称</w:t>
                      </w:r>
                    </w:p>
                  </w:txbxContent>
                </v:textbox>
                <w10:wrap type="none"/>
              </v:shape>
              <v:shape style="position:absolute;left:4793;top:10;width:4786;height:404" type="#_x0000_t202" filled="false" stroked="false">
                <v:textbox inset="0,0,0,0">
                  <w:txbxContent>
                    <w:p>
                      <w:pPr>
                        <w:spacing w:before="53"/>
                        <w:ind w:left="1404" w:right="0" w:firstLine="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xbxContent>
                </v:textbox>
                <w10:wrap type="none"/>
              </v:shape>
            </v:group>
          </v:group>
        </w:pict>
      </w:r>
      <w:r>
        <w:rPr>
          <w:rFonts w:ascii="Tahoma" w:hAnsi="Tahoma" w:cs="Tahoma" w:eastAsia="Tahoma" w:hint="default"/>
          <w:position w:val="-7"/>
          <w:sz w:val="20"/>
          <w:szCs w:val="20"/>
        </w:rPr>
      </w:r>
    </w:p>
    <w:p>
      <w:pPr>
        <w:spacing w:after="0" w:line="422" w:lineRule="exact"/>
        <w:rPr>
          <w:rFonts w:ascii="Tahoma" w:hAnsi="Tahoma" w:cs="Tahoma" w:eastAsia="Tahoma" w:hint="default"/>
          <w:sz w:val="20"/>
          <w:szCs w:val="20"/>
        </w:rPr>
        <w:sectPr>
          <w:pgSz w:w="11910" w:h="16840"/>
          <w:pgMar w:header="753" w:footer="982" w:top="1060" w:bottom="1180" w:left="980" w:right="0"/>
        </w:sectPr>
      </w:pPr>
    </w:p>
    <w:p>
      <w:pPr>
        <w:spacing w:line="240" w:lineRule="auto" w:before="0"/>
        <w:rPr>
          <w:rFonts w:ascii="Tahoma" w:hAnsi="Tahoma" w:cs="Tahoma" w:eastAsia="Tahoma" w:hint="default"/>
          <w:sz w:val="20"/>
          <w:szCs w:val="20"/>
        </w:rPr>
      </w:pPr>
    </w:p>
    <w:p>
      <w:pPr>
        <w:spacing w:line="240" w:lineRule="auto" w:before="11"/>
        <w:rPr>
          <w:rFonts w:ascii="Tahoma" w:hAnsi="Tahoma" w:cs="Tahoma" w:eastAsia="Tahoma" w:hint="default"/>
          <w:sz w:val="10"/>
          <w:szCs w:val="10"/>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广东佳宝隆科技有限公司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公司关联自然人王海鹏先生控制的企业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东莞市海升科技有限公司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公司关联自然人王海鹏先生控制的企业</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广州信联智通实业股份有限公司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公司关联自然人（董事、副总经理兼董事会秘书）担任董事 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丽京投资服务有限公司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控股股东及其关系密切的家庭成员合计持股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的企业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常富润科技（深圳）有限公司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关联自然人（副总经理）直接控制的法人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常富润企业（香港）公司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关联自然人（副总经理）直接控制的法人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深圳市天威视讯股份有限公司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关联自然人（独立董事）曾担任独立董事的法人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深圳市机场股份有限公司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关联自然人（独立董事）曾担任独立董事的法人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深圳市捷顺科技实业股份有限公司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深圳市飞荣达科技股份有限公司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广东海派律师事务所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关联自然人（独立董事）担任执行合伙人的法人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华泰期货有限公司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深圳市朗科科技股份有限公司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关联自然人（独立董事）曾担任独立董事的法人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福建海西金融租赁有限责任公司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平安证券股份有限公司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佛山市燃气集团股份有限公司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欣旺达电子股份有限公司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关联自然人（董事）担任独立董事的法人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中航三鑫股份有限公司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深圳市联建光电股份有限公司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bl>
    <w:p>
      <w:pPr>
        <w:pStyle w:val="BodyText"/>
        <w:spacing w:line="357" w:lineRule="auto" w:before="49"/>
        <w:ind w:right="3134"/>
        <w:jc w:val="left"/>
      </w:pPr>
      <w:r>
        <w:rPr/>
        <w:t>其他说明 其他关联方还包括公司董事、监事、高级管理人员、持股</w:t>
      </w:r>
      <w:r>
        <w:rPr>
          <w:rFonts w:ascii="Times New Roman" w:hAnsi="Times New Roman" w:cs="Times New Roman" w:eastAsia="Times New Roman" w:hint="default"/>
        </w:rPr>
        <w:t>5%</w:t>
      </w:r>
      <w:r>
        <w:rPr/>
        <w:t>以上股东及其关系密切的家庭成员。</w:t>
      </w:r>
    </w:p>
    <w:p>
      <w:pPr>
        <w:spacing w:line="240" w:lineRule="auto" w:before="9"/>
        <w:rPr>
          <w:rFonts w:ascii="宋体" w:hAnsi="宋体" w:cs="宋体" w:eastAsia="宋体" w:hint="default"/>
          <w:sz w:val="18"/>
          <w:szCs w:val="18"/>
        </w:rPr>
      </w:pPr>
    </w:p>
    <w:p>
      <w:pPr>
        <w:pStyle w:val="Heading3"/>
        <w:spacing w:line="240" w:lineRule="auto"/>
        <w:ind w:right="984"/>
        <w:jc w:val="left"/>
        <w:rPr>
          <w:rFonts w:ascii="Tahoma" w:hAnsi="Tahoma" w:cs="Tahoma" w:eastAsia="Tahoma" w:hint="default"/>
        </w:rPr>
      </w:pPr>
      <w:r>
        <w:rPr>
          <w:rFonts w:ascii="Tahoma" w:hAnsi="Tahoma" w:cs="Tahoma" w:eastAsia="Tahoma" w:hint="default"/>
        </w:rPr>
        <w:t>5</w:t>
      </w:r>
      <w:r>
        <w:rPr/>
        <w:t>、关联交易情况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）购销商品、提供和接受劳务的关联交易</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right="984"/>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41"/>
        <w:gridCol w:w="1454"/>
        <w:gridCol w:w="1452"/>
        <w:gridCol w:w="1709"/>
        <w:gridCol w:w="1706"/>
        <w:gridCol w:w="1706"/>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4"/>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8"/>
        <w:gridCol w:w="2258"/>
        <w:gridCol w:w="2258"/>
        <w:gridCol w:w="2654"/>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广东佳宝隆科技有限公司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487,106.24</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6,695,117.07</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东莞市海升科技有限公司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133,614.56</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560,988.38</w:t>
            </w:r>
          </w:p>
        </w:tc>
      </w:tr>
    </w:tbl>
    <w:p>
      <w:pPr>
        <w:spacing w:after="0" w:line="240" w:lineRule="auto"/>
        <w:jc w:val="right"/>
        <w:rPr>
          <w:rFonts w:ascii="Times New Roman" w:hAnsi="Times New Roman" w:cs="Times New Roman" w:eastAsia="Times New Roman" w:hint="default"/>
          <w:sz w:val="18"/>
          <w:szCs w:val="18"/>
        </w:rPr>
        <w:sectPr>
          <w:footerReference w:type="default" r:id="rId34"/>
          <w:pgSz w:w="11910" w:h="16840"/>
          <w:pgMar w:footer="982" w:header="753" w:top="1060" w:bottom="1180" w:left="980" w:right="0"/>
          <w:pgNumType w:start="190"/>
        </w:sectPr>
      </w:pPr>
    </w:p>
    <w:p>
      <w:pPr>
        <w:spacing w:line="240" w:lineRule="auto" w:before="4"/>
        <w:rPr>
          <w:rFonts w:ascii="宋体" w:hAnsi="宋体" w:cs="宋体" w:eastAsia="宋体" w:hint="default"/>
          <w:sz w:val="26"/>
          <w:szCs w:val="26"/>
        </w:rPr>
      </w:pPr>
    </w:p>
    <w:p>
      <w:pPr>
        <w:pStyle w:val="BodyText"/>
        <w:spacing w:line="360" w:lineRule="auto" w:before="37"/>
        <w:ind w:right="7334"/>
        <w:jc w:val="left"/>
      </w:pPr>
      <w:r>
        <w:rPr/>
        <w:t>购销商品、提供和接受劳务的关联交易说明 无</w:t>
      </w:r>
    </w:p>
    <w:p>
      <w:pPr>
        <w:spacing w:line="240" w:lineRule="auto" w:before="4"/>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）关联受托管理</w:t>
      </w:r>
      <w:r>
        <w:rPr>
          <w:rFonts w:ascii="Tahoma" w:hAnsi="Tahoma" w:cs="Tahoma" w:eastAsia="Tahoma" w:hint="default"/>
        </w:rPr>
        <w:t>/</w:t>
      </w:r>
      <w:r>
        <w:rPr/>
        <w:t>承包及委托管理</w:t>
      </w:r>
      <w:r>
        <w:rPr>
          <w:rFonts w:ascii="Tahoma" w:hAnsi="Tahoma" w:cs="Tahoma" w:eastAsia="Tahoma" w:hint="default"/>
        </w:rPr>
        <w:t>/</w:t>
      </w:r>
      <w:r>
        <w:rPr/>
        <w:t>出包情况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right="984"/>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588" w:right="21"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590" w:right="21"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228"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pStyle w:val="BodyText"/>
        <w:spacing w:line="338" w:lineRule="auto" w:before="49"/>
        <w:ind w:right="521"/>
        <w:jc w:val="left"/>
      </w:pPr>
      <w:r>
        <w:rPr/>
        <w:t>关联托管</w:t>
      </w:r>
      <w:r>
        <w:rPr>
          <w:rFonts w:ascii="Times New Roman" w:hAnsi="Times New Roman" w:cs="Times New Roman" w:eastAsia="Times New Roman" w:hint="default"/>
        </w:rPr>
        <w:t>/</w:t>
      </w:r>
      <w:r>
        <w:rPr/>
        <w:t>承包情况说明 无</w:t>
      </w:r>
    </w:p>
    <w:p>
      <w:pPr>
        <w:pStyle w:val="BodyText"/>
        <w:spacing w:line="240" w:lineRule="auto" w:before="43"/>
        <w:ind w:right="-19"/>
        <w:jc w:val="left"/>
      </w:pPr>
      <w:r>
        <w:rPr/>
        <w:t>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2544" w:space="6283"/>
            <w:col w:w="210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88" w:right="21"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90" w:right="21"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408"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0" w:lineRule="auto" w:before="49"/>
        <w:ind w:right="8904"/>
        <w:jc w:val="left"/>
      </w:pPr>
      <w:r>
        <w:rPr/>
        <w:t>关联管理</w:t>
      </w:r>
      <w:r>
        <w:rPr>
          <w:rFonts w:ascii="Times New Roman" w:hAnsi="Times New Roman" w:cs="Times New Roman" w:eastAsia="Times New Roman" w:hint="default"/>
        </w:rPr>
        <w:t>/</w:t>
      </w:r>
      <w:r>
        <w:rPr/>
        <w:t>出包情况说明 无</w:t>
      </w:r>
    </w:p>
    <w:p>
      <w:pPr>
        <w:spacing w:line="240" w:lineRule="auto" w:before="5"/>
        <w:rPr>
          <w:rFonts w:ascii="宋体" w:hAnsi="宋体" w:cs="宋体" w:eastAsia="宋体" w:hint="default"/>
          <w:sz w:val="21"/>
          <w:szCs w:val="21"/>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3</w:t>
      </w:r>
      <w:r>
        <w:rPr/>
        <w:t>）关联租赁情况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right="984"/>
        <w:jc w:val="left"/>
      </w:pPr>
      <w:r>
        <w:rPr/>
        <w:t>本公司作为出租方：</w:t>
      </w:r>
    </w:p>
    <w:p>
      <w:pPr>
        <w:pStyle w:val="BodyText"/>
        <w:spacing w:line="240" w:lineRule="auto" w:before="11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88"/>
        <w:gridCol w:w="2395"/>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4"/>
        <w:jc w:val="left"/>
      </w:pPr>
      <w:r>
        <w:rPr/>
        <w:t>本公司作为承租方：</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314"/>
        <w:jc w:val="left"/>
      </w:pPr>
      <w:r>
        <w:rPr/>
        <w:t>关联租赁情况说明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4</w:t>
      </w:r>
      <w:r>
        <w:rPr/>
        <w:t>）关联担保情况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t>本公司作为担保方</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right="984"/>
        <w:jc w:val="left"/>
      </w:pPr>
      <w:r>
        <w:rPr/>
        <w:t>本公司作为被担保方</w:t>
      </w:r>
    </w:p>
    <w:p>
      <w:pPr>
        <w:pStyle w:val="BodyText"/>
        <w:spacing w:line="240" w:lineRule="auto" w:before="11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9314"/>
        <w:jc w:val="left"/>
      </w:pPr>
      <w:r>
        <w:rPr/>
        <w:t>关联担保情况说明 无</w:t>
      </w:r>
    </w:p>
    <w:p>
      <w:pPr>
        <w:spacing w:line="240" w:lineRule="auto" w:before="4"/>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5</w:t>
      </w:r>
      <w:r>
        <w:rPr/>
        <w:t>）关联方资金拆借</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6</w:t>
      </w:r>
      <w:r>
        <w:rPr/>
        <w:t>）关联方资产转让、债务重组情况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7</w:t>
      </w:r>
      <w:r>
        <w:rPr/>
        <w:t>）关键管理人员报酬</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3,942,308.00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3,164,489.00</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8</w:t>
      </w:r>
      <w:r>
        <w:rPr/>
        <w:t>）其他关联交易</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rFonts w:ascii="Tahoma" w:hAnsi="Tahoma" w:cs="Tahoma" w:eastAsia="Tahoma" w:hint="default"/>
        </w:rPr>
        <w:t>6</w:t>
      </w:r>
      <w:r>
        <w:rPr/>
        <w:t>、关联方应收应付款项</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）应收项目</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7"/>
              <w:jc w:val="left"/>
              <w:rPr>
                <w:rFonts w:ascii="宋体" w:hAnsi="宋体" w:cs="宋体" w:eastAsia="宋体" w:hint="default"/>
                <w:sz w:val="18"/>
                <w:szCs w:val="18"/>
              </w:rPr>
            </w:pPr>
            <w:r>
              <w:rPr>
                <w:rFonts w:ascii="宋体" w:hAnsi="宋体" w:cs="宋体" w:eastAsia="宋体" w:hint="default"/>
                <w:sz w:val="18"/>
                <w:szCs w:val="18"/>
              </w:rPr>
              <w:t>广东佳宝隆科技有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92,843.25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4,642.16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1,956,582.67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97,829.13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7"/>
              <w:jc w:val="left"/>
              <w:rPr>
                <w:rFonts w:ascii="宋体" w:hAnsi="宋体" w:cs="宋体" w:eastAsia="宋体" w:hint="default"/>
                <w:sz w:val="18"/>
                <w:szCs w:val="18"/>
              </w:rPr>
            </w:pPr>
            <w:r>
              <w:rPr>
                <w:rFonts w:ascii="宋体" w:hAnsi="宋体" w:cs="宋体" w:eastAsia="宋体" w:hint="default"/>
                <w:sz w:val="18"/>
                <w:szCs w:val="18"/>
              </w:rPr>
              <w:t>东莞市海升科技有 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319,304.23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15,965.21</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）应付项目</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7</w:t>
      </w:r>
      <w:r>
        <w:rPr/>
        <w:t>、关联方承诺</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rFonts w:ascii="Tahoma" w:hAnsi="Tahoma" w:cs="Tahoma" w:eastAsia="Tahoma" w:hint="default"/>
        </w:rPr>
        <w:t>8</w:t>
      </w:r>
      <w:r>
        <w:rPr/>
        <w:t>、其他</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line="240" w:lineRule="auto" w:before="3"/>
        <w:rPr>
          <w:rFonts w:ascii="宋体" w:hAnsi="宋体" w:cs="宋体" w:eastAsia="宋体" w:hint="default"/>
          <w:sz w:val="25"/>
          <w:szCs w:val="25"/>
        </w:rPr>
      </w:pPr>
    </w:p>
    <w:p>
      <w:pPr>
        <w:pStyle w:val="Heading2"/>
        <w:spacing w:line="240" w:lineRule="auto"/>
        <w:ind w:right="984"/>
        <w:jc w:val="left"/>
        <w:rPr>
          <w:rFonts w:ascii="Tahoma" w:hAnsi="Tahoma" w:cs="Tahoma" w:eastAsia="Tahoma" w:hint="default"/>
        </w:rPr>
      </w:pPr>
      <w:r>
        <w:rPr/>
        <w:t>十三、股份支付</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、股份支付总体情况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w:t>
      </w:r>
      <w:r>
        <w:rPr/>
        <w:t>、以权益结算的股份支付情况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w:t>
      </w:r>
      <w:r>
        <w:rPr/>
        <w:t>、以现金结算的股份支付情况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spacing w:line="547"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w:t>
      </w:r>
      <w:r>
        <w:rPr>
          <w:rFonts w:ascii="Tahoma" w:hAnsi="Tahoma" w:cs="Tahoma" w:eastAsia="Tahoma" w:hint="default"/>
          <w:sz w:val="21"/>
          <w:szCs w:val="21"/>
        </w:rPr>
        <w:t>4</w:t>
      </w:r>
      <w:r>
        <w:rPr>
          <w:rFonts w:ascii="宋体" w:hAnsi="宋体" w:cs="宋体" w:eastAsia="宋体" w:hint="default"/>
          <w:sz w:val="21"/>
          <w:szCs w:val="21"/>
        </w:rPr>
        <w:t>、股份支付的修改、终止情况</w:t>
      </w:r>
      <w:r>
        <w:rPr>
          <w:rFonts w:ascii="Tahoma" w:hAnsi="Tahoma" w:cs="Tahoma" w:eastAsia="Tahoma" w:hint="default"/>
          <w:w w:val="80"/>
          <w:sz w:val="21"/>
          <w:szCs w:val="21"/>
        </w:rPr>
        <w:t> </w:t>
      </w:r>
      <w:r>
        <w:rPr>
          <w:rFonts w:ascii="宋体" w:hAnsi="宋体" w:cs="宋体" w:eastAsia="宋体" w:hint="default"/>
          <w:sz w:val="18"/>
          <w:szCs w:val="18"/>
        </w:rPr>
        <w:t>无</w:t>
      </w:r>
    </w:p>
    <w:p>
      <w:pPr>
        <w:pStyle w:val="Heading3"/>
        <w:spacing w:line="240" w:lineRule="auto" w:before="125"/>
        <w:ind w:right="984"/>
        <w:jc w:val="left"/>
        <w:rPr>
          <w:rFonts w:ascii="Tahoma" w:hAnsi="Tahoma" w:cs="Tahoma" w:eastAsia="Tahoma" w:hint="default"/>
        </w:rPr>
      </w:pPr>
      <w:r>
        <w:rPr>
          <w:rFonts w:ascii="Tahoma" w:hAnsi="Tahoma" w:cs="Tahoma" w:eastAsia="Tahoma" w:hint="default"/>
        </w:rPr>
        <w:t>5</w:t>
      </w:r>
      <w:r>
        <w:rPr/>
        <w:t>、其他</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after="0" w:line="240" w:lineRule="auto"/>
        <w:jc w:val="left"/>
        <w:sectPr>
          <w:pgSz w:w="11910" w:h="16840"/>
          <w:pgMar w:header="753"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4"/>
        <w:jc w:val="left"/>
        <w:rPr>
          <w:rFonts w:ascii="Tahoma" w:hAnsi="Tahoma" w:cs="Tahoma" w:eastAsia="Tahoma" w:hint="default"/>
        </w:rPr>
      </w:pPr>
      <w:r>
        <w:rPr/>
        <w:t>十四、承诺及或有事项</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、重要承诺事项</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60" w:lineRule="auto"/>
        <w:ind w:right="6254"/>
        <w:jc w:val="left"/>
      </w:pPr>
      <w:r>
        <w:rPr/>
        <w:t>资产负债表日存在的重要承诺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日，公司无需要披露的重要承诺事项。</w:t>
      </w:r>
    </w:p>
    <w:p>
      <w:pPr>
        <w:spacing w:line="240" w:lineRule="auto" w:before="7"/>
        <w:rPr>
          <w:rFonts w:ascii="宋体" w:hAnsi="宋体" w:cs="宋体" w:eastAsia="宋体" w:hint="default"/>
          <w:sz w:val="18"/>
          <w:szCs w:val="18"/>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w:t>
      </w:r>
      <w:r>
        <w:rPr/>
        <w:t>、或有事项</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）资产负债表日存在的重要或有事项</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日，公司无需要披露的重要或有事项。</w:t>
      </w:r>
    </w:p>
    <w:p>
      <w:pPr>
        <w:spacing w:line="240" w:lineRule="auto" w:before="2"/>
        <w:rPr>
          <w:rFonts w:ascii="宋体" w:hAnsi="宋体" w:cs="宋体" w:eastAsia="宋体"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）公司没有需要披露的重要或有事项，也应予以说明</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t>公司不存在需要披露的重要或有事项。</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rFonts w:ascii="Tahoma" w:hAnsi="Tahoma" w:cs="Tahoma" w:eastAsia="Tahoma" w:hint="default"/>
        </w:rPr>
        <w:t>3</w:t>
      </w:r>
      <w:r>
        <w:rPr/>
        <w:t>、其他</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line="240" w:lineRule="auto" w:before="3"/>
        <w:rPr>
          <w:rFonts w:ascii="宋体" w:hAnsi="宋体" w:cs="宋体" w:eastAsia="宋体" w:hint="default"/>
          <w:sz w:val="25"/>
          <w:szCs w:val="25"/>
        </w:rPr>
      </w:pPr>
    </w:p>
    <w:p>
      <w:pPr>
        <w:pStyle w:val="Heading2"/>
        <w:spacing w:line="240" w:lineRule="auto"/>
        <w:ind w:right="984"/>
        <w:jc w:val="left"/>
        <w:rPr>
          <w:rFonts w:ascii="Tahoma" w:hAnsi="Tahoma" w:cs="Tahoma" w:eastAsia="Tahoma" w:hint="default"/>
        </w:rPr>
      </w:pPr>
      <w:r>
        <w:rPr/>
        <w:t>十五、资产负债表日后事项</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、重要的非调整事项</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2</w:t>
      </w:r>
      <w:r>
        <w:rPr/>
        <w:t>、利润分配情况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3</w:t>
      </w:r>
      <w:r>
        <w:rPr/>
        <w:t>、销售退回</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rFonts w:ascii="Tahoma" w:hAnsi="Tahoma" w:cs="Tahoma" w:eastAsia="Tahoma" w:hint="default"/>
        </w:rPr>
        <w:t>4</w:t>
      </w:r>
      <w:r>
        <w:rPr/>
        <w:t>、其他资产负债表日后事项说明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after="0" w:line="240" w:lineRule="auto"/>
        <w:jc w:val="left"/>
        <w:sectPr>
          <w:pgSz w:w="11910" w:h="16840"/>
          <w:pgMar w:header="753"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4"/>
        <w:jc w:val="left"/>
        <w:rPr>
          <w:rFonts w:ascii="Tahoma" w:hAnsi="Tahoma" w:cs="Tahoma" w:eastAsia="Tahoma" w:hint="default"/>
        </w:rPr>
      </w:pPr>
      <w:r>
        <w:rPr/>
        <w:t>十六、其他重要事项</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、前期会计差错更正</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）追溯重述法</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）未来适用法</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ahoma" w:hAnsi="Tahoma" w:cs="Tahoma" w:eastAsia="Tahoma" w:hint="default"/>
          <w:sz w:val="20"/>
          <w:szCs w:val="20"/>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2</w:t>
      </w:r>
      <w:r>
        <w:rPr/>
        <w:t>、债务重组</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rFonts w:ascii="Tahoma" w:hAnsi="Tahoma" w:cs="Tahoma" w:eastAsia="Tahoma" w:hint="default"/>
        </w:rPr>
        <w:t>3</w:t>
      </w:r>
      <w:r>
        <w:rPr/>
        <w:t>、资产置换</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）非货币性资产交换</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t>（</w:t>
      </w:r>
      <w:r>
        <w:rPr>
          <w:rFonts w:ascii="Tahoma" w:hAnsi="Tahoma" w:cs="Tahoma" w:eastAsia="Tahoma" w:hint="default"/>
        </w:rPr>
        <w:t>2</w:t>
      </w:r>
      <w:r>
        <w:rPr/>
        <w:t>）其他资产置换</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rFonts w:ascii="Tahoma" w:hAnsi="Tahoma" w:cs="Tahoma" w:eastAsia="Tahoma" w:hint="default"/>
        </w:rPr>
        <w:t>4</w:t>
      </w:r>
      <w:r>
        <w:rPr/>
        <w:t>、年金计划</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rFonts w:ascii="Tahoma" w:hAnsi="Tahoma" w:cs="Tahoma" w:eastAsia="Tahoma" w:hint="default"/>
        </w:rPr>
        <w:t>5</w:t>
      </w:r>
      <w:r>
        <w:rPr/>
        <w:t>、终止经营</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10034"/>
        <w:jc w:val="left"/>
      </w:pPr>
      <w:r>
        <w:rPr/>
        <w:t>其他说明 无</w:t>
      </w:r>
    </w:p>
    <w:p>
      <w:pPr>
        <w:spacing w:after="0" w:line="360" w:lineRule="auto"/>
        <w:jc w:val="left"/>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6</w:t>
      </w:r>
      <w:r>
        <w:rPr/>
        <w:t>、分部信息</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）报告分部的确定依据与会计政策</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t>根据公司的销售特点，公司分为自制产品销售、第三方采购销售两部分，并执行统一会计政策。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）报告分部的财务信息</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自制品销售</w:t>
            </w:r>
          </w:p>
        </w:tc>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第三采购销售</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一、主营业务收入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2,429,721,981.06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695,674,531.25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3,125,396,512.31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二、主营业务成本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1,647,544,271.28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539,317,246.99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2,186,861,518.27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三、资产减值损失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21,504,138.61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6,157,034.29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27,661,172.90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四、折旧费和摊销费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76,510,611.86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76,510,611.86</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五、利润总额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390,251,585.33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78,011,271.99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468,262,857.32</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六、所得税费用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63,177,712.13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12,629,221.43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75,806,933.56</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七、净利润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327,073,873.20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65,382,050.56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392,455,923.76</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3</w:t>
      </w:r>
      <w:r>
        <w:rPr/>
        <w:t>）公司无报告分部的，或者不能披露各报告分部的资产总额和负债总额的，应说明原因</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t>（</w:t>
      </w:r>
      <w:r>
        <w:rPr>
          <w:rFonts w:ascii="Tahoma" w:hAnsi="Tahoma" w:cs="Tahoma" w:eastAsia="Tahoma" w:hint="default"/>
        </w:rPr>
        <w:t>4</w:t>
      </w:r>
      <w:r>
        <w:rPr/>
        <w:t>）其他说明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rFonts w:ascii="Tahoma" w:hAnsi="Tahoma" w:cs="Tahoma" w:eastAsia="Tahoma" w:hint="default"/>
        </w:rPr>
        <w:t>7</w:t>
      </w:r>
      <w:r>
        <w:rPr/>
        <w:t>、其他对投资者决策有影响的重要交易和事项</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rFonts w:ascii="Tahoma" w:hAnsi="Tahoma" w:cs="Tahoma" w:eastAsia="Tahoma" w:hint="default"/>
        </w:rPr>
        <w:t>8</w:t>
      </w:r>
      <w:r>
        <w:rPr/>
        <w:t>、其他</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line="240" w:lineRule="auto" w:before="3"/>
        <w:rPr>
          <w:rFonts w:ascii="宋体" w:hAnsi="宋体" w:cs="宋体" w:eastAsia="宋体" w:hint="default"/>
          <w:sz w:val="25"/>
          <w:szCs w:val="25"/>
        </w:rPr>
      </w:pPr>
    </w:p>
    <w:p>
      <w:pPr>
        <w:pStyle w:val="Heading2"/>
        <w:spacing w:line="240" w:lineRule="auto"/>
        <w:ind w:right="984"/>
        <w:jc w:val="left"/>
        <w:rPr>
          <w:rFonts w:ascii="Tahoma" w:hAnsi="Tahoma" w:cs="Tahoma" w:eastAsia="Tahoma" w:hint="default"/>
        </w:rPr>
      </w:pPr>
      <w:r>
        <w:rPr/>
        <w:t>十七、母公司财务报表主要项目注释</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、应收票据及应收账款</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52,760,172.07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39,040,513.76</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376,432,146.31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293,969,650.14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429,192,318.38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333,010,163.90</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1</w:t>
      </w:r>
      <w:r>
        <w:rPr/>
        <w:t>）应收票据</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1)</w:t>
      </w:r>
      <w:r>
        <w:rPr/>
        <w:t>应收票据分类列示</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52,760,172.07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39,040,513.76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52,760,172.07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39,040,513.76</w:t>
            </w:r>
          </w:p>
        </w:tc>
      </w:tr>
    </w:tbl>
    <w:p>
      <w:pPr>
        <w:pStyle w:val="BodyText"/>
        <w:spacing w:line="240" w:lineRule="auto" w:before="49"/>
        <w:ind w:right="984"/>
        <w:jc w:val="left"/>
      </w:pPr>
      <w:r>
        <w:rPr>
          <w:rFonts w:ascii="Times New Roman" w:hAnsi="Times New Roman" w:cs="Times New Roman" w:eastAsia="Times New Roman" w:hint="default"/>
        </w:rPr>
        <w:t>2)</w:t>
      </w:r>
      <w:r>
        <w:rPr/>
        <w:t>期末公司已质押的应收票据</w:t>
      </w:r>
    </w:p>
    <w:p>
      <w:pPr>
        <w:pStyle w:val="BodyText"/>
        <w:spacing w:line="240" w:lineRule="auto" w:before="101"/>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pt;mso-position-horizontal-relative:char;mso-position-vertical-relative:line" coordorigin="0,0" coordsize="9584,420">
            <v:group style="position:absolute;left:17;top:14;width:4774;height:392" coordorigin="17,14" coordsize="4774,392">
              <v:shape style="position:absolute;left:17;top:14;width:4774;height:392" coordorigin="17,14" coordsize="4774,392" path="m17,14l4790,14,4790,406,17,406,17,14xe" filled="true" fillcolor="#d3d3d3" stroked="false">
                <v:path arrowok="t"/>
                <v:fill type="solid"/>
              </v:shape>
            </v:group>
            <v:group style="position:absolute;left:4800;top:14;width:4774;height:392" coordorigin="4800,14" coordsize="4774,392">
              <v:shape style="position:absolute;left:4800;top:14;width:4774;height:392" coordorigin="4800,14" coordsize="4774,392" path="m4800,14l9574,14,9574,406,4800,406,4800,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8001pt" strokecolor="#000000">
                <v:path arrowok="t"/>
              </v:shape>
            </v:group>
            <v:group style="position:absolute;left:10;top:14;width:2;height:401" coordorigin="10,14" coordsize="2,401">
              <v:shape style="position:absolute;left:10;top:14;width:2;height:401" coordorigin="10,14" coordsize="0,401" path="m10,14l10,415e" filled="false" stroked="true" strokeweight=".479999pt" strokecolor="#000000">
                <v:path arrowok="t"/>
              </v:shape>
            </v:group>
            <v:group style="position:absolute;left:5;top:410;width:4784;height:2" coordorigin="5,410" coordsize="4784,2">
              <v:shape style="position:absolute;left:5;top:410;width:4784;height:2" coordorigin="5,410" coordsize="4784,0" path="m5,410l4788,410e" filled="false" stroked="true" strokeweight=".480011pt" strokecolor="#000000">
                <v:path arrowok="t"/>
              </v:shape>
            </v:group>
            <v:group style="position:absolute;left:4793;top:14;width:2;height:401" coordorigin="4793,14" coordsize="2,401">
              <v:shape style="position:absolute;left:4793;top:14;width:2;height:401" coordorigin="4793,14" coordsize="0,401" path="m4793,14l4793,415e" filled="false" stroked="true" strokeweight=".48001pt" strokecolor="#000000">
                <v:path arrowok="t"/>
              </v:shape>
            </v:group>
            <v:group style="position:absolute;left:4798;top:410;width:4776;height:2" coordorigin="4798,410" coordsize="4776,2">
              <v:shape style="position:absolute;left:4798;top:410;width:4776;height:2" coordorigin="4798,410" coordsize="4776,0" path="m4798,410l9574,410e" filled="false" stroked="true" strokeweight=".480011pt" strokecolor="#000000">
                <v:path arrowok="t"/>
              </v:shape>
            </v:group>
            <v:group style="position:absolute;left:9578;top:5;width:2;height:411" coordorigin="9578,5" coordsize="2,411">
              <v:shape style="position:absolute;left:9578;top:5;width:2;height:411" coordorigin="9578,5" coordsize="0,411" path="m9578,5l9578,415e" filled="false" stroked="true" strokeweight=".480011pt" strokecolor="#000000">
                <v:path arrowok="t"/>
              </v:shape>
              <v:shape style="position:absolute;left:2222;top:126;width:360;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3;top:10;width:4786;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984"/>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10,642,514.66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10,642,514.66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4)</w:t>
      </w:r>
      <w:r>
        <w:rPr/>
        <w:t>期末公司因出票人未履约而将其转应收账款的票据</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15pt;mso-position-horizontal-relative:char;mso-position-vertical-relative:line" coordorigin="0,0" coordsize="9584,423">
            <v:group style="position:absolute;left:17;top:14;width:4774;height:394" coordorigin="17,14" coordsize="4774,394">
              <v:shape style="position:absolute;left:17;top:14;width:4774;height:394" coordorigin="17,14" coordsize="4774,394" path="m17,14l4790,14,4790,408,17,408,17,14xe" filled="true" fillcolor="#d3d3d3" stroked="false">
                <v:path arrowok="t"/>
                <v:fill type="solid"/>
              </v:shape>
            </v:group>
            <v:group style="position:absolute;left:4800;top:14;width:4774;height:394" coordorigin="4800,14" coordsize="4774,394">
              <v:shape style="position:absolute;left:4800;top:14;width:4774;height:394" coordorigin="4800,14" coordsize="4774,394" path="m4800,14l9574,14,9574,408,4800,408,4800,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80011pt" strokecolor="#000000">
                <v:path arrowok="t"/>
              </v:shape>
            </v:group>
            <v:group style="position:absolute;left:10;top:14;width:2;height:404" coordorigin="10,14" coordsize="2,404">
              <v:shape style="position:absolute;left:10;top:14;width:2;height:404" coordorigin="10,14" coordsize="0,404" path="m10,14l10,418e" filled="false" stroked="true" strokeweight=".479999pt" strokecolor="#000000">
                <v:path arrowok="t"/>
              </v:shape>
            </v:group>
            <v:group style="position:absolute;left:5;top:413;width:4784;height:2" coordorigin="5,413" coordsize="4784,2">
              <v:shape style="position:absolute;left:5;top:413;width:4784;height:2" coordorigin="5,413" coordsize="4784,0" path="m5,413l4788,413e" filled="false" stroked="true" strokeweight=".479965pt" strokecolor="#000000">
                <v:path arrowok="t"/>
              </v:shape>
            </v:group>
            <v:group style="position:absolute;left:4793;top:14;width:2;height:404" coordorigin="4793,14" coordsize="2,404">
              <v:shape style="position:absolute;left:4793;top:14;width:2;height:404" coordorigin="4793,14" coordsize="0,404" path="m4793,14l4793,418e" filled="false" stroked="true" strokeweight=".48001pt" strokecolor="#000000">
                <v:path arrowok="t"/>
              </v:shape>
            </v:group>
            <v:group style="position:absolute;left:4798;top:413;width:4776;height:2" coordorigin="4798,413" coordsize="4776,2">
              <v:shape style="position:absolute;left:4798;top:413;width:4776;height:2" coordorigin="4798,413" coordsize="4776,0" path="m4798,413l9574,413e" filled="false" stroked="true" strokeweight=".479965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80011pt" strokecolor="#000000">
                <v:path arrowok="t"/>
              </v:shape>
              <v:shape style="position:absolute;left:2222;top:126;width:360;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3;top:10;width:4786;height:404" type="#_x0000_t202" filled="false" stroked="false">
                <v:textbox inset="0,0,0,0">
                  <w:txbxContent>
                    <w:p>
                      <w:pPr>
                        <w:spacing w:before="53"/>
                        <w:ind w:left="1581"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1003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）应收账款</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401,146,</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584.16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24,714,4</w:t>
            </w:r>
          </w:p>
          <w:p>
            <w:pPr>
              <w:pStyle w:val="TableParagraph"/>
              <w:spacing w:line="240" w:lineRule="auto" w:before="102"/>
              <w:ind w:left="324" w:right="0"/>
              <w:jc w:val="left"/>
              <w:rPr>
                <w:rFonts w:ascii="Times New Roman" w:hAnsi="Times New Roman" w:cs="Times New Roman" w:eastAsia="Times New Roman" w:hint="default"/>
                <w:sz w:val="18"/>
                <w:szCs w:val="18"/>
              </w:rPr>
            </w:pPr>
            <w:r>
              <w:rPr>
                <w:rFonts w:ascii="Times New Roman"/>
                <w:sz w:val="18"/>
              </w:rPr>
              <w:t>37.85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376,432,1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46.31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310,831</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,943.13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16,862,29</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2.99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293,969,65</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0.14</w:t>
            </w: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1" w:right="0"/>
              <w:jc w:val="center"/>
              <w:rPr>
                <w:rFonts w:ascii="Times New Roman" w:hAnsi="Times New Roman" w:cs="Times New Roman" w:eastAsia="Times New Roman" w:hint="default"/>
                <w:sz w:val="18"/>
                <w:szCs w:val="18"/>
              </w:rPr>
            </w:pPr>
            <w:r>
              <w:rPr>
                <w:rFonts w:ascii="Times New Roman"/>
                <w:sz w:val="18"/>
              </w:rPr>
              <w:t>401,146,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5" w:right="0"/>
              <w:jc w:val="center"/>
              <w:rPr>
                <w:rFonts w:ascii="Times New Roman" w:hAnsi="Times New Roman" w:cs="Times New Roman" w:eastAsia="Times New Roman" w:hint="default"/>
                <w:sz w:val="18"/>
                <w:szCs w:val="18"/>
              </w:rPr>
            </w:pPr>
            <w:r>
              <w:rPr>
                <w:rFonts w:ascii="Times New Roman"/>
                <w:sz w:val="18"/>
              </w:rPr>
              <w:t>24,714,4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376,432,1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8" w:right="0"/>
              <w:jc w:val="center"/>
              <w:rPr>
                <w:rFonts w:ascii="Times New Roman" w:hAnsi="Times New Roman" w:cs="Times New Roman" w:eastAsia="Times New Roman" w:hint="default"/>
                <w:sz w:val="18"/>
                <w:szCs w:val="18"/>
              </w:rPr>
            </w:pPr>
            <w:r>
              <w:rPr>
                <w:rFonts w:ascii="Times New Roman"/>
                <w:sz w:val="18"/>
              </w:rPr>
              <w:t>310,831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2" w:right="0"/>
              <w:jc w:val="center"/>
              <w:rPr>
                <w:rFonts w:ascii="Times New Roman" w:hAnsi="Times New Roman" w:cs="Times New Roman" w:eastAsia="Times New Roman" w:hint="default"/>
                <w:sz w:val="18"/>
                <w:szCs w:val="18"/>
              </w:rPr>
            </w:pPr>
            <w:r>
              <w:rPr>
                <w:rFonts w:ascii="Times New Roman"/>
                <w:sz w:val="18"/>
              </w:rPr>
              <w:t>16,862,29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8" w:right="0"/>
              <w:jc w:val="left"/>
              <w:rPr>
                <w:rFonts w:ascii="Times New Roman" w:hAnsi="Times New Roman" w:cs="Times New Roman" w:eastAsia="Times New Roman" w:hint="default"/>
                <w:sz w:val="18"/>
                <w:szCs w:val="18"/>
              </w:rPr>
            </w:pPr>
            <w:r>
              <w:rPr>
                <w:rFonts w:ascii="Times New Roman"/>
                <w:sz w:val="18"/>
              </w:rPr>
              <w:t>293,969,65</w:t>
            </w:r>
          </w:p>
        </w:tc>
      </w:tr>
    </w:tbl>
    <w:p>
      <w:pPr>
        <w:spacing w:after="0" w:line="240" w:lineRule="auto"/>
        <w:jc w:val="lef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3"/>
        <w:gridCol w:w="761"/>
        <w:gridCol w:w="763"/>
        <w:gridCol w:w="763"/>
        <w:gridCol w:w="787"/>
        <w:gridCol w:w="655"/>
        <w:gridCol w:w="761"/>
        <w:gridCol w:w="814"/>
        <w:gridCol w:w="934"/>
        <w:gridCol w:w="931"/>
      </w:tblGrid>
      <w:tr>
        <w:trPr>
          <w:trHeight w:val="362"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7" w:right="0"/>
              <w:jc w:val="left"/>
              <w:rPr>
                <w:rFonts w:ascii="Times New Roman" w:hAnsi="Times New Roman" w:cs="Times New Roman" w:eastAsia="Times New Roman" w:hint="default"/>
                <w:sz w:val="18"/>
                <w:szCs w:val="18"/>
              </w:rPr>
            </w:pPr>
            <w:r>
              <w:rPr>
                <w:rFonts w:ascii="Times New Roman"/>
                <w:sz w:val="18"/>
              </w:rPr>
              <w:t>584.16</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4" w:right="0"/>
              <w:jc w:val="left"/>
              <w:rPr>
                <w:rFonts w:ascii="Times New Roman" w:hAnsi="Times New Roman" w:cs="Times New Roman" w:eastAsia="Times New Roman" w:hint="default"/>
                <w:sz w:val="18"/>
                <w:szCs w:val="18"/>
              </w:rPr>
            </w:pPr>
            <w:r>
              <w:rPr>
                <w:rFonts w:ascii="Times New Roman"/>
                <w:sz w:val="18"/>
              </w:rPr>
              <w:t>37.85</w:t>
            </w: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46.31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3" w:right="0"/>
              <w:jc w:val="left"/>
              <w:rPr>
                <w:rFonts w:ascii="Times New Roman" w:hAnsi="Times New Roman" w:cs="Times New Roman" w:eastAsia="Times New Roman" w:hint="default"/>
                <w:sz w:val="18"/>
                <w:szCs w:val="18"/>
              </w:rPr>
            </w:pPr>
            <w:r>
              <w:rPr>
                <w:rFonts w:ascii="Times New Roman"/>
                <w:sz w:val="18"/>
              </w:rPr>
              <w:t>,943.13</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8" w:right="0"/>
              <w:jc w:val="left"/>
              <w:rPr>
                <w:rFonts w:ascii="Times New Roman" w:hAnsi="Times New Roman" w:cs="Times New Roman" w:eastAsia="Times New Roman" w:hint="default"/>
                <w:sz w:val="18"/>
                <w:szCs w:val="18"/>
              </w:rPr>
            </w:pPr>
            <w:r>
              <w:rPr>
                <w:rFonts w:ascii="Times New Roman"/>
                <w:sz w:val="18"/>
              </w:rPr>
              <w:t>2.99</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5" w:right="0"/>
              <w:jc w:val="left"/>
              <w:rPr>
                <w:rFonts w:ascii="Times New Roman" w:hAnsi="Times New Roman" w:cs="Times New Roman" w:eastAsia="Times New Roman" w:hint="default"/>
                <w:sz w:val="18"/>
                <w:szCs w:val="18"/>
              </w:rPr>
            </w:pPr>
            <w:r>
              <w:rPr>
                <w:rFonts w:ascii="Times New Roman"/>
                <w:sz w:val="18"/>
              </w:rPr>
              <w:t>0.14</w:t>
            </w:r>
          </w:p>
        </w:tc>
      </w:tr>
    </w:tbl>
    <w:p>
      <w:pPr>
        <w:spacing w:after="0" w:line="240" w:lineRule="auto"/>
        <w:jc w:val="left"/>
        <w:rPr>
          <w:rFonts w:ascii="Times New Roman" w:hAnsi="Times New Roman" w:cs="Times New Roman" w:eastAsia="Times New Roman" w:hint="default"/>
          <w:sz w:val="18"/>
          <w:szCs w:val="18"/>
        </w:rPr>
        <w:sectPr>
          <w:pgSz w:w="11910" w:h="16840"/>
          <w:pgMar w:header="753" w:footer="982" w:top="1060" w:bottom="1180" w:left="980" w:right="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293" w:space="4534"/>
            <w:col w:w="2103"/>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494"/>
        <w:gridCol w:w="2294"/>
        <w:gridCol w:w="2390"/>
        <w:gridCol w:w="2390"/>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325,266,698.07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16,263,334.90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325,266,698.07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16,263,334.90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867,418.34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86,741.83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2,518,759.37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755,627.81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948,714.45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474,357.23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7,134,376.08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7,134,376.08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336,735,966.31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24,714,437.85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7.34%</w:t>
            </w:r>
          </w:p>
        </w:tc>
      </w:tr>
    </w:tbl>
    <w:p>
      <w:pPr>
        <w:pStyle w:val="BodyText"/>
        <w:spacing w:line="357" w:lineRule="auto" w:before="49"/>
        <w:ind w:right="8774"/>
        <w:jc w:val="left"/>
      </w:pPr>
      <w:r>
        <w:rPr/>
        <w:t>确定该组合依据的说明： 无</w:t>
      </w:r>
    </w:p>
    <w:p>
      <w:pPr>
        <w:pStyle w:val="BodyText"/>
        <w:spacing w:line="240" w:lineRule="auto" w:before="29"/>
        <w:ind w:right="984"/>
        <w:jc w:val="left"/>
      </w:pPr>
      <w:r>
        <w:rPr/>
        <w:t>组合中，采用余额百分比法计提坏账准备的应收账款：</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组合中，采用其他方法计提坏账准备的应收账款：</w:t>
      </w:r>
    </w:p>
    <w:p>
      <w:pPr>
        <w:spacing w:line="240" w:lineRule="auto" w:before="9"/>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794"/>
        <w:gridCol w:w="2614"/>
        <w:gridCol w:w="2222"/>
        <w:gridCol w:w="2225"/>
      </w:tblGrid>
      <w:tr>
        <w:trPr>
          <w:trHeight w:val="386" w:hRule="exact"/>
        </w:trPr>
        <w:tc>
          <w:tcPr>
            <w:tcW w:w="2794"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8" w:hRule="exact"/>
        </w:trPr>
        <w:tc>
          <w:tcPr>
            <w:tcW w:w="2794" w:type="dxa"/>
            <w:vMerge/>
            <w:tcBorders>
              <w:left w:val="single" w:sz="6" w:space="0" w:color="000000"/>
              <w:bottom w:val="single" w:sz="6" w:space="0" w:color="000000"/>
              <w:right w:val="single" w:sz="6" w:space="0" w:color="000000"/>
            </w:tcBorders>
          </w:tcPr>
          <w:p>
            <w:pP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8" w:hRule="exact"/>
        </w:trPr>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64,410,617.85</w:t>
            </w:r>
          </w:p>
        </w:tc>
        <w:tc>
          <w:tcPr>
            <w:tcW w:w="2222"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94" w:type="dxa"/>
            <w:tcBorders>
              <w:top w:val="single" w:sz="6" w:space="0" w:color="000000"/>
              <w:left w:val="single" w:sz="6" w:space="0" w:color="000000"/>
              <w:bottom w:val="single" w:sz="6" w:space="0" w:color="000000"/>
              <w:right w:val="single" w:sz="6" w:space="0" w:color="000000"/>
            </w:tcBorders>
          </w:tcPr>
          <w:p>
            <w:pPr>
              <w:pStyle w:val="TableParagraph"/>
              <w:tabs>
                <w:tab w:pos="395" w:val="left" w:leader="none"/>
              </w:tabs>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64,410,617.85</w:t>
            </w:r>
          </w:p>
        </w:tc>
        <w:tc>
          <w:tcPr>
            <w:tcW w:w="2222"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060" w:bottom="1180" w:left="980" w:right="0"/>
        </w:sectPr>
      </w:pPr>
    </w:p>
    <w:p>
      <w:pPr>
        <w:pStyle w:val="BodyText"/>
        <w:spacing w:line="240" w:lineRule="auto" w:before="37"/>
        <w:ind w:right="-9"/>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9"/>
        <w:jc w:val="left"/>
      </w:pPr>
      <w:r>
        <w:rPr/>
        <w:t>本期计提坏账准备金额</w:t>
      </w:r>
      <w:r>
        <w:rPr>
          <w:spacing w:val="-47"/>
        </w:rPr>
        <w:t> </w:t>
      </w:r>
      <w:r>
        <w:rPr>
          <w:rFonts w:ascii="Times New Roman" w:hAnsi="Times New Roman" w:cs="Times New Roman" w:eastAsia="Times New Roman" w:hint="default"/>
        </w:rPr>
        <w:t>7,852,144.86</w:t>
      </w:r>
      <w:r>
        <w:rPr>
          <w:rFonts w:ascii="Times New Roman" w:hAnsi="Times New Roman" w:cs="Times New Roman" w:eastAsia="Times New Roman" w:hint="default"/>
          <w:spacing w:val="-1"/>
        </w:rPr>
        <w:t> </w:t>
      </w:r>
      <w:r>
        <w:rPr/>
        <w:t>元；本期收回或转回坏账准备金额</w:t>
      </w:r>
      <w:r>
        <w:rPr>
          <w:spacing w:val="-48"/>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1"/>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6458" w:space="2369"/>
            <w:col w:w="2103"/>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pStyle w:val="BodyText"/>
        <w:spacing w:line="240" w:lineRule="auto" w:before="8"/>
        <w:ind w:right="-20"/>
        <w:jc w:val="left"/>
      </w:pPr>
      <w:r>
        <w:rPr/>
        <w:t>无</w:t>
      </w:r>
    </w:p>
    <w:p>
      <w:pPr>
        <w:pStyle w:val="Heading2"/>
        <w:spacing w:line="240" w:lineRule="auto" w:before="28"/>
        <w:ind w:right="-20"/>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3473" w:space="5355"/>
            <w:col w:w="2102"/>
          </w:cols>
        </w:sectPr>
      </w:pP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982"/>
        <w:gridCol w:w="4586"/>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right="984"/>
        <w:jc w:val="left"/>
      </w:pPr>
      <w:r>
        <w:rPr/>
        <w:t>其中重要的应收账款核销情况：</w:t>
      </w:r>
    </w:p>
    <w:p>
      <w:pPr>
        <w:pStyle w:val="BodyText"/>
        <w:spacing w:line="240" w:lineRule="auto" w:before="11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1"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9134"/>
        <w:jc w:val="left"/>
      </w:pPr>
      <w:r>
        <w:rPr/>
        <w:t>应收账款核销说明： 无</w:t>
      </w:r>
    </w:p>
    <w:p>
      <w:pPr>
        <w:pStyle w:val="BodyText"/>
        <w:spacing w:line="240" w:lineRule="auto" w:before="27"/>
        <w:ind w:right="984"/>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668"/>
        <w:gridCol w:w="2551"/>
        <w:gridCol w:w="2693"/>
        <w:gridCol w:w="2942"/>
      </w:tblGrid>
      <w:tr>
        <w:trPr>
          <w:trHeight w:val="348" w:hRule="exact"/>
        </w:trPr>
        <w:tc>
          <w:tcPr>
            <w:tcW w:w="1668" w:type="dxa"/>
            <w:vMerge w:val="restart"/>
            <w:tcBorders>
              <w:top w:val="single" w:sz="6" w:space="0" w:color="000000"/>
              <w:left w:val="single" w:sz="6" w:space="0" w:color="000000"/>
              <w:right w:val="single" w:sz="6" w:space="0" w:color="000000"/>
            </w:tcBorders>
          </w:tcPr>
          <w:p>
            <w:pPr>
              <w:pStyle w:val="TableParagraph"/>
              <w:spacing w:line="240" w:lineRule="auto" w:before="4"/>
              <w:ind w:left="429"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81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期末数</w:t>
            </w:r>
          </w:p>
        </w:tc>
      </w:tr>
      <w:tr>
        <w:trPr>
          <w:trHeight w:val="346" w:hRule="exact"/>
        </w:trPr>
        <w:tc>
          <w:tcPr>
            <w:tcW w:w="1668" w:type="dxa"/>
            <w:vMerge/>
            <w:tcBorders>
              <w:left w:val="single" w:sz="6" w:space="0" w:color="000000"/>
              <w:bottom w:val="single" w:sz="6" w:space="0" w:color="000000"/>
              <w:right w:val="single" w:sz="6" w:space="0" w:color="000000"/>
            </w:tcBorders>
          </w:tcPr>
          <w:p>
            <w:pP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38" w:right="0"/>
              <w:jc w:val="left"/>
              <w:rPr>
                <w:rFonts w:ascii="宋体" w:hAnsi="宋体" w:cs="宋体" w:eastAsia="宋体" w:hint="default"/>
                <w:sz w:val="20"/>
                <w:szCs w:val="20"/>
              </w:rPr>
            </w:pPr>
            <w:r>
              <w:rPr>
                <w:rFonts w:ascii="宋体" w:hAnsi="宋体" w:cs="宋体" w:eastAsia="宋体" w:hint="default"/>
                <w:sz w:val="20"/>
                <w:szCs w:val="20"/>
              </w:rPr>
              <w:t>占应收账款总额的比例</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坏账准备</w:t>
            </w: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客户一</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68,738,771.98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17.14%</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3,436,938.60</w:t>
            </w:r>
          </w:p>
        </w:tc>
      </w:tr>
      <w:tr>
        <w:trPr>
          <w:trHeight w:val="346"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客户二</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54,816,128.99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13.66%</w:t>
            </w:r>
          </w:p>
        </w:tc>
        <w:tc>
          <w:tcPr>
            <w:tcW w:w="294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客户三</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39,928,562.53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9.95%</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1,996,428.13</w:t>
            </w: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客户四</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33,921,152.93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8.46%</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1,696,057.65</w:t>
            </w:r>
          </w:p>
        </w:tc>
      </w:tr>
      <w:tr>
        <w:trPr>
          <w:trHeight w:val="346"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客户五</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31,914,087.17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7.96%</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1,595,704.36</w:t>
            </w: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tabs>
                <w:tab w:pos="952" w:val="left" w:leader="none"/>
              </w:tabs>
              <w:spacing w:line="240" w:lineRule="auto" w:before="4"/>
              <w:ind w:left="508"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229,318,703.60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57.17%</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8,725,128.73</w:t>
            </w:r>
          </w:p>
        </w:tc>
      </w:tr>
    </w:tbl>
    <w:p>
      <w:pPr>
        <w:pStyle w:val="BodyText"/>
        <w:spacing w:line="338" w:lineRule="auto" w:before="49"/>
        <w:ind w:right="7544"/>
        <w:jc w:val="left"/>
      </w:pPr>
      <w:r>
        <w:rPr>
          <w:rFonts w:ascii="Times New Roman" w:hAnsi="Times New Roman" w:cs="Times New Roman" w:eastAsia="Times New Roman" w:hint="default"/>
        </w:rPr>
        <w:t>5)</w:t>
      </w:r>
      <w:r>
        <w:rPr/>
        <w:t>因金融资产转移而终止确认的应收账款 无</w:t>
      </w:r>
    </w:p>
    <w:p>
      <w:pPr>
        <w:pStyle w:val="BodyText"/>
        <w:spacing w:line="340" w:lineRule="auto" w:before="43"/>
        <w:ind w:right="6824"/>
        <w:jc w:val="left"/>
      </w:pPr>
      <w:r>
        <w:rPr>
          <w:rFonts w:ascii="Times New Roman" w:hAnsi="Times New Roman" w:cs="Times New Roman" w:eastAsia="Times New Roman" w:hint="default"/>
        </w:rPr>
        <w:t>6)</w:t>
      </w:r>
      <w:r>
        <w:rPr/>
        <w:t>转移应收账款且继续涉入形成的资产、负债金额 无</w:t>
      </w:r>
    </w:p>
    <w:p>
      <w:pPr>
        <w:pStyle w:val="BodyText"/>
        <w:spacing w:line="357" w:lineRule="auto" w:before="41"/>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w:t>
      </w:r>
      <w:r>
        <w:rPr/>
        <w:t>、其他应收款</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771,659.04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953,436.21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153,906,910.60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289,441,912.12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154,678,569.64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290,395,348.33</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1</w:t>
      </w:r>
      <w:r>
        <w:rPr/>
        <w:t>）应收利息</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771,659.04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953,436.21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771,659.04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953,436.21</w:t>
            </w:r>
          </w:p>
        </w:tc>
      </w:tr>
    </w:tbl>
    <w:p>
      <w:pPr>
        <w:pStyle w:val="BodyText"/>
        <w:spacing w:line="240" w:lineRule="auto" w:before="49"/>
        <w:ind w:right="984"/>
        <w:jc w:val="left"/>
      </w:pPr>
      <w:r>
        <w:rPr>
          <w:rFonts w:ascii="Times New Roman" w:hAnsi="Times New Roman" w:cs="Times New Roman" w:eastAsia="Times New Roman" w:hint="default"/>
        </w:rPr>
        <w:t>2)</w:t>
      </w:r>
      <w:r>
        <w:rPr/>
        <w:t>重要逾期利息</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）应收股利</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1)</w:t>
      </w:r>
      <w:r>
        <w:rPr/>
        <w:t>应收股利</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4"/>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 </w:t>
      </w:r>
      <w:r>
        <w:rPr/>
        <w:t>年的应收股利</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3</w:t>
      </w:r>
      <w:r>
        <w:rPr/>
        <w:t>）其他应收款</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4"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153,906,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910.60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153,906,9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10.60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289,441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,912.12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289,441,91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2.12</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153,906,</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910.60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153,906,9</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10.60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289,441</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,912.12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289,441,91</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2.12</w:t>
            </w:r>
          </w:p>
        </w:tc>
      </w:tr>
    </w:tbl>
    <w:p>
      <w:pPr>
        <w:pStyle w:val="BodyText"/>
        <w:spacing w:line="240" w:lineRule="auto" w:before="49"/>
        <w:ind w:right="984"/>
        <w:jc w:val="left"/>
      </w:pPr>
      <w:r>
        <w:rPr/>
        <w:t>期末单项金额重大并单项计提坏账准备的其他应收款：</w:t>
      </w:r>
    </w:p>
    <w:p>
      <w:pPr>
        <w:pStyle w:val="BodyText"/>
        <w:spacing w:line="338" w:lineRule="auto" w:before="117"/>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340" w:lineRule="auto" w:before="43"/>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组合中，采用余额百分比法计提坏账准备的其他应收款：</w:t>
      </w:r>
    </w:p>
    <w:p>
      <w:pPr>
        <w:spacing w:after="0" w:line="340" w:lineRule="auto"/>
        <w:jc w:val="left"/>
        <w:sectPr>
          <w:footerReference w:type="default" r:id="rId35"/>
          <w:pgSz w:w="11910" w:h="16840"/>
          <w:pgMar w:footer="982" w:header="753" w:top="1060" w:bottom="1180" w:left="980" w:right="0"/>
          <w:pgNumType w:start="20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53" w:footer="982" w:top="1060" w:bottom="1180" w:left="980" w:right="0"/>
        </w:sectPr>
      </w:pPr>
    </w:p>
    <w:p>
      <w:pPr>
        <w:pStyle w:val="BodyText"/>
        <w:spacing w:line="340" w:lineRule="auto" w:before="37"/>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03"/>
        <w:ind w:right="1514"/>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5"/>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5827" w:space="3000"/>
            <w:col w:w="2103"/>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pStyle w:val="BodyText"/>
        <w:spacing w:line="240" w:lineRule="auto" w:before="8"/>
        <w:ind w:right="-20"/>
        <w:jc w:val="left"/>
      </w:pPr>
      <w:r>
        <w:rPr/>
        <w:t>无</w:t>
      </w:r>
    </w:p>
    <w:p>
      <w:pPr>
        <w:pStyle w:val="Heading2"/>
        <w:spacing w:line="240" w:lineRule="auto" w:before="28"/>
        <w:ind w:right="-20"/>
        <w:jc w:val="left"/>
      </w:pP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3713" w:space="5115"/>
            <w:col w:w="2102"/>
          </w:cols>
        </w:sectPr>
      </w:pP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982"/>
        <w:gridCol w:w="4586"/>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4"/>
        <w:jc w:val="left"/>
      </w:pPr>
      <w:r>
        <w:rPr/>
        <w:t>其中重要的其他应收款核销情况：</w:t>
      </w:r>
    </w:p>
    <w:p>
      <w:pPr>
        <w:pStyle w:val="BodyText"/>
        <w:spacing w:line="240" w:lineRule="auto" w:before="11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1"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pStyle w:val="BodyText"/>
        <w:spacing w:line="360" w:lineRule="auto" w:before="49"/>
        <w:ind w:right="852"/>
        <w:jc w:val="left"/>
      </w:pPr>
      <w:r>
        <w:rPr/>
        <w:t>其他应收款核销说明： 无</w:t>
      </w:r>
    </w:p>
    <w:p>
      <w:pPr>
        <w:pStyle w:val="BodyText"/>
        <w:spacing w:line="240" w:lineRule="auto" w:before="27"/>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2825" w:space="6003"/>
            <w:col w:w="2102"/>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3,808,393.22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3,749,842.35</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10,466,442.54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11,051,095.54</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6,107,293.99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407,162.23</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133,524,780.85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274,233,812.00</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153,906,910.60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289,441,912.12</w:t>
            </w:r>
          </w:p>
        </w:tc>
      </w:tr>
    </w:tbl>
    <w:p>
      <w:pPr>
        <w:pStyle w:val="BodyText"/>
        <w:spacing w:line="240" w:lineRule="auto" w:before="49"/>
        <w:ind w:right="984"/>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4"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美盈森（香港）国际 控股有限公司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74,542,400.93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48.43%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佛山市美盈森绿谷科 技有限公司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40,102,600.50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26.06%</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成都市美盈森环保科 技有限公司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16,849,255.60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10.95%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宁乡经济技术开发区 建设投资有限公司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某客户</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138,184,257.03</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89.79%</w:t>
            </w: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4"/>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7"/>
        <w:gridCol w:w="1867"/>
        <w:gridCol w:w="1944"/>
      </w:tblGrid>
      <w:tr>
        <w:trPr>
          <w:trHeight w:val="715" w:hRule="exact"/>
        </w:trPr>
        <w:tc>
          <w:tcPr>
            <w:tcW w:w="2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1"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6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984"/>
        <w:jc w:val="left"/>
      </w:pPr>
      <w:r>
        <w:rPr/>
        <w:t>无</w:t>
      </w:r>
    </w:p>
    <w:p>
      <w:pPr>
        <w:pStyle w:val="Heading2"/>
        <w:spacing w:line="240" w:lineRule="auto" w:before="28"/>
        <w:ind w:right="984"/>
        <w:jc w:val="left"/>
      </w:pPr>
      <w:r>
        <w:rPr>
          <w:rFonts w:ascii="Times New Roman" w:hAnsi="Times New Roman" w:cs="Times New Roman" w:eastAsia="Times New Roman" w:hint="default"/>
        </w:rPr>
        <w:t>7)</w:t>
      </w:r>
      <w:r>
        <w:rPr/>
        <w:t>因金融资产转移而终止确认的其他应收款</w:t>
      </w:r>
    </w:p>
    <w:p>
      <w:pPr>
        <w:pStyle w:val="BodyText"/>
        <w:spacing w:line="350" w:lineRule="auto" w:before="28"/>
        <w:ind w:right="6644"/>
        <w:jc w:val="left"/>
      </w:pPr>
      <w:r>
        <w:rPr/>
        <w:t>无 </w:t>
      </w:r>
      <w:r>
        <w:rPr>
          <w:rFonts w:ascii="Times New Roman" w:hAnsi="Times New Roman" w:cs="Times New Roman" w:eastAsia="Times New Roman" w:hint="default"/>
        </w:rPr>
        <w:t>8)</w:t>
      </w:r>
      <w:r>
        <w:rPr/>
        <w:t>转移其他应收款且继续涉入形成的资产、负债金额 无</w:t>
      </w:r>
    </w:p>
    <w:p>
      <w:pPr>
        <w:pStyle w:val="BodyText"/>
        <w:spacing w:line="357" w:lineRule="auto" w:before="34"/>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3</w:t>
      </w:r>
      <w:r>
        <w:rPr/>
        <w:t>、长期股权投资</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3,168,651,674.35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174,891,428.47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2,993,760,245.88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2,828,179,770.00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2,828,179,770.00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3,168,651,674.35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174,891,428.47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2,993,760,245.88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2,828,179,770.00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2,828,179,770.00</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1</w:t>
      </w:r>
      <w:r>
        <w:rPr/>
        <w:t>）对子公司投资</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600" w:right="57"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600" w:right="57"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363" w:hRule="exact"/>
        </w:trPr>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重庆市美盈森环</w:t>
            </w:r>
          </w:p>
        </w:tc>
        <w:tc>
          <w:tcPr>
            <w:tcW w:w="1337" w:type="dxa"/>
            <w:tcBorders>
              <w:top w:val="single" w:sz="4" w:space="0" w:color="000000"/>
              <w:left w:val="single" w:sz="4" w:space="0" w:color="000000"/>
              <w:bottom w:val="nil" w:sz="6" w:space="0" w:color="auto"/>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90" w:type="dxa"/>
            <w:vMerge w:val="restart"/>
            <w:tcBorders>
              <w:top w:val="single" w:sz="4" w:space="0" w:color="000000"/>
              <w:left w:val="single" w:sz="4" w:space="0" w:color="000000"/>
              <w:right w:val="single" w:sz="4" w:space="0" w:color="000000"/>
            </w:tcBorders>
          </w:tcPr>
          <w:p>
            <w:pPr/>
          </w:p>
        </w:tc>
        <w:tc>
          <w:tcPr>
            <w:tcW w:w="1390" w:type="dxa"/>
            <w:vMerge w:val="restart"/>
            <w:tcBorders>
              <w:top w:val="single" w:sz="4" w:space="0" w:color="000000"/>
              <w:left w:val="single" w:sz="4" w:space="0" w:color="000000"/>
              <w:right w:val="single" w:sz="4" w:space="0" w:color="000000"/>
            </w:tcBorders>
          </w:tcPr>
          <w:p>
            <w:pPr/>
          </w:p>
        </w:tc>
      </w:tr>
      <w:tr>
        <w:trPr>
          <w:trHeight w:val="313" w:hRule="exact"/>
        </w:trPr>
        <w:tc>
          <w:tcPr>
            <w:tcW w:w="144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保包装工程有限</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280,000,000.00</w:t>
            </w:r>
          </w:p>
        </w:tc>
        <w:tc>
          <w:tcPr>
            <w:tcW w:w="1334" w:type="dxa"/>
            <w:vMerge/>
            <w:tcBorders>
              <w:left w:val="single" w:sz="4" w:space="0" w:color="000000"/>
              <w:right w:val="single" w:sz="4" w:space="0" w:color="000000"/>
            </w:tcBorders>
          </w:tcPr>
          <w:p>
            <w:pPr/>
          </w:p>
        </w:tc>
        <w:tc>
          <w:tcPr>
            <w:tcW w:w="1334"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280,000,000.00</w:t>
            </w:r>
          </w:p>
        </w:tc>
        <w:tc>
          <w:tcPr>
            <w:tcW w:w="1390" w:type="dxa"/>
            <w:vMerge/>
            <w:tcBorders>
              <w:left w:val="single" w:sz="4" w:space="0" w:color="000000"/>
              <w:right w:val="single" w:sz="4" w:space="0" w:color="000000"/>
            </w:tcBorders>
          </w:tcPr>
          <w:p>
            <w:pPr/>
          </w:p>
        </w:tc>
        <w:tc>
          <w:tcPr>
            <w:tcW w:w="1390" w:type="dxa"/>
            <w:vMerge/>
            <w:tcBorders>
              <w:left w:val="single" w:sz="4" w:space="0" w:color="000000"/>
              <w:right w:val="single" w:sz="4" w:space="0" w:color="000000"/>
            </w:tcBorders>
          </w:tcPr>
          <w:p>
            <w:pPr/>
          </w:p>
        </w:tc>
      </w:tr>
      <w:tr>
        <w:trPr>
          <w:trHeight w:val="351" w:hRule="exact"/>
        </w:trPr>
        <w:tc>
          <w:tcPr>
            <w:tcW w:w="14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37" w:type="dxa"/>
            <w:tcBorders>
              <w:top w:val="nil" w:sz="6" w:space="0" w:color="auto"/>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r>
      <w:tr>
        <w:trPr>
          <w:trHeight w:val="362" w:hRule="exact"/>
        </w:trPr>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东莞市美芯龙物</w:t>
            </w:r>
          </w:p>
        </w:tc>
        <w:tc>
          <w:tcPr>
            <w:tcW w:w="1337" w:type="dxa"/>
            <w:tcBorders>
              <w:top w:val="single" w:sz="4" w:space="0" w:color="000000"/>
              <w:left w:val="single" w:sz="4" w:space="0" w:color="000000"/>
              <w:bottom w:val="nil" w:sz="6" w:space="0" w:color="auto"/>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90" w:type="dxa"/>
            <w:vMerge w:val="restart"/>
            <w:tcBorders>
              <w:top w:val="single" w:sz="4" w:space="0" w:color="000000"/>
              <w:left w:val="single" w:sz="4" w:space="0" w:color="000000"/>
              <w:right w:val="single" w:sz="4" w:space="0" w:color="000000"/>
            </w:tcBorders>
          </w:tcPr>
          <w:p>
            <w:pPr/>
          </w:p>
        </w:tc>
        <w:tc>
          <w:tcPr>
            <w:tcW w:w="1390" w:type="dxa"/>
            <w:vMerge w:val="restart"/>
            <w:tcBorders>
              <w:top w:val="single" w:sz="4" w:space="0" w:color="000000"/>
              <w:left w:val="single" w:sz="4" w:space="0" w:color="000000"/>
              <w:right w:val="single" w:sz="4" w:space="0" w:color="000000"/>
            </w:tcBorders>
          </w:tcPr>
          <w:p>
            <w:pPr/>
          </w:p>
        </w:tc>
      </w:tr>
      <w:tr>
        <w:trPr>
          <w:trHeight w:val="313" w:hRule="exact"/>
        </w:trPr>
        <w:tc>
          <w:tcPr>
            <w:tcW w:w="144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联网科技有限公</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vMerge/>
            <w:tcBorders>
              <w:left w:val="single" w:sz="4" w:space="0" w:color="000000"/>
              <w:right w:val="single" w:sz="4" w:space="0" w:color="000000"/>
            </w:tcBorders>
          </w:tcPr>
          <w:p>
            <w:pPr/>
          </w:p>
        </w:tc>
        <w:tc>
          <w:tcPr>
            <w:tcW w:w="1334"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vMerge/>
            <w:tcBorders>
              <w:left w:val="single" w:sz="4" w:space="0" w:color="000000"/>
              <w:right w:val="single" w:sz="4" w:space="0" w:color="000000"/>
            </w:tcBorders>
          </w:tcPr>
          <w:p>
            <w:pPr/>
          </w:p>
        </w:tc>
        <w:tc>
          <w:tcPr>
            <w:tcW w:w="1390" w:type="dxa"/>
            <w:vMerge/>
            <w:tcBorders>
              <w:left w:val="single" w:sz="4" w:space="0" w:color="000000"/>
              <w:right w:val="single" w:sz="4" w:space="0" w:color="000000"/>
            </w:tcBorders>
          </w:tcPr>
          <w:p>
            <w:pPr/>
          </w:p>
        </w:tc>
      </w:tr>
      <w:tr>
        <w:trPr>
          <w:trHeight w:val="350" w:hRule="exact"/>
        </w:trPr>
        <w:tc>
          <w:tcPr>
            <w:tcW w:w="144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7" w:type="dxa"/>
            <w:tcBorders>
              <w:top w:val="nil" w:sz="6" w:space="0" w:color="auto"/>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东莞市美盈森环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412,997,500.00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675,002,500.00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保科技有限公司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苏州美盈森环保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298,311,400.00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478,311,400.00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美盈森（香港）国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际控股有限公司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81,563,070.00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81,563,070.00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中山市美盈森环 保科技有限公司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成都市美盈森环 保科技有限公司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武汉市美盈森环 保科技有限公司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深圳市金之彩文 化创意有限公司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287,000,000.00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174,891,428.47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174,891,428.47</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四川泸美供应链 管理有限公司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小美集科技有限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郑州市美盈森环 保科技有限公司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35,900,000.00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48,900,000.00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长沙美盈森智谷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221,500,000.00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259,000,000.00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湖南美盈森实业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MYS Global</w:t>
            </w:r>
            <w:r>
              <w:rPr>
                <w:rFonts w:ascii="Times New Roman"/>
                <w:spacing w:val="-1"/>
                <w:sz w:val="18"/>
              </w:rPr>
              <w:t> </w:t>
            </w:r>
            <w:r>
              <w:rPr>
                <w:rFonts w:ascii="Times New Roman"/>
                <w:sz w:val="18"/>
              </w:rPr>
              <w:t>Inc.</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6,805,300.00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6,805,300.00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中大绿谷实业股 份有限公司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安徽美盈森智谷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428,069,404.35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201,069,404.35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佛山市美盈森绿 谷科技有限公司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天津美盈森智谷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西安美盈森智谷 科技有限公司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2,828,179,770.00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1,233,469,404.35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892,997,500.00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3,168,651,674.35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174,891,428.47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174,891,428.47</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2</w:t>
      </w:r>
      <w:r>
        <w:rPr/>
        <w:t>）对联营、合营企业投资</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after="0" w:line="240" w:lineRule="auto"/>
        <w:jc w:val="right"/>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t>（</w:t>
      </w:r>
      <w:r>
        <w:rPr>
          <w:rFonts w:ascii="Tahoma" w:hAnsi="Tahoma" w:cs="Tahoma" w:eastAsia="Tahoma" w:hint="default"/>
        </w:rPr>
        <w:t>3</w:t>
      </w:r>
      <w:r>
        <w:rPr/>
        <w:t>）其他说明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4"/>
        <w:jc w:val="left"/>
        <w:rPr>
          <w:rFonts w:ascii="Tahoma" w:hAnsi="Tahoma" w:cs="Tahoma" w:eastAsia="Tahoma" w:hint="default"/>
        </w:rPr>
      </w:pPr>
      <w:r>
        <w:rPr>
          <w:rFonts w:ascii="Tahoma" w:hAnsi="Tahoma" w:cs="Tahoma" w:eastAsia="Tahoma" w:hint="default"/>
        </w:rPr>
        <w:t>4</w:t>
      </w:r>
      <w:r>
        <w:rPr/>
        <w:t>、营业收入和营业成本</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985,962,305.26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740,300,343.37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786,770,376.08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563,224,590.54</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26,325,098.20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290,670.21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16,668,940.93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346,973.75</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1,012,287,403.46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740,591,013.58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803,439,317.01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563,571,564.29</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4"/>
        <w:jc w:val="left"/>
        <w:rPr>
          <w:rFonts w:ascii="Tahoma" w:hAnsi="Tahoma" w:cs="Tahoma" w:eastAsia="Tahoma" w:hint="default"/>
        </w:rPr>
      </w:pPr>
      <w:r>
        <w:rPr>
          <w:rFonts w:ascii="Tahoma" w:hAnsi="Tahoma" w:cs="Tahoma" w:eastAsia="Tahoma" w:hint="default"/>
        </w:rPr>
        <w:t>5</w:t>
      </w:r>
      <w:r>
        <w:rPr/>
        <w:t>、投资收益</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324"/>
        <w:gridCol w:w="3060"/>
        <w:gridCol w:w="3185"/>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461,722,446.28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461,722,446.28</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6</w:t>
      </w:r>
      <w:r>
        <w:rPr/>
        <w:t>、其他</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t>无</w:t>
      </w:r>
    </w:p>
    <w:p>
      <w:pPr>
        <w:spacing w:line="240" w:lineRule="auto" w:before="3"/>
        <w:rPr>
          <w:rFonts w:ascii="宋体" w:hAnsi="宋体" w:cs="宋体" w:eastAsia="宋体" w:hint="default"/>
          <w:sz w:val="25"/>
          <w:szCs w:val="25"/>
        </w:rPr>
      </w:pPr>
    </w:p>
    <w:p>
      <w:pPr>
        <w:pStyle w:val="Heading2"/>
        <w:spacing w:line="240" w:lineRule="auto"/>
        <w:ind w:right="984"/>
        <w:jc w:val="left"/>
        <w:rPr>
          <w:rFonts w:ascii="Tahoma" w:hAnsi="Tahoma" w:cs="Tahoma" w:eastAsia="Tahoma" w:hint="default"/>
        </w:rPr>
      </w:pPr>
      <w:r>
        <w:rPr/>
        <w:t>十八、补充资料</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1</w:t>
      </w:r>
      <w:r>
        <w:rPr/>
        <w:t>、当期非经常性损益明细表</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-2,989,803.88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11,596,509.50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12,908,667.30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42,352,887.72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-3,989,571.38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11,127,378.19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669,875.68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48,081,435.39</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4"/>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22"/>
        <w:jc w:val="left"/>
      </w:pPr>
      <w:r>
        <w:rPr/>
        <w:t>开发行证券的公司信息披露解释性公告第</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4"/>
        <w:jc w:val="left"/>
        <w:rPr>
          <w:rFonts w:ascii="Tahoma" w:hAnsi="Tahoma" w:cs="Tahoma" w:eastAsia="Tahoma" w:hint="default"/>
        </w:rPr>
      </w:pPr>
      <w:r>
        <w:rPr>
          <w:rFonts w:ascii="Tahoma" w:hAnsi="Tahoma" w:cs="Tahoma" w:eastAsia="Tahoma" w:hint="default"/>
        </w:rPr>
        <w:t>2</w:t>
      </w:r>
      <w:r>
        <w:rPr/>
        <w:t>、净资产收益率及每股收益</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2"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4"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2"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0.2608</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0.2295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0.2295</w:t>
            </w:r>
          </w:p>
        </w:tc>
      </w:tr>
    </w:tbl>
    <w:p>
      <w:pPr>
        <w:spacing w:line="240" w:lineRule="auto" w:before="10"/>
        <w:rPr>
          <w:rFonts w:ascii="Tahoma" w:hAnsi="Tahoma" w:cs="Tahoma" w:eastAsia="Tahoma" w:hint="default"/>
          <w:sz w:val="20"/>
          <w:szCs w:val="20"/>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3</w:t>
      </w:r>
      <w:r>
        <w:rPr/>
        <w:t>、境内外会计准则下会计数据差异</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1</w:t>
      </w:r>
      <w:r>
        <w:rPr/>
        <w:t>）同时按照国际会计准则与按中国会计准则披露的财务报告中净利润和净资产差异情况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4"/>
        <w:jc w:val="left"/>
        <w:rPr>
          <w:rFonts w:ascii="Tahoma" w:hAnsi="Tahoma" w:cs="Tahoma" w:eastAsia="Tahoma" w:hint="default"/>
        </w:rPr>
      </w:pPr>
      <w:r>
        <w:rPr/>
        <w:t>（</w:t>
      </w:r>
      <w:r>
        <w:rPr>
          <w:rFonts w:ascii="Tahoma" w:hAnsi="Tahoma" w:cs="Tahoma" w:eastAsia="Tahoma" w:hint="default"/>
        </w:rPr>
        <w:t>2</w:t>
      </w:r>
      <w:r>
        <w:rPr/>
        <w:t>）同时按照境外会计准则与按中国会计准则披露的财务报告中净利润和净资产差异情况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3"/>
        <w:spacing w:line="261" w:lineRule="auto"/>
        <w:ind w:right="984"/>
        <w:jc w:val="left"/>
        <w:rPr>
          <w:rFonts w:ascii="Tahoma" w:hAnsi="Tahoma" w:cs="Tahoma" w:eastAsia="Tahoma" w:hint="default"/>
        </w:rPr>
      </w:pPr>
      <w:r>
        <w:rPr/>
        <w:t>（</w:t>
      </w:r>
      <w:r>
        <w:rPr>
          <w:rFonts w:ascii="Tahoma" w:hAnsi="Tahoma" w:cs="Tahoma" w:eastAsia="Tahoma" w:hint="default"/>
        </w:rPr>
        <w:t>3</w:t>
      </w:r>
      <w:r>
        <w:rPr/>
        <w:t>）境内外会计准则下会计数据差异原因说明，对已经境外审计机构审计的数据进行差异调节的，应注</w:t>
      </w:r>
      <w:r>
        <w:rPr>
          <w:spacing w:val="-38"/>
        </w:rPr>
        <w:t> </w:t>
      </w:r>
      <w:r>
        <w:rPr>
          <w:spacing w:val="-38"/>
        </w:rPr>
      </w:r>
      <w:r>
        <w:rPr/>
        <w:t>明该境外机构的名称</w:t>
      </w:r>
      <w:r>
        <w:rPr>
          <w:rFonts w:ascii="Tahoma" w:hAnsi="Tahoma" w:cs="Tahoma" w:eastAsia="Tahoma" w:hint="default"/>
          <w:w w:val="80"/>
        </w:rPr>
        <w:t> </w:t>
      </w:r>
      <w:r>
        <w:rPr>
          <w:rFonts w:ascii="Tahoma" w:hAnsi="Tahoma" w:cs="Tahoma" w:eastAsia="Tahoma" w:hint="default"/>
        </w:rPr>
      </w:r>
    </w:p>
    <w:p>
      <w:pPr>
        <w:spacing w:line="240" w:lineRule="auto" w:before="3"/>
        <w:rPr>
          <w:rFonts w:ascii="Tahoma" w:hAnsi="Tahoma" w:cs="Tahoma" w:eastAsia="Tahoma" w:hint="default"/>
          <w:sz w:val="28"/>
          <w:szCs w:val="28"/>
        </w:rPr>
      </w:pPr>
    </w:p>
    <w:p>
      <w:pPr>
        <w:pStyle w:val="BodyText"/>
        <w:spacing w:line="240" w:lineRule="auto"/>
        <w:ind w:right="984"/>
        <w:jc w:val="left"/>
      </w:pPr>
      <w:r>
        <w:rPr/>
        <w:t>无</w:t>
      </w:r>
    </w:p>
    <w:p>
      <w:pPr>
        <w:spacing w:after="0" w:line="240" w:lineRule="auto"/>
        <w:jc w:val="left"/>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4"/>
        <w:jc w:val="left"/>
        <w:rPr>
          <w:rFonts w:ascii="Tahoma" w:hAnsi="Tahoma" w:cs="Tahoma" w:eastAsia="Tahoma" w:hint="default"/>
        </w:rPr>
      </w:pPr>
      <w:r>
        <w:rPr>
          <w:rFonts w:ascii="Tahoma" w:hAnsi="Tahoma" w:cs="Tahoma" w:eastAsia="Tahoma" w:hint="default"/>
        </w:rPr>
        <w:t>4</w:t>
      </w:r>
      <w:r>
        <w:rPr/>
        <w:t>、其他</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984"/>
        <w:jc w:val="left"/>
      </w:pPr>
      <w:r>
        <w:rPr/>
        <w:t>无</w:t>
      </w:r>
    </w:p>
    <w:p>
      <w:pPr>
        <w:spacing w:after="0" w:line="240"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284" w:right="984"/>
        <w:jc w:val="left"/>
        <w:rPr>
          <w:rFonts w:ascii="Tahoma" w:hAnsi="Tahoma" w:cs="Tahoma" w:eastAsia="Tahoma" w:hint="default"/>
        </w:rPr>
      </w:pPr>
      <w:bookmarkStart w:name="_TOC_250000" w:id="13"/>
      <w:r>
        <w:rPr>
          <w:spacing w:val="2"/>
        </w:rPr>
        <w:t>第十二节</w:t>
      </w:r>
      <w:r>
        <w:rPr>
          <w:spacing w:val="4"/>
        </w:rPr>
        <w:t> </w:t>
      </w:r>
      <w:r>
        <w:rPr>
          <w:rFonts w:ascii="Tahoma" w:hAnsi="Tahoma" w:cs="Tahoma" w:eastAsia="Tahoma" w:hint="default"/>
          <w:spacing w:val="4"/>
        </w:rPr>
      </w:r>
      <w:r>
        <w:rPr/>
        <w:t>备查文件目录</w:t>
      </w:r>
      <w:r>
        <w:rPr>
          <w:rFonts w:ascii="Tahoma" w:hAnsi="Tahoma" w:cs="Tahoma" w:eastAsia="Tahoma" w:hint="default"/>
          <w:w w:val="79"/>
        </w:rPr>
        <w:t> </w:t>
      </w:r>
      <w:bookmarkEnd w:id="13"/>
      <w:r>
        <w:rPr>
          <w:rFonts w:ascii="Tahoma" w:hAnsi="Tahoma" w:cs="Tahoma" w:eastAsia="Tahoma" w:hint="default"/>
        </w:rPr>
      </w:r>
    </w:p>
    <w:p>
      <w:pPr>
        <w:spacing w:line="240" w:lineRule="auto" w:before="1"/>
        <w:rPr>
          <w:rFonts w:ascii="Tahoma" w:hAnsi="Tahoma" w:cs="Tahoma" w:eastAsia="Tahoma" w:hint="default"/>
          <w:sz w:val="46"/>
          <w:szCs w:val="46"/>
        </w:rPr>
      </w:pPr>
    </w:p>
    <w:p>
      <w:pPr>
        <w:pStyle w:val="BodyText"/>
        <w:spacing w:line="314" w:lineRule="auto"/>
        <w:ind w:right="3014"/>
        <w:jc w:val="left"/>
      </w:pPr>
      <w:r>
        <w:rPr/>
        <w:t>一、载有公司法定代表人签名的</w:t>
      </w:r>
      <w:r>
        <w:rPr>
          <w:rFonts w:ascii="Times New Roman" w:hAnsi="Times New Roman" w:cs="Times New Roman" w:eastAsia="Times New Roman" w:hint="default"/>
        </w:rPr>
        <w:t>2018</w:t>
      </w:r>
      <w:r>
        <w:rPr/>
        <w:t>年年度报告文本。 二、载有公司负责人、主管会计工作负责人、会计机构负责人签名并盖章的财务报表。 三、载有会计师事务所盖章、注册会计师签名并盖章的审计报告原件。 四、报告期内在中国证监会指定信息披露载体上公开披露过的所有公司文件的正本及公告的原稿。 五、以上备查文件的备置地点：公司证券部。</w:t>
      </w:r>
    </w:p>
    <w:p>
      <w:pPr>
        <w:spacing w:line="240" w:lineRule="auto" w:before="6"/>
        <w:rPr>
          <w:rFonts w:ascii="宋体" w:hAnsi="宋体" w:cs="宋体" w:eastAsia="宋体" w:hint="default"/>
          <w:sz w:val="25"/>
          <w:szCs w:val="25"/>
        </w:rPr>
      </w:pPr>
    </w:p>
    <w:p>
      <w:pPr>
        <w:pStyle w:val="BodyText"/>
        <w:spacing w:line="240" w:lineRule="auto"/>
        <w:ind w:left="0" w:right="1133"/>
        <w:jc w:val="right"/>
      </w:pPr>
      <w:r>
        <w:rPr/>
        <w:t>美盈森集团股份有限公司</w:t>
      </w:r>
    </w:p>
    <w:p>
      <w:pPr>
        <w:pStyle w:val="BodyText"/>
        <w:spacing w:line="240" w:lineRule="auto" w:before="76"/>
        <w:ind w:left="0" w:right="1133"/>
        <w:jc w:val="right"/>
      </w:pPr>
      <w:r>
        <w:rPr/>
        <w:t>张珍义</w:t>
      </w:r>
    </w:p>
    <w:sectPr>
      <w:pgSz w:w="11910" w:h="16840"/>
      <w:pgMar w:header="753" w:footer="982" w:top="1060" w:bottom="11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Semilight">
    <w:altName w:val="Malgun Gothic Semilight"/>
    <w:charset w:val="86"/>
    <w:family w:val="swiss"/>
    <w:pitch w:val="variable"/>
  </w:font>
  <w:font w:name="宋体">
    <w:altName w:val="宋体"/>
    <w:charset w:val="86"/>
    <w:family w:val="auto"/>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2104" type="#_x0000_t75" stroked="false">
          <v:imagedata r:id="rId1" o:title=""/>
        </v:shape>
      </w:pict>
    </w:r>
    <w:r>
      <w:rPr/>
      <w:pict>
        <v:shape style="position:absolute;margin-left:533pt;margin-top:795.5177pt;width:6.5pt;height:11pt;mso-position-horizontal-relative:page;mso-position-vertical-relative:page;z-index:-13220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672" type="#_x0000_t75" stroked="false">
          <v:imagedata r:id="rId1" o:title=""/>
        </v:shape>
      </w:pict>
    </w:r>
    <w:r>
      <w:rPr/>
      <w:pict>
        <v:shape style="position:absolute;margin-left:527.559998pt;margin-top:781.837585pt;width:13.1pt;height:11pt;mso-position-horizontal-relative:page;mso-position-vertical-relative:page;z-index:-1321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624" type="#_x0000_t75" stroked="false">
          <v:imagedata r:id="rId1" o:title=""/>
        </v:shape>
      </w:pict>
    </w:r>
    <w:r>
      <w:rPr/>
      <w:pict>
        <v:shape style="position:absolute;margin-left:527.559998pt;margin-top:781.837585pt;width:13.1pt;height:11pt;mso-position-horizontal-relative:page;mso-position-vertical-relative:page;z-index:-1321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576" type="#_x0000_t75" stroked="false">
          <v:imagedata r:id="rId1" o:title=""/>
        </v:shape>
      </w:pict>
    </w:r>
    <w:r>
      <w:rPr/>
      <w:pict>
        <v:shape style="position:absolute;margin-left:523pt;margin-top:781.837585pt;width:17.6pt;height:11pt;mso-position-horizontal-relative:page;mso-position-vertical-relative:page;z-index:-1321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528" type="#_x0000_t75" stroked="false">
          <v:imagedata r:id="rId1" o:title=""/>
        </v:shape>
      </w:pict>
    </w:r>
    <w:r>
      <w:rPr/>
      <w:pict>
        <v:shape style="position:absolute;margin-left:523.359985pt;margin-top:781.837585pt;width:17.25pt;height:11pt;mso-position-horizontal-relative:page;mso-position-vertical-relative:page;z-index:-1321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480" type="#_x0000_t75" stroked="false">
          <v:imagedata r:id="rId1" o:title=""/>
        </v:shape>
      </w:pict>
    </w:r>
    <w:r>
      <w:rPr/>
      <w:pict>
        <v:shape style="position:absolute;margin-left:523pt;margin-top:781.837585pt;width:17.6pt;height:11pt;mso-position-horizontal-relative:page;mso-position-vertical-relative:page;z-index:-1321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432" type="#_x0000_t75" stroked="false">
          <v:imagedata r:id="rId1" o:title=""/>
        </v:shape>
      </w:pict>
    </w:r>
    <w:r>
      <w:rPr/>
      <w:pict>
        <v:shape style="position:absolute;margin-left:523pt;margin-top:781.837585pt;width:17.6pt;height:11pt;mso-position-horizontal-relative:page;mso-position-vertical-relative:page;z-index:-1321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384" type="#_x0000_t75" stroked="false">
          <v:imagedata r:id="rId1" o:title=""/>
        </v:shape>
      </w:pict>
    </w:r>
    <w:r>
      <w:rPr/>
      <w:pict>
        <v:shape style="position:absolute;margin-left:523pt;margin-top:781.837585pt;width:17.6pt;height:11pt;mso-position-horizontal-relative:page;mso-position-vertical-relative:page;z-index:-1321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336" type="#_x0000_t75" stroked="false">
          <v:imagedata r:id="rId1" o:title=""/>
        </v:shape>
      </w:pict>
    </w:r>
    <w:r>
      <w:rPr/>
      <w:pict>
        <v:shape style="position:absolute;margin-left:523pt;margin-top:781.837585pt;width:17.6pt;height:11pt;mso-position-horizontal-relative:page;mso-position-vertical-relative:page;z-index:-1321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288" type="#_x0000_t75" stroked="false">
          <v:imagedata r:id="rId1" o:title=""/>
        </v:shape>
      </w:pict>
    </w:r>
    <w:r>
      <w:rPr/>
      <w:pict>
        <v:shape style="position:absolute;margin-left:523pt;margin-top:781.837585pt;width:17.6pt;height:11pt;mso-position-horizontal-relative:page;mso-position-vertical-relative:page;z-index:-1321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240" type="#_x0000_t75" stroked="false">
          <v:imagedata r:id="rId1" o:title=""/>
        </v:shape>
      </w:pict>
    </w:r>
    <w:r>
      <w:rPr/>
      <w:pict>
        <v:shape style="position:absolute;margin-left:523pt;margin-top:781.837585pt;width:17.6pt;height:11pt;mso-position-horizontal-relative:page;mso-position-vertical-relative:page;z-index:-1321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2056" type="#_x0000_t75" stroked="false">
          <v:imagedata r:id="rId1" o:title=""/>
        </v:shape>
      </w:pict>
    </w:r>
    <w:r>
      <w:rPr/>
      <w:pict>
        <v:shape style="position:absolute;margin-left:532pt;margin-top:781.837585pt;width:8.5pt;height:11pt;mso-position-horizontal-relative:page;mso-position-vertical-relative:page;z-index:-1322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192" type="#_x0000_t75" stroked="false">
          <v:imagedata r:id="rId1" o:title=""/>
        </v:shape>
      </w:pict>
    </w:r>
    <w:r>
      <w:rPr/>
      <w:pict>
        <v:shape style="position:absolute;margin-left:523pt;margin-top:781.837585pt;width:17.6pt;height:11pt;mso-position-horizontal-relative:page;mso-position-vertical-relative:page;z-index:-1321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175</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144" type="#_x0000_t75" stroked="false">
          <v:imagedata r:id="rId1" o:title=""/>
        </v:shape>
      </w:pict>
    </w:r>
    <w:r>
      <w:rPr/>
      <w:pict>
        <v:shape style="position:absolute;margin-left:523pt;margin-top:781.837585pt;width:17.6pt;height:11pt;mso-position-horizontal-relative:page;mso-position-vertical-relative:page;z-index:-1321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096" type="#_x0000_t75" stroked="false">
          <v:imagedata r:id="rId1" o:title=""/>
        </v:shape>
      </w:pict>
    </w:r>
    <w:r>
      <w:rPr/>
      <w:pict>
        <v:shape style="position:absolute;margin-left:523pt;margin-top:781.837585pt;width:17.6pt;height:11pt;mso-position-horizontal-relative:page;mso-position-vertical-relative:page;z-index:-1321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048" type="#_x0000_t75" stroked="false">
          <v:imagedata r:id="rId1" o:title=""/>
        </v:shape>
      </w:pict>
    </w:r>
    <w:r>
      <w:rPr/>
      <w:pict>
        <v:shape style="position:absolute;margin-left:523pt;margin-top:781.837585pt;width:17.6pt;height:11pt;mso-position-horizontal-relative:page;mso-position-vertical-relative:page;z-index:-1321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2008" type="#_x0000_t75" stroked="false">
          <v:imagedata r:id="rId1" o:title=""/>
        </v:shape>
      </w:pict>
    </w:r>
    <w:r>
      <w:rPr/>
      <w:pict>
        <v:shape style="position:absolute;margin-left:527.559998pt;margin-top:781.837585pt;width:13.1pt;height:11pt;mso-position-horizontal-relative:page;mso-position-vertical-relative:page;z-index:-1321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960" type="#_x0000_t75" stroked="false">
          <v:imagedata r:id="rId1" o:title=""/>
        </v:shape>
      </w:pict>
    </w:r>
    <w:r>
      <w:rPr/>
      <w:pict>
        <v:shape style="position:absolute;margin-left:527.559998pt;margin-top:781.837585pt;width:13.1pt;height:11pt;mso-position-horizontal-relative:page;mso-position-vertical-relative:page;z-index:-1321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912" type="#_x0000_t75" stroked="false">
          <v:imagedata r:id="rId1" o:title=""/>
        </v:shape>
      </w:pict>
    </w:r>
    <w:r>
      <w:rPr/>
      <w:pict>
        <v:shape style="position:absolute;margin-left:527.559998pt;margin-top:781.837585pt;width:13.1pt;height:11pt;mso-position-horizontal-relative:page;mso-position-vertical-relative:page;z-index:-1321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864" type="#_x0000_t75" stroked="false">
          <v:imagedata r:id="rId1" o:title=""/>
        </v:shape>
      </w:pict>
    </w:r>
    <w:r>
      <w:rPr/>
      <w:pict>
        <v:shape style="position:absolute;margin-left:527.559998pt;margin-top:781.837585pt;width:13.1pt;height:11pt;mso-position-horizontal-relative:page;mso-position-vertical-relative:page;z-index:-1321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816" type="#_x0000_t75" stroked="false">
          <v:imagedata r:id="rId1" o:title=""/>
        </v:shape>
      </w:pict>
    </w:r>
    <w:r>
      <w:rPr/>
      <w:pict>
        <v:shape style="position:absolute;margin-left:527.559998pt;margin-top:781.837585pt;width:13.1pt;height:11pt;mso-position-horizontal-relative:page;mso-position-vertical-relative:page;z-index:-1321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768" type="#_x0000_t75" stroked="false">
          <v:imagedata r:id="rId1" o:title=""/>
        </v:shape>
      </w:pict>
    </w:r>
    <w:r>
      <w:rPr/>
      <w:pict>
        <v:shape style="position:absolute;margin-left:527.559998pt;margin-top:781.837585pt;width:13.1pt;height:11pt;mso-position-horizontal-relative:page;mso-position-vertical-relative:page;z-index:-1321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321720" type="#_x0000_t75" stroked="false">
          <v:imagedata r:id="rId1" o:title=""/>
        </v:shape>
      </w:pict>
    </w:r>
    <w:r>
      <w:rPr/>
      <w:pict>
        <v:shape style="position:absolute;margin-left:527.559998pt;margin-top:781.837585pt;width:13.1pt;height:11pt;mso-position-horizontal-relative:page;mso-position-vertical-relative:page;z-index:-1321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pt;margin-top:36.635155pt;width:186.6pt;height:11.15pt;mso-position-horizontal-relative:page;mso-position-vertical-relative:page;z-index:-1322128" type="#_x0000_t202" filled="false" stroked="false">
          <v:textbox inset="0,0,0,0">
            <w:txbxContent>
              <w:p>
                <w:pPr>
                  <w:pStyle w:val="BodyText"/>
                  <w:spacing w:line="206" w:lineRule="exact"/>
                  <w:ind w:left="20" w:right="0"/>
                  <w:jc w:val="left"/>
                </w:pPr>
                <w:r>
                  <w:rPr/>
                  <w:t>美盈森集团股份有限公司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sz w:val="32"/>
      <w:szCs w:val="32"/>
    </w:rPr>
  </w:style>
  <w:style w:styleId="Heading2" w:type="paragraph">
    <w:name w:val="Heading 2"/>
    <w:basedOn w:val="Normal"/>
    <w:uiPriority w:val="1"/>
    <w:qFormat/>
    <w:pPr>
      <w:ind w:left="152"/>
      <w:outlineLvl w:val="2"/>
    </w:pPr>
    <w:rPr>
      <w:rFonts w:ascii="宋体" w:hAnsi="宋体" w:eastAsia="宋体"/>
      <w:sz w:val="24"/>
      <w:szCs w:val="24"/>
    </w:rPr>
  </w:style>
  <w:style w:styleId="Heading3" w:type="paragraph">
    <w:name w:val="Heading 3"/>
    <w:basedOn w:val="Normal"/>
    <w:uiPriority w:val="1"/>
    <w:qFormat/>
    <w:pPr>
      <w:ind w:left="152"/>
      <w:outlineLvl w:val="3"/>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zmys.com/" TargetMode="External"/><Relationship Id="rId10" Type="http://schemas.openxmlformats.org/officeDocument/2006/relationships/hyperlink" Target="mailto:mys.stock@szmys.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http://www/" TargetMode="Externa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image" Target="media/image3.jpeg"/><Relationship Id="rId21" Type="http://schemas.openxmlformats.org/officeDocument/2006/relationships/footer" Target="footer10.xml"/><Relationship Id="rId22" Type="http://schemas.openxmlformats.org/officeDocument/2006/relationships/hyperlink" Target="http://www.cninfo.com/" TargetMode="Externa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footer" Target="footer18.xml"/><Relationship Id="rId31" Type="http://schemas.openxmlformats.org/officeDocument/2006/relationships/footer" Target="footer19.xml"/><Relationship Id="rId32" Type="http://schemas.openxmlformats.org/officeDocument/2006/relationships/footer" Target="footer20.xml"/><Relationship Id="rId33" Type="http://schemas.openxmlformats.org/officeDocument/2006/relationships/footer" Target="footer21.xml"/><Relationship Id="rId34" Type="http://schemas.openxmlformats.org/officeDocument/2006/relationships/footer" Target="footer22.xml"/><Relationship Id="rId35" Type="http://schemas.openxmlformats.org/officeDocument/2006/relationships/footer" Target="footer2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wenmin</dc:creator>
  <dc:title>Microsoft Word - 2018å¹´å¹´åº¦æ−¥å‚−å–¨æŒ⁄</dc:title>
  <dcterms:created xsi:type="dcterms:W3CDTF">2020-05-04T22:36:41Z</dcterms:created>
  <dcterms:modified xsi:type="dcterms:W3CDTF">2020-05-04T22:36:41Z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2019-04-09T00:00:00Z</vt:filetime>
  </property>
  <property fmtid="{D5CDD505-2E9C-101B-9397-08002B2CF9AE}" pid="3" name="LastSaved">
    <vt:filetime>2020-05-04T00:00:00Z</vt:filetime>
  </property>
</Properties>
</file>