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199997pt;margin-top:49.079998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19999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005" w:lineRule="exact"/>
        <w:ind w:left="42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944254" cy="638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4254" cy="638175"/>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0" w:right="892" w:firstLine="0"/>
        <w:jc w:val="center"/>
        <w:rPr>
          <w:rFonts w:ascii="Tahoma" w:hAnsi="Tahoma" w:cs="Tahoma" w:eastAsia="Tahoma" w:hint="default"/>
          <w:sz w:val="36"/>
          <w:szCs w:val="36"/>
        </w:rPr>
      </w:pPr>
      <w:r>
        <w:rPr>
          <w:rFonts w:ascii="宋体" w:hAnsi="宋体" w:cs="宋体" w:eastAsia="宋体" w:hint="default"/>
          <w:sz w:val="36"/>
          <w:szCs w:val="36"/>
        </w:rPr>
        <w:t>美盈森集团股份有限公司</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3"/>
        <w:rPr>
          <w:rFonts w:ascii="Tahoma" w:hAnsi="Tahoma" w:cs="Tahoma" w:eastAsia="Tahoma" w:hint="default"/>
          <w:sz w:val="33"/>
          <w:szCs w:val="33"/>
        </w:rPr>
      </w:pPr>
    </w:p>
    <w:p>
      <w:pPr>
        <w:pStyle w:val="Heading1"/>
        <w:spacing w:line="240" w:lineRule="auto"/>
        <w:ind w:right="904"/>
        <w:jc w:val="center"/>
        <w:rPr>
          <w:rFonts w:ascii="Tahoma" w:hAnsi="Tahoma" w:cs="Tahoma" w:eastAsia="Tahoma" w:hint="default"/>
        </w:rPr>
      </w:pPr>
      <w:r>
        <w:rPr>
          <w:rFonts w:ascii="Tahoma" w:hAnsi="Tahoma" w:cs="Tahoma" w:eastAsia="Tahoma" w:hint="default"/>
          <w:w w:val="95"/>
        </w:rPr>
        <w:t>2019</w:t>
      </w:r>
      <w:r>
        <w:rPr>
          <w:rFonts w:ascii="Tahoma" w:hAnsi="Tahoma" w:cs="Tahoma" w:eastAsia="Tahoma" w:hint="default"/>
          <w:spacing w:val="44"/>
          <w:w w:val="95"/>
        </w:rPr>
        <w:t> </w:t>
      </w:r>
      <w:r>
        <w:rPr>
          <w:w w:val="95"/>
        </w:rPr>
        <w:t>年年度报告</w:t>
      </w:r>
      <w:r>
        <w:rPr>
          <w:rFonts w:ascii="Tahoma" w:hAnsi="Tahoma" w:cs="Tahoma" w:eastAsia="Tahoma" w:hint="default"/>
          <w:w w:val="79"/>
        </w:rPr>
        <w:t> </w:t>
      </w:r>
      <w:r>
        <w:rPr>
          <w:rFonts w:ascii="Tahoma" w:hAnsi="Tahoma" w:cs="Tahoma" w:eastAsia="Tahoma" w:hint="default"/>
        </w:rPr>
      </w:r>
    </w:p>
    <w:p>
      <w:pPr>
        <w:spacing w:line="240" w:lineRule="auto" w:before="2"/>
        <w:rPr>
          <w:rFonts w:ascii="Tahoma" w:hAnsi="Tahoma" w:cs="Tahoma" w:eastAsia="Tahoma" w:hint="default"/>
          <w:sz w:val="34"/>
          <w:szCs w:val="34"/>
        </w:rPr>
      </w:pPr>
    </w:p>
    <w:p>
      <w:pPr>
        <w:spacing w:before="0"/>
        <w:ind w:left="0" w:right="926" w:firstLine="0"/>
        <w:jc w:val="center"/>
        <w:rPr>
          <w:rFonts w:ascii="Tahoma" w:hAnsi="Tahoma" w:cs="Tahoma" w:eastAsia="Tahoma" w:hint="default"/>
          <w:sz w:val="22"/>
          <w:szCs w:val="22"/>
        </w:rPr>
      </w:pPr>
      <w:r>
        <w:rPr>
          <w:rFonts w:ascii="Tahoma"/>
          <w:sz w:val="22"/>
        </w:rPr>
        <w:t>2020-035</w:t>
      </w:r>
      <w:r>
        <w:rPr>
          <w:rFonts w:ascii="Tahoma"/>
          <w:w w:val="80"/>
          <w:sz w:val="22"/>
        </w:rPr>
        <w:t> </w:t>
      </w:r>
      <w:r>
        <w:rPr>
          <w:rFonts w:ascii="Tahoma"/>
          <w:sz w:val="22"/>
        </w:rPr>
      </w: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0"/>
        <w:rPr>
          <w:rFonts w:ascii="Tahoma" w:hAnsi="Tahoma" w:cs="Tahoma" w:eastAsia="Tahoma" w:hint="default"/>
          <w:sz w:val="22"/>
          <w:szCs w:val="22"/>
        </w:rPr>
      </w:pPr>
    </w:p>
    <w:p>
      <w:pPr>
        <w:spacing w:line="240" w:lineRule="auto" w:before="9"/>
        <w:rPr>
          <w:rFonts w:ascii="Tahoma" w:hAnsi="Tahoma" w:cs="Tahoma" w:eastAsia="Tahoma" w:hint="default"/>
          <w:sz w:val="30"/>
          <w:szCs w:val="30"/>
        </w:rPr>
      </w:pPr>
    </w:p>
    <w:p>
      <w:pPr>
        <w:pStyle w:val="Heading1"/>
        <w:spacing w:line="240" w:lineRule="auto"/>
        <w:ind w:right="900"/>
        <w:jc w:val="center"/>
        <w:rPr>
          <w:rFonts w:ascii="Tahoma" w:hAnsi="Tahoma" w:cs="Tahoma" w:eastAsia="Tahoma" w:hint="default"/>
        </w:rPr>
      </w:pPr>
      <w:r>
        <w:rPr>
          <w:rFonts w:ascii="Tahoma" w:hAnsi="Tahoma" w:cs="Tahoma" w:eastAsia="Tahoma" w:hint="default"/>
        </w:rPr>
        <w:t>2020</w:t>
      </w:r>
      <w:r>
        <w:rPr>
          <w:rFonts w:ascii="Tahoma" w:hAnsi="Tahoma" w:cs="Tahoma" w:eastAsia="Tahoma" w:hint="default"/>
          <w:spacing w:val="-50"/>
        </w:rPr>
        <w:t> </w:t>
      </w:r>
      <w:r>
        <w:rPr/>
        <w:t>年</w:t>
      </w:r>
      <w:r>
        <w:rPr>
          <w:spacing w:val="-109"/>
        </w:rPr>
        <w:t> </w:t>
      </w:r>
      <w:r>
        <w:rPr>
          <w:rFonts w:ascii="Tahoma" w:hAnsi="Tahoma" w:cs="Tahoma" w:eastAsia="Tahoma" w:hint="default"/>
        </w:rPr>
        <w:t>03</w:t>
      </w:r>
      <w:r>
        <w:rPr>
          <w:rFonts w:ascii="Tahoma" w:hAnsi="Tahoma" w:cs="Tahoma" w:eastAsia="Tahoma" w:hint="default"/>
          <w:spacing w:val="-49"/>
        </w:rPr>
        <w:t> </w:t>
      </w:r>
      <w:r>
        <w:rPr/>
        <w:t>月</w:t>
      </w:r>
      <w:r>
        <w:rPr>
          <w:rFonts w:ascii="Tahoma" w:hAnsi="Tahoma" w:cs="Tahoma" w:eastAsia="Tahoma" w:hint="default"/>
          <w:w w:val="79"/>
        </w:rPr>
        <w:t> </w:t>
      </w:r>
      <w:r>
        <w:rPr>
          <w:rFonts w:ascii="Tahoma" w:hAnsi="Tahoma" w:cs="Tahoma" w:eastAsia="Tahoma" w:hint="default"/>
        </w:rPr>
      </w:r>
    </w:p>
    <w:p>
      <w:pPr>
        <w:spacing w:after="0" w:line="240" w:lineRule="auto"/>
        <w:jc w:val="center"/>
        <w:rPr>
          <w:rFonts w:ascii="Tahoma" w:hAnsi="Tahoma" w:cs="Tahoma" w:eastAsia="Tahoma" w:hint="default"/>
        </w:rPr>
        <w:sectPr>
          <w:headerReference w:type="default" r:id="rId5"/>
          <w:footerReference w:type="default" r:id="rId6"/>
          <w:type w:val="continuous"/>
          <w:pgSz w:w="11910" w:h="16840"/>
          <w:pgMar w:header="753" w:footer="982" w:top="1060" w:bottom="1180" w:left="980" w:right="0"/>
        </w:sectPr>
      </w:pPr>
    </w:p>
    <w:p>
      <w:pPr>
        <w:spacing w:line="240" w:lineRule="auto" w:before="1"/>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6"/>
        <w:rPr>
          <w:rFonts w:ascii="Tahoma" w:hAnsi="Tahoma" w:cs="Tahoma" w:eastAsia="Tahoma" w:hint="default"/>
          <w:sz w:val="24"/>
          <w:szCs w:val="24"/>
        </w:rPr>
      </w:pPr>
    </w:p>
    <w:p>
      <w:pPr>
        <w:pStyle w:val="Heading2"/>
        <w:spacing w:line="240" w:lineRule="auto"/>
        <w:ind w:left="3013" w:right="0"/>
        <w:jc w:val="left"/>
        <w:rPr>
          <w:rFonts w:ascii="Tahoma" w:hAnsi="Tahoma" w:cs="Tahoma" w:eastAsia="Tahoma" w:hint="default"/>
        </w:rPr>
      </w:pPr>
      <w:bookmarkStart w:name="_TOC_250011" w:id="1"/>
      <w:r>
        <w:rPr/>
        <w:t>第一节重要提示、目录和释义</w:t>
      </w:r>
      <w:r>
        <w:rPr>
          <w:rFonts w:ascii="Tahoma" w:hAnsi="Tahoma" w:cs="Tahoma" w:eastAsia="Tahoma" w:hint="default"/>
          <w:w w:val="80"/>
        </w:rPr>
        <w:t> </w:t>
      </w:r>
      <w:bookmarkEnd w:id="1"/>
      <w:r>
        <w:rPr>
          <w:rFonts w:ascii="Tahoma" w:hAnsi="Tahoma" w:cs="Tahoma" w:eastAsia="Tahoma" w:hint="default"/>
        </w:rPr>
      </w:r>
    </w:p>
    <w:p>
      <w:pPr>
        <w:spacing w:line="240" w:lineRule="auto" w:before="0"/>
        <w:rPr>
          <w:rFonts w:ascii="Tahoma" w:hAnsi="Tahoma" w:cs="Tahoma" w:eastAsia="Tahoma" w:hint="default"/>
          <w:sz w:val="30"/>
          <w:szCs w:val="30"/>
        </w:rPr>
      </w:pPr>
    </w:p>
    <w:p>
      <w:pPr>
        <w:spacing w:line="240" w:lineRule="auto" w:before="4"/>
        <w:rPr>
          <w:rFonts w:ascii="Tahoma" w:hAnsi="Tahoma" w:cs="Tahoma" w:eastAsia="Tahoma" w:hint="default"/>
          <w:sz w:val="23"/>
          <w:szCs w:val="23"/>
        </w:rPr>
      </w:pPr>
    </w:p>
    <w:p>
      <w:pPr>
        <w:spacing w:line="408" w:lineRule="auto" w:before="0"/>
        <w:ind w:left="152" w:right="1145" w:firstLine="561"/>
        <w:jc w:val="both"/>
        <w:rPr>
          <w:rFonts w:ascii="Tahoma" w:hAnsi="Tahoma" w:cs="Tahoma" w:eastAsia="Tahoma" w:hint="default"/>
          <w:sz w:val="28"/>
          <w:szCs w:val="28"/>
        </w:rPr>
      </w:pPr>
      <w:r>
        <w:rPr>
          <w:rFonts w:ascii="宋体" w:hAnsi="宋体" w:cs="宋体" w:eastAsia="宋体" w:hint="default"/>
          <w:sz w:val="28"/>
          <w:szCs w:val="28"/>
        </w:rPr>
        <w:t>公司董事会、监事会及董事、监事、高级管理人员保证年度报告内容的真</w:t>
      </w:r>
      <w:r>
        <w:rPr>
          <w:rFonts w:ascii="宋体" w:hAnsi="宋体" w:cs="宋体" w:eastAsia="宋体" w:hint="default"/>
          <w:w w:val="100"/>
          <w:sz w:val="28"/>
          <w:szCs w:val="28"/>
        </w:rPr>
        <w:t> </w:t>
      </w:r>
      <w:r>
        <w:rPr>
          <w:rFonts w:ascii="宋体" w:hAnsi="宋体" w:cs="宋体" w:eastAsia="宋体" w:hint="default"/>
          <w:sz w:val="28"/>
          <w:szCs w:val="28"/>
        </w:rPr>
        <w:t>实、准确、完整，不存在虚假记载、误导性陈述或重大遗漏，并承担个别和连</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带的法律责任。</w:t>
      </w:r>
      <w:r>
        <w:rPr>
          <w:rFonts w:ascii="Tahoma" w:hAnsi="Tahoma" w:cs="Tahoma" w:eastAsia="Tahoma" w:hint="default"/>
          <w:w w:val="80"/>
          <w:sz w:val="28"/>
          <w:szCs w:val="28"/>
        </w:rPr>
        <w:t> </w:t>
      </w:r>
      <w:r>
        <w:rPr>
          <w:rFonts w:ascii="Tahoma" w:hAnsi="Tahoma" w:cs="Tahoma" w:eastAsia="Tahoma" w:hint="default"/>
          <w:sz w:val="28"/>
          <w:szCs w:val="28"/>
        </w:rPr>
      </w:r>
    </w:p>
    <w:p>
      <w:pPr>
        <w:spacing w:line="388" w:lineRule="auto" w:before="162"/>
        <w:ind w:left="152" w:right="1133" w:firstLine="561"/>
        <w:jc w:val="both"/>
        <w:rPr>
          <w:rFonts w:ascii="Tahoma" w:hAnsi="Tahoma" w:cs="Tahoma" w:eastAsia="Tahoma" w:hint="default"/>
          <w:sz w:val="28"/>
          <w:szCs w:val="28"/>
        </w:rPr>
      </w:pPr>
      <w:r>
        <w:rPr>
          <w:rFonts w:ascii="宋体" w:hAnsi="宋体" w:cs="宋体" w:eastAsia="宋体" w:hint="default"/>
          <w:sz w:val="28"/>
          <w:szCs w:val="28"/>
        </w:rPr>
        <w:t>公司负责人王海鹏、主管会计工作负责人袁宏贵及会计机构负责人</w:t>
      </w:r>
      <w:r>
        <w:rPr>
          <w:rFonts w:ascii="Tahoma" w:hAnsi="Tahoma" w:cs="Tahoma" w:eastAsia="Tahoma" w:hint="default"/>
          <w:sz w:val="28"/>
          <w:szCs w:val="28"/>
        </w:rPr>
        <w:t>(</w:t>
      </w:r>
      <w:r>
        <w:rPr>
          <w:rFonts w:ascii="宋体" w:hAnsi="宋体" w:cs="宋体" w:eastAsia="宋体" w:hint="default"/>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Tahoma" w:hAnsi="Tahoma" w:cs="Tahoma" w:eastAsia="Tahoma" w:hint="default"/>
          <w:sz w:val="28"/>
          <w:szCs w:val="28"/>
        </w:rPr>
        <w:t>)</w:t>
      </w:r>
      <w:r>
        <w:rPr>
          <w:rFonts w:ascii="宋体" w:hAnsi="宋体" w:cs="宋体" w:eastAsia="宋体" w:hint="default"/>
          <w:sz w:val="28"/>
          <w:szCs w:val="28"/>
        </w:rPr>
        <w:t>袁宏贵声明：保证年度报告中财务报告的真实、准确、完整。</w:t>
      </w:r>
      <w:r>
        <w:rPr>
          <w:rFonts w:ascii="Tahoma" w:hAnsi="Tahoma" w:cs="Tahoma" w:eastAsia="Tahoma" w:hint="default"/>
          <w:w w:val="80"/>
          <w:sz w:val="28"/>
          <w:szCs w:val="28"/>
        </w:rPr>
        <w:t> </w:t>
      </w:r>
      <w:r>
        <w:rPr>
          <w:rFonts w:ascii="Tahoma" w:hAnsi="Tahoma" w:cs="Tahoma" w:eastAsia="Tahoma" w:hint="default"/>
          <w:sz w:val="28"/>
          <w:szCs w:val="28"/>
        </w:rPr>
      </w:r>
    </w:p>
    <w:p>
      <w:pPr>
        <w:spacing w:before="130"/>
        <w:ind w:left="714" w:right="0" w:firstLine="0"/>
        <w:jc w:val="left"/>
        <w:rPr>
          <w:rFonts w:ascii="Tahoma" w:hAnsi="Tahoma" w:cs="Tahoma" w:eastAsia="Tahoma" w:hint="default"/>
          <w:sz w:val="28"/>
          <w:szCs w:val="28"/>
        </w:rPr>
      </w:pPr>
      <w:r>
        <w:rPr>
          <w:rFonts w:ascii="宋体" w:hAnsi="宋体" w:cs="宋体" w:eastAsia="宋体" w:hint="default"/>
          <w:sz w:val="28"/>
          <w:szCs w:val="28"/>
        </w:rPr>
        <w:t>除下列董事外，其他董事亲自出席了审议本次年报的董事会会议</w:t>
      </w:r>
      <w:r>
        <w:rPr>
          <w:rFonts w:ascii="Tahoma" w:hAnsi="Tahoma" w:cs="Tahoma" w:eastAsia="Tahoma" w:hint="default"/>
          <w:w w:val="80"/>
          <w:sz w:val="28"/>
          <w:szCs w:val="28"/>
        </w:rPr>
        <w:t> </w:t>
      </w:r>
      <w:r>
        <w:rPr>
          <w:rFonts w:ascii="Tahoma" w:hAnsi="Tahoma" w:cs="Tahoma" w:eastAsia="Tahoma" w:hint="default"/>
          <w:sz w:val="28"/>
          <w:szCs w:val="28"/>
        </w:rPr>
      </w:r>
    </w:p>
    <w:p>
      <w:pPr>
        <w:spacing w:line="240" w:lineRule="auto" w:before="5"/>
        <w:rPr>
          <w:rFonts w:ascii="Tahoma" w:hAnsi="Tahoma" w:cs="Tahoma" w:eastAsia="Tahoma" w:hint="default"/>
          <w:sz w:val="22"/>
          <w:szCs w:val="22"/>
        </w:rPr>
      </w:pPr>
    </w:p>
    <w:tbl>
      <w:tblPr>
        <w:tblW w:w="0" w:type="auto"/>
        <w:jc w:val="left"/>
        <w:tblInd w:w="147" w:type="dxa"/>
        <w:tblLayout w:type="fixed"/>
        <w:tblCellMar>
          <w:top w:w="0" w:type="dxa"/>
          <w:left w:w="0" w:type="dxa"/>
          <w:bottom w:w="0" w:type="dxa"/>
          <w:right w:w="0" w:type="dxa"/>
        </w:tblCellMar>
        <w:tblLook w:val="01E0"/>
      </w:tblPr>
      <w:tblGrid>
        <w:gridCol w:w="2935"/>
        <w:gridCol w:w="2210"/>
        <w:gridCol w:w="2210"/>
        <w:gridCol w:w="2213"/>
      </w:tblGrid>
      <w:tr>
        <w:trPr>
          <w:trHeight w:val="403"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0"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ahoma" w:hAnsi="Tahoma" w:cs="Tahoma" w:eastAsia="Tahoma" w:hint="default"/>
          <w:sz w:val="15"/>
          <w:szCs w:val="15"/>
        </w:rPr>
      </w:pPr>
    </w:p>
    <w:p>
      <w:pPr>
        <w:spacing w:line="408" w:lineRule="auto" w:before="2"/>
        <w:ind w:left="152" w:right="0" w:firstLine="561"/>
        <w:jc w:val="left"/>
        <w:rPr>
          <w:rFonts w:ascii="Tahoma" w:hAnsi="Tahoma" w:cs="Tahoma" w:eastAsia="Tahoma" w:hint="default"/>
          <w:sz w:val="28"/>
          <w:szCs w:val="28"/>
        </w:rPr>
      </w:pPr>
      <w:r>
        <w:rPr>
          <w:rFonts w:ascii="宋体" w:hAnsi="宋体" w:cs="宋体" w:eastAsia="宋体" w:hint="default"/>
          <w:spacing w:val="-2"/>
          <w:sz w:val="28"/>
          <w:szCs w:val="28"/>
        </w:rPr>
        <w:t>本年度报告涉及未来计划等前瞻性陈述，不构成公司对投资者的实质承诺，</w:t>
      </w:r>
      <w:r>
        <w:rPr>
          <w:rFonts w:ascii="宋体" w:hAnsi="宋体" w:cs="宋体" w:eastAsia="宋体" w:hint="default"/>
          <w:w w:val="100"/>
          <w:sz w:val="28"/>
          <w:szCs w:val="28"/>
        </w:rPr>
        <w:t> </w:t>
      </w:r>
      <w:r>
        <w:rPr>
          <w:rFonts w:ascii="宋体" w:hAnsi="宋体" w:cs="宋体" w:eastAsia="宋体" w:hint="default"/>
          <w:sz w:val="28"/>
          <w:szCs w:val="28"/>
        </w:rPr>
        <w:t>请投资者注意投资风险。</w:t>
      </w:r>
      <w:r>
        <w:rPr>
          <w:rFonts w:ascii="Tahoma" w:hAnsi="Tahoma" w:cs="Tahoma" w:eastAsia="Tahoma" w:hint="default"/>
          <w:w w:val="80"/>
          <w:sz w:val="28"/>
          <w:szCs w:val="28"/>
        </w:rPr>
        <w:t> </w:t>
      </w:r>
      <w:r>
        <w:rPr>
          <w:rFonts w:ascii="Tahoma" w:hAnsi="Tahoma" w:cs="Tahoma" w:eastAsia="Tahoma" w:hint="default"/>
          <w:sz w:val="28"/>
          <w:szCs w:val="28"/>
        </w:rPr>
      </w:r>
    </w:p>
    <w:p>
      <w:pPr>
        <w:spacing w:line="398" w:lineRule="auto" w:before="162"/>
        <w:ind w:left="152" w:right="1132" w:firstLine="561"/>
        <w:jc w:val="both"/>
        <w:rPr>
          <w:rFonts w:ascii="Tahoma" w:hAnsi="Tahoma" w:cs="Tahoma" w:eastAsia="Tahoma" w:hint="default"/>
          <w:sz w:val="28"/>
          <w:szCs w:val="28"/>
        </w:rPr>
      </w:pPr>
      <w:r>
        <w:rPr>
          <w:rFonts w:ascii="宋体" w:hAnsi="宋体" w:cs="宋体" w:eastAsia="宋体" w:hint="default"/>
          <w:sz w:val="28"/>
          <w:szCs w:val="28"/>
        </w:rPr>
        <w:t>公司请投资者认真阅读本年度报告全文，并特别注意公司可能面临的包括</w:t>
      </w:r>
      <w:r>
        <w:rPr>
          <w:rFonts w:ascii="宋体" w:hAnsi="宋体" w:cs="宋体" w:eastAsia="宋体" w:hint="default"/>
          <w:w w:val="100"/>
          <w:sz w:val="28"/>
          <w:szCs w:val="28"/>
        </w:rPr>
        <w:t> </w:t>
      </w:r>
      <w:r>
        <w:rPr>
          <w:rFonts w:ascii="宋体" w:hAnsi="宋体" w:cs="宋体" w:eastAsia="宋体" w:hint="default"/>
          <w:spacing w:val="-2"/>
          <w:sz w:val="28"/>
          <w:szCs w:val="28"/>
        </w:rPr>
        <w:t>行业竞争、市场等风险因素。详细内容见本报告第四节</w:t>
      </w:r>
      <w:r>
        <w:rPr>
          <w:rFonts w:ascii="Tahoma" w:hAnsi="Tahoma" w:cs="Tahoma" w:eastAsia="Tahoma" w:hint="default"/>
          <w:spacing w:val="-2"/>
          <w:sz w:val="28"/>
          <w:szCs w:val="28"/>
        </w:rPr>
        <w:t>“</w:t>
      </w:r>
      <w:r>
        <w:rPr>
          <w:rFonts w:ascii="宋体" w:hAnsi="宋体" w:cs="宋体" w:eastAsia="宋体" w:hint="default"/>
          <w:spacing w:val="-2"/>
          <w:sz w:val="28"/>
          <w:szCs w:val="28"/>
        </w:rPr>
        <w:t>（九）公司未来发展的</w:t>
      </w:r>
      <w:r>
        <w:rPr>
          <w:rFonts w:ascii="宋体" w:hAnsi="宋体" w:cs="宋体" w:eastAsia="宋体" w:hint="default"/>
          <w:spacing w:val="-70"/>
          <w:sz w:val="28"/>
          <w:szCs w:val="28"/>
        </w:rPr>
        <w:t> </w:t>
      </w:r>
      <w:r>
        <w:rPr>
          <w:rFonts w:ascii="宋体" w:hAnsi="宋体" w:cs="宋体" w:eastAsia="宋体" w:hint="default"/>
          <w:spacing w:val="-70"/>
          <w:sz w:val="28"/>
          <w:szCs w:val="28"/>
        </w:rPr>
      </w:r>
      <w:r>
        <w:rPr>
          <w:rFonts w:ascii="宋体" w:hAnsi="宋体" w:cs="宋体" w:eastAsia="宋体" w:hint="default"/>
          <w:sz w:val="28"/>
          <w:szCs w:val="28"/>
        </w:rPr>
        <w:t>展望</w:t>
      </w:r>
      <w:r>
        <w:rPr>
          <w:rFonts w:ascii="Tahoma" w:hAnsi="Tahoma" w:cs="Tahoma" w:eastAsia="Tahoma" w:hint="default"/>
          <w:sz w:val="28"/>
          <w:szCs w:val="28"/>
        </w:rPr>
        <w:t>”</w:t>
      </w:r>
      <w:r>
        <w:rPr>
          <w:rFonts w:ascii="宋体" w:hAnsi="宋体" w:cs="宋体" w:eastAsia="宋体" w:hint="default"/>
          <w:sz w:val="28"/>
          <w:szCs w:val="28"/>
        </w:rPr>
        <w:t>部分。</w:t>
      </w:r>
      <w:r>
        <w:rPr>
          <w:rFonts w:ascii="Tahoma" w:hAnsi="Tahoma" w:cs="Tahoma" w:eastAsia="Tahoma" w:hint="default"/>
          <w:w w:val="80"/>
          <w:sz w:val="28"/>
          <w:szCs w:val="28"/>
        </w:rPr>
        <w:t> </w:t>
      </w:r>
      <w:r>
        <w:rPr>
          <w:rFonts w:ascii="Tahoma" w:hAnsi="Tahoma" w:cs="Tahoma" w:eastAsia="Tahoma" w:hint="default"/>
          <w:sz w:val="28"/>
          <w:szCs w:val="28"/>
        </w:rPr>
      </w:r>
    </w:p>
    <w:p>
      <w:pPr>
        <w:spacing w:line="388" w:lineRule="auto" w:before="114"/>
        <w:ind w:left="152" w:right="1133" w:firstLine="561"/>
        <w:jc w:val="both"/>
        <w:rPr>
          <w:rFonts w:ascii="Tahoma" w:hAnsi="Tahoma" w:cs="Tahoma" w:eastAsia="Tahoma" w:hint="default"/>
          <w:sz w:val="28"/>
          <w:szCs w:val="28"/>
        </w:rPr>
      </w:pPr>
      <w:r>
        <w:rPr>
          <w:rFonts w:ascii="宋体" w:hAnsi="宋体" w:cs="宋体" w:eastAsia="宋体" w:hint="default"/>
          <w:w w:val="95"/>
          <w:sz w:val="28"/>
          <w:szCs w:val="28"/>
        </w:rPr>
        <w:t>公司经本次董事会审议通过的利润分配预案为：以 </w:t>
      </w:r>
      <w:r>
        <w:rPr>
          <w:rFonts w:ascii="Tahoma" w:hAnsi="Tahoma" w:cs="Tahoma" w:eastAsia="Tahoma" w:hint="default"/>
          <w:w w:val="95"/>
          <w:sz w:val="28"/>
          <w:szCs w:val="28"/>
        </w:rPr>
        <w:t>1531323685</w:t>
      </w:r>
      <w:r>
        <w:rPr>
          <w:rFonts w:ascii="Tahoma" w:hAnsi="Tahoma" w:cs="Tahoma" w:eastAsia="Tahoma" w:hint="default"/>
          <w:spacing w:val="4"/>
          <w:w w:val="95"/>
          <w:sz w:val="28"/>
          <w:szCs w:val="28"/>
        </w:rPr>
        <w:t> </w:t>
      </w:r>
      <w:r>
        <w:rPr>
          <w:rFonts w:ascii="宋体" w:hAnsi="宋体" w:cs="宋体" w:eastAsia="宋体" w:hint="default"/>
          <w:spacing w:val="-6"/>
          <w:w w:val="95"/>
          <w:sz w:val="28"/>
          <w:szCs w:val="28"/>
        </w:rPr>
        <w:t>为基数，向</w:t>
      </w:r>
      <w:r>
        <w:rPr>
          <w:rFonts w:ascii="宋体" w:hAnsi="宋体" w:cs="宋体" w:eastAsia="宋体" w:hint="default"/>
          <w:w w:val="100"/>
          <w:sz w:val="28"/>
          <w:szCs w:val="28"/>
        </w:rPr>
        <w:t> 全体股东每</w:t>
      </w:r>
      <w:r>
        <w:rPr>
          <w:rFonts w:ascii="宋体" w:hAnsi="宋体" w:cs="宋体" w:eastAsia="宋体" w:hint="default"/>
          <w:spacing w:val="-69"/>
          <w:w w:val="100"/>
          <w:sz w:val="28"/>
          <w:szCs w:val="28"/>
        </w:rPr>
        <w:t> </w:t>
      </w:r>
      <w:r>
        <w:rPr>
          <w:rFonts w:ascii="Tahoma" w:hAnsi="Tahoma" w:cs="Tahoma" w:eastAsia="Tahoma" w:hint="default"/>
          <w:w w:val="91"/>
          <w:sz w:val="28"/>
          <w:szCs w:val="28"/>
        </w:rPr>
        <w:t>10</w:t>
      </w:r>
      <w:r>
        <w:rPr>
          <w:rFonts w:ascii="Tahoma" w:hAnsi="Tahoma" w:cs="Tahoma" w:eastAsia="Tahoma" w:hint="default"/>
          <w:spacing w:val="-9"/>
          <w:w w:val="91"/>
          <w:sz w:val="28"/>
          <w:szCs w:val="28"/>
        </w:rPr>
        <w:t> </w:t>
      </w:r>
      <w:r>
        <w:rPr>
          <w:rFonts w:ascii="宋体" w:hAnsi="宋体" w:cs="宋体" w:eastAsia="宋体" w:hint="default"/>
          <w:w w:val="100"/>
          <w:sz w:val="28"/>
          <w:szCs w:val="28"/>
        </w:rPr>
        <w:t>股派发现金红利</w:t>
      </w:r>
      <w:r>
        <w:rPr>
          <w:rFonts w:ascii="宋体" w:hAnsi="宋体" w:cs="宋体" w:eastAsia="宋体" w:hint="default"/>
          <w:spacing w:val="-69"/>
          <w:w w:val="100"/>
          <w:sz w:val="28"/>
          <w:szCs w:val="28"/>
        </w:rPr>
        <w:t> </w:t>
      </w:r>
      <w:r>
        <w:rPr>
          <w:rFonts w:ascii="Tahoma" w:hAnsi="Tahoma" w:cs="Tahoma" w:eastAsia="Tahoma" w:hint="default"/>
          <w:w w:val="89"/>
          <w:sz w:val="28"/>
          <w:szCs w:val="28"/>
        </w:rPr>
        <w:t>3.33</w:t>
      </w:r>
      <w:r>
        <w:rPr>
          <w:rFonts w:ascii="Tahoma" w:hAnsi="Tahoma" w:cs="Tahoma" w:eastAsia="Tahoma" w:hint="default"/>
          <w:spacing w:val="-7"/>
          <w:w w:val="89"/>
          <w:sz w:val="28"/>
          <w:szCs w:val="28"/>
        </w:rPr>
        <w:t> </w:t>
      </w:r>
      <w:r>
        <w:rPr>
          <w:rFonts w:ascii="宋体" w:hAnsi="宋体" w:cs="宋体" w:eastAsia="宋体" w:hint="default"/>
          <w:spacing w:val="-23"/>
          <w:w w:val="100"/>
          <w:sz w:val="28"/>
          <w:szCs w:val="28"/>
        </w:rPr>
        <w:t>元（含税），送红股</w:t>
      </w:r>
      <w:r>
        <w:rPr>
          <w:rFonts w:ascii="宋体" w:hAnsi="宋体" w:cs="宋体" w:eastAsia="宋体" w:hint="default"/>
          <w:spacing w:val="-66"/>
          <w:w w:val="100"/>
          <w:sz w:val="28"/>
          <w:szCs w:val="28"/>
        </w:rPr>
        <w:t> </w:t>
      </w:r>
      <w:r>
        <w:rPr>
          <w:rFonts w:ascii="Tahoma" w:hAnsi="Tahoma" w:cs="Tahoma" w:eastAsia="Tahoma" w:hint="default"/>
          <w:w w:val="91"/>
          <w:sz w:val="28"/>
          <w:szCs w:val="28"/>
        </w:rPr>
        <w:t>0</w:t>
      </w:r>
      <w:r>
        <w:rPr>
          <w:rFonts w:ascii="Tahoma" w:hAnsi="Tahoma" w:cs="Tahoma" w:eastAsia="Tahoma" w:hint="default"/>
          <w:spacing w:val="-11"/>
          <w:w w:val="91"/>
          <w:sz w:val="28"/>
          <w:szCs w:val="28"/>
        </w:rPr>
        <w:t> </w:t>
      </w:r>
      <w:r>
        <w:rPr>
          <w:rFonts w:ascii="宋体" w:hAnsi="宋体" w:cs="宋体" w:eastAsia="宋体" w:hint="default"/>
          <w:spacing w:val="-21"/>
          <w:w w:val="100"/>
          <w:sz w:val="28"/>
          <w:szCs w:val="28"/>
        </w:rPr>
        <w:t>股（含税），不以公积</w:t>
      </w:r>
      <w:r>
        <w:rPr>
          <w:rFonts w:ascii="宋体" w:hAnsi="宋体" w:cs="宋体" w:eastAsia="宋体" w:hint="default"/>
          <w:w w:val="100"/>
          <w:sz w:val="28"/>
          <w:szCs w:val="28"/>
        </w:rPr>
        <w:t> </w:t>
      </w:r>
      <w:r>
        <w:rPr>
          <w:rFonts w:ascii="宋体" w:hAnsi="宋体" w:cs="宋体" w:eastAsia="宋体" w:hint="default"/>
          <w:sz w:val="28"/>
          <w:szCs w:val="28"/>
        </w:rPr>
        <w:t>金转增股本。</w:t>
      </w:r>
      <w:r>
        <w:rPr>
          <w:rFonts w:ascii="Tahoma" w:hAnsi="Tahoma" w:cs="Tahoma" w:eastAsia="Tahoma" w:hint="default"/>
          <w:w w:val="80"/>
          <w:sz w:val="28"/>
          <w:szCs w:val="28"/>
        </w:rPr>
        <w:t> </w:t>
      </w:r>
      <w:r>
        <w:rPr>
          <w:rFonts w:ascii="Tahoma" w:hAnsi="Tahoma" w:cs="Tahoma" w:eastAsia="Tahoma" w:hint="default"/>
          <w:sz w:val="28"/>
          <w:szCs w:val="28"/>
        </w:rPr>
      </w:r>
    </w:p>
    <w:p>
      <w:pPr>
        <w:spacing w:after="0" w:line="388" w:lineRule="auto"/>
        <w:jc w:val="both"/>
        <w:rPr>
          <w:rFonts w:ascii="Tahoma" w:hAnsi="Tahoma" w:cs="Tahoma" w:eastAsia="Tahoma" w:hint="default"/>
          <w:sz w:val="28"/>
          <w:szCs w:val="28"/>
        </w:rPr>
        <w:sectPr>
          <w:footerReference w:type="default" r:id="rId8"/>
          <w:pgSz w:w="11910" w:h="16840"/>
          <w:pgMar w:footer="982" w:header="753" w:top="1060" w:bottom="1180" w:left="980" w:right="0"/>
          <w:pgNumType w:start="2"/>
        </w:sectPr>
      </w:pPr>
    </w:p>
    <w:p>
      <w:pPr>
        <w:spacing w:line="240" w:lineRule="auto" w:before="1"/>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7"/>
        <w:rPr>
          <w:rFonts w:ascii="Tahoma" w:hAnsi="Tahoma" w:cs="Tahoma" w:eastAsia="Tahoma" w:hint="default"/>
          <w:sz w:val="16"/>
          <w:szCs w:val="16"/>
        </w:rPr>
      </w:pPr>
    </w:p>
    <w:p>
      <w:pPr>
        <w:spacing w:line="460" w:lineRule="exact" w:before="0"/>
        <w:ind w:left="0" w:right="892" w:firstLine="0"/>
        <w:jc w:val="center"/>
        <w:rPr>
          <w:rFonts w:ascii="Tahoma" w:hAnsi="Tahoma" w:cs="Tahoma" w:eastAsia="Tahoma" w:hint="default"/>
          <w:sz w:val="36"/>
          <w:szCs w:val="36"/>
        </w:rPr>
      </w:pPr>
      <w:r>
        <w:rPr>
          <w:rFonts w:ascii="宋体" w:hAnsi="宋体" w:cs="宋体" w:eastAsia="宋体" w:hint="default"/>
          <w:sz w:val="36"/>
          <w:szCs w:val="36"/>
        </w:rPr>
        <w:t>目录</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0"/>
        <w:rPr>
          <w:rFonts w:ascii="Tahoma" w:hAnsi="Tahoma" w:cs="Tahoma" w:eastAsia="Tahoma" w:hint="default"/>
          <w:sz w:val="36"/>
          <w:szCs w:val="36"/>
        </w:rPr>
      </w:pPr>
    </w:p>
    <w:p>
      <w:pPr>
        <w:spacing w:line="240" w:lineRule="auto" w:before="0"/>
        <w:rPr>
          <w:rFonts w:ascii="Tahoma" w:hAnsi="Tahoma" w:cs="Tahoma" w:eastAsia="Tahoma" w:hint="default"/>
          <w:sz w:val="36"/>
          <w:szCs w:val="36"/>
        </w:rPr>
      </w:pPr>
    </w:p>
    <w:p>
      <w:pPr>
        <w:spacing w:line="240" w:lineRule="auto" w:before="0"/>
        <w:rPr>
          <w:rFonts w:ascii="Tahoma" w:hAnsi="Tahoma" w:cs="Tahoma" w:eastAsia="Tahoma" w:hint="default"/>
          <w:sz w:val="36"/>
          <w:szCs w:val="36"/>
        </w:rPr>
      </w:pPr>
    </w:p>
    <w:sdt>
      <w:sdtPr>
        <w:docPartObj>
          <w:docPartGallery w:val="Table of Contents"/>
          <w:docPartUnique/>
        </w:docPartObj>
      </w:sdtPr>
      <w:sdtEndPr/>
      <w:sdtContent>
        <w:p>
          <w:pPr>
            <w:pStyle w:val="TOC2"/>
            <w:tabs>
              <w:tab w:pos="9783" w:val="right" w:leader="dot"/>
            </w:tabs>
            <w:spacing w:line="240" w:lineRule="auto" w:before="313"/>
            <w:ind w:right="0"/>
            <w:jc w:val="left"/>
            <w:rPr>
              <w:rFonts w:ascii="Times New Roman" w:hAnsi="Times New Roman" w:cs="Times New Roman" w:eastAsia="Times New Roman" w:hint="default"/>
            </w:rPr>
          </w:pPr>
          <w:hyperlink w:history="true" w:anchor="_TOC_250011">
            <w:r>
              <w:rPr/>
              <w:t>第一节重要提示、目录和释义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9">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15</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第五节重要事项</w:t>
            </w:r>
            <w:r>
              <w:rPr>
                <w:rFonts w:ascii="Times New Roman" w:hAnsi="Times New Roman" w:cs="Times New Roman" w:eastAsia="Times New Roman" w:hint="default"/>
              </w:rPr>
              <w:tab/>
            </w:r>
            <w:r>
              <w:rPr>
                <w:rFonts w:ascii="Times New Roman" w:hAnsi="Times New Roman" w:cs="Times New Roman" w:eastAsia="Times New Roman" w:hint="default"/>
                <w:spacing w:val="-4"/>
              </w:rPr>
              <w:t>57</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83</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90</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第八节可转换公司债券相关情况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91</w:t>
            </w:r>
          </w:hyperlink>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TOC_250003">
            <w:r>
              <w:rPr/>
              <w:t>第九节董事、监事、高级管理人员和员工情况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92</w:t>
            </w:r>
          </w:hyperlink>
        </w:p>
        <w:p>
          <w:pPr>
            <w:pStyle w:val="TOC2"/>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rPr>
              <w:t>99</w:t>
            </w:r>
          </w:hyperlink>
        </w:p>
        <w:p>
          <w:pPr>
            <w:pStyle w:val="TOC2"/>
            <w:tabs>
              <w:tab w:pos="9779" w:val="right" w:leader="dot"/>
            </w:tabs>
            <w:spacing w:line="240" w:lineRule="auto"/>
            <w:ind w:right="0"/>
            <w:jc w:val="left"/>
            <w:rPr>
              <w:rFonts w:ascii="Times New Roman" w:hAnsi="Times New Roman" w:cs="Times New Roman" w:eastAsia="Times New Roman" w:hint="default"/>
            </w:rPr>
          </w:pPr>
          <w:hyperlink w:history="true" w:anchor="_TOC_250001">
            <w:r>
              <w:rPr/>
              <w:t>第十一节公司债券相关情况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3"/>
              </w:rPr>
              <w:t>107</w:t>
            </w:r>
          </w:hyperlink>
        </w:p>
        <w:p>
          <w:pPr>
            <w:pStyle w:val="TOC1"/>
            <w:spacing w:line="240" w:lineRule="auto"/>
            <w:ind w:right="991"/>
            <w:jc w:val="center"/>
          </w:pPr>
          <w:r>
            <w:rPr>
              <w:rFonts w:ascii="宋体" w:hAnsi="宋体" w:cs="宋体" w:eastAsia="宋体" w:hint="default"/>
            </w:rPr>
            <w:t>第十二节  财务报告</w:t>
          </w:r>
          <w:r>
            <w:rPr/>
            <w:t>.............................................................................................. - 1</w:t>
          </w:r>
          <w:r>
            <w:rPr>
              <w:spacing w:val="-29"/>
            </w:rPr>
            <w:t> </w:t>
          </w:r>
          <w:r>
            <w:rPr/>
            <w:t>-</w:t>
          </w:r>
        </w:p>
        <w:p>
          <w:pPr>
            <w:pStyle w:val="TOC2"/>
            <w:tabs>
              <w:tab w:pos="9782" w:val="right" w:leader="dot"/>
            </w:tabs>
            <w:spacing w:line="240" w:lineRule="auto"/>
            <w:ind w:right="0"/>
            <w:jc w:val="left"/>
            <w:rPr>
              <w:rFonts w:ascii="Times New Roman" w:hAnsi="Times New Roman" w:cs="Times New Roman" w:eastAsia="Times New Roman" w:hint="default"/>
            </w:rPr>
          </w:pPr>
          <w:hyperlink w:history="true" w:anchor="_TOC_250000">
            <w:r>
              <w:rPr/>
              <w:t>第十三节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141</w:t>
            </w:r>
          </w:hyperlink>
        </w:p>
      </w:sdtContent>
    </w:sdt>
    <w:p>
      <w:pPr>
        <w:spacing w:after="0" w:line="240" w:lineRule="auto"/>
        <w:jc w:val="left"/>
        <w:rPr>
          <w:rFonts w:ascii="Times New Roman" w:hAnsi="Times New Roman" w:cs="Times New Roman" w:eastAsia="Times New Roman" w:hint="default"/>
        </w:rPr>
        <w:sectPr>
          <w:pgSz w:w="11910" w:h="16840"/>
          <w:pgMar w:header="753" w:footer="982" w:top="1060" w:bottom="1180" w:left="980" w:right="0"/>
        </w:sectPr>
      </w:pPr>
    </w:p>
    <w:p>
      <w:pPr>
        <w:pStyle w:val="Heading1"/>
        <w:spacing w:line="240" w:lineRule="auto" w:before="944"/>
        <w:ind w:right="900"/>
        <w:jc w:val="center"/>
        <w:rPr>
          <w:rFonts w:ascii="Tahoma" w:hAnsi="Tahoma" w:cs="Tahoma" w:eastAsia="Tahoma" w:hint="default"/>
        </w:rPr>
      </w:pPr>
      <w:r>
        <w:rPr/>
        <w:t>释义</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公司、本公司、美盈森、深圳美盈森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武汉市美盈森环保科技有限公司，系公司全资子公司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泸美供应链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宜美供应链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四川宜美供应链管理有限公司，系泸美供应链控股子公司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长沙美盈森智谷科技有限公司，系公司控股子公司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Global Inc.</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湖南美盈森实业有限公司，系公司控股子公司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安徽美盈森智谷科技有限公司，系公司控股子公司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美盈森智谷（苏州）包装技术有限公司，系苏州美盈森控股子公司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美彩供应链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江苏美彩供应链管理有限公司，系苏州美盈森控股子公司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GROUP (VIETNAM)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，系香港美盈森全资</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西安美盈森智谷科技有限公司，系公司全资子公司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台湾美盈森有限公司，系香港美盈森全资子公司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东莞美之兰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东莞市美之兰环保科技有限公司，系东莞美盈森全资子公司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苏州智谷科技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苏州美盈森智谷科技有限公司，系苏州美盈森全资子公司</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福建美盈森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福建美盈森环保科技有限公司，系公司全资子公司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青岛美盈森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青岛美盈森智谷科技有限公司，系公司全资子公司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文麻生物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云南文麻生物科技有限公司，系公司控股子公司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同奈美盈森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MYS</w:t>
            </w:r>
            <w:r>
              <w:rPr>
                <w:rFonts w:ascii="宋体" w:hAnsi="宋体" w:cs="宋体" w:eastAsia="宋体" w:hint="default"/>
                <w:sz w:val="18"/>
                <w:szCs w:val="18"/>
              </w:rPr>
              <w:t>（</w:t>
            </w:r>
            <w:r>
              <w:rPr>
                <w:rFonts w:ascii="Times New Roman" w:hAnsi="Times New Roman" w:cs="Times New Roman" w:eastAsia="Times New Roman" w:hint="default"/>
                <w:sz w:val="18"/>
                <w:szCs w:val="18"/>
              </w:rPr>
              <w:t>DONG NAI</w:t>
            </w:r>
            <w:r>
              <w:rPr>
                <w:rFonts w:ascii="宋体" w:hAnsi="宋体" w:cs="宋体" w:eastAsia="宋体" w:hint="default"/>
                <w:sz w:val="18"/>
                <w:szCs w:val="18"/>
              </w:rPr>
              <w:t>） </w:t>
            </w:r>
            <w:r>
              <w:rPr>
                <w:rFonts w:ascii="Times New Roman" w:hAnsi="Times New Roman" w:cs="Times New Roman" w:eastAsia="Times New Roman" w:hint="default"/>
                <w:sz w:val="18"/>
                <w:szCs w:val="18"/>
              </w:rPr>
              <w:t>PACKAGING TECHNOLOGY</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
                <w:sz w:val="18"/>
                <w:szCs w:val="18"/>
              </w:rPr>
              <w:t>COMPANY</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，系越南美盈森全资</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越南包装技术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GROUP (VIETNAM) </w:t>
            </w:r>
            <w:r>
              <w:rPr>
                <w:rFonts w:ascii="Times New Roman" w:hAnsi="Times New Roman" w:cs="Times New Roman" w:eastAsia="Times New Roman" w:hint="default"/>
                <w:spacing w:val="-3"/>
                <w:sz w:val="18"/>
                <w:szCs w:val="18"/>
              </w:rPr>
              <w:t>PACKING </w:t>
            </w:r>
            <w:r>
              <w:rPr>
                <w:rFonts w:ascii="Times New Roman" w:hAnsi="Times New Roman" w:cs="Times New Roman" w:eastAsia="Times New Roman" w:hint="default"/>
                <w:sz w:val="18"/>
                <w:szCs w:val="18"/>
              </w:rPr>
              <w:t>THCHNOLOGY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6"/>
                <w:sz w:val="18"/>
                <w:szCs w:val="18"/>
              </w:rPr>
              <w:t>CO.,LTD</w:t>
            </w:r>
            <w:r>
              <w:rPr>
                <w:rFonts w:ascii="宋体" w:hAnsi="宋体" w:cs="宋体" w:eastAsia="宋体" w:hint="default"/>
                <w:spacing w:val="-6"/>
                <w:sz w:val="18"/>
                <w:szCs w:val="18"/>
              </w:rPr>
              <w:t>，系香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港美盈森全资</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美达科技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美达科技包装（泰国）有限公司，系香港美盈森控股子公司</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5.004456pt;margin-top:272.760010pt;width:369.85pt;height:19.6pt;mso-position-horizontal-relative:page;mso-position-vertical-relative:page;z-index:-153928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1.12001pt;margin-top:272.760010pt;width:363.75pt;height:19.6pt;mso-position-horizontal-relative:page;mso-position-vertical-relative:page;z-index:-1539256" coordorigin="3422,5455" coordsize="7275,392">
            <v:shape style="position:absolute;left:3422;top:5455;width:7275;height:392" coordorigin="3422,5455" coordsize="7275,392" path="m3422,5455l10697,5455,10697,5846,3422,5846,3422,5455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2"/>
        <w:spacing w:line="240" w:lineRule="auto"/>
        <w:ind w:left="2862" w:right="0"/>
        <w:jc w:val="left"/>
        <w:rPr>
          <w:rFonts w:ascii="Tahoma" w:hAnsi="Tahoma" w:cs="Tahoma" w:eastAsia="Tahoma" w:hint="default"/>
        </w:rPr>
      </w:pPr>
      <w:bookmarkStart w:name="_TOC_250010" w:id="2"/>
      <w:r>
        <w:rPr/>
        <w:t>第二节公司简介和主要财务指标</w:t>
      </w:r>
      <w:r>
        <w:rPr>
          <w:rFonts w:ascii="Tahoma" w:hAnsi="Tahoma" w:cs="Tahoma" w:eastAsia="Tahoma" w:hint="default"/>
          <w:w w:val="80"/>
        </w:rPr>
        <w:t> </w:t>
      </w:r>
      <w:bookmarkEnd w:id="2"/>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1"/>
          <w:szCs w:val="21"/>
        </w:rPr>
      </w:pPr>
    </w:p>
    <w:p>
      <w:pPr>
        <w:pStyle w:val="Heading3"/>
        <w:spacing w:line="240" w:lineRule="auto" w:before="26"/>
        <w:ind w:right="0"/>
        <w:jc w:val="left"/>
        <w:rPr>
          <w:rFonts w:ascii="Tahoma" w:hAnsi="Tahoma" w:cs="Tahoma" w:eastAsia="Tahoma" w:hint="default"/>
        </w:rPr>
      </w:pPr>
      <w:r>
        <w:rPr/>
        <w:t>一、公司信息</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002303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5"/>
                <w:sz w:val="18"/>
              </w:rPr>
              <w:t> </w:t>
            </w:r>
            <w:r>
              <w:rPr>
                <w:rFonts w:ascii="Times New Roman"/>
                <w:spacing w:val="-3"/>
                <w:sz w:val="18"/>
              </w:rPr>
              <w:t>CO.,LTD.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栋</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栋</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www.szmys.com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7"/>
        <w:rPr>
          <w:rFonts w:ascii="Tahoma" w:hAnsi="Tahoma" w:cs="Tahoma" w:eastAsia="Tahoma" w:hint="default"/>
          <w:sz w:val="19"/>
          <w:szCs w:val="19"/>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二、联系人和联系方式</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刘会丰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0755-29751877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0755-29751877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0755-28234302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7"/>
        <w:rPr>
          <w:rFonts w:ascii="Tahoma" w:hAnsi="Tahoma" w:cs="Tahoma" w:eastAsia="Tahoma" w:hint="default"/>
          <w:sz w:val="19"/>
          <w:szCs w:val="19"/>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三、信息披露及备置地点</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公司证券部、深交所</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7"/>
        <w:rPr>
          <w:rFonts w:ascii="Tahoma" w:hAnsi="Tahoma" w:cs="Tahoma" w:eastAsia="Tahoma" w:hint="default"/>
          <w:sz w:val="25"/>
          <w:szCs w:val="25"/>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四、注册变更情况</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91440300723000100A</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3"/>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7"/>
        <w:rPr>
          <w:rFonts w:ascii="Tahoma" w:hAnsi="Tahoma" w:cs="Tahoma" w:eastAsia="Tahoma" w:hint="default"/>
          <w:sz w:val="19"/>
          <w:szCs w:val="19"/>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五、其他有关资料</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8"/>
        <w:rPr>
          <w:rFonts w:ascii="Tahoma" w:hAnsi="Tahoma" w:cs="Tahoma" w:eastAsia="Tahoma" w:hint="default"/>
          <w:sz w:val="28"/>
          <w:szCs w:val="28"/>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北京市海淀区知春路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 </w:t>
            </w:r>
            <w:r>
              <w:rPr>
                <w:rFonts w:ascii="Times New Roman" w:hAnsi="Times New Roman" w:cs="Times New Roman" w:eastAsia="Times New Roman" w:hint="default"/>
                <w:sz w:val="18"/>
                <w:szCs w:val="18"/>
              </w:rPr>
              <w:t>1504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陈菁佩、毛玲玲</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北京市西城区太平桥大街丰 盛胡同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号太平洋保险大 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李硕、陈胜可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六、主要会计数据和财务指标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3,392,132,631.63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3,248,945,549.35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2,857,419,302.97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535,279,249.14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401,205,568.76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348,186,315.19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384,329,839.05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353,124,133.37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333,505,198.25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441,130,346.32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273,926,567.38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264,155,317.55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0.2258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7,269,432,950.85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6,369,909,693.04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5,931,219,545.41</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5,147,240,482.87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4,476,485,987.19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4,329,719,804.16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七、境内外会计准则下会计数据差异</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、同时按照国际会计准则与按照中国会计准则披露的财务报告中净利润和净资产差异情况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16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、同时按照境外会计准则与按照中国会计准则披露的财务报告中净利润和净资产差异情况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八、分季度主要财务指标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714,457,411.84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751,608,479.38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915,044,754.48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1,011,021,985.93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84,389,498.83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80,743,827.75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137,200,461.43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232,945,461.13</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79,166,144.02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76,553,065.04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134,444,457.95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94,166,172.04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138,849,355.96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124,447,628.54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60,391,058.81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117,442,303.01</w:t>
            </w:r>
          </w:p>
        </w:tc>
      </w:tr>
    </w:tbl>
    <w:p>
      <w:pPr>
        <w:pStyle w:val="BodyText"/>
        <w:spacing w:line="300" w:lineRule="auto" w:before="49"/>
        <w:ind w:right="1126"/>
        <w:jc w:val="left"/>
      </w:pPr>
      <w:r>
        <w:rPr/>
        <w:t>注</w:t>
      </w:r>
      <w:r>
        <w:rPr>
          <w:spacing w:val="-8"/>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年第四季度扣非净</w:t>
      </w:r>
      <w:r>
        <w:rPr>
          <w:spacing w:val="-2"/>
        </w:rPr>
        <w:t>利</w:t>
      </w:r>
      <w:r>
        <w:rPr/>
        <w:t>润波动的原因主要系</w:t>
      </w:r>
      <w:r>
        <w:rPr>
          <w:spacing w:val="-99"/>
        </w:rPr>
        <w:t>：</w:t>
      </w:r>
      <w:r>
        <w:rPr>
          <w:spacing w:val="-1"/>
        </w:rPr>
        <w:t>（</w:t>
      </w:r>
      <w:r>
        <w:rPr>
          <w:rFonts w:ascii="Times New Roman" w:hAnsi="Times New Roman" w:cs="Times New Roman" w:eastAsia="Times New Roman" w:hint="default"/>
          <w:spacing w:val="1"/>
        </w:rPr>
        <w:t>1</w:t>
      </w:r>
      <w:r>
        <w:rPr>
          <w:spacing w:val="-8"/>
        </w:rPr>
        <w:t>）</w:t>
      </w:r>
      <w:r>
        <w:rPr/>
        <w:t>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年营业收入增</w:t>
      </w:r>
      <w:r>
        <w:rPr>
          <w:spacing w:val="-2"/>
        </w:rPr>
        <w:t>加</w:t>
      </w:r>
      <w:r>
        <w:rPr>
          <w:spacing w:val="-8"/>
        </w:rPr>
        <w:t>，</w:t>
      </w:r>
      <w:r>
        <w:rPr/>
        <w:t>年</w:t>
      </w:r>
      <w:r>
        <w:rPr>
          <w:spacing w:val="-4"/>
        </w:rPr>
        <w:t>末</w:t>
      </w:r>
      <w:r>
        <w:rPr/>
        <w:t>应收账款增加</w:t>
      </w:r>
      <w:r>
        <w:rPr>
          <w:spacing w:val="-8"/>
        </w:rPr>
        <w:t>，</w:t>
      </w:r>
      <w:r>
        <w:rPr/>
        <w:t>公司年末坏账准</w:t>
      </w:r>
      <w:r>
        <w:rPr/>
        <w:t> 备较</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年三季度计提</w:t>
      </w:r>
      <w:r>
        <w:rPr>
          <w:spacing w:val="-2"/>
        </w:rPr>
        <w:t>增</w:t>
      </w:r>
      <w:r>
        <w:rPr/>
        <w:t>加</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万元</w:t>
      </w:r>
      <w:r>
        <w:rPr>
          <w:spacing w:val="-92"/>
        </w:rPr>
        <w:t>；</w:t>
      </w:r>
      <w:r>
        <w:rPr/>
        <w:t>（</w:t>
      </w:r>
      <w:r>
        <w:rPr>
          <w:rFonts w:ascii="Times New Roman" w:hAnsi="Times New Roman" w:cs="Times New Roman" w:eastAsia="Times New Roman" w:hint="default"/>
          <w:spacing w:val="1"/>
        </w:rPr>
        <w:t>2</w:t>
      </w:r>
      <w:r>
        <w:rPr/>
        <w:t>）公司第四</w:t>
      </w:r>
      <w:r>
        <w:rPr>
          <w:spacing w:val="-2"/>
        </w:rPr>
        <w:t>季</w:t>
      </w:r>
      <w:r>
        <w:rPr/>
        <w:t>度汇兑损失较第三季度增加</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76</w:t>
      </w:r>
      <w:r>
        <w:rPr>
          <w:rFonts w:ascii="Times New Roman" w:hAnsi="Times New Roman" w:cs="Times New Roman" w:eastAsia="Times New Roman" w:hint="default"/>
          <w:spacing w:val="-2"/>
        </w:rPr>
        <w:t>.</w:t>
      </w:r>
      <w:r>
        <w:rPr>
          <w:rFonts w:ascii="Times New Roman" w:hAnsi="Times New Roman" w:cs="Times New Roman" w:eastAsia="Times New Roman" w:hint="default"/>
        </w:rPr>
        <w:t>03</w:t>
      </w:r>
      <w:r>
        <w:rPr>
          <w:rFonts w:ascii="Times New Roman" w:hAnsi="Times New Roman" w:cs="Times New Roman" w:eastAsia="Times New Roman" w:hint="default"/>
          <w:spacing w:val="2"/>
        </w:rPr>
        <w:t> </w:t>
      </w:r>
      <w:r>
        <w:rPr/>
        <w:t>万元</w:t>
      </w:r>
      <w:r>
        <w:rPr>
          <w:spacing w:val="-92"/>
        </w:rPr>
        <w:t>；</w:t>
      </w:r>
      <w:r>
        <w:rPr/>
        <w:t>（</w:t>
      </w:r>
      <w:r>
        <w:rPr>
          <w:rFonts w:ascii="Times New Roman" w:hAnsi="Times New Roman" w:cs="Times New Roman" w:eastAsia="Times New Roman" w:hint="default"/>
          <w:spacing w:val="1"/>
        </w:rPr>
        <w:t>3</w:t>
      </w:r>
      <w:r>
        <w:rPr/>
        <w:t>）公司四季度净</w:t>
      </w:r>
    </w:p>
    <w:p>
      <w:pPr>
        <w:pStyle w:val="BodyText"/>
        <w:spacing w:line="338" w:lineRule="auto" w:before="13"/>
        <w:ind w:right="1667"/>
        <w:jc w:val="left"/>
      </w:pPr>
      <w:r>
        <w:rPr/>
        <w:t>利润与扣非后的净利润相差较大主要公司投资性房地产公允价值变动损益</w:t>
      </w:r>
      <w:r>
        <w:rPr>
          <w:spacing w:val="-47"/>
        </w:rPr>
        <w:t> </w:t>
      </w:r>
      <w:r>
        <w:rPr>
          <w:rFonts w:ascii="Times New Roman" w:hAnsi="Times New Roman" w:cs="Times New Roman" w:eastAsia="Times New Roman" w:hint="default"/>
        </w:rPr>
        <w:t>15,358.35</w:t>
      </w:r>
      <w:r>
        <w:rPr>
          <w:rFonts w:ascii="Times New Roman" w:hAnsi="Times New Roman" w:cs="Times New Roman" w:eastAsia="Times New Roman" w:hint="default"/>
          <w:spacing w:val="-1"/>
        </w:rPr>
        <w:t> </w:t>
      </w:r>
      <w:r>
        <w:rPr/>
        <w:t>万元，全部计入非经常性损益。 上述财务指标或其加总数是否与公司已披露季度报告、半年度报告相关财务指标存在重大差异</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九、非经常性损益项目及金额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-1,902,205.66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-2,989,803.88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6,519,318.68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27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3" w:hRule="exact"/>
        </w:trPr>
        <w:tc>
          <w:tcPr>
            <w:tcW w:w="32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16,229,087.55</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11,596,509.50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8,122,045.65</w:t>
            </w:r>
          </w:p>
        </w:tc>
        <w:tc>
          <w:tcPr>
            <w:tcW w:w="1711" w:type="dxa"/>
            <w:vMerge/>
            <w:tcBorders>
              <w:left w:val="single" w:sz="4" w:space="0" w:color="000000"/>
              <w:right w:val="single" w:sz="4" w:space="0" w:color="000000"/>
            </w:tcBorders>
          </w:tcPr>
          <w:p>
            <w:pPr/>
          </w:p>
        </w:tc>
      </w:tr>
      <w:tr>
        <w:trPr>
          <w:trHeight w:val="351" w:hRule="exact"/>
        </w:trPr>
        <w:tc>
          <w:tcPr>
            <w:tcW w:w="327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nil" w:sz="6" w:space="0" w:color="auto"/>
              <w:left w:val="single" w:sz="10" w:space="0" w:color="D3D3D3"/>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15,900,379.62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12,908,667.30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3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主要系公司、重庆美</w:t>
            </w:r>
          </w:p>
        </w:tc>
      </w:tr>
      <w:tr>
        <w:trPr>
          <w:trHeight w:val="935"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2" w:right="1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153,583,500.61</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42,352,887.72</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5,094,445.69</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55"/>
              <w:jc w:val="both"/>
              <w:rPr>
                <w:rFonts w:ascii="宋体" w:hAnsi="宋体" w:cs="宋体" w:eastAsia="宋体" w:hint="default"/>
                <w:sz w:val="18"/>
                <w:szCs w:val="18"/>
              </w:rPr>
            </w:pPr>
            <w:r>
              <w:rPr>
                <w:rFonts w:ascii="宋体" w:hAnsi="宋体" w:cs="宋体" w:eastAsia="宋体" w:hint="default"/>
                <w:sz w:val="18"/>
                <w:szCs w:val="18"/>
              </w:rPr>
              <w:t>盈森、成都美盈森、 苏州美盈森、长沙美 盈森投资性房地产公</w:t>
            </w:r>
          </w:p>
        </w:tc>
      </w:tr>
      <w:tr>
        <w:trPr>
          <w:trHeight w:val="352" w:hRule="exact"/>
        </w:trPr>
        <w:tc>
          <w:tcPr>
            <w:tcW w:w="3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31"/>
              <w:jc w:val="center"/>
              <w:rPr>
                <w:rFonts w:ascii="宋体" w:hAnsi="宋体" w:cs="宋体" w:eastAsia="宋体" w:hint="default"/>
                <w:sz w:val="18"/>
                <w:szCs w:val="18"/>
              </w:rPr>
            </w:pPr>
            <w:r>
              <w:rPr>
                <w:rFonts w:ascii="宋体" w:hAnsi="宋体" w:cs="宋体" w:eastAsia="宋体" w:hint="default"/>
                <w:sz w:val="18"/>
                <w:szCs w:val="18"/>
              </w:rPr>
              <w:t>允价值变动损益形成</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-2,536,491.63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-3,989,571.38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-2,722,539.07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28,600,116.22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11,127,378.19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2,616,551.84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1,724,744.18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669,875.68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-284,397.83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150,949,410.09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48,081,435.39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14,681,116.94</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00" w:lineRule="auto" w:before="103"/>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3615" w:right="0"/>
        <w:jc w:val="left"/>
        <w:rPr>
          <w:rFonts w:ascii="Tahoma" w:hAnsi="Tahoma" w:cs="Tahoma" w:eastAsia="Tahoma" w:hint="default"/>
        </w:rPr>
      </w:pPr>
      <w:bookmarkStart w:name="_TOC_250009" w:id="3"/>
      <w:r>
        <w:rPr/>
        <w:t>第三节公司业务概要</w:t>
      </w:r>
      <w:r>
        <w:rPr>
          <w:rFonts w:ascii="Tahoma" w:hAnsi="Tahoma" w:cs="Tahoma" w:eastAsia="Tahoma" w:hint="default"/>
          <w:w w:val="80"/>
        </w:rPr>
        <w:t> </w:t>
      </w:r>
      <w:bookmarkEnd w:id="3"/>
      <w:r>
        <w:rPr>
          <w:rFonts w:ascii="Tahoma" w:hAnsi="Tahoma" w:cs="Tahoma" w:eastAsia="Tahoma" w:hint="default"/>
        </w:rPr>
      </w:r>
    </w:p>
    <w:p>
      <w:pPr>
        <w:spacing w:line="240" w:lineRule="auto" w:before="3"/>
        <w:rPr>
          <w:rFonts w:ascii="Tahoma" w:hAnsi="Tahoma" w:cs="Tahoma" w:eastAsia="Tahoma" w:hint="default"/>
          <w:sz w:val="43"/>
          <w:szCs w:val="43"/>
        </w:rPr>
      </w:pPr>
    </w:p>
    <w:p>
      <w:pPr>
        <w:pStyle w:val="Heading3"/>
        <w:spacing w:line="240" w:lineRule="auto"/>
        <w:ind w:right="0"/>
        <w:jc w:val="left"/>
        <w:rPr>
          <w:rFonts w:ascii="Tahoma" w:hAnsi="Tahoma" w:cs="Tahoma" w:eastAsia="Tahoma" w:hint="default"/>
        </w:rPr>
      </w:pPr>
      <w:r>
        <w:rPr/>
        <w:t>一、报告期内公司从事的主要业务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left="512" w:right="0" w:hanging="360"/>
        <w:jc w:val="left"/>
      </w:pPr>
      <w:r>
        <w:rPr>
          <w:rFonts w:ascii="Times New Roman" w:hAnsi="Times New Roman" w:cs="Times New Roman" w:eastAsia="Times New Roman" w:hint="default"/>
        </w:rPr>
        <w:t>1</w:t>
      </w:r>
      <w:r>
        <w:rPr/>
        <w:t>、公司主要业务、产品及用途 </w:t>
      </w:r>
      <w:r>
        <w:rPr>
          <w:spacing w:val="-2"/>
        </w:rPr>
        <w:t>公司主要从事运输包装产品、精品包装产品、标签产品、电子功能材料模切产品及创意健康纸家具产品的研发、生产与</w:t>
      </w:r>
    </w:p>
    <w:p>
      <w:pPr>
        <w:pStyle w:val="BodyText"/>
        <w:spacing w:line="316" w:lineRule="auto" w:before="31"/>
        <w:ind w:right="0"/>
        <w:jc w:val="left"/>
      </w:pPr>
      <w:r>
        <w:rPr>
          <w:spacing w:val="-2"/>
        </w:rPr>
        <w:t>销售，并为客户提供包装产品设计、包装方案优化、包装材料第三方采购与包装产品物流配送、供应商库存管理以及现场辅</w:t>
      </w:r>
      <w:r>
        <w:rPr>
          <w:spacing w:val="-65"/>
        </w:rPr>
        <w:t> </w:t>
      </w:r>
      <w:r>
        <w:rPr>
          <w:spacing w:val="-65"/>
        </w:rPr>
      </w:r>
      <w:r>
        <w:rPr/>
        <w:t>助包装作业等包装一体化深度服务。</w:t>
      </w:r>
    </w:p>
    <w:p>
      <w:pPr>
        <w:pStyle w:val="BodyText"/>
        <w:spacing w:line="316" w:lineRule="auto" w:before="19"/>
        <w:ind w:right="0" w:firstLine="360"/>
        <w:jc w:val="left"/>
      </w:pPr>
      <w:r>
        <w:rPr>
          <w:spacing w:val="-2"/>
        </w:rPr>
        <w:t>公司的主要产品为轻型包装产品、重型包装产品、标签产品、电子功能材料模切产品及创意健康纸家具产品，其中轻型</w:t>
      </w:r>
      <w:r>
        <w:rPr/>
        <w:t> </w:t>
      </w:r>
      <w:r>
        <w:rPr>
          <w:spacing w:val="-2"/>
        </w:rPr>
        <w:t>包装产品为轻型瓦楞包装产品和精品盒产品，重型包装产品包括重型瓦楞包装产品和重型复合包装产品，电子功能材料模切</w:t>
      </w:r>
      <w:r>
        <w:rPr>
          <w:spacing w:val="-64"/>
        </w:rPr>
        <w:t> </w:t>
      </w:r>
      <w:r>
        <w:rPr>
          <w:spacing w:val="-64"/>
        </w:rPr>
      </w:r>
      <w:r>
        <w:rPr>
          <w:spacing w:val="-4"/>
        </w:rPr>
        <w:t>产品是为高端消费类电子客户提供缓冲垫片减震泡棉、粘贴胶带、保护膜、防尘网布、导电绝缘膜等电子功能材料模切产品。</w:t>
      </w:r>
      <w:r>
        <w:rPr>
          <w:spacing w:val="-46"/>
        </w:rPr>
        <w:t> </w:t>
      </w:r>
      <w:r>
        <w:rPr>
          <w:spacing w:val="-46"/>
        </w:rPr>
      </w:r>
      <w:r>
        <w:rPr>
          <w:spacing w:val="-2"/>
        </w:rPr>
        <w:t>公司主要客户覆盖电子通讯、智能终端、白酒、家具家居、家用电器、汽车及新能源汽车产业链、食品饮料、电商物流、快</w:t>
      </w:r>
      <w:r>
        <w:rPr>
          <w:spacing w:val="-62"/>
        </w:rPr>
        <w:t> </w:t>
      </w:r>
      <w:r>
        <w:rPr>
          <w:spacing w:val="-62"/>
        </w:rPr>
      </w:r>
      <w:r>
        <w:rPr/>
        <w:t>递速运等多个行业。</w:t>
      </w:r>
    </w:p>
    <w:p>
      <w:pPr>
        <w:pStyle w:val="BodyText"/>
        <w:spacing w:line="300" w:lineRule="auto" w:before="19"/>
        <w:ind w:left="512" w:right="0" w:hanging="360"/>
        <w:jc w:val="left"/>
      </w:pPr>
      <w:r>
        <w:rPr>
          <w:rFonts w:ascii="Times New Roman" w:hAnsi="Times New Roman" w:cs="Times New Roman" w:eastAsia="Times New Roman" w:hint="default"/>
        </w:rPr>
        <w:t>2</w:t>
      </w:r>
      <w:r>
        <w:rPr/>
        <w:t>、公司主要业务模式 </w:t>
      </w:r>
      <w:r>
        <w:rPr>
          <w:spacing w:val="-2"/>
        </w:rPr>
        <w:t>公司始终以市场为驱动、以顾客需求为导向，于业内率先提出并构建了包装一体化服务模式，并通过持续的创新、优化</w:t>
      </w:r>
    </w:p>
    <w:p>
      <w:pPr>
        <w:pStyle w:val="BodyText"/>
        <w:spacing w:line="316" w:lineRule="auto" w:before="31"/>
        <w:ind w:right="1034"/>
        <w:jc w:val="left"/>
      </w:pPr>
      <w:r>
        <w:rPr>
          <w:spacing w:val="-2"/>
        </w:rPr>
        <w:t>和提升，不断夯实和完善了公司包装一体化服务模式，致力于成为国际领先的包装一体化综合服务商。包装一体化服务是指</w:t>
      </w:r>
      <w:r>
        <w:rPr>
          <w:spacing w:val="-62"/>
        </w:rPr>
        <w:t> </w:t>
      </w:r>
      <w:r>
        <w:rPr>
          <w:spacing w:val="-62"/>
        </w:rPr>
      </w:r>
      <w:r>
        <w:rPr>
          <w:spacing w:val="-2"/>
        </w:rPr>
        <w:t>由包装供应商完成客户产品包装相关的所有环节，即除了提供包装产品，还提供包装产品设计、包装方案优化、包装材料第</w:t>
      </w:r>
      <w:r>
        <w:rPr>
          <w:spacing w:val="-65"/>
        </w:rPr>
        <w:t> </w:t>
      </w:r>
      <w:r>
        <w:rPr>
          <w:spacing w:val="-65"/>
        </w:rPr>
      </w:r>
      <w:r>
        <w:rPr>
          <w:spacing w:val="-2"/>
        </w:rPr>
        <w:t>三方采购与包装产品物流配送、供应商库存管理以及辅助包装作业等服务。作为包装一体化服务供应商，公司兼具传统包装</w:t>
      </w:r>
      <w:r>
        <w:rPr>
          <w:spacing w:val="-62"/>
        </w:rPr>
        <w:t> </w:t>
      </w:r>
      <w:r>
        <w:rPr>
          <w:spacing w:val="-62"/>
        </w:rPr>
      </w:r>
      <w:r>
        <w:rPr>
          <w:spacing w:val="-2"/>
        </w:rPr>
        <w:t>产品生产商、设计服务提供商、采购服务商与物流服务商的特点，从降低成本、提高效率、增加价值三方面切入，为客户提</w:t>
      </w:r>
      <w:r>
        <w:rPr>
          <w:spacing w:val="-68"/>
        </w:rPr>
        <w:t> </w:t>
      </w:r>
      <w:r>
        <w:rPr>
          <w:spacing w:val="-68"/>
        </w:rPr>
      </w:r>
      <w:r>
        <w:rPr/>
        <w:t>供包装产品与服务。通过包装一体化服务模式，公司与众多世界知名企业和国内外细分行业龙头企业建立了深度合作关系， </w:t>
      </w:r>
      <w:r>
        <w:rPr>
          <w:spacing w:val="-2"/>
        </w:rPr>
        <w:t>相互依存关系不断增强，形成了覆盖电子通讯、智能终端、白酒、家具家居、家用电器、汽车及新能源汽车产业链、食品饮</w:t>
      </w:r>
      <w:r>
        <w:rPr>
          <w:spacing w:val="-69"/>
        </w:rPr>
        <w:t> </w:t>
      </w:r>
      <w:r>
        <w:rPr>
          <w:spacing w:val="-69"/>
        </w:rPr>
      </w:r>
      <w:r>
        <w:rPr/>
        <w:t>料、电商物流、快递速运等多个行业的优质客户群，为公司持续健康发展奠定了坚实的基础。 </w:t>
      </w:r>
      <w:r>
        <w:rPr>
          <w:rFonts w:ascii="Times New Roman" w:hAnsi="Times New Roman" w:cs="Times New Roman" w:eastAsia="Times New Roman" w:hint="default"/>
        </w:rPr>
        <w:t>3</w:t>
      </w:r>
      <w:r>
        <w:rPr/>
        <w:t>、公司所属行业的发展阶段、周期性特点及公司所处的行业地位</w:t>
      </w:r>
    </w:p>
    <w:p>
      <w:pPr>
        <w:pStyle w:val="BodyText"/>
        <w:spacing w:line="312" w:lineRule="auto"/>
        <w:ind w:right="0" w:firstLine="360"/>
        <w:jc w:val="left"/>
      </w:pPr>
      <w:r>
        <w:rPr>
          <w:spacing w:val="-4"/>
        </w:rPr>
        <w:t>公司主营业务属于包装产业五大子行业之一的纸质包装行业。国内包装产业经过</w:t>
      </w:r>
      <w:r>
        <w:rPr>
          <w:rFonts w:ascii="Times New Roman" w:hAnsi="Times New Roman" w:cs="Times New Roman" w:eastAsia="Times New Roman" w:hint="default"/>
          <w:spacing w:val="-4"/>
        </w:rPr>
        <w:t>30</w:t>
      </w:r>
      <w:r>
        <w:rPr>
          <w:spacing w:val="-4"/>
        </w:rPr>
        <w:t>多年的发展，已建成涵盖设计、生产、</w:t>
      </w:r>
      <w:r>
        <w:rPr/>
        <w:t> </w:t>
      </w:r>
      <w:r>
        <w:rPr>
          <w:spacing w:val="-2"/>
        </w:rPr>
        <w:t>检测、流通、回收循环利用等产品全生命周期的较为完善的体系，分为纸质包装、塑料包装、金属包装、玻璃包装、竹木包</w:t>
      </w:r>
      <w:r>
        <w:rPr>
          <w:spacing w:val="-69"/>
        </w:rPr>
        <w:t> </w:t>
      </w:r>
      <w:r>
        <w:rPr>
          <w:spacing w:val="-69"/>
        </w:rPr>
      </w:r>
      <w:r>
        <w:rPr>
          <w:spacing w:val="-5"/>
        </w:rPr>
        <w:t>装五大子行业。包装工业为中国制造体系的重要组成部分。根据中国包装联合会发布的《中国包装行业年度运行报告》，</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年，全国包装行业规模以上企业</w:t>
      </w:r>
      <w:r>
        <w:rPr>
          <w:rFonts w:ascii="Times New Roman" w:hAnsi="Times New Roman" w:cs="Times New Roman" w:eastAsia="Times New Roman" w:hint="default"/>
        </w:rPr>
        <w:t>7,830</w:t>
      </w:r>
      <w:r>
        <w:rPr/>
        <w:t>家，累计完成主营业务收入</w:t>
      </w:r>
      <w:r>
        <w:rPr>
          <w:rFonts w:ascii="Times New Roman" w:hAnsi="Times New Roman" w:cs="Times New Roman" w:eastAsia="Times New Roman" w:hint="default"/>
        </w:rPr>
        <w:t>9,703</w:t>
      </w:r>
      <w:r>
        <w:rPr/>
        <w:t>亿元，市场规模巨大。同时，我国包装印刷市场发展</w:t>
      </w:r>
      <w:r>
        <w:rPr>
          <w:spacing w:val="-87"/>
        </w:rPr>
        <w:t> </w:t>
      </w:r>
      <w:r>
        <w:rPr>
          <w:spacing w:val="-87"/>
        </w:rPr>
      </w:r>
      <w:r>
        <w:rPr/>
        <w:t>起步较晚，与发达国家成熟包装印刷市场产业高度集中的情况相比，呈现出</w:t>
      </w:r>
      <w:r>
        <w:rPr>
          <w:rFonts w:ascii="Times New Roman" w:hAnsi="Times New Roman" w:cs="Times New Roman" w:eastAsia="Times New Roman" w:hint="default"/>
        </w:rPr>
        <w:t>“</w:t>
      </w:r>
      <w:r>
        <w:rPr/>
        <w:t>大行业、小公司</w:t>
      </w:r>
      <w:r>
        <w:rPr>
          <w:rFonts w:ascii="Times New Roman" w:hAnsi="Times New Roman" w:cs="Times New Roman" w:eastAsia="Times New Roman" w:hint="default"/>
        </w:rPr>
        <w:t>”</w:t>
      </w:r>
      <w:r>
        <w:rPr/>
        <w:t>的特点。 </w:t>
      </w:r>
      <w:r>
        <w:rPr>
          <w:spacing w:val="-2"/>
        </w:rPr>
        <w:t>近年来，行业集中度继续呈现不断提升的态势，部分竞争力较弱的中小纸包装企业面临较大的经营压力，具有竞争优势的包</w:t>
      </w:r>
      <w:r>
        <w:rPr>
          <w:spacing w:val="-62"/>
        </w:rPr>
        <w:t> </w:t>
      </w:r>
      <w:r>
        <w:rPr>
          <w:spacing w:val="-62"/>
        </w:rPr>
      </w:r>
      <w:r>
        <w:rPr>
          <w:spacing w:val="-2"/>
        </w:rPr>
        <w:t>装企业新客户开发及获得优质订单的能力凸显。公司为行业内的领先企业，在服务模式、研发设计、制造平台、经营管理及</w:t>
      </w:r>
      <w:r>
        <w:rPr>
          <w:spacing w:val="-69"/>
        </w:rPr>
        <w:t> </w:t>
      </w:r>
      <w:r>
        <w:rPr>
          <w:spacing w:val="-69"/>
        </w:rPr>
      </w:r>
      <w:r>
        <w:rPr>
          <w:spacing w:val="-2"/>
        </w:rPr>
        <w:t>产品品牌等方面已形成自身突出的竞争优势，具有众多优质的世界级知名品牌企业或国内细分行业领先企业客户资源，客户</w:t>
      </w:r>
      <w:r>
        <w:rPr>
          <w:spacing w:val="-64"/>
        </w:rPr>
        <w:t> </w:t>
      </w:r>
      <w:r>
        <w:rPr>
          <w:spacing w:val="-64"/>
        </w:rPr>
      </w:r>
      <w:r>
        <w:rPr>
          <w:spacing w:val="-2"/>
        </w:rPr>
        <w:t>群广泛分布于电子通讯、智能终端、白酒、家具家居、家用电器、汽车及新能源汽车产业链、食品饮料、电商物流、快递速</w:t>
      </w:r>
      <w:r>
        <w:rPr>
          <w:spacing w:val="-64"/>
        </w:rPr>
        <w:t> </w:t>
      </w:r>
      <w:r>
        <w:rPr>
          <w:spacing w:val="-64"/>
        </w:rPr>
      </w:r>
      <w:r>
        <w:rPr>
          <w:spacing w:val="-2"/>
        </w:rPr>
        <w:t>运等优势产业，有望在行业集中度加速提升的过程中受益。公司主要客户自身业务稳定，使得公司业务稳定，受商业周期变</w:t>
      </w:r>
      <w:r>
        <w:rPr>
          <w:spacing w:val="-64"/>
        </w:rPr>
        <w:t> </w:t>
      </w:r>
      <w:r>
        <w:rPr>
          <w:spacing w:val="-64"/>
        </w:rPr>
      </w:r>
      <w:r>
        <w:rPr/>
        <w:t>化的影响较小。</w:t>
      </w:r>
    </w:p>
    <w:p>
      <w:pPr>
        <w:spacing w:line="240" w:lineRule="auto" w:before="2"/>
        <w:rPr>
          <w:rFonts w:ascii="宋体" w:hAnsi="宋体" w:cs="宋体" w:eastAsia="宋体" w:hint="default"/>
          <w:sz w:val="21"/>
          <w:szCs w:val="21"/>
        </w:rPr>
      </w:pPr>
    </w:p>
    <w:p>
      <w:pPr>
        <w:pStyle w:val="Heading3"/>
        <w:spacing w:line="240" w:lineRule="auto"/>
        <w:ind w:right="0"/>
        <w:jc w:val="left"/>
        <w:rPr>
          <w:rFonts w:ascii="Tahoma" w:hAnsi="Tahoma" w:cs="Tahoma" w:eastAsia="Tahoma" w:hint="default"/>
        </w:rPr>
      </w:pPr>
      <w:r>
        <w:rPr/>
        <w:t>二、主要资产重大变化情况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、主要资产重大变化情况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7"/>
          <w:szCs w:val="27"/>
        </w:rPr>
      </w:pPr>
    </w:p>
    <w:p>
      <w:pPr>
        <w:spacing w:line="784" w:lineRule="exact"/>
        <w:ind w:left="143" w:right="0" w:firstLine="0"/>
        <w:rPr>
          <w:rFonts w:ascii="Tahoma" w:hAnsi="Tahoma" w:cs="Tahoma" w:eastAsia="Tahoma" w:hint="default"/>
          <w:sz w:val="20"/>
          <w:szCs w:val="20"/>
        </w:rPr>
      </w:pPr>
      <w:r>
        <w:rPr>
          <w:rFonts w:ascii="Tahoma" w:hAnsi="Tahoma" w:cs="Tahoma" w:eastAsia="Tahoma" w:hint="default"/>
          <w:position w:val="-15"/>
          <w:sz w:val="20"/>
          <w:szCs w:val="20"/>
        </w:rPr>
        <w:pict>
          <v:group style="width:479.2pt;height:39.25pt;mso-position-horizontal-relative:char;mso-position-vertical-relative:line" coordorigin="0,0" coordsize="9584,785">
            <v:group style="position:absolute;left:17;top:14;width:3041;height:183" coordorigin="17,14" coordsize="3041,183">
              <v:shape style="position:absolute;left:17;top:14;width:3041;height:183" coordorigin="17,14" coordsize="3041,183" path="m17,14l3058,14,3058,197,17,197,17,14xe" filled="true" fillcolor="#d3d3d3" stroked="false">
                <v:path arrowok="t"/>
                <v:fill type="solid"/>
              </v:shape>
            </v:group>
            <v:group style="position:absolute;left:17;top:588;width:3041;height:180" coordorigin="17,588" coordsize="3041,180">
              <v:shape style="position:absolute;left:17;top:588;width:3041;height:180" coordorigin="17,588" coordsize="3041,180" path="m17,588l3058,588,3058,768,17,768,17,588xe" filled="true" fillcolor="#d3d3d3" stroked="false">
                <v:path arrowok="t"/>
                <v:fill type="solid"/>
              </v:shape>
            </v:group>
            <v:group style="position:absolute;left:38;top:197;width:2996;height:392" coordorigin="38,197" coordsize="2996,392">
              <v:shape style="position:absolute;left:38;top:197;width:2996;height:392" coordorigin="38,197" coordsize="2996,392" path="m38,197l3034,197,3034,588,38,588,38,197xe" filled="true" fillcolor="#d3d3d3" stroked="false">
                <v:path arrowok="t"/>
                <v:fill type="solid"/>
              </v:shape>
            </v:group>
            <v:group style="position:absolute;left:3067;top:14;width:6507;height:183" coordorigin="3067,14" coordsize="6507,183">
              <v:shape style="position:absolute;left:3067;top:14;width:6507;height:183" coordorigin="3067,14" coordsize="6507,183" path="m3067,14l9574,14,9574,197,3067,197,3067,14xe" filled="true" fillcolor="#d3d3d3" stroked="false">
                <v:path arrowok="t"/>
                <v:fill type="solid"/>
              </v:shape>
            </v:group>
            <v:group style="position:absolute;left:3067;top:588;width:6507;height:180" coordorigin="3067,588" coordsize="6507,180">
              <v:shape style="position:absolute;left:3067;top:588;width:6507;height:180" coordorigin="3067,588" coordsize="6507,180" path="m3067,588l9574,588,9574,768,3067,768,3067,588xe" filled="true" fillcolor="#d3d3d3" stroked="false">
                <v:path arrowok="t"/>
                <v:fill type="solid"/>
              </v:shape>
            </v:group>
            <v:group style="position:absolute;left:3089;top:197;width:6461;height:392" coordorigin="3089,197" coordsize="6461,392">
              <v:shape style="position:absolute;left:3089;top:197;width:6461;height:392" coordorigin="3089,197" coordsize="6461,392" path="m3089,197l9550,197,9550,588,3089,588,3089,197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766" coordorigin="10,14" coordsize="2,766">
              <v:shape style="position:absolute;left:10;top:14;width:2;height:766" coordorigin="10,14" coordsize="0,766" path="m10,14l10,780e" filled="false" stroked="true" strokeweight=".479999pt" strokecolor="#000000">
                <v:path arrowok="t"/>
              </v:shape>
            </v:group>
            <v:group style="position:absolute;left:5;top:775;width:3051;height:2" coordorigin="5,775" coordsize="3051,2">
              <v:shape style="position:absolute;left:5;top:775;width:3051;height:2" coordorigin="5,775" coordsize="3051,0" path="m5,775l3055,775e" filled="false" stroked="true" strokeweight=".480011pt" strokecolor="#000000">
                <v:path arrowok="t"/>
              </v:shape>
            </v:group>
            <v:group style="position:absolute;left:3060;top:14;width:2;height:766" coordorigin="3060,14" coordsize="2,766">
              <v:shape style="position:absolute;left:3060;top:14;width:2;height:766" coordorigin="3060,14" coordsize="0,766" path="m3060,14l3060,780e" filled="false" stroked="true" strokeweight=".48001pt" strokecolor="#000000">
                <v:path arrowok="t"/>
              </v:shape>
            </v:group>
            <v:group style="position:absolute;left:3065;top:775;width:6509;height:2" coordorigin="3065,775" coordsize="6509,2">
              <v:shape style="position:absolute;left:3065;top:775;width:6509;height:2" coordorigin="3065,775" coordsize="6509,0" path="m3065,775l9574,775e" filled="false" stroked="true" strokeweight=".480011pt" strokecolor="#000000">
                <v:path arrowok="t"/>
              </v:shape>
            </v:group>
            <v:group style="position:absolute;left:9578;top:5;width:2;height:776" coordorigin="9578,5" coordsize="2,776">
              <v:shape style="position:absolute;left:9578;top:5;width:2;height:776" coordorigin="9578,5" coordsize="0,776" path="m9578,5l9578,780e" filled="false" stroked="true" strokeweight=".480011pt" strokecolor="#000000">
                <v:path arrowok="t"/>
              </v:shape>
              <v:shape style="position:absolute;left:11;top:10;width:3050;height:765" type="#_x0000_t202" filled="false" stroked="false">
                <v:textbox inset="0,0,0,0">
                  <w:txbxContent>
                    <w:p>
                      <w:pPr>
                        <w:spacing w:line="240" w:lineRule="auto" w:before="7"/>
                        <w:rPr>
                          <w:rFonts w:ascii="Tahoma" w:hAnsi="Tahoma" w:cs="Tahoma" w:eastAsia="Tahoma" w:hint="default"/>
                          <w:sz w:val="19"/>
                          <w:szCs w:val="19"/>
                        </w:rPr>
                      </w:pPr>
                    </w:p>
                    <w:p>
                      <w:pPr>
                        <w:spacing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5779;top:309;width:1081;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Tahoma" w:hAnsi="Tahoma" w:cs="Tahoma" w:eastAsia="Tahoma" w:hint="default"/>
          <w:position w:val="-15"/>
          <w:sz w:val="20"/>
          <w:szCs w:val="20"/>
        </w:rPr>
      </w:r>
    </w:p>
    <w:p>
      <w:pPr>
        <w:spacing w:after="0" w:line="784" w:lineRule="exact"/>
        <w:rPr>
          <w:rFonts w:ascii="Tahoma" w:hAnsi="Tahoma" w:cs="Tahoma" w:eastAsia="Tahoma" w:hint="default"/>
          <w:sz w:val="20"/>
          <w:szCs w:val="20"/>
        </w:rPr>
        <w:sectPr>
          <w:footerReference w:type="default" r:id="rId12"/>
          <w:pgSz w:w="11910" w:h="16840"/>
          <w:pgMar w:footer="982" w:header="753" w:top="1060" w:bottom="1180" w:left="980" w:right="0"/>
          <w:pgNumType w:start="10"/>
        </w:sect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22"/>
          <w:szCs w:val="22"/>
        </w:rPr>
      </w:pPr>
    </w:p>
    <w:p>
      <w:pPr>
        <w:pStyle w:val="BodyText"/>
        <w:spacing w:line="240" w:lineRule="auto" w:before="37"/>
        <w:ind w:left="0" w:right="1140"/>
        <w:jc w:val="right"/>
      </w:pPr>
      <w:r>
        <w:rPr/>
        <w:pict>
          <v:shape style="position:absolute;margin-left:56.459999pt;margin-top:-103.678261pt;width:479.1pt;height:274.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6518"/>
                  </w:tblGrid>
                  <w:tr>
                    <w:trPr>
                      <w:trHeight w:val="71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长期股权投资较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3,172.86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100.00%</w:t>
                        </w:r>
                        <w:r>
                          <w:rPr>
                            <w:rFonts w:ascii="宋体" w:hAnsi="宋体" w:cs="宋体" w:eastAsia="宋体" w:hint="default"/>
                            <w:spacing w:val="-3"/>
                            <w:sz w:val="18"/>
                            <w:szCs w:val="18"/>
                          </w:rPr>
                          <w:t>，主要系报告期参股甲</w:t>
                        </w:r>
                        <w:r>
                          <w:rPr>
                            <w:rFonts w:ascii="宋体" w:hAnsi="宋体" w:cs="宋体" w:eastAsia="宋体" w:hint="default"/>
                            <w:sz w:val="18"/>
                            <w:szCs w:val="18"/>
                          </w:rPr>
                          <w:t> 骨文超级码所致；</w:t>
                        </w:r>
                      </w:p>
                    </w:tc>
                  </w:tr>
                  <w:tr>
                    <w:trPr>
                      <w:trHeight w:val="365"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3,068.16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2.52%</w:t>
                        </w:r>
                        <w:r>
                          <w:rPr>
                            <w:rFonts w:ascii="宋体" w:hAnsi="宋体" w:cs="宋体" w:eastAsia="宋体" w:hint="default"/>
                            <w:spacing w:val="-3"/>
                            <w:sz w:val="18"/>
                            <w:szCs w:val="18"/>
                          </w:rPr>
                          <w:t>，主要系报告期包装印刷工业</w:t>
                        </w:r>
                      </w:p>
                    </w:tc>
                  </w:tr>
                  <w:tr>
                    <w:trPr>
                      <w:trHeight w:val="623"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 </w:t>
                        </w:r>
                        <w:r>
                          <w:rPr>
                            <w:rFonts w:ascii="宋体" w:hAnsi="宋体" w:cs="宋体" w:eastAsia="宋体" w:hint="default"/>
                            <w:spacing w:val="-3"/>
                            <w:sz w:val="18"/>
                            <w:szCs w:val="18"/>
                          </w:rPr>
                          <w:t>智慧型工厂（长沙）项目、包装印刷工业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智慧型工厂（六安）项目、包装印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智慧型工厂（成都）项目已达到预定可使用状态的房屋建筑物转入固定</w:t>
                        </w:r>
                      </w:p>
                    </w:tc>
                  </w:tr>
                  <w:tr>
                    <w:trPr>
                      <w:trHeight w:val="351"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资产及购买生产设备所致；</w:t>
                        </w:r>
                      </w:p>
                    </w:tc>
                  </w:tr>
                  <w:tr>
                    <w:trPr>
                      <w:trHeight w:val="71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无形资产较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9,918.80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23.69%</w:t>
                        </w:r>
                        <w:r>
                          <w:rPr>
                            <w:rFonts w:ascii="宋体" w:hAnsi="宋体" w:cs="宋体" w:eastAsia="宋体" w:hint="default"/>
                            <w:spacing w:val="-3"/>
                            <w:sz w:val="18"/>
                            <w:szCs w:val="18"/>
                          </w:rPr>
                          <w:t>，主要系报告期佛山美盈森</w:t>
                        </w:r>
                        <w:r>
                          <w:rPr>
                            <w:rFonts w:ascii="宋体" w:hAnsi="宋体" w:cs="宋体" w:eastAsia="宋体" w:hint="default"/>
                            <w:sz w:val="18"/>
                            <w:szCs w:val="18"/>
                          </w:rPr>
                          <w:t> 西安美盈森取得土地使用权所致；</w:t>
                        </w:r>
                      </w:p>
                    </w:tc>
                  </w:tr>
                  <w:tr>
                    <w:trPr>
                      <w:trHeight w:val="365"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在建工程较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5,058.28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，主要系本期包装印刷工业</w:t>
                        </w:r>
                      </w:p>
                    </w:tc>
                  </w:tr>
                  <w:tr>
                    <w:trPr>
                      <w:trHeight w:val="623"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 </w:t>
                        </w:r>
                        <w:r>
                          <w:rPr>
                            <w:rFonts w:ascii="宋体" w:hAnsi="宋体" w:cs="宋体" w:eastAsia="宋体" w:hint="default"/>
                            <w:spacing w:val="-3"/>
                            <w:sz w:val="18"/>
                            <w:szCs w:val="18"/>
                          </w:rPr>
                          <w:t>智慧型工厂（长沙）项目、包装印刷工业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智慧型工厂（六安）项目、包装印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刷工业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智慧型工厂（成都）项目已达到预定可使用状态的房屋建筑物转入固定</w:t>
                        </w:r>
                      </w:p>
                    </w:tc>
                  </w:tr>
                  <w:tr>
                    <w:trPr>
                      <w:trHeight w:val="351"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资产所致；</w:t>
                        </w:r>
                      </w:p>
                    </w:tc>
                  </w:tr>
                  <w:tr>
                    <w:trPr>
                      <w:trHeight w:val="1025" w:hRule="exact"/>
                    </w:trPr>
                    <w:tc>
                      <w:tcPr>
                        <w:tcW w:w="304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z w:val="18"/>
                            <w:szCs w:val="18"/>
                          </w:rPr>
                          <w:t>投资性房地产较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96,955.63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191.27%</w:t>
                        </w:r>
                        <w:r>
                          <w:rPr>
                            <w:rFonts w:ascii="宋体" w:hAnsi="宋体" w:cs="宋体" w:eastAsia="宋体" w:hint="default"/>
                            <w:sz w:val="18"/>
                            <w:szCs w:val="18"/>
                          </w:rPr>
                          <w:t>，主要系本期美盈森 </w:t>
                        </w:r>
                        <w:r>
                          <w:rPr>
                            <w:rFonts w:ascii="宋体" w:hAnsi="宋体" w:cs="宋体" w:eastAsia="宋体" w:hint="default"/>
                            <w:spacing w:val="-1"/>
                            <w:sz w:val="18"/>
                            <w:szCs w:val="18"/>
                          </w:rPr>
                          <w:t>大厦、重庆美盈森部分土地及苏州美盈森、成都美盈森、长沙美盈森部分房产转入</w:t>
                        </w:r>
                      </w:p>
                    </w:tc>
                  </w:tr>
                  <w:tr>
                    <w:trPr>
                      <w:trHeight w:val="352" w:hRule="exact"/>
                    </w:trPr>
                    <w:tc>
                      <w:tcPr>
                        <w:tcW w:w="3049" w:type="dxa"/>
                        <w:tcBorders>
                          <w:top w:val="nil" w:sz="6" w:space="0" w:color="auto"/>
                          <w:left w:val="single" w:sz="4" w:space="0" w:color="000000"/>
                          <w:bottom w:val="single" w:sz="4" w:space="0" w:color="000000"/>
                          <w:right w:val="single" w:sz="4" w:space="0" w:color="000000"/>
                        </w:tcBorders>
                      </w:tcPr>
                      <w:p>
                        <w:pPr/>
                      </w:p>
                    </w:tc>
                    <w:tc>
                      <w:tcPr>
                        <w:tcW w:w="65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投资性房地产所致。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、主要境外资产情况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063"/>
        <w:gridCol w:w="1063"/>
        <w:gridCol w:w="1063"/>
        <w:gridCol w:w="1066"/>
        <w:gridCol w:w="1063"/>
        <w:gridCol w:w="1063"/>
        <w:gridCol w:w="1066"/>
        <w:gridCol w:w="1061"/>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8" w:right="74"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越南美盈森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141,798,896.</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北宁省北宁 市南山社桂 武工业区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27,360,229.4</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同奈美盈森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82,694,288.3</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同奈省仁泽 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-768,195.50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5,021,786.05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美国加州森 尼韦尔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-4,646,462.62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越南包装技 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40,877,693.1</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越南河南省 金榜县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61,177.05 </w:t>
            </w: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美达科技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泰国春武里 府农雅县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三、核心竞争力分析</w:t>
      </w:r>
      <w:r>
        <w:rPr>
          <w:rFonts w:ascii="Tahoma" w:hAnsi="Tahoma" w:cs="Tahoma" w:eastAsia="Tahoma" w:hint="default"/>
          <w:w w:val="80"/>
        </w:rPr>
        <w:t> </w:t>
      </w:r>
      <w:r>
        <w:rPr>
          <w:rFonts w:ascii="Tahoma" w:hAnsi="Tahoma" w:cs="Tahoma" w:eastAsia="Tahoma" w:hint="default"/>
        </w:rPr>
      </w:r>
    </w:p>
    <w:p>
      <w:pPr>
        <w:pStyle w:val="BodyText"/>
        <w:spacing w:line="430" w:lineRule="atLeast" w:before="163"/>
        <w:ind w:left="57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价值增值共享</w:t>
      </w:r>
      <w:r>
        <w:rPr>
          <w:rFonts w:ascii="Times New Roman" w:hAnsi="Times New Roman" w:cs="Times New Roman" w:eastAsia="Times New Roman" w:hint="default"/>
        </w:rPr>
        <w:t>”</w:t>
      </w:r>
      <w:r>
        <w:rPr/>
        <w:t>服务模式优势 公司以市场为驱动、以顾客需求为导向，于行业内率先采用</w:t>
      </w:r>
      <w:r>
        <w:rPr>
          <w:rFonts w:ascii="Times New Roman" w:hAnsi="Times New Roman" w:cs="Times New Roman" w:eastAsia="Times New Roman" w:hint="default"/>
        </w:rPr>
        <w:t>“</w:t>
      </w:r>
      <w:r>
        <w:rPr/>
        <w:t>包装一体化</w:t>
      </w:r>
      <w:r>
        <w:rPr>
          <w:rFonts w:ascii="Times New Roman" w:hAnsi="Times New Roman" w:cs="Times New Roman" w:eastAsia="Times New Roman" w:hint="default"/>
        </w:rPr>
        <w:t>”</w:t>
      </w:r>
      <w:r>
        <w:rPr/>
        <w:t>的服务模式。作为包装一体化服务供应商，</w:t>
      </w:r>
    </w:p>
    <w:p>
      <w:pPr>
        <w:pStyle w:val="BodyText"/>
        <w:spacing w:line="316" w:lineRule="auto" w:before="63"/>
        <w:ind w:right="0"/>
        <w:jc w:val="left"/>
      </w:pPr>
      <w:r>
        <w:rPr>
          <w:spacing w:val="-2"/>
        </w:rPr>
        <w:t>公司兼具生产商、设计服务提供商、采购服务商与物流服务商的特点，从降低成本、提高效率、增加价值三方面，为客户提</w:t>
      </w:r>
      <w:r>
        <w:rPr>
          <w:spacing w:val="-68"/>
        </w:rPr>
        <w:t> </w:t>
      </w:r>
      <w:r>
        <w:rPr>
          <w:spacing w:val="-68"/>
        </w:rPr>
      </w:r>
      <w:r>
        <w:rPr>
          <w:spacing w:val="-4"/>
        </w:rPr>
        <w:t>供包装产品与服务。公司包装一体化的服务模式能够提升客户产品品牌、提升客户供应链管理效率、降低客户综合采购成本，</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33"/>
        <w:jc w:val="both"/>
      </w:pPr>
      <w:r>
        <w:rPr>
          <w:spacing w:val="-2"/>
        </w:rPr>
        <w:t>因能够实现客户价值增值而备受众多客户赞誉。公司借助于</w:t>
      </w:r>
      <w:r>
        <w:rPr>
          <w:rFonts w:ascii="Times New Roman" w:hAnsi="Times New Roman" w:cs="Times New Roman" w:eastAsia="Times New Roman" w:hint="default"/>
          <w:spacing w:val="-2"/>
        </w:rPr>
        <w:t>“</w:t>
      </w:r>
      <w:r>
        <w:rPr>
          <w:spacing w:val="-2"/>
        </w:rPr>
        <w:t>包装一体化</w:t>
      </w:r>
      <w:r>
        <w:rPr>
          <w:rFonts w:ascii="Times New Roman" w:hAnsi="Times New Roman" w:cs="Times New Roman" w:eastAsia="Times New Roman" w:hint="default"/>
          <w:spacing w:val="-2"/>
        </w:rPr>
        <w:t>”</w:t>
      </w:r>
      <w:r>
        <w:rPr>
          <w:spacing w:val="-2"/>
        </w:rPr>
        <w:t>的服务模式，避开了低技术含量、低附加值的激烈</w:t>
      </w:r>
      <w:r>
        <w:rPr>
          <w:spacing w:val="-48"/>
        </w:rPr>
        <w:t> </w:t>
      </w:r>
      <w:r>
        <w:rPr>
          <w:spacing w:val="-48"/>
        </w:rPr>
      </w:r>
      <w:r>
        <w:rPr/>
        <w:t>竞争，在为客户服务过程中获得了较好的经济效益。</w:t>
      </w:r>
    </w:p>
    <w:p>
      <w:pPr>
        <w:pStyle w:val="BodyText"/>
        <w:spacing w:line="415" w:lineRule="auto" w:before="151"/>
        <w:ind w:left="632" w:right="0" w:hanging="60"/>
        <w:jc w:val="left"/>
      </w:pPr>
      <w:r>
        <w:rPr>
          <w:rFonts w:ascii="Times New Roman" w:hAnsi="Times New Roman" w:cs="Times New Roman" w:eastAsia="Times New Roman" w:hint="default"/>
        </w:rPr>
        <w:t>2</w:t>
      </w:r>
      <w:r>
        <w:rPr/>
        <w:t>、持续创新技术研发优势 </w:t>
      </w:r>
      <w:r>
        <w:rPr>
          <w:spacing w:val="-1"/>
        </w:rPr>
        <w:t>公司在深圳、东莞、苏州、重庆、台湾、美国等地设立了专门的研发中心，中心聚集了包装领域资深专家领衔的数百</w:t>
      </w:r>
    </w:p>
    <w:p>
      <w:pPr>
        <w:pStyle w:val="BodyText"/>
        <w:spacing w:line="194" w:lineRule="exact"/>
        <w:ind w:right="0"/>
        <w:jc w:val="both"/>
      </w:pPr>
      <w:r>
        <w:rPr/>
        <w:t>人的研发技术队伍，公司还与高校建立了长期技术合作关系。截至目前，公司及下属子公司共拥有国家专利</w:t>
      </w:r>
      <w:r>
        <w:rPr>
          <w:rFonts w:ascii="Times New Roman" w:hAnsi="Times New Roman" w:cs="Times New Roman" w:eastAsia="Times New Roman" w:hint="default"/>
        </w:rPr>
        <w:t>379</w:t>
      </w:r>
      <w:r>
        <w:rPr/>
        <w:t>项，其中包</w:t>
      </w:r>
    </w:p>
    <w:p>
      <w:pPr>
        <w:pStyle w:val="BodyText"/>
        <w:spacing w:line="300" w:lineRule="auto" w:before="63"/>
        <w:ind w:right="1133"/>
        <w:jc w:val="both"/>
      </w:pPr>
      <w:r>
        <w:rPr>
          <w:spacing w:val="-1"/>
        </w:rPr>
        <w:t>括</w:t>
      </w:r>
      <w:r>
        <w:rPr>
          <w:rFonts w:ascii="Times New Roman" w:hAnsi="Times New Roman" w:cs="Times New Roman" w:eastAsia="Times New Roman" w:hint="default"/>
          <w:spacing w:val="-1"/>
        </w:rPr>
        <w:t>77</w:t>
      </w:r>
      <w:r>
        <w:rPr>
          <w:spacing w:val="-1"/>
        </w:rPr>
        <w:t>项发明专利、</w:t>
      </w:r>
      <w:r>
        <w:rPr>
          <w:rFonts w:ascii="Times New Roman" w:hAnsi="Times New Roman" w:cs="Times New Roman" w:eastAsia="Times New Roman" w:hint="default"/>
          <w:spacing w:val="-1"/>
        </w:rPr>
        <w:t>291</w:t>
      </w:r>
      <w:r>
        <w:rPr>
          <w:spacing w:val="-1"/>
        </w:rPr>
        <w:t>项实用新型专利和</w:t>
      </w:r>
      <w:r>
        <w:rPr>
          <w:rFonts w:ascii="Times New Roman" w:hAnsi="Times New Roman" w:cs="Times New Roman" w:eastAsia="Times New Roman" w:hint="default"/>
          <w:spacing w:val="-1"/>
        </w:rPr>
        <w:t>11</w:t>
      </w:r>
      <w:r>
        <w:rPr>
          <w:spacing w:val="-1"/>
        </w:rPr>
        <w:t>项外观专利，是</w:t>
      </w:r>
      <w:r>
        <w:rPr>
          <w:rFonts w:ascii="Times New Roman" w:hAnsi="Times New Roman" w:cs="Times New Roman" w:eastAsia="Times New Roman" w:hint="default"/>
          <w:spacing w:val="-1"/>
        </w:rPr>
        <w:t>32</w:t>
      </w:r>
      <w:r>
        <w:rPr>
          <w:spacing w:val="-1"/>
        </w:rPr>
        <w:t>项国家</w:t>
      </w:r>
      <w:r>
        <w:rPr>
          <w:rFonts w:ascii="Times New Roman" w:hAnsi="Times New Roman" w:cs="Times New Roman" w:eastAsia="Times New Roman" w:hint="default"/>
          <w:spacing w:val="-1"/>
        </w:rPr>
        <w:t>/</w:t>
      </w:r>
      <w:r>
        <w:rPr>
          <w:spacing w:val="-1"/>
        </w:rPr>
        <w:t>行业包装标准的主要起草或参与起草单位，专利和标准</w:t>
      </w:r>
      <w:r>
        <w:rPr>
          <w:spacing w:val="-83"/>
        </w:rPr>
        <w:t> </w:t>
      </w:r>
      <w:r>
        <w:rPr>
          <w:spacing w:val="-83"/>
        </w:rPr>
      </w:r>
      <w:r>
        <w:rPr/>
        <w:t>数量业内排名前列。</w:t>
      </w:r>
    </w:p>
    <w:p>
      <w:pPr>
        <w:pStyle w:val="BodyText"/>
        <w:spacing w:line="309" w:lineRule="auto" w:before="151"/>
        <w:ind w:right="1133" w:firstLine="480"/>
        <w:jc w:val="both"/>
      </w:pPr>
      <w:r>
        <w:rPr>
          <w:spacing w:val="-1"/>
        </w:rPr>
        <w:t>近年来，公司在仿真技术用于缓冲包装上的应用、可循环使用的物流包装解决方案（无忧智盒）、包装方案可交互演</w:t>
      </w:r>
      <w:r>
        <w:rPr/>
        <w:t> 示技术、纸托技术的开发应用、纸质家具产品开发（稚美家具）、以纸代塑产品开发（</w:t>
      </w:r>
      <w:r>
        <w:rPr>
          <w:rFonts w:ascii="Times New Roman" w:hAnsi="Times New Roman" w:cs="Times New Roman" w:eastAsia="Times New Roman" w:hint="default"/>
        </w:rPr>
        <w:t>IKEA</w:t>
      </w:r>
      <w:r>
        <w:rPr/>
        <w:t>粘毛器手柄）等方面取得了较</w:t>
      </w:r>
      <w:r>
        <w:rPr>
          <w:spacing w:val="-74"/>
        </w:rPr>
        <w:t> </w:t>
      </w:r>
      <w:r>
        <w:rPr>
          <w:spacing w:val="-74"/>
        </w:rPr>
      </w:r>
      <w:r>
        <w:rPr/>
        <w:t>好的研究成果，有效提升了公司包装产品的竞争力。</w:t>
      </w:r>
    </w:p>
    <w:p>
      <w:pPr>
        <w:pStyle w:val="BodyText"/>
        <w:spacing w:line="304" w:lineRule="auto" w:before="144"/>
        <w:ind w:right="1130" w:firstLine="480"/>
        <w:jc w:val="both"/>
      </w:pPr>
      <w:r>
        <w:rPr/>
        <w:t>公司深圳研发中心被深圳市人民政府认定为</w:t>
      </w:r>
      <w:r>
        <w:rPr>
          <w:rFonts w:ascii="Times New Roman" w:hAnsi="Times New Roman" w:cs="Times New Roman" w:eastAsia="Times New Roman" w:hint="default"/>
        </w:rPr>
        <w:t>“</w:t>
      </w:r>
      <w:r>
        <w:rPr/>
        <w:t>市级技术中心</w:t>
      </w:r>
      <w:r>
        <w:rPr>
          <w:rFonts w:ascii="Times New Roman" w:hAnsi="Times New Roman" w:cs="Times New Roman" w:eastAsia="Times New Roman" w:hint="default"/>
        </w:rPr>
        <w:t>”</w:t>
      </w:r>
      <w:r>
        <w:rPr/>
        <w:t>，东莞美盈森被认定为第十五批广东省省级企业技术中心 </w:t>
      </w:r>
      <w:r>
        <w:rPr>
          <w:spacing w:val="-1"/>
        </w:rPr>
        <w:t>之一，东莞美盈森检测中心获得了中国合格评定国家认可委员会（</w:t>
      </w:r>
      <w:r>
        <w:rPr>
          <w:rFonts w:ascii="Times New Roman" w:hAnsi="Times New Roman" w:cs="Times New Roman" w:eastAsia="Times New Roman" w:hint="default"/>
          <w:spacing w:val="-1"/>
        </w:rPr>
        <w:t>CNAS</w:t>
      </w:r>
      <w:r>
        <w:rPr>
          <w:spacing w:val="-1"/>
        </w:rPr>
        <w:t>）实验室认可证书。公司深圳实验室获得国际安全</w:t>
      </w:r>
      <w:r>
        <w:rPr>
          <w:spacing w:val="-59"/>
        </w:rPr>
        <w:t> </w:t>
      </w:r>
      <w:r>
        <w:rPr>
          <w:spacing w:val="-59"/>
        </w:rPr>
      </w:r>
      <w:r>
        <w:rPr/>
        <w:t>运输协会（</w:t>
      </w:r>
      <w:r>
        <w:rPr>
          <w:rFonts w:ascii="Times New Roman" w:hAnsi="Times New Roman" w:cs="Times New Roman" w:eastAsia="Times New Roman" w:hint="default"/>
        </w:rPr>
        <w:t>ISTA</w:t>
      </w:r>
      <w:r>
        <w:rPr/>
        <w:t>）实验室认可证书。通过产品外观设计、缓冲设计、一体化设计等措施，在实现客户对于包装基础功能诉</w:t>
      </w:r>
      <w:r>
        <w:rPr>
          <w:spacing w:val="-53"/>
        </w:rPr>
        <w:t> </w:t>
      </w:r>
      <w:r>
        <w:rPr>
          <w:spacing w:val="-53"/>
        </w:rPr>
      </w:r>
      <w:r>
        <w:rPr>
          <w:spacing w:val="-2"/>
        </w:rPr>
        <w:t>求的同时提升了产品的视觉表达效果和艺术水平，并降低了客户的综合包装成本，在为客户创造价值的过程中形成了独特的</w:t>
      </w:r>
      <w:r>
        <w:rPr>
          <w:spacing w:val="-64"/>
        </w:rPr>
        <w:t> </w:t>
      </w:r>
      <w:r>
        <w:rPr>
          <w:spacing w:val="-64"/>
        </w:rPr>
      </w:r>
      <w:r>
        <w:rPr/>
        <w:t>竞争优势。</w:t>
      </w:r>
    </w:p>
    <w:p>
      <w:pPr>
        <w:pStyle w:val="BodyText"/>
        <w:spacing w:line="432" w:lineRule="exact" w:before="12"/>
        <w:ind w:left="572" w:right="1117"/>
        <w:jc w:val="left"/>
      </w:pPr>
      <w:r>
        <w:rPr>
          <w:rFonts w:ascii="Times New Roman" w:hAnsi="Times New Roman" w:cs="Times New Roman" w:eastAsia="Times New Roman" w:hint="default"/>
        </w:rPr>
        <w:t>3</w:t>
      </w:r>
      <w:r>
        <w:rPr/>
        <w:t>、集团性、多区域、国际化服务优势 </w:t>
      </w:r>
      <w:r>
        <w:rPr>
          <w:spacing w:val="-1"/>
        </w:rPr>
        <w:t>纸包装优质订单主要集中在集团性领先企业，而纸包装行业企业经济服务半径一般在</w:t>
      </w:r>
      <w:r>
        <w:rPr>
          <w:rFonts w:ascii="Times New Roman" w:hAnsi="Times New Roman" w:cs="Times New Roman" w:eastAsia="Times New Roman" w:hint="default"/>
          <w:spacing w:val="-1"/>
        </w:rPr>
        <w:t>300</w:t>
      </w:r>
      <w:r>
        <w:rPr>
          <w:spacing w:val="-1"/>
        </w:rPr>
        <w:t>公里以内。因此，和集团性大</w:t>
      </w:r>
    </w:p>
    <w:p>
      <w:pPr>
        <w:pStyle w:val="BodyText"/>
        <w:spacing w:line="240" w:lineRule="auto" w:before="15"/>
        <w:ind w:right="0"/>
        <w:jc w:val="both"/>
      </w:pPr>
      <w:r>
        <w:rPr/>
        <w:t>客户建立全面、深入的合作关系，对纸包装企业跟随集团性大客户实现多区域产能布局有较高的要求。</w:t>
      </w:r>
    </w:p>
    <w:p>
      <w:pPr>
        <w:spacing w:line="240" w:lineRule="auto" w:before="0"/>
        <w:rPr>
          <w:rFonts w:ascii="宋体" w:hAnsi="宋体" w:cs="宋体" w:eastAsia="宋体" w:hint="default"/>
          <w:sz w:val="15"/>
          <w:szCs w:val="15"/>
        </w:rPr>
      </w:pPr>
    </w:p>
    <w:p>
      <w:pPr>
        <w:pStyle w:val="BodyText"/>
        <w:spacing w:line="307" w:lineRule="auto"/>
        <w:ind w:right="0" w:firstLine="420"/>
        <w:jc w:val="left"/>
      </w:pPr>
      <w:r>
        <w:rPr>
          <w:spacing w:val="-2"/>
        </w:rPr>
        <w:t>公司在全球有下属子公司共</w:t>
      </w:r>
      <w:r>
        <w:rPr>
          <w:rFonts w:ascii="Times New Roman" w:hAnsi="Times New Roman" w:cs="Times New Roman" w:eastAsia="Times New Roman" w:hint="default"/>
          <w:spacing w:val="-2"/>
        </w:rPr>
        <w:t>41</w:t>
      </w:r>
      <w:r>
        <w:rPr>
          <w:spacing w:val="-2"/>
        </w:rPr>
        <w:t>家，其中国内</w:t>
      </w:r>
      <w:r>
        <w:rPr>
          <w:rFonts w:ascii="Times New Roman" w:hAnsi="Times New Roman" w:cs="Times New Roman" w:eastAsia="Times New Roman" w:hint="default"/>
          <w:spacing w:val="-2"/>
        </w:rPr>
        <w:t>36</w:t>
      </w:r>
      <w:r>
        <w:rPr>
          <w:spacing w:val="-2"/>
        </w:rPr>
        <w:t>家，分布在粤港澳大湾区、长三角经济圈、成渝经济区、长株潭经济圈、</w:t>
      </w:r>
      <w:r>
        <w:rPr/>
        <w:t> 中原经济区、一带一路</w:t>
      </w:r>
      <w:r>
        <w:rPr>
          <w:rFonts w:ascii="Times New Roman" w:hAnsi="Times New Roman" w:cs="Times New Roman" w:eastAsia="Times New Roman" w:hint="default"/>
        </w:rPr>
        <w:t>—</w:t>
      </w:r>
      <w:r>
        <w:rPr/>
        <w:t>西安等经济活跃区域；国外</w:t>
      </w:r>
      <w:r>
        <w:rPr>
          <w:rFonts w:ascii="Times New Roman" w:hAnsi="Times New Roman" w:cs="Times New Roman" w:eastAsia="Times New Roman" w:hint="default"/>
        </w:rPr>
        <w:t>5</w:t>
      </w:r>
      <w:r>
        <w:rPr/>
        <w:t>家，主要分布在一带一路东南亚、南亚沿线国家。公司已基本完成了</w:t>
      </w:r>
      <w:r>
        <w:rPr>
          <w:spacing w:val="-85"/>
        </w:rPr>
        <w:t> </w:t>
      </w:r>
      <w:r>
        <w:rPr>
          <w:spacing w:val="-85"/>
        </w:rPr>
      </w:r>
      <w:r>
        <w:rPr>
          <w:spacing w:val="-2"/>
        </w:rPr>
        <w:t>在国内活跃经济区域的战略布局，同时，近年来紧跟客户订单需求，加快了在东南亚、南亚的产能布局，形成了集团性、多</w:t>
      </w:r>
      <w:r>
        <w:rPr>
          <w:spacing w:val="-68"/>
        </w:rPr>
        <w:t> </w:t>
      </w:r>
      <w:r>
        <w:rPr>
          <w:spacing w:val="-68"/>
        </w:rPr>
      </w:r>
      <w:r>
        <w:rPr/>
        <w:t>区域、国际化服务优势。</w:t>
      </w:r>
    </w:p>
    <w:p>
      <w:pPr>
        <w:pStyle w:val="BodyText"/>
        <w:spacing w:line="316" w:lineRule="auto" w:before="146"/>
        <w:ind w:right="0" w:firstLine="420"/>
        <w:jc w:val="left"/>
      </w:pPr>
      <w:r>
        <w:rPr/>
        <w:t>如公司之前仅在粤港澳大湾区为华润怡宝、京东华南区域提供产品包装服务，随着公司成都智慧工厂、六安智慧工厂 投入使用后，公司迅速切入了华润怡宝、京东西南区域及华东区域，为上述区域提供产品包装服务。</w:t>
      </w:r>
    </w:p>
    <w:p>
      <w:pPr>
        <w:pStyle w:val="BodyText"/>
        <w:spacing w:line="415" w:lineRule="auto" w:before="139"/>
        <w:ind w:left="572" w:right="1026"/>
        <w:jc w:val="left"/>
      </w:pPr>
      <w:r>
        <w:rPr>
          <w:rFonts w:ascii="Times New Roman" w:hAnsi="Times New Roman" w:cs="Times New Roman" w:eastAsia="Times New Roman" w:hint="default"/>
        </w:rPr>
        <w:t>4</w:t>
      </w:r>
      <w:r>
        <w:rPr/>
        <w:t>、先进的管理优势 </w:t>
      </w:r>
      <w:r>
        <w:rPr>
          <w:spacing w:val="-1"/>
        </w:rPr>
        <w:t>公司建立了基于优化财务表现和追求客户服务水平的精细化管理体系，主要包括订单管理、产品品质管理、设计管理、</w:t>
      </w:r>
    </w:p>
    <w:p>
      <w:pPr>
        <w:pStyle w:val="BodyText"/>
        <w:spacing w:line="181" w:lineRule="exact"/>
        <w:ind w:right="0"/>
        <w:jc w:val="both"/>
      </w:pPr>
      <w:r>
        <w:rPr/>
        <w:t>生产管理、采购管理、成本和费用管控、信息化管理、流程管理和优化等。公司通过涵盖营销、采购、研发、生产、仓储、</w:t>
      </w:r>
    </w:p>
    <w:p>
      <w:pPr>
        <w:pStyle w:val="BodyText"/>
        <w:spacing w:line="316" w:lineRule="auto" w:before="76"/>
        <w:ind w:right="1132"/>
        <w:jc w:val="both"/>
      </w:pPr>
      <w:r>
        <w:rPr>
          <w:spacing w:val="-2"/>
        </w:rPr>
        <w:t>物流等各个环节的精细化管理体系，为公司实现较强的盈利能力、成本和费用的有效管控以及较高的人均产值奠定良好的基</w:t>
      </w:r>
      <w:r>
        <w:rPr>
          <w:spacing w:val="-64"/>
        </w:rPr>
        <w:t> </w:t>
      </w:r>
      <w:r>
        <w:rPr>
          <w:spacing w:val="-64"/>
        </w:rPr>
      </w:r>
      <w:r>
        <w:rPr/>
        <w:t>础。</w:t>
      </w:r>
    </w:p>
    <w:p>
      <w:pPr>
        <w:pStyle w:val="BodyText"/>
        <w:spacing w:line="300" w:lineRule="auto" w:before="139"/>
        <w:ind w:right="1034" w:firstLine="420"/>
        <w:jc w:val="left"/>
      </w:pPr>
      <w:r>
        <w:rPr>
          <w:spacing w:val="-3"/>
        </w:rPr>
        <w:t>截至目前，公司先后建立了</w:t>
      </w:r>
      <w:r>
        <w:rPr>
          <w:rFonts w:ascii="Times New Roman" w:hAnsi="Times New Roman" w:cs="Times New Roman" w:eastAsia="Times New Roman" w:hint="default"/>
          <w:spacing w:val="-3"/>
        </w:rPr>
        <w:t>GBT 29490</w:t>
      </w:r>
      <w:r>
        <w:rPr>
          <w:spacing w:val="-3"/>
        </w:rPr>
        <w:t>企业知识产权管理体系、</w:t>
      </w:r>
      <w:r>
        <w:rPr>
          <w:rFonts w:ascii="Times New Roman" w:hAnsi="Times New Roman" w:cs="Times New Roman" w:eastAsia="Times New Roman" w:hint="default"/>
          <w:spacing w:val="-3"/>
        </w:rPr>
        <w:t>GJB</w:t>
      </w:r>
      <w:r>
        <w:rPr>
          <w:rFonts w:ascii="Times New Roman" w:hAnsi="Times New Roman" w:cs="Times New Roman" w:eastAsia="Times New Roman" w:hint="default"/>
          <w:spacing w:val="-26"/>
        </w:rPr>
        <w:t> </w:t>
      </w:r>
      <w:r>
        <w:rPr>
          <w:rFonts w:ascii="Times New Roman" w:hAnsi="Times New Roman" w:cs="Times New Roman" w:eastAsia="Times New Roman" w:hint="default"/>
        </w:rPr>
        <w:t>9001B</w:t>
      </w:r>
      <w:r>
        <w:rPr/>
        <w:t>武器装备质量管理体系、</w:t>
      </w:r>
      <w:r>
        <w:rPr>
          <w:rFonts w:ascii="Times New Roman" w:hAnsi="Times New Roman" w:cs="Times New Roman" w:eastAsia="Times New Roman" w:hint="default"/>
        </w:rPr>
        <w:t>FSC-CoC</w:t>
      </w:r>
      <w:r>
        <w:rPr/>
        <w:t>管理体系、 </w:t>
      </w:r>
      <w:r>
        <w:rPr>
          <w:rFonts w:ascii="Times New Roman" w:hAnsi="Times New Roman" w:cs="Times New Roman" w:eastAsia="Times New Roman" w:hint="default"/>
        </w:rPr>
        <w:t>G7</w:t>
      </w:r>
      <w:r>
        <w:rPr/>
        <w:t>和</w:t>
      </w:r>
      <w:r>
        <w:rPr>
          <w:rFonts w:ascii="Times New Roman" w:hAnsi="Times New Roman" w:cs="Times New Roman" w:eastAsia="Times New Roman" w:hint="default"/>
        </w:rPr>
        <w:t>GMI</w:t>
      </w:r>
      <w:r>
        <w:rPr/>
        <w:t>标准化印刷管理体系等十数项并获得多家客户的</w:t>
      </w:r>
      <w:r>
        <w:rPr>
          <w:rFonts w:ascii="Times New Roman" w:hAnsi="Times New Roman" w:cs="Times New Roman" w:eastAsia="Times New Roman" w:hint="default"/>
        </w:rPr>
        <w:t>CSR</w:t>
      </w:r>
      <w:r>
        <w:rPr/>
        <w:t>社会责任管理认证，认证体系数量业内排名前列，体现了公</w:t>
      </w:r>
      <w:r>
        <w:rPr>
          <w:spacing w:val="-32"/>
        </w:rPr>
        <w:t> </w:t>
      </w:r>
      <w:r>
        <w:rPr>
          <w:spacing w:val="-32"/>
        </w:rPr>
      </w:r>
      <w:r>
        <w:rPr/>
        <w:t>司领先的管理水平。</w:t>
      </w:r>
    </w:p>
    <w:p>
      <w:pPr>
        <w:pStyle w:val="BodyText"/>
        <w:spacing w:line="415" w:lineRule="auto" w:before="151"/>
        <w:ind w:left="632" w:right="0" w:hanging="60"/>
        <w:jc w:val="left"/>
      </w:pPr>
      <w:r>
        <w:rPr>
          <w:rFonts w:ascii="Times New Roman" w:hAnsi="Times New Roman" w:cs="Times New Roman" w:eastAsia="Times New Roman" w:hint="default"/>
        </w:rPr>
        <w:t>5</w:t>
      </w:r>
      <w:r>
        <w:rPr/>
        <w:t>、著名品牌客户资源优势 </w:t>
      </w:r>
      <w:r>
        <w:rPr>
          <w:spacing w:val="-1"/>
        </w:rPr>
        <w:t>客户价值决定了供应商价值，与面向终端零售客户的企业不同，上游供应商的品牌和竞争力更多取决于企业客户的品</w:t>
      </w:r>
    </w:p>
    <w:p>
      <w:pPr>
        <w:pStyle w:val="BodyText"/>
        <w:spacing w:line="181" w:lineRule="exact"/>
        <w:ind w:right="0"/>
        <w:jc w:val="both"/>
      </w:pPr>
      <w:r>
        <w:rPr/>
        <w:t>牌知名度和市场地位，拥有一批优质客户是供应商最为重要的优势之一。公司消费电子、智能终端产业领域主要客户包括</w:t>
      </w:r>
    </w:p>
    <w:p>
      <w:pPr>
        <w:pStyle w:val="BodyText"/>
        <w:spacing w:line="307" w:lineRule="auto" w:before="76"/>
        <w:ind w:right="1130"/>
        <w:jc w:val="both"/>
      </w:pPr>
      <w:r>
        <w:rPr>
          <w:rFonts w:ascii="Times New Roman" w:hAnsi="Times New Roman" w:cs="Times New Roman" w:eastAsia="Times New Roman" w:hint="default"/>
        </w:rPr>
        <w:t>Samsung</w:t>
      </w:r>
      <w:r>
        <w:rPr/>
        <w:t>、</w:t>
      </w:r>
      <w:r>
        <w:rPr>
          <w:rFonts w:ascii="Times New Roman" w:hAnsi="Times New Roman" w:cs="Times New Roman" w:eastAsia="Times New Roman" w:hint="default"/>
        </w:rPr>
        <w:t>Emerson</w:t>
      </w:r>
      <w:r>
        <w:rPr/>
        <w:t>、</w:t>
      </w:r>
      <w:r>
        <w:rPr>
          <w:rFonts w:ascii="Times New Roman" w:hAnsi="Times New Roman" w:cs="Times New Roman" w:eastAsia="Times New Roman" w:hint="default"/>
        </w:rPr>
        <w:t>HP</w:t>
      </w:r>
      <w:r>
        <w:rPr/>
        <w:t>、</w:t>
      </w:r>
      <w:r>
        <w:rPr>
          <w:rFonts w:ascii="Times New Roman" w:hAnsi="Times New Roman" w:cs="Times New Roman" w:eastAsia="Times New Roman" w:hint="default"/>
        </w:rPr>
        <w:t>Canon</w:t>
      </w:r>
      <w:r>
        <w:rPr/>
        <w:t>、</w:t>
      </w:r>
      <w:r>
        <w:rPr>
          <w:rFonts w:ascii="Times New Roman" w:hAnsi="Times New Roman" w:cs="Times New Roman" w:eastAsia="Times New Roman" w:hint="default"/>
        </w:rPr>
        <w:t>Bose</w:t>
      </w:r>
      <w:r>
        <w:rPr/>
        <w:t>、</w:t>
      </w:r>
      <w:r>
        <w:rPr>
          <w:rFonts w:ascii="Times New Roman" w:hAnsi="Times New Roman" w:cs="Times New Roman" w:eastAsia="Times New Roman" w:hint="default"/>
        </w:rPr>
        <w:t>Harman</w:t>
      </w:r>
      <w:r>
        <w:rPr/>
        <w:t>、</w:t>
      </w:r>
      <w:r>
        <w:rPr>
          <w:rFonts w:ascii="Times New Roman" w:hAnsi="Times New Roman" w:cs="Times New Roman" w:eastAsia="Times New Roman" w:hint="default"/>
        </w:rPr>
        <w:t>Sonos</w:t>
      </w:r>
      <w:r>
        <w:rPr/>
        <w:t>、</w:t>
      </w:r>
      <w:r>
        <w:rPr>
          <w:rFonts w:ascii="Times New Roman" w:hAnsi="Times New Roman" w:cs="Times New Roman" w:eastAsia="Times New Roman" w:hint="default"/>
        </w:rPr>
        <w:t>Qisda</w:t>
      </w:r>
      <w:r>
        <w:rPr/>
        <w:t>、华为、小米、富士康、纬创、仁宝、联想、京东方、海</w:t>
      </w:r>
      <w:r>
        <w:rPr>
          <w:spacing w:val="-42"/>
        </w:rPr>
        <w:t> </w:t>
      </w:r>
      <w:r>
        <w:rPr>
          <w:spacing w:val="-42"/>
        </w:rPr>
      </w:r>
      <w:r>
        <w:rPr>
          <w:spacing w:val="-2"/>
        </w:rPr>
        <w:t>康威视。公司食品饮料、白酒、保健品产业领域主要客户包括泸州老窖、洋河、剑南春、习酒、华润怡宝、旺旺、伊利、蒙</w:t>
      </w:r>
      <w:r>
        <w:rPr>
          <w:spacing w:val="-69"/>
        </w:rPr>
        <w:t> </w:t>
      </w:r>
      <w:r>
        <w:rPr>
          <w:spacing w:val="-69"/>
        </w:rPr>
      </w:r>
      <w:r>
        <w:rPr/>
        <w:t>牛乳业、晨光乳业、</w:t>
      </w:r>
      <w:r>
        <w:rPr>
          <w:rFonts w:ascii="Times New Roman" w:hAnsi="Times New Roman" w:cs="Times New Roman" w:eastAsia="Times New Roman" w:hint="default"/>
        </w:rPr>
        <w:t>Amway</w:t>
      </w:r>
      <w:r>
        <w:rPr/>
        <w:t>；公司家具家居、家用电器产业领域主要客户包括</w:t>
      </w:r>
      <w:r>
        <w:rPr>
          <w:rFonts w:ascii="Times New Roman" w:hAnsi="Times New Roman" w:cs="Times New Roman" w:eastAsia="Times New Roman" w:hint="default"/>
        </w:rPr>
        <w:t>IKEA</w:t>
      </w:r>
      <w:r>
        <w:rPr/>
        <w:t>、</w:t>
      </w:r>
      <w:r>
        <w:rPr>
          <w:rFonts w:ascii="Times New Roman" w:hAnsi="Times New Roman" w:cs="Times New Roman" w:eastAsia="Times New Roman" w:hint="default"/>
        </w:rPr>
        <w:t>HomeDepot</w:t>
      </w:r>
      <w:r>
        <w:rPr/>
        <w:t>、</w:t>
      </w:r>
      <w:r>
        <w:rPr>
          <w:rFonts w:ascii="Times New Roman" w:hAnsi="Times New Roman" w:cs="Times New Roman" w:eastAsia="Times New Roman" w:hint="default"/>
        </w:rPr>
        <w:t>A.O.Smith</w:t>
      </w:r>
      <w:r>
        <w:rPr/>
        <w:t>、</w:t>
      </w:r>
      <w:r>
        <w:rPr>
          <w:rFonts w:ascii="Times New Roman" w:hAnsi="Times New Roman" w:cs="Times New Roman" w:eastAsia="Times New Roman" w:hint="default"/>
        </w:rPr>
        <w:t>McQuay</w:t>
      </w:r>
      <w:r>
        <w:rPr/>
        <w:t>、</w:t>
      </w:r>
      <w:r>
        <w:rPr>
          <w:spacing w:val="-65"/>
        </w:rPr>
        <w:t> </w:t>
      </w:r>
      <w:r>
        <w:rPr>
          <w:spacing w:val="-2"/>
        </w:rPr>
        <w:t>美的集团、青岛海尔、四川长虹、海信；公司电商物流、快递速运产业领域客户主要包括京东、网易考拉、跨越速运；公司</w:t>
      </w:r>
    </w:p>
    <w:p>
      <w:pPr>
        <w:spacing w:after="0" w:line="307"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9" w:lineRule="auto" w:before="37"/>
        <w:ind w:right="1034"/>
        <w:jc w:val="left"/>
      </w:pPr>
      <w:r>
        <w:rPr/>
        <w:t>汽车及新能源汽车产业链客户主要包括福耀玻璃、</w:t>
      </w:r>
      <w:r>
        <w:rPr>
          <w:rFonts w:ascii="Times New Roman" w:hAnsi="Times New Roman" w:cs="Times New Roman" w:eastAsia="Times New Roman" w:hint="default"/>
        </w:rPr>
        <w:t>BOSCH</w:t>
      </w:r>
      <w:r>
        <w:rPr/>
        <w:t>、</w:t>
      </w:r>
      <w:r>
        <w:rPr>
          <w:rFonts w:ascii="Times New Roman" w:hAnsi="Times New Roman" w:cs="Times New Roman" w:eastAsia="Times New Roman" w:hint="default"/>
        </w:rPr>
        <w:t>BMW</w:t>
      </w:r>
      <w:r>
        <w:rPr/>
        <w:t>、康宁。上述客户信誉良好，资金实力雄厚，本身发展情 况较好，经营稳健或快速发展，对其产品配套的包装产品需求在持续、稳定的增长，同时还具有巨大的其他配套产品需求， 保障了公司经营性现金流的稳健。</w:t>
      </w:r>
    </w:p>
    <w:p>
      <w:pPr>
        <w:pStyle w:val="BodyText"/>
        <w:spacing w:line="316" w:lineRule="auto" w:before="144"/>
        <w:ind w:right="1132" w:firstLine="480"/>
        <w:jc w:val="both"/>
      </w:pPr>
      <w:r>
        <w:rPr>
          <w:spacing w:val="-1"/>
        </w:rPr>
        <w:t>公司的品牌客户资源优势为公司不断开发新客户以及公司销售规模的持续增长提供了保障。一方面，公司能借助品牌</w:t>
      </w:r>
      <w:r>
        <w:rPr/>
        <w:t> </w:t>
      </w:r>
      <w:r>
        <w:rPr>
          <w:spacing w:val="-2"/>
        </w:rPr>
        <w:t>客户在各行业的影响力，进一步扩大和强化公司的品牌优势，开拓更多优质客户。凭借公司在研发、品质、服务等全方位的</w:t>
      </w:r>
      <w:r>
        <w:rPr>
          <w:spacing w:val="-69"/>
        </w:rPr>
        <w:t> </w:t>
      </w:r>
      <w:r>
        <w:rPr>
          <w:spacing w:val="-69"/>
        </w:rPr>
      </w:r>
      <w:r>
        <w:rPr>
          <w:spacing w:val="-2"/>
        </w:rPr>
        <w:t>竞争优势以及良好的口碑，公司正在不断获得世界知名客户以及细分行业龙头企业的供应资质，使得公司的客户资源优势得</w:t>
      </w:r>
      <w:r>
        <w:rPr>
          <w:spacing w:val="-64"/>
        </w:rPr>
        <w:t> </w:t>
      </w:r>
      <w:r>
        <w:rPr>
          <w:spacing w:val="-64"/>
        </w:rPr>
      </w:r>
      <w:r>
        <w:rPr>
          <w:spacing w:val="-2"/>
        </w:rPr>
        <w:t>到持续增强。另一方面，高端品牌客户对供应商资质审核严格，审核周期较长，导入后不会轻易变更，且高端品牌客户包装</w:t>
      </w:r>
      <w:r>
        <w:rPr>
          <w:spacing w:val="-69"/>
        </w:rPr>
        <w:t> </w:t>
      </w:r>
      <w:r>
        <w:rPr>
          <w:spacing w:val="-69"/>
        </w:rPr>
      </w:r>
      <w:r>
        <w:rPr/>
        <w:t>需求普遍较大，公司为其提供包装服务订单有望持续增加并达到一定规模，从而为公司销售规模的持续增加提供保障。</w:t>
      </w:r>
    </w:p>
    <w:p>
      <w:pPr>
        <w:pStyle w:val="BodyText"/>
        <w:spacing w:line="415" w:lineRule="auto" w:before="139"/>
        <w:ind w:left="632" w:right="0"/>
        <w:jc w:val="left"/>
      </w:pPr>
      <w:r>
        <w:rPr>
          <w:rFonts w:ascii="Times New Roman" w:hAnsi="Times New Roman" w:cs="Times New Roman" w:eastAsia="Times New Roman" w:hint="default"/>
        </w:rPr>
        <w:t>6</w:t>
      </w:r>
      <w:r>
        <w:rPr/>
        <w:t>、高端制造及智慧制造平台优势 </w:t>
      </w:r>
      <w:r>
        <w:rPr>
          <w:spacing w:val="-1"/>
        </w:rPr>
        <w:t>生态化竞争方兴未艾，智慧经营时代已经到来。面对复杂多变的外部环境，公司坚信，谁掌握技术创新，谁掌握智能</w:t>
      </w:r>
    </w:p>
    <w:p>
      <w:pPr>
        <w:pStyle w:val="BodyText"/>
        <w:spacing w:line="181" w:lineRule="exact"/>
        <w:ind w:right="0"/>
        <w:jc w:val="left"/>
      </w:pPr>
      <w:r>
        <w:rPr/>
        <w:t>制造，谁就能把握未来竞争的主动权。公司在深圳、东莞、苏州、重庆、六安、长沙、成都、越南北宁拥有七个高端制造平</w:t>
      </w:r>
    </w:p>
    <w:p>
      <w:pPr>
        <w:pStyle w:val="BodyText"/>
        <w:spacing w:line="316" w:lineRule="auto" w:before="76"/>
        <w:ind w:right="1130"/>
        <w:jc w:val="both"/>
      </w:pPr>
      <w:r>
        <w:rPr>
          <w:spacing w:val="-2"/>
        </w:rPr>
        <w:t>台，其中东莞、六安、长沙及成都基地均拥有智慧工厂。公司智慧工厂所采用的瓦楞纸板生产线、原纸物流系统、全自动纸</w:t>
      </w:r>
      <w:r>
        <w:rPr>
          <w:spacing w:val="-68"/>
        </w:rPr>
        <w:t> </w:t>
      </w:r>
      <w:r>
        <w:rPr>
          <w:spacing w:val="-68"/>
        </w:rPr>
      </w:r>
      <w:r>
        <w:rPr>
          <w:spacing w:val="-2"/>
        </w:rPr>
        <w:t>板物流系统及印刷联动线均处于行业领先水平，叠加上公司在纸包装领域多年的研发、生产技术及经验积累，实现从原材料</w:t>
      </w:r>
      <w:r>
        <w:rPr>
          <w:spacing w:val="-62"/>
        </w:rPr>
        <w:t> </w:t>
      </w:r>
      <w:r>
        <w:rPr>
          <w:spacing w:val="-62"/>
        </w:rPr>
      </w:r>
      <w:r>
        <w:rPr/>
        <w:t>到产成品的生产过程智能化，能为客户提供优质、高效、价优的包装服务。</w:t>
      </w:r>
    </w:p>
    <w:p>
      <w:pPr>
        <w:pStyle w:val="BodyText"/>
        <w:spacing w:line="309" w:lineRule="auto" w:before="139"/>
        <w:ind w:right="0" w:firstLine="480"/>
        <w:jc w:val="left"/>
      </w:pPr>
      <w:r>
        <w:rPr/>
        <w:t>近年来，公司通过为包括华为、</w:t>
      </w:r>
      <w:r>
        <w:rPr>
          <w:rFonts w:ascii="Times New Roman" w:hAnsi="Times New Roman" w:cs="Times New Roman" w:eastAsia="Times New Roman" w:hint="default"/>
        </w:rPr>
        <w:t>Samsung</w:t>
      </w:r>
      <w:r>
        <w:rPr/>
        <w:t>、小米等在内的多家智能终端及消费电子全球领军企业提供精品包装服务的 </w:t>
      </w:r>
      <w:r>
        <w:rPr>
          <w:spacing w:val="-4"/>
        </w:rPr>
        <w:t>经验积累，公司精品包装服务能力得到迅速提升，为客户提供的精品包装服务量也持续快速增加，精品包装大客户不断增多。</w:t>
      </w:r>
      <w:r>
        <w:rPr>
          <w:spacing w:val="-44"/>
        </w:rPr>
        <w:t> </w:t>
      </w:r>
      <w:r>
        <w:rPr>
          <w:spacing w:val="-44"/>
        </w:rPr>
      </w:r>
      <w:r>
        <w:rPr/>
        <w:t>针对需求量较大的战略性客户，公司为其配置了精品盒专属车间和专属生产设备进行专属服务。</w:t>
      </w:r>
    </w:p>
    <w:p>
      <w:pPr>
        <w:pStyle w:val="BodyText"/>
        <w:spacing w:line="240" w:lineRule="auto" w:before="144"/>
        <w:ind w:left="572" w:right="0"/>
        <w:jc w:val="left"/>
      </w:pPr>
      <w:r>
        <w:rPr/>
        <w:t>智慧工厂将成为公司在未来竞争中脱颖而出的重要优势之一。</w:t>
      </w:r>
    </w:p>
    <w:p>
      <w:pPr>
        <w:spacing w:line="240" w:lineRule="auto" w:before="0"/>
        <w:rPr>
          <w:rFonts w:ascii="宋体" w:hAnsi="宋体" w:cs="宋体" w:eastAsia="宋体" w:hint="default"/>
          <w:sz w:val="15"/>
          <w:szCs w:val="15"/>
        </w:rPr>
      </w:pPr>
    </w:p>
    <w:p>
      <w:pPr>
        <w:pStyle w:val="BodyText"/>
        <w:spacing w:line="415" w:lineRule="auto"/>
        <w:ind w:left="572" w:right="0"/>
        <w:jc w:val="left"/>
      </w:pPr>
      <w:r>
        <w:rPr>
          <w:rFonts w:ascii="Times New Roman" w:hAnsi="Times New Roman" w:cs="Times New Roman" w:eastAsia="Times New Roman" w:hint="default"/>
        </w:rPr>
        <w:t>7</w:t>
      </w:r>
      <w:r>
        <w:rPr/>
        <w:t>、优质产品及知名品牌优势 公司自成立以来，凭借领先的包装一体化服务理念以及优质的产品及服务质量，形成了良好的品牌效应。公司制定了</w:t>
      </w:r>
    </w:p>
    <w:p>
      <w:pPr>
        <w:pStyle w:val="BodyText"/>
        <w:spacing w:line="181" w:lineRule="exact"/>
        <w:ind w:right="0"/>
        <w:jc w:val="left"/>
      </w:pPr>
      <w:r>
        <w:rPr/>
        <w:t>明确的、可执行的、落实到岗的品质管理奖惩制度，保障了公司产品品质稳定。</w:t>
      </w:r>
    </w:p>
    <w:p>
      <w:pPr>
        <w:spacing w:line="240" w:lineRule="auto" w:before="0"/>
        <w:rPr>
          <w:rFonts w:ascii="宋体" w:hAnsi="宋体" w:cs="宋体" w:eastAsia="宋体" w:hint="default"/>
          <w:sz w:val="15"/>
          <w:szCs w:val="15"/>
        </w:rPr>
      </w:pPr>
    </w:p>
    <w:p>
      <w:pPr>
        <w:pStyle w:val="BodyText"/>
        <w:spacing w:line="300" w:lineRule="auto"/>
        <w:ind w:right="1133" w:firstLine="420"/>
        <w:jc w:val="both"/>
      </w:pPr>
      <w:r>
        <w:rPr/>
        <w:t>多年来，公司先后获得</w:t>
      </w:r>
      <w:r>
        <w:rPr>
          <w:rFonts w:ascii="Times New Roman" w:hAnsi="Times New Roman" w:cs="Times New Roman" w:eastAsia="Times New Roman" w:hint="default"/>
        </w:rPr>
        <w:t>“</w:t>
      </w:r>
      <w:r>
        <w:rPr/>
        <w:t>自主创新百强中小企业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行业自主创新领军企业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广东省百强民营 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深圳市市长质量奖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中国环保产品质量信得过重点品牌</w:t>
      </w:r>
      <w:r>
        <w:rPr>
          <w:rFonts w:ascii="Times New Roman" w:hAnsi="Times New Roman" w:cs="Times New Roman" w:eastAsia="Times New Roman" w:hint="default"/>
        </w:rPr>
        <w:t>”</w:t>
      </w:r>
      <w:r>
        <w:rPr/>
        <w:t>等荣誉，并先后获得多家世界级客户的优秀供应商奖。</w:t>
      </w:r>
      <w:r>
        <w:rPr>
          <w:spacing w:val="-52"/>
        </w:rPr>
        <w:t> </w:t>
      </w:r>
      <w:r>
        <w:rPr>
          <w:spacing w:val="-52"/>
        </w:rPr>
      </w:r>
      <w:r>
        <w:rPr/>
        <w:t>良好的品牌效应及市场口碑有利于公司业务规模持续增加。</w:t>
      </w:r>
    </w:p>
    <w:p>
      <w:pPr>
        <w:pStyle w:val="BodyText"/>
        <w:spacing w:line="300" w:lineRule="auto" w:before="151"/>
        <w:ind w:right="1132" w:firstLine="420"/>
        <w:jc w:val="both"/>
      </w:pPr>
      <w:r>
        <w:rPr>
          <w:rFonts w:ascii="Times New Roman" w:hAnsi="Times New Roman" w:cs="Times New Roman" w:eastAsia="Times New Roman" w:hint="default"/>
          <w:spacing w:val="-2"/>
        </w:rPr>
        <w:t>8</w:t>
      </w:r>
      <w:r>
        <w:rPr>
          <w:spacing w:val="-2"/>
        </w:rPr>
        <w:t>、公司已实现在国内主要经济活跃区域的投资布局，形成了服务具有多地交货需求的集团性企业客户的显著优势。且</w:t>
      </w:r>
      <w:r>
        <w:rPr/>
        <w:t> 公司战略布局区位优势明显，市场前景好，资产质地优</w:t>
      </w:r>
    </w:p>
    <w:p>
      <w:pPr>
        <w:pStyle w:val="BodyText"/>
        <w:spacing w:line="309" w:lineRule="auto" w:before="151"/>
        <w:ind w:right="1027" w:firstLine="420"/>
        <w:jc w:val="left"/>
      </w:pPr>
      <w:r>
        <w:rPr>
          <w:spacing w:val="-1"/>
        </w:rPr>
        <w:t>目前，公司在国内外已拥有</w:t>
      </w:r>
      <w:r>
        <w:rPr>
          <w:rFonts w:ascii="Times New Roman" w:hAnsi="Times New Roman" w:cs="Times New Roman" w:eastAsia="Times New Roman" w:hint="default"/>
          <w:spacing w:val="-1"/>
        </w:rPr>
        <w:t>40</w:t>
      </w:r>
      <w:r>
        <w:rPr>
          <w:spacing w:val="-1"/>
        </w:rPr>
        <w:t>多家子公司，主要研发制造平台均位于经济活跃区域，已初步形成了覆盖粤港澳大湾区、</w:t>
      </w:r>
      <w:r>
        <w:rPr/>
        <w:t> </w:t>
      </w:r>
      <w:r>
        <w:rPr>
          <w:spacing w:val="-2"/>
        </w:rPr>
        <w:t>长三角经济圈、成渝经济区、长株潭经济圈、中原经济区、一带一路</w:t>
      </w:r>
      <w:r>
        <w:rPr>
          <w:rFonts w:ascii="Times New Roman" w:hAnsi="Times New Roman" w:cs="Times New Roman" w:eastAsia="Times New Roman" w:hint="default"/>
          <w:spacing w:val="-2"/>
        </w:rPr>
        <w:t>—</w:t>
      </w:r>
      <w:r>
        <w:rPr>
          <w:spacing w:val="-2"/>
        </w:rPr>
        <w:t>西安、越南等经济活跃区域的战略布局。公司已形成</w:t>
      </w:r>
      <w:r>
        <w:rPr>
          <w:spacing w:val="-67"/>
        </w:rPr>
        <w:t> </w:t>
      </w:r>
      <w:r>
        <w:rPr>
          <w:spacing w:val="-67"/>
        </w:rPr>
      </w:r>
      <w:r>
        <w:rPr>
          <w:spacing w:val="-2"/>
        </w:rPr>
        <w:t>了服务具有多地交货需求的集团性企业客户的显著优势，有助于集团性企业客户的开发合作及订单释放。同时，公司投资布</w:t>
      </w:r>
      <w:r>
        <w:rPr>
          <w:spacing w:val="-64"/>
        </w:rPr>
        <w:t> </w:t>
      </w:r>
      <w:r>
        <w:rPr>
          <w:spacing w:val="-64"/>
        </w:rPr>
      </w:r>
      <w:r>
        <w:rPr>
          <w:spacing w:val="-2"/>
        </w:rPr>
        <w:t>局区域内包装市场需求旺盛，大型客户较多，市场前景较好，为公司实现业务拓展奠定坚实的市场基础。另一方面，公司在</w:t>
      </w:r>
      <w:r>
        <w:rPr>
          <w:spacing w:val="-69"/>
        </w:rPr>
        <w:t> </w:t>
      </w:r>
      <w:r>
        <w:rPr>
          <w:spacing w:val="-69"/>
        </w:rPr>
      </w:r>
      <w:r>
        <w:rPr/>
        <w:t>核心区域的投资布局亦能够实现资产的价值增值，有利于增强公司综合竞争实力。</w:t>
      </w:r>
    </w:p>
    <w:p>
      <w:pPr>
        <w:pStyle w:val="BodyText"/>
        <w:spacing w:line="307" w:lineRule="auto" w:before="144"/>
        <w:ind w:right="1130" w:firstLine="420"/>
        <w:jc w:val="both"/>
      </w:pPr>
      <w:r>
        <w:rPr>
          <w:spacing w:val="-1"/>
        </w:rPr>
        <w:t>（</w:t>
      </w:r>
      <w:r>
        <w:rPr>
          <w:rFonts w:ascii="Times New Roman" w:hAnsi="Times New Roman" w:cs="Times New Roman" w:eastAsia="Times New Roman" w:hint="default"/>
          <w:spacing w:val="-1"/>
        </w:rPr>
        <w:t>1</w:t>
      </w:r>
      <w:r>
        <w:rPr>
          <w:spacing w:val="-1"/>
        </w:rPr>
        <w:t>）公司深圳总部及制造基地毗邻光明科学城，区位优势明显。据公开信息，光明科学城将打造世界级大型开放创新</w:t>
      </w:r>
      <w:r>
        <w:rPr/>
        <w:t> </w:t>
      </w:r>
      <w:r>
        <w:rPr>
          <w:spacing w:val="-2"/>
        </w:rPr>
        <w:t>网络枢纽、粤港澳大湾区国际科技创新中心战略支撑、综合性国家科学中心集中承载区、原始创新和未来产业策源地、深化</w:t>
      </w:r>
      <w:r>
        <w:rPr>
          <w:spacing w:val="-64"/>
        </w:rPr>
        <w:t> </w:t>
      </w:r>
      <w:r>
        <w:rPr>
          <w:spacing w:val="-64"/>
        </w:rPr>
      </w:r>
      <w:r>
        <w:rPr>
          <w:spacing w:val="-2"/>
        </w:rPr>
        <w:t>科技创新体制机制改革前沿阵地。建设光明科学城是广东省委、深圳市委落实《粤港澳大湾区发展规划纲要》、引领科技源</w:t>
      </w:r>
      <w:r>
        <w:rPr>
          <w:spacing w:val="-69"/>
        </w:rPr>
        <w:t> </w:t>
      </w:r>
      <w:r>
        <w:rPr>
          <w:spacing w:val="-69"/>
        </w:rPr>
      </w:r>
      <w:r>
        <w:rPr>
          <w:spacing w:val="-2"/>
        </w:rPr>
        <w:t>头创新、抢占科技制高点的前瞻布局。光明区明确发展新蓝图：加快建设</w:t>
      </w:r>
      <w:r>
        <w:rPr>
          <w:rFonts w:ascii="Times New Roman" w:hAnsi="Times New Roman" w:cs="Times New Roman" w:eastAsia="Times New Roman" w:hint="default"/>
          <w:spacing w:val="-2"/>
        </w:rPr>
        <w:t>“</w:t>
      </w:r>
      <w:r>
        <w:rPr>
          <w:spacing w:val="-2"/>
        </w:rPr>
        <w:t>四城两区</w:t>
      </w:r>
      <w:r>
        <w:rPr>
          <w:rFonts w:ascii="Times New Roman" w:hAnsi="Times New Roman" w:cs="Times New Roman" w:eastAsia="Times New Roman" w:hint="default"/>
          <w:spacing w:val="-2"/>
        </w:rPr>
        <w:t>”</w:t>
      </w:r>
      <w:r>
        <w:rPr>
          <w:spacing w:val="-2"/>
        </w:rPr>
        <w:t>，打造竞争力影响力卓著的世界一流科</w:t>
      </w:r>
      <w:r>
        <w:rPr>
          <w:spacing w:val="-45"/>
        </w:rPr>
        <w:t> </w:t>
      </w:r>
      <w:r>
        <w:rPr>
          <w:spacing w:val="-45"/>
        </w:rPr>
      </w:r>
      <w:r>
        <w:rPr/>
        <w:t>学城和深圳北部中心。光明科学城是粤港澳大湾区和广深港澳科技创新走廊的战略节点，处于深港莞惠</w:t>
      </w:r>
      <w:r>
        <w:rPr>
          <w:rFonts w:ascii="Times New Roman" w:hAnsi="Times New Roman" w:cs="Times New Roman" w:eastAsia="Times New Roman" w:hint="default"/>
        </w:rPr>
        <w:t>1</w:t>
      </w:r>
      <w:r>
        <w:rPr/>
        <w:t>小时生活圈内，可</w:t>
      </w:r>
      <w:r>
        <w:rPr>
          <w:spacing w:val="-85"/>
        </w:rPr>
        <w:t> </w:t>
      </w:r>
      <w:r>
        <w:rPr>
          <w:spacing w:val="-2"/>
        </w:rPr>
        <w:t>依托粤港澳大湾区和广深港澳科技创新走廊的核心创新平台、创新资源集聚区、大学等创新要素，加强基础研究和技术创新</w:t>
      </w:r>
      <w:r>
        <w:rPr>
          <w:spacing w:val="-65"/>
        </w:rPr>
        <w:t> </w:t>
      </w:r>
      <w:r>
        <w:rPr>
          <w:spacing w:val="-65"/>
        </w:rPr>
      </w:r>
      <w:r>
        <w:rPr/>
        <w:t>的协同发展。公司深圳制造基地距离光明科学城启动区距离约</w:t>
      </w:r>
      <w:r>
        <w:rPr>
          <w:rFonts w:ascii="Times New Roman" w:hAnsi="Times New Roman" w:cs="Times New Roman" w:eastAsia="Times New Roman" w:hint="default"/>
        </w:rPr>
        <w:t>1</w:t>
      </w:r>
      <w:r>
        <w:rPr/>
        <w:t>公里左右，预计随着光明科学城的建设发展和中山大学深圳</w:t>
      </w:r>
      <w:r>
        <w:rPr>
          <w:spacing w:val="-85"/>
        </w:rPr>
        <w:t> </w:t>
      </w:r>
      <w:r>
        <w:rPr>
          <w:spacing w:val="-85"/>
        </w:rPr>
      </w:r>
      <w:r>
        <w:rPr/>
        <w:t>校区的建成投入使用，公司现有深圳制造基地产业转型升级以及土地利用新业态价值将凸显。美盈森大厦建筑面积约</w:t>
      </w:r>
      <w:r>
        <w:rPr>
          <w:rFonts w:ascii="Times New Roman" w:hAnsi="Times New Roman" w:cs="Times New Roman" w:eastAsia="Times New Roman" w:hint="default"/>
        </w:rPr>
        <w:t>7.6</w:t>
      </w:r>
      <w:r>
        <w:rPr/>
        <w:t>万</w:t>
      </w:r>
      <w:r>
        <w:rPr>
          <w:spacing w:val="-53"/>
        </w:rPr>
        <w:t> </w:t>
      </w:r>
      <w:r>
        <w:rPr>
          <w:spacing w:val="-2"/>
        </w:rPr>
        <w:t>平米，大厦位于深圳市光明区行政、文化和商业中心位置，与光明区公共服务平台即光明区政府新办公大楼仅一路之隔。美</w:t>
      </w:r>
    </w:p>
    <w:p>
      <w:pPr>
        <w:spacing w:after="0" w:line="307"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0"/>
        <w:jc w:val="left"/>
      </w:pPr>
      <w:r>
        <w:rPr>
          <w:spacing w:val="-2"/>
        </w:rPr>
        <w:t>盈森大厦的建成及投入使用将大幅提高公司的资信能力，有效提升公司的抗风险能力和盈利能力；与此同时，优越的地理位</w:t>
      </w:r>
      <w:r>
        <w:rPr>
          <w:spacing w:val="-64"/>
        </w:rPr>
        <w:t> </w:t>
      </w:r>
      <w:r>
        <w:rPr>
          <w:spacing w:val="-64"/>
        </w:rPr>
      </w:r>
      <w:r>
        <w:rPr>
          <w:spacing w:val="-4"/>
        </w:rPr>
        <w:t>置及现代化的办公环境也将有利于各类优秀人才的引进和公司外部形象的提升，从而促进公司研发能力提升、促进市场拓展、</w:t>
      </w:r>
      <w:r>
        <w:rPr>
          <w:spacing w:val="-44"/>
        </w:rPr>
        <w:t> </w:t>
      </w:r>
      <w:r>
        <w:rPr>
          <w:spacing w:val="-44"/>
        </w:rPr>
      </w:r>
      <w:r>
        <w:rPr/>
        <w:t>提升综合管理水平。</w:t>
      </w:r>
    </w:p>
    <w:p>
      <w:pPr>
        <w:pStyle w:val="BodyText"/>
        <w:spacing w:line="432" w:lineRule="exact" w:before="3"/>
        <w:ind w:left="572" w:right="0"/>
        <w:jc w:val="left"/>
      </w:pPr>
      <w:r>
        <w:rPr/>
        <w:t>（</w:t>
      </w:r>
      <w:r>
        <w:rPr>
          <w:rFonts w:ascii="Times New Roman" w:hAnsi="Times New Roman" w:cs="Times New Roman" w:eastAsia="Times New Roman" w:hint="default"/>
        </w:rPr>
        <w:t>2</w:t>
      </w:r>
      <w:r>
        <w:rPr/>
        <w:t>）公司重庆制造基地位于重庆国际物流枢纽园区，毗邻重庆科学城，区位价值将凸显 </w:t>
      </w:r>
      <w:r>
        <w:rPr>
          <w:spacing w:val="-5"/>
        </w:rPr>
        <w:t>据公开信息，重庆国际物流枢纽园区，立足重庆在国家内陆开放格局中的区位优势、资源优势和发展优势，着力打造</w:t>
      </w:r>
      <w:r>
        <w:rPr>
          <w:rFonts w:ascii="Times New Roman" w:hAnsi="Times New Roman" w:cs="Times New Roman" w:eastAsia="Times New Roman" w:hint="default"/>
          <w:spacing w:val="-5"/>
        </w:rPr>
        <w:t>“</w:t>
      </w:r>
      <w:r>
        <w:rPr>
          <w:spacing w:val="-5"/>
        </w:rPr>
        <w:t>国</w:t>
      </w:r>
    </w:p>
    <w:p>
      <w:pPr>
        <w:pStyle w:val="BodyText"/>
        <w:spacing w:line="314" w:lineRule="auto" w:before="15"/>
        <w:ind w:right="1034"/>
        <w:jc w:val="left"/>
      </w:pPr>
      <w:r>
        <w:rPr/>
        <w:t>际铁路多式联运枢纽，铁路物流中心、国际贸易中心和物流供应链金融中心</w:t>
      </w:r>
      <w:r>
        <w:rPr>
          <w:rFonts w:ascii="Times New Roman" w:hAnsi="Times New Roman" w:cs="Times New Roman" w:eastAsia="Times New Roman" w:hint="default"/>
        </w:rPr>
        <w:t>”</w:t>
      </w:r>
      <w:r>
        <w:rPr/>
        <w:t>，为重庆建设内陆国际物流枢纽、口岸高地和</w:t>
      </w:r>
      <w:r>
        <w:rPr>
          <w:spacing w:val="-79"/>
        </w:rPr>
        <w:t> </w:t>
      </w:r>
      <w:r>
        <w:rPr>
          <w:spacing w:val="-79"/>
        </w:rPr>
      </w:r>
      <w:r>
        <w:rPr/>
        <w:t>开放高地，在国家区域开放和对外开放格局中发挥独特而重要的作用提供强力支撑。同时，重庆正高标准规划建设科学城， </w:t>
      </w:r>
      <w:r>
        <w:rPr>
          <w:spacing w:val="-2"/>
        </w:rPr>
        <w:t>联动重庆国家自主创新示范区、两江协同创新区，打造西部创新资源集聚地。重庆科学城已落户沙坪坝。公司作为园区内企</w:t>
      </w:r>
      <w:r>
        <w:rPr>
          <w:spacing w:val="-65"/>
        </w:rPr>
        <w:t> </w:t>
      </w:r>
      <w:r>
        <w:rPr>
          <w:spacing w:val="-65"/>
        </w:rPr>
      </w:r>
      <w:r>
        <w:rPr>
          <w:spacing w:val="-4"/>
        </w:rPr>
        <w:t>业，毗邻重庆科学城，有利于公司积极把握重庆国际物流枢纽及重庆科学城建设发展所带来的重大契机，从而实现较快发展，</w:t>
      </w:r>
      <w:r>
        <w:rPr>
          <w:spacing w:val="-44"/>
        </w:rPr>
        <w:t> </w:t>
      </w:r>
      <w:r>
        <w:rPr>
          <w:spacing w:val="-44"/>
        </w:rPr>
      </w:r>
      <w:r>
        <w:rPr/>
        <w:t>并将享有地块及厂区使用价值增值带来的收益。</w:t>
      </w:r>
    </w:p>
    <w:p>
      <w:pPr>
        <w:spacing w:after="0" w:line="314"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2"/>
        <w:spacing w:line="240" w:lineRule="auto"/>
        <w:ind w:right="0"/>
        <w:jc w:val="left"/>
        <w:rPr>
          <w:rFonts w:ascii="Tahoma" w:hAnsi="Tahoma" w:cs="Tahoma" w:eastAsia="Tahoma" w:hint="default"/>
        </w:rPr>
      </w:pPr>
      <w:bookmarkStart w:name="_TOC_250008" w:id="4"/>
      <w:r>
        <w:rPr/>
        <w:t>第四节经营情况讨论与分析</w:t>
      </w:r>
      <w:r>
        <w:rPr>
          <w:rFonts w:ascii="Tahoma" w:hAnsi="Tahoma" w:cs="Tahoma" w:eastAsia="Tahoma" w:hint="default"/>
          <w:w w:val="80"/>
        </w:rPr>
        <w:t> </w:t>
      </w:r>
      <w:bookmarkEnd w:id="4"/>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20"/>
          <w:szCs w:val="20"/>
        </w:rPr>
      </w:pPr>
    </w:p>
    <w:p>
      <w:pPr>
        <w:pStyle w:val="Heading3"/>
        <w:spacing w:line="240" w:lineRule="auto" w:before="26"/>
        <w:ind w:right="0"/>
        <w:jc w:val="left"/>
        <w:rPr>
          <w:rFonts w:ascii="Tahoma" w:hAnsi="Tahoma" w:cs="Tahoma" w:eastAsia="Tahoma" w:hint="default"/>
        </w:rPr>
      </w:pPr>
      <w:r>
        <w:rPr/>
        <w:t>一、概述</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9" w:lineRule="auto"/>
        <w:ind w:right="1130" w:firstLine="360"/>
        <w:jc w:val="both"/>
      </w:pPr>
      <w:r>
        <w:rPr>
          <w:rFonts w:ascii="Times New Roman" w:hAnsi="Times New Roman" w:cs="Times New Roman" w:eastAsia="Times New Roman" w:hint="default"/>
          <w:spacing w:val="-1"/>
        </w:rPr>
        <w:t>2019</w:t>
      </w:r>
      <w:r>
        <w:rPr>
          <w:spacing w:val="-1"/>
        </w:rPr>
        <w:t>年，是外部环境复杂多变的一年。</w:t>
      </w:r>
      <w:r>
        <w:rPr>
          <w:rFonts w:ascii="Times New Roman" w:hAnsi="Times New Roman" w:cs="Times New Roman" w:eastAsia="Times New Roman" w:hint="default"/>
          <w:spacing w:val="-1"/>
        </w:rPr>
        <w:t>2-11</w:t>
      </w:r>
      <w:r>
        <w:rPr>
          <w:spacing w:val="-1"/>
        </w:rPr>
        <w:t>月，全国造纸和纸制品行业产业利润总额虽然呈现逐月增长趋势，但同比上</w:t>
      </w:r>
      <w:r>
        <w:rPr/>
        <w:t> </w:t>
      </w:r>
      <w:r>
        <w:rPr>
          <w:spacing w:val="-2"/>
        </w:rPr>
        <w:t>年有所下降。受中美贸易摩擦产生的影响，竞争力较弱的行业企业竞争压力倍增，行业领先企业纷纷向更多区域和业务领域</w:t>
      </w:r>
      <w:r>
        <w:rPr>
          <w:spacing w:val="-62"/>
        </w:rPr>
        <w:t> </w:t>
      </w:r>
      <w:r>
        <w:rPr>
          <w:spacing w:val="-62"/>
        </w:rPr>
      </w:r>
      <w:r>
        <w:rPr/>
        <w:t>拓展，纸包装行业集中度加速提升。</w:t>
      </w:r>
    </w:p>
    <w:p>
      <w:pPr>
        <w:pStyle w:val="BodyText"/>
        <w:spacing w:line="314" w:lineRule="auto" w:before="144"/>
        <w:ind w:right="1130" w:firstLine="360"/>
        <w:jc w:val="both"/>
      </w:pPr>
      <w:r>
        <w:rPr>
          <w:spacing w:val="-2"/>
        </w:rPr>
        <w:t>面对日趋复杂的经济环境和行业竞争格局，公司经营层在董事会的领导下，在公司战略框架指引下，集中主要精力发展</w:t>
      </w:r>
      <w:r>
        <w:rPr/>
        <w:t> 包装主业，推动实现</w:t>
      </w:r>
      <w:r>
        <w:rPr>
          <w:rFonts w:ascii="Times New Roman" w:hAnsi="Times New Roman" w:cs="Times New Roman" w:eastAsia="Times New Roman" w:hint="default"/>
        </w:rPr>
        <w:t>3</w:t>
      </w:r>
      <w:r>
        <w:rPr/>
        <w:t>家智慧工厂的投产，同时牢牢把握市场遇，紧跟国家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框架，在越南、印度、泰国等新兴市</w:t>
      </w:r>
      <w:r>
        <w:rPr>
          <w:spacing w:val="-71"/>
        </w:rPr>
        <w:t> </w:t>
      </w:r>
      <w:r>
        <w:rPr>
          <w:spacing w:val="-71"/>
        </w:rPr>
      </w:r>
      <w:r>
        <w:rPr>
          <w:spacing w:val="-2"/>
        </w:rPr>
        <w:t>场进行布局，进一步夯实主业。公司境外投资布局初显成效。越南公司在投产短期内即呈现良好的发展势头，取得良好的经</w:t>
      </w:r>
      <w:r>
        <w:rPr>
          <w:spacing w:val="-66"/>
        </w:rPr>
        <w:t> </w:t>
      </w:r>
      <w:r>
        <w:rPr>
          <w:spacing w:val="-66"/>
        </w:rPr>
      </w:r>
      <w:r>
        <w:rPr>
          <w:spacing w:val="-2"/>
        </w:rPr>
        <w:t>营业绩。同时，在公司主营业务稳健发展的前提下，基于包装产业的升级及健康食品发展前景，为提高公司盈利水平，提升</w:t>
      </w:r>
      <w:r>
        <w:rPr>
          <w:spacing w:val="-69"/>
        </w:rPr>
        <w:t> </w:t>
      </w:r>
      <w:r>
        <w:rPr>
          <w:spacing w:val="-69"/>
        </w:rPr>
      </w:r>
      <w:r>
        <w:rPr>
          <w:spacing w:val="-2"/>
        </w:rPr>
        <w:t>公司价值，报告期内，公司参股甲骨文超级码，投资工业大麻产业及人造肉产业，积极进行为实现广大投资者利益最大化的</w:t>
      </w:r>
      <w:r>
        <w:rPr>
          <w:spacing w:val="-65"/>
        </w:rPr>
        <w:t> </w:t>
      </w:r>
      <w:r>
        <w:rPr>
          <w:spacing w:val="-65"/>
        </w:rPr>
      </w:r>
      <w:r>
        <w:rPr/>
        <w:t>前瞻性布局和有益探索。</w:t>
      </w:r>
    </w:p>
    <w:p>
      <w:pPr>
        <w:pStyle w:val="BodyText"/>
        <w:spacing w:line="300" w:lineRule="auto" w:before="140"/>
        <w:ind w:right="1131" w:firstLine="360"/>
        <w:jc w:val="both"/>
      </w:pPr>
      <w:r>
        <w:rPr>
          <w:rFonts w:ascii="Times New Roman" w:hAnsi="Times New Roman" w:cs="Times New Roman" w:eastAsia="Times New Roman" w:hint="default"/>
        </w:rPr>
        <w:t>2019</w:t>
      </w:r>
      <w:r>
        <w:rPr/>
        <w:t>年，公司实现营业收入</w:t>
      </w:r>
      <w:r>
        <w:rPr>
          <w:rFonts w:ascii="Times New Roman" w:hAnsi="Times New Roman" w:cs="Times New Roman" w:eastAsia="Times New Roman" w:hint="default"/>
        </w:rPr>
        <w:t>339,213.26</w:t>
      </w:r>
      <w:r>
        <w:rPr/>
        <w:t>万元，同比增长</w:t>
      </w:r>
      <w:r>
        <w:rPr>
          <w:rFonts w:ascii="Times New Roman" w:hAnsi="Times New Roman" w:cs="Times New Roman" w:eastAsia="Times New Roman" w:hint="default"/>
        </w:rPr>
        <w:t>4.41%</w:t>
      </w:r>
      <w:r>
        <w:rPr/>
        <w:t>；营业成本</w:t>
      </w:r>
      <w:r>
        <w:rPr>
          <w:rFonts w:ascii="Times New Roman" w:hAnsi="Times New Roman" w:cs="Times New Roman" w:eastAsia="Times New Roman" w:hint="default"/>
        </w:rPr>
        <w:t>230,411.02</w:t>
      </w:r>
      <w:r>
        <w:rPr/>
        <w:t>万元，同比增长</w:t>
      </w:r>
      <w:r>
        <w:rPr>
          <w:rFonts w:ascii="Times New Roman" w:hAnsi="Times New Roman" w:cs="Times New Roman" w:eastAsia="Times New Roman" w:hint="default"/>
        </w:rPr>
        <w:t>4.91%</w:t>
      </w:r>
      <w:r>
        <w:rPr/>
        <w:t>；归属于上市 公司股东的净利润</w:t>
      </w:r>
      <w:r>
        <w:rPr>
          <w:rFonts w:ascii="Times New Roman" w:hAnsi="Times New Roman" w:cs="Times New Roman" w:eastAsia="Times New Roman" w:hint="default"/>
        </w:rPr>
        <w:t>53,527.92</w:t>
      </w:r>
      <w:r>
        <w:rPr/>
        <w:t>万元，同比增长</w:t>
      </w:r>
      <w:r>
        <w:rPr>
          <w:rFonts w:ascii="Times New Roman" w:hAnsi="Times New Roman" w:cs="Times New Roman" w:eastAsia="Times New Roman" w:hint="default"/>
        </w:rPr>
        <w:t>33.42%</w:t>
      </w:r>
      <w:r>
        <w:rPr/>
        <w:t>。</w:t>
      </w:r>
    </w:p>
    <w:p>
      <w:pPr>
        <w:pStyle w:val="BodyText"/>
        <w:spacing w:line="316" w:lineRule="auto" w:before="133"/>
        <w:ind w:right="1132" w:firstLine="360"/>
        <w:jc w:val="both"/>
      </w:pPr>
      <w:r>
        <w:rPr>
          <w:spacing w:val="-2"/>
        </w:rPr>
        <w:t>报告期内，一方面，随着消费电子等主要客户订单量的释放，公司产品销量相应增长，同时由于主要原材料原纸价格下</w:t>
      </w:r>
      <w:r>
        <w:rPr/>
        <w:t> </w:t>
      </w:r>
      <w:r>
        <w:rPr>
          <w:spacing w:val="-2"/>
        </w:rPr>
        <w:t>降，公司产品价格有所下调，公司收入与销量相比增长幅度较小。产品销量的增长，利润率的稳定，从而实现公司利润的一</w:t>
      </w:r>
      <w:r>
        <w:rPr>
          <w:spacing w:val="-69"/>
        </w:rPr>
        <w:t> </w:t>
      </w:r>
      <w:r>
        <w:rPr>
          <w:spacing w:val="-69"/>
        </w:rPr>
      </w:r>
      <w:r>
        <w:rPr/>
        <w:t>定增长。另一方面，公司投资性房地产公允价值变动增值，为公司实现了一部分利润。</w:t>
      </w:r>
    </w:p>
    <w:p>
      <w:pPr>
        <w:pStyle w:val="BodyText"/>
        <w:spacing w:line="300" w:lineRule="auto" w:before="139"/>
        <w:ind w:right="1133" w:firstLine="360"/>
        <w:jc w:val="both"/>
      </w:pPr>
      <w:r>
        <w:rPr>
          <w:spacing w:val="-2"/>
        </w:rPr>
        <w:t>报告期内，公司实现经营活动产生的现金流量净额为</w:t>
      </w:r>
      <w:r>
        <w:rPr>
          <w:rFonts w:ascii="Times New Roman" w:hAnsi="Times New Roman" w:cs="Times New Roman" w:eastAsia="Times New Roman" w:hint="default"/>
          <w:spacing w:val="-2"/>
        </w:rPr>
        <w:t>4.41</w:t>
      </w:r>
      <w:r>
        <w:rPr>
          <w:spacing w:val="-2"/>
        </w:rPr>
        <w:t>亿元，同比上年增长</w:t>
      </w:r>
      <w:r>
        <w:rPr>
          <w:rFonts w:ascii="Times New Roman" w:hAnsi="Times New Roman" w:cs="Times New Roman" w:eastAsia="Times New Roman" w:hint="default"/>
          <w:spacing w:val="-2"/>
        </w:rPr>
        <w:t>61.04%</w:t>
      </w:r>
      <w:r>
        <w:rPr>
          <w:spacing w:val="-2"/>
        </w:rPr>
        <w:t>，现金流情况较好，主要系客户回</w:t>
      </w:r>
      <w:r>
        <w:rPr/>
        <w:t> 款情况较好所致。</w:t>
      </w:r>
    </w:p>
    <w:p>
      <w:pPr>
        <w:pStyle w:val="BodyText"/>
        <w:spacing w:line="240" w:lineRule="auto" w:before="151"/>
        <w:ind w:left="512" w:right="0"/>
        <w:jc w:val="left"/>
      </w:pPr>
      <w:r>
        <w:rPr>
          <w:rFonts w:ascii="Times New Roman" w:hAnsi="Times New Roman" w:cs="Times New Roman" w:eastAsia="Times New Roman" w:hint="default"/>
        </w:rPr>
        <w:t>2019</w:t>
      </w:r>
      <w:r>
        <w:rPr/>
        <w:t>年度主要工作情况：</w:t>
      </w:r>
    </w:p>
    <w:p>
      <w:pPr>
        <w:pStyle w:val="BodyText"/>
        <w:spacing w:line="432" w:lineRule="exact" w:before="47"/>
        <w:ind w:left="512" w:right="0"/>
        <w:jc w:val="left"/>
        <w:rPr>
          <w:rFonts w:ascii="Times New Roman" w:hAnsi="Times New Roman" w:cs="Times New Roman" w:eastAsia="Times New Roman" w:hint="default"/>
        </w:rPr>
      </w:pPr>
      <w:r>
        <w:rPr/>
        <w:t>（一）有序推进公司前瞻性新产能逐步投入使用，提升公司集团性多区域服务能力 </w:t>
      </w:r>
      <w:r>
        <w:rPr>
          <w:spacing w:val="-2"/>
        </w:rPr>
        <w:t>近年来，公司已初步形成了覆盖粤港澳大湾区、长三角经济圈、成渝经济区、长株潭经济圈、中原经济区、一带一路</w:t>
      </w:r>
      <w:r>
        <w:rPr>
          <w:rFonts w:ascii="Times New Roman" w:hAnsi="Times New Roman" w:cs="Times New Roman" w:eastAsia="Times New Roman" w:hint="default"/>
          <w:spacing w:val="-2"/>
        </w:rPr>
        <w:t>—</w:t>
      </w:r>
    </w:p>
    <w:p>
      <w:pPr>
        <w:pStyle w:val="BodyText"/>
        <w:spacing w:line="316" w:lineRule="auto" w:before="15"/>
        <w:ind w:right="0"/>
        <w:jc w:val="left"/>
      </w:pPr>
      <w:r>
        <w:rPr>
          <w:spacing w:val="-4"/>
        </w:rPr>
        <w:t>西安、越南、泰国等经济活跃区域的战略布局。公司产能利用率呈现持续提升的良好势头，在行业集中度加速提升的态势下，</w:t>
      </w:r>
      <w:r>
        <w:rPr>
          <w:spacing w:val="-46"/>
        </w:rPr>
        <w:t> </w:t>
      </w:r>
      <w:r>
        <w:rPr>
          <w:spacing w:val="-46"/>
        </w:rPr>
      </w:r>
      <w:r>
        <w:rPr/>
        <w:t>产能储备成为领先企业能否抓住发展机遇的重要因素之一。</w:t>
      </w:r>
    </w:p>
    <w:p>
      <w:pPr>
        <w:pStyle w:val="BodyText"/>
        <w:spacing w:line="300" w:lineRule="auto" w:before="139"/>
        <w:ind w:right="1127" w:firstLine="360"/>
        <w:jc w:val="both"/>
      </w:pPr>
      <w:r>
        <w:rPr>
          <w:spacing w:val="-2"/>
        </w:rPr>
        <w:t>按照既定的战略，在现有深圳、东莞（含智慧工厂）、苏州、重庆四大高端制造平台的基础上，</w:t>
      </w:r>
      <w:r>
        <w:rPr>
          <w:rFonts w:ascii="Times New Roman" w:hAnsi="Times New Roman" w:cs="Times New Roman" w:eastAsia="Times New Roman" w:hint="default"/>
          <w:spacing w:val="-2"/>
        </w:rPr>
        <w:t>2019</w:t>
      </w:r>
      <w:r>
        <w:rPr>
          <w:spacing w:val="-2"/>
        </w:rPr>
        <w:t>年上半年，公司在</w:t>
      </w:r>
      <w:r>
        <w:rPr/>
        <w:t> 六安、成都、长沙新建的智慧工厂实现逐步投入使用，公司集团性多区域服务能力显著提升。</w:t>
      </w:r>
    </w:p>
    <w:p>
      <w:pPr>
        <w:pStyle w:val="BodyText"/>
        <w:spacing w:line="432" w:lineRule="exact" w:before="16"/>
        <w:ind w:left="512" w:right="1134"/>
        <w:jc w:val="left"/>
      </w:pPr>
      <w:r>
        <w:rPr/>
        <w:t>（二）积极推动一带一路</w:t>
      </w:r>
      <w:r>
        <w:rPr>
          <w:rFonts w:ascii="Times New Roman" w:hAnsi="Times New Roman" w:cs="Times New Roman" w:eastAsia="Times New Roman" w:hint="default"/>
        </w:rPr>
        <w:t>-</w:t>
      </w:r>
      <w:r>
        <w:rPr/>
        <w:t>东南亚、南亚战略布局，分享东南亚、南亚新兴市场发展带来的战略性机遇 作为行业领先企业，公司有实力能够走的出国门，拿得下境外订单，引领境外包装产业的发展。公司紧跟国家</w:t>
      </w:r>
      <w:r>
        <w:rPr>
          <w:rFonts w:ascii="Times New Roman" w:hAnsi="Times New Roman" w:cs="Times New Roman" w:eastAsia="Times New Roman" w:hint="default"/>
        </w:rPr>
        <w:t>“</w:t>
      </w:r>
      <w:r>
        <w:rPr/>
        <w:t>一带一</w:t>
      </w:r>
    </w:p>
    <w:p>
      <w:pPr>
        <w:pStyle w:val="BodyText"/>
        <w:spacing w:line="415" w:lineRule="auto" w:before="15"/>
        <w:ind w:left="512" w:right="0" w:hanging="360"/>
        <w:jc w:val="left"/>
      </w:pPr>
      <w:r>
        <w:rPr/>
        <w:t>路</w:t>
      </w:r>
      <w:r>
        <w:rPr>
          <w:rFonts w:ascii="Times New Roman" w:hAnsi="Times New Roman" w:cs="Times New Roman" w:eastAsia="Times New Roman" w:hint="default"/>
        </w:rPr>
        <w:t>”</w:t>
      </w:r>
      <w:r>
        <w:rPr/>
        <w:t>框架，先后决策在越南、印度及泰国等新兴市场进行投资布局。 </w:t>
      </w:r>
      <w:r>
        <w:rPr>
          <w:spacing w:val="-4"/>
        </w:rPr>
        <w:t>截至目前，公司已在越南区域投资设立</w:t>
      </w:r>
      <w:r>
        <w:rPr>
          <w:rFonts w:ascii="Times New Roman" w:hAnsi="Times New Roman" w:cs="Times New Roman" w:eastAsia="Times New Roman" w:hint="default"/>
          <w:spacing w:val="-4"/>
        </w:rPr>
        <w:t>3</w:t>
      </w:r>
      <w:r>
        <w:rPr>
          <w:spacing w:val="-4"/>
        </w:rPr>
        <w:t>家子公司，在泰国设立</w:t>
      </w:r>
      <w:r>
        <w:rPr>
          <w:rFonts w:ascii="Times New Roman" w:hAnsi="Times New Roman" w:cs="Times New Roman" w:eastAsia="Times New Roman" w:hint="default"/>
          <w:spacing w:val="-4"/>
        </w:rPr>
        <w:t>1</w:t>
      </w:r>
      <w:r>
        <w:rPr>
          <w:spacing w:val="-4"/>
        </w:rPr>
        <w:t>家控股子公司，其中越南美盈森已经在</w:t>
      </w:r>
      <w:r>
        <w:rPr>
          <w:rFonts w:ascii="Times New Roman" w:hAnsi="Times New Roman" w:cs="Times New Roman" w:eastAsia="Times New Roman" w:hint="default"/>
          <w:spacing w:val="-4"/>
        </w:rPr>
        <w:t>2019</w:t>
      </w:r>
      <w:r>
        <w:rPr>
          <w:spacing w:val="-4"/>
        </w:rPr>
        <w:t>年实现盈利。</w:t>
      </w:r>
    </w:p>
    <w:p>
      <w:pPr>
        <w:pStyle w:val="BodyText"/>
        <w:spacing w:line="309" w:lineRule="auto" w:before="37"/>
        <w:ind w:right="1130" w:firstLine="360"/>
        <w:jc w:val="both"/>
      </w:pPr>
      <w:r>
        <w:rPr/>
        <w:t>公司积极推动在一带一路</w:t>
      </w:r>
      <w:r>
        <w:rPr>
          <w:rFonts w:ascii="Times New Roman" w:hAnsi="Times New Roman" w:cs="Times New Roman" w:eastAsia="Times New Roman" w:hint="default"/>
        </w:rPr>
        <w:t>-</w:t>
      </w:r>
      <w:r>
        <w:rPr/>
        <w:t>东南亚、南亚的战略布局，有利于贴近服务公司客户，提升公司对相关区域客户的快速响应 </w:t>
      </w:r>
      <w:r>
        <w:rPr>
          <w:spacing w:val="-2"/>
        </w:rPr>
        <w:t>能力，同时有利于分享包括越南、印度、泰国等国家经济发展以及新一轮产业转移带来的市场机遇，提升公司区域市场竞争</w:t>
      </w:r>
      <w:r>
        <w:rPr>
          <w:spacing w:val="-65"/>
        </w:rPr>
        <w:t> </w:t>
      </w:r>
      <w:r>
        <w:rPr>
          <w:spacing w:val="-65"/>
        </w:rPr>
      </w:r>
      <w:r>
        <w:rPr/>
        <w:t>力，进一步巩固并提升公司的行业地位，形成公司新的利润增长点。</w:t>
      </w:r>
    </w:p>
    <w:p>
      <w:pPr>
        <w:pStyle w:val="BodyText"/>
        <w:spacing w:line="316" w:lineRule="auto" w:before="144"/>
        <w:ind w:right="1135" w:firstLine="360"/>
        <w:jc w:val="both"/>
      </w:pPr>
      <w:r>
        <w:rPr>
          <w:spacing w:val="-2"/>
        </w:rPr>
        <w:t>（三）积极应对外部经营环境变化影响，进一步优化内部管理，提升公司技术水平，并加大客户拓展力度，保障公司经</w:t>
      </w:r>
      <w:r>
        <w:rPr/>
        <w:t> 营稳健发展</w:t>
      </w:r>
    </w:p>
    <w:p>
      <w:pPr>
        <w:spacing w:after="0" w:line="316"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6" w:lineRule="auto" w:before="37"/>
        <w:ind w:right="1130" w:firstLine="360"/>
        <w:jc w:val="both"/>
      </w:pPr>
      <w:r>
        <w:rPr>
          <w:spacing w:val="-2"/>
        </w:rPr>
        <w:t>报告期内，公司积极应对外部形势变化，进一步优化内部业务程序，提升以客户为中心的服务水平，并继续加大客户拓</w:t>
      </w:r>
      <w:r>
        <w:rPr/>
        <w:t> </w:t>
      </w:r>
      <w:r>
        <w:rPr>
          <w:spacing w:val="-2"/>
        </w:rPr>
        <w:t>展力度，新开发了一批白酒、消费电子、家具家居、汽车零配件、食品饮料、医疗用品等行业新客户，同时，公司为多家老</w:t>
      </w:r>
      <w:r>
        <w:rPr>
          <w:spacing w:val="-62"/>
        </w:rPr>
        <w:t> </w:t>
      </w:r>
      <w:r>
        <w:rPr>
          <w:spacing w:val="-62"/>
        </w:rPr>
      </w:r>
      <w:r>
        <w:rPr/>
        <w:t>客户提供的集团性多区域包装服务量也显著提升。</w:t>
      </w:r>
    </w:p>
    <w:p>
      <w:pPr>
        <w:pStyle w:val="BodyText"/>
        <w:spacing w:line="312" w:lineRule="auto" w:before="139"/>
        <w:ind w:right="1130" w:firstLine="360"/>
        <w:jc w:val="both"/>
      </w:pPr>
      <w:r>
        <w:rPr>
          <w:spacing w:val="-2"/>
        </w:rPr>
        <w:t>研发设计能力和工艺技术水平的不断增强，在公司新客户开发及服务、增强公司核心竞争力等方面显得至关重要。报告</w:t>
      </w:r>
      <w:r>
        <w:rPr/>
        <w:t> 期内，公司高度重视研发设计和工艺技术水平的提升，公司及下属子公司共申报专利</w:t>
      </w:r>
      <w:r>
        <w:rPr>
          <w:rFonts w:ascii="Times New Roman" w:hAnsi="Times New Roman" w:cs="Times New Roman" w:eastAsia="Times New Roman" w:hint="default"/>
        </w:rPr>
        <w:t>178</w:t>
      </w:r>
      <w:r>
        <w:rPr/>
        <w:t>项，获得专利授权</w:t>
      </w:r>
      <w:r>
        <w:rPr>
          <w:rFonts w:ascii="Times New Roman" w:hAnsi="Times New Roman" w:cs="Times New Roman" w:eastAsia="Times New Roman" w:hint="default"/>
        </w:rPr>
        <w:t>80</w:t>
      </w:r>
      <w:r>
        <w:rPr/>
        <w:t>项。公司在为</w:t>
      </w:r>
      <w:r>
        <w:rPr>
          <w:spacing w:val="-87"/>
        </w:rPr>
        <w:t> </w:t>
      </w:r>
      <w:r>
        <w:rPr>
          <w:spacing w:val="-2"/>
        </w:rPr>
        <w:t>高端优质客户提供服务及合作过程中，管理水平进一步提升，高端制造平台生产工艺进一步改善，对生产各个环节效率提升</w:t>
      </w:r>
      <w:r>
        <w:rPr>
          <w:spacing w:val="-62"/>
        </w:rPr>
        <w:t> </w:t>
      </w:r>
      <w:r>
        <w:rPr>
          <w:spacing w:val="-62"/>
        </w:rPr>
      </w:r>
      <w:r>
        <w:rPr/>
        <w:t>作用明显，服务能力持续提升，保障公司经营平稳发展。</w:t>
      </w:r>
    </w:p>
    <w:p>
      <w:pPr>
        <w:pStyle w:val="BodyText"/>
        <w:spacing w:line="432" w:lineRule="exact" w:before="7"/>
        <w:ind w:left="512" w:right="1121"/>
        <w:jc w:val="left"/>
        <w:rPr>
          <w:rFonts w:ascii="Times New Roman" w:hAnsi="Times New Roman" w:cs="Times New Roman" w:eastAsia="Times New Roman" w:hint="default"/>
        </w:rPr>
      </w:pPr>
      <w:r>
        <w:rPr/>
        <w:t>（四）高度重视股东投资回报，积极回馈全体股东 </w:t>
      </w:r>
      <w:r>
        <w:rPr>
          <w:spacing w:val="-3"/>
        </w:rPr>
        <w:t>公司本着积极回馈全体股东的原则，根据</w:t>
      </w:r>
      <w:r>
        <w:rPr>
          <w:rFonts w:ascii="Times New Roman" w:hAnsi="Times New Roman" w:cs="Times New Roman" w:eastAsia="Times New Roman" w:hint="default"/>
          <w:spacing w:val="-3"/>
        </w:rPr>
        <w:t>2018</w:t>
      </w:r>
      <w:r>
        <w:rPr>
          <w:spacing w:val="-3"/>
        </w:rPr>
        <w:t>年度经营业绩情况，制定了积极的分红方案。公司于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月实施了</w:t>
      </w:r>
      <w:r>
        <w:rPr>
          <w:rFonts w:ascii="Times New Roman" w:hAnsi="Times New Roman" w:cs="Times New Roman" w:eastAsia="Times New Roman" w:hint="default"/>
          <w:spacing w:val="-3"/>
        </w:rPr>
        <w:t>2018</w:t>
      </w:r>
    </w:p>
    <w:p>
      <w:pPr>
        <w:pStyle w:val="BodyText"/>
        <w:spacing w:line="240" w:lineRule="auto" w:before="15"/>
        <w:ind w:right="0"/>
        <w:jc w:val="left"/>
      </w:pPr>
      <w:r>
        <w:rPr/>
        <w:t>年度利润分配方案，向全体股东每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元，共计派发现金</w:t>
      </w:r>
      <w:r>
        <w:rPr>
          <w:rFonts w:ascii="Times New Roman" w:hAnsi="Times New Roman" w:cs="Times New Roman" w:eastAsia="Times New Roman" w:hint="default"/>
        </w:rPr>
        <w:t>30,626.47</w:t>
      </w:r>
      <w:r>
        <w:rPr/>
        <w:t>万元。</w:t>
      </w:r>
    </w:p>
    <w:p>
      <w:pPr>
        <w:spacing w:line="240" w:lineRule="auto" w:before="13"/>
        <w:rPr>
          <w:rFonts w:ascii="宋体" w:hAnsi="宋体" w:cs="宋体" w:eastAsia="宋体" w:hint="default"/>
          <w:sz w:val="13"/>
          <w:szCs w:val="13"/>
        </w:rPr>
      </w:pPr>
    </w:p>
    <w:p>
      <w:pPr>
        <w:pStyle w:val="BodyText"/>
        <w:spacing w:line="240" w:lineRule="auto"/>
        <w:ind w:left="512" w:right="0"/>
        <w:jc w:val="left"/>
      </w:pPr>
      <w:r>
        <w:rPr/>
        <w:t>公司</w:t>
      </w:r>
      <w:r>
        <w:rPr>
          <w:rFonts w:ascii="Times New Roman" w:hAnsi="Times New Roman" w:cs="Times New Roman" w:eastAsia="Times New Roman" w:hint="default"/>
        </w:rPr>
        <w:t>2019</w:t>
      </w:r>
      <w:r>
        <w:rPr/>
        <w:t>年度利润分配预案为以</w:t>
      </w:r>
      <w:r>
        <w:rPr>
          <w:rFonts w:ascii="Times New Roman" w:hAnsi="Times New Roman" w:cs="Times New Roman" w:eastAsia="Times New Roman" w:hint="default"/>
        </w:rPr>
        <w:t>2019</w:t>
      </w:r>
      <w:r>
        <w:rPr/>
        <w:t>年末股本为基数，向全体股东每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3.33</w:t>
      </w:r>
      <w:r>
        <w:rPr/>
        <w:t>元，预计将派发现金股利</w:t>
      </w:r>
    </w:p>
    <w:p>
      <w:pPr>
        <w:pStyle w:val="BodyText"/>
        <w:spacing w:line="240" w:lineRule="auto" w:before="63"/>
        <w:ind w:right="0"/>
        <w:jc w:val="left"/>
      </w:pPr>
      <w:r>
        <w:rPr>
          <w:rFonts w:ascii="Times New Roman" w:hAnsi="Times New Roman" w:cs="Times New Roman" w:eastAsia="Times New Roman" w:hint="default"/>
        </w:rPr>
        <w:t>50,993.08</w:t>
      </w:r>
      <w:r>
        <w:rPr/>
        <w:t>万元。</w:t>
      </w:r>
    </w:p>
    <w:p>
      <w:pPr>
        <w:spacing w:line="240" w:lineRule="auto" w:before="13"/>
        <w:rPr>
          <w:rFonts w:ascii="宋体" w:hAnsi="宋体" w:cs="宋体" w:eastAsia="宋体" w:hint="default"/>
          <w:sz w:val="13"/>
          <w:szCs w:val="13"/>
        </w:rPr>
      </w:pPr>
    </w:p>
    <w:p>
      <w:pPr>
        <w:pStyle w:val="BodyText"/>
        <w:spacing w:line="312" w:lineRule="auto"/>
        <w:ind w:right="1134" w:firstLine="360"/>
        <w:jc w:val="both"/>
      </w:pPr>
      <w:r>
        <w:rPr>
          <w:spacing w:val="-2"/>
        </w:rPr>
        <w:t>公司高度重视股东投资回报。面对近年来股价走势较弱的客观情况，一方面，公司积极发展经营，并从产能布局、客户</w:t>
      </w:r>
      <w:r>
        <w:rPr/>
        <w:t> </w:t>
      </w:r>
      <w:r>
        <w:rPr>
          <w:spacing w:val="-2"/>
        </w:rPr>
        <w:t>开发、技术创新、管理提升等多方面加强工作，力争为实现下一轮快速发展奠定坚实基础。公司坚信，经营业绩提升将有利</w:t>
      </w:r>
      <w:r>
        <w:rPr>
          <w:spacing w:val="-69"/>
        </w:rPr>
        <w:t> </w:t>
      </w:r>
      <w:r>
        <w:rPr>
          <w:spacing w:val="-69"/>
        </w:rPr>
      </w:r>
      <w:r>
        <w:rPr>
          <w:spacing w:val="-2"/>
        </w:rPr>
        <w:t>于实现良好的股价表现。另一方面，自</w:t>
      </w:r>
      <w:r>
        <w:rPr>
          <w:rFonts w:ascii="Times New Roman" w:hAnsi="Times New Roman" w:cs="Times New Roman" w:eastAsia="Times New Roman" w:hint="default"/>
          <w:spacing w:val="-2"/>
        </w:rPr>
        <w:t>2017</w:t>
      </w:r>
      <w:r>
        <w:rPr>
          <w:spacing w:val="-2"/>
        </w:rPr>
        <w:t>年以来，公司持续加大分红力度，通过现金分红的方式来增加股东投资回报，近</w:t>
      </w:r>
      <w:r>
        <w:rPr>
          <w:spacing w:val="-67"/>
        </w:rPr>
        <w:t> </w:t>
      </w:r>
      <w:r>
        <w:rPr>
          <w:spacing w:val="-67"/>
        </w:rPr>
      </w:r>
      <w:r>
        <w:rPr/>
        <w:t>三年，公司的现金分红累计将达</w:t>
      </w:r>
      <w:r>
        <w:rPr>
          <w:rFonts w:ascii="Times New Roman" w:hAnsi="Times New Roman" w:cs="Times New Roman" w:eastAsia="Times New Roman" w:hint="default"/>
        </w:rPr>
        <w:t>107,770.60</w:t>
      </w:r>
      <w:r>
        <w:rPr/>
        <w:t>万元（含股份回购）。</w:t>
      </w:r>
    </w:p>
    <w:p>
      <w:pPr>
        <w:pStyle w:val="BodyText"/>
        <w:spacing w:line="240" w:lineRule="auto" w:before="123"/>
        <w:ind w:left="512" w:right="0"/>
        <w:jc w:val="left"/>
      </w:pPr>
      <w:r>
        <w:rPr/>
        <w:t>（五）参股甲骨文超级码，增强公司客户服务以及市场拓展能力，助力公司智能包装业务发展</w:t>
      </w:r>
    </w:p>
    <w:p>
      <w:pPr>
        <w:spacing w:line="240" w:lineRule="auto" w:before="0"/>
        <w:rPr>
          <w:rFonts w:ascii="宋体" w:hAnsi="宋体" w:cs="宋体" w:eastAsia="宋体" w:hint="default"/>
          <w:sz w:val="15"/>
          <w:szCs w:val="15"/>
        </w:rPr>
      </w:pPr>
    </w:p>
    <w:p>
      <w:pPr>
        <w:pStyle w:val="BodyText"/>
        <w:spacing w:line="312" w:lineRule="auto"/>
        <w:ind w:right="1034" w:firstLine="360"/>
        <w:jc w:val="left"/>
      </w:pPr>
      <w:r>
        <w:rPr>
          <w:spacing w:val="-2"/>
        </w:rPr>
        <w:t>甲骨文超级码是一家专业从事区块链防伪溯源营销、农业信息化、质量安全体系化与数字智能化技术服务的服务商，是</w:t>
      </w:r>
      <w:r>
        <w:rPr/>
        <w:t> 国家级高新技术企业、国内少数拥有自主专利知识产权及大数据系统研发应用能力的区块链防伪品控溯源物联网科技企业， 是国内较早创立产品品质供应链品控溯源增信体系、应用产品合格评定标准的企业。且甲骨文超级码已经与全国</w:t>
      </w:r>
      <w:r>
        <w:rPr>
          <w:rFonts w:ascii="Times New Roman" w:hAnsi="Times New Roman" w:cs="Times New Roman" w:eastAsia="Times New Roman" w:hint="default"/>
        </w:rPr>
        <w:t>300</w:t>
      </w:r>
      <w:r>
        <w:rPr/>
        <w:t>多个市</w:t>
      </w:r>
      <w:r>
        <w:rPr>
          <w:spacing w:val="-86"/>
        </w:rPr>
        <w:t> </w:t>
      </w:r>
      <w:r>
        <w:rPr>
          <w:spacing w:val="-86"/>
        </w:rPr>
      </w:r>
      <w:r>
        <w:rPr/>
        <w:t>县政府及众多品牌企业建立了合作关系。</w:t>
      </w:r>
    </w:p>
    <w:p>
      <w:pPr>
        <w:pStyle w:val="BodyText"/>
        <w:spacing w:line="314" w:lineRule="auto" w:before="142"/>
        <w:ind w:right="1132" w:firstLine="360"/>
        <w:jc w:val="both"/>
      </w:pPr>
      <w:r>
        <w:rPr>
          <w:spacing w:val="-2"/>
        </w:rPr>
        <w:t>甲骨文超级码利用区块链技术特点，将其作为甲骨文超级码</w:t>
      </w:r>
      <w:r>
        <w:rPr>
          <w:rFonts w:ascii="Times New Roman" w:hAnsi="Times New Roman" w:cs="Times New Roman" w:eastAsia="Times New Roman" w:hint="default"/>
          <w:spacing w:val="-2"/>
        </w:rPr>
        <w:t>“</w:t>
      </w:r>
      <w:r>
        <w:rPr>
          <w:spacing w:val="-2"/>
        </w:rPr>
        <w:t>两个平台</w:t>
      </w:r>
      <w:r>
        <w:rPr>
          <w:rFonts w:ascii="Times New Roman" w:hAnsi="Times New Roman" w:cs="Times New Roman" w:eastAsia="Times New Roman" w:hint="default"/>
          <w:spacing w:val="-2"/>
        </w:rPr>
        <w:t>”</w:t>
      </w:r>
      <w:r>
        <w:rPr>
          <w:spacing w:val="-2"/>
        </w:rPr>
        <w:t>的底层技术。其中</w:t>
      </w:r>
      <w:r>
        <w:rPr>
          <w:rFonts w:ascii="Times New Roman" w:hAnsi="Times New Roman" w:cs="Times New Roman" w:eastAsia="Times New Roman" w:hint="default"/>
          <w:spacing w:val="-2"/>
        </w:rPr>
        <w:t>JGW</w:t>
      </w:r>
      <w:r>
        <w:rPr>
          <w:spacing w:val="-2"/>
        </w:rPr>
        <w:t>超级农业大脑云平台以区</w:t>
      </w:r>
      <w:r>
        <w:rPr/>
        <w:t> </w:t>
      </w:r>
      <w:r>
        <w:rPr>
          <w:spacing w:val="-2"/>
        </w:rPr>
        <w:t>块链全流程追溯体系为核心，应用云计算、人工智能、移动物联网、大数据等技术实现将农产品从田间到餐桌、从生产端到</w:t>
      </w:r>
      <w:r>
        <w:rPr>
          <w:spacing w:val="-69"/>
        </w:rPr>
        <w:t> </w:t>
      </w:r>
      <w:r>
        <w:rPr>
          <w:spacing w:val="-69"/>
        </w:rPr>
      </w:r>
      <w:r>
        <w:rPr>
          <w:spacing w:val="-2"/>
        </w:rPr>
        <w:t>消费端的全流程数字化与智能化管理。甲骨文超级码利用区块链技术防篡改的特点，创造性地将区块链技术应用于产品防伪</w:t>
      </w:r>
      <w:r>
        <w:rPr>
          <w:spacing w:val="-64"/>
        </w:rPr>
        <w:t> </w:t>
      </w:r>
      <w:r>
        <w:rPr>
          <w:spacing w:val="-64"/>
        </w:rPr>
      </w:r>
      <w:r>
        <w:rPr>
          <w:spacing w:val="-2"/>
        </w:rPr>
        <w:t>溯源领域，实现了产品追溯节点与产品质量管理体系匹配融合、存证防篡，并契合市场需求推出了智能物联网防伪溯源包装</w:t>
      </w:r>
      <w:r>
        <w:rPr>
          <w:spacing w:val="-64"/>
        </w:rPr>
        <w:t> </w:t>
      </w:r>
      <w:r>
        <w:rPr>
          <w:spacing w:val="-64"/>
        </w:rPr>
      </w:r>
      <w:r>
        <w:rPr/>
        <w:t>一体化解决方案、</w:t>
      </w:r>
      <w:r>
        <w:rPr>
          <w:rFonts w:ascii="Times New Roman" w:hAnsi="Times New Roman" w:cs="Times New Roman" w:eastAsia="Times New Roman" w:hint="default"/>
        </w:rPr>
        <w:t>“</w:t>
      </w:r>
      <w:r>
        <w:rPr/>
        <w:t>溯源</w:t>
      </w:r>
      <w:r>
        <w:rPr>
          <w:rFonts w:ascii="Times New Roman" w:hAnsi="Times New Roman" w:cs="Times New Roman" w:eastAsia="Times New Roman" w:hint="default"/>
        </w:rPr>
        <w:t>+</w:t>
      </w:r>
      <w:r>
        <w:rPr/>
        <w:t>品控</w:t>
      </w:r>
      <w:r>
        <w:rPr>
          <w:rFonts w:ascii="Times New Roman" w:hAnsi="Times New Roman" w:cs="Times New Roman" w:eastAsia="Times New Roman" w:hint="default"/>
        </w:rPr>
        <w:t>+</w:t>
      </w:r>
      <w:r>
        <w:rPr/>
        <w:t>保险</w:t>
      </w:r>
      <w:r>
        <w:rPr>
          <w:rFonts w:ascii="Times New Roman" w:hAnsi="Times New Roman" w:cs="Times New Roman" w:eastAsia="Times New Roman" w:hint="default"/>
        </w:rPr>
        <w:t>”</w:t>
      </w:r>
      <w:r>
        <w:rPr/>
        <w:t>区块链品质溯源增信体系云平台，并积极向上下游拓展延伸产业链。</w:t>
      </w:r>
    </w:p>
    <w:p>
      <w:pPr>
        <w:pStyle w:val="BodyText"/>
        <w:spacing w:line="309" w:lineRule="auto" w:before="121"/>
        <w:ind w:right="1130" w:firstLine="360"/>
        <w:jc w:val="both"/>
      </w:pPr>
      <w:r>
        <w:rPr>
          <w:spacing w:val="-2"/>
        </w:rPr>
        <w:t>基于双方业务协同之目的，为进一步增强公司客户服务以及市场拓展能力，助力公司智能包装业务发展，报告期内，公</w:t>
      </w:r>
      <w:r>
        <w:rPr/>
        <w:t> </w:t>
      </w:r>
      <w:r>
        <w:rPr>
          <w:spacing w:val="-1"/>
        </w:rPr>
        <w:t>司使用自有资金</w:t>
      </w:r>
      <w:r>
        <w:rPr>
          <w:rFonts w:ascii="Times New Roman" w:hAnsi="Times New Roman" w:cs="Times New Roman" w:eastAsia="Times New Roman" w:hint="default"/>
          <w:spacing w:val="-1"/>
        </w:rPr>
        <w:t>3040</w:t>
      </w:r>
      <w:r>
        <w:rPr>
          <w:spacing w:val="-1"/>
        </w:rPr>
        <w:t>万元，认购甲骨文超级码非公开发行的</w:t>
      </w:r>
      <w:r>
        <w:rPr>
          <w:rFonts w:ascii="Times New Roman" w:hAnsi="Times New Roman" w:cs="Times New Roman" w:eastAsia="Times New Roman" w:hint="default"/>
          <w:spacing w:val="-1"/>
        </w:rPr>
        <w:t>111.1111</w:t>
      </w:r>
      <w:r>
        <w:rPr>
          <w:spacing w:val="-1"/>
        </w:rPr>
        <w:t>万股股份，占甲骨文超级码发行后总股本的</w:t>
      </w:r>
      <w:r>
        <w:rPr>
          <w:rFonts w:ascii="Times New Roman" w:hAnsi="Times New Roman" w:cs="Times New Roman" w:eastAsia="Times New Roman" w:hint="default"/>
          <w:spacing w:val="-1"/>
        </w:rPr>
        <w:t>10%</w:t>
      </w:r>
      <w:r>
        <w:rPr>
          <w:spacing w:val="-1"/>
        </w:rPr>
        <w:t>。目前</w:t>
      </w:r>
      <w:r>
        <w:rPr>
          <w:spacing w:val="-43"/>
        </w:rPr>
        <w:t> </w:t>
      </w:r>
      <w:r>
        <w:rPr>
          <w:spacing w:val="-43"/>
        </w:rPr>
      </w:r>
      <w:r>
        <w:rPr/>
        <w:t>甲骨文超级码已经申请从股转系统退市，并在筹备</w:t>
      </w:r>
      <w:r>
        <w:rPr>
          <w:rFonts w:ascii="Times New Roman" w:hAnsi="Times New Roman" w:cs="Times New Roman" w:eastAsia="Times New Roman" w:hint="default"/>
        </w:rPr>
        <w:t>A</w:t>
      </w:r>
      <w:r>
        <w:rPr/>
        <w:t>股上市事宜。</w:t>
      </w:r>
    </w:p>
    <w:p>
      <w:pPr>
        <w:pStyle w:val="BodyText"/>
        <w:spacing w:line="240" w:lineRule="auto" w:before="125"/>
        <w:ind w:left="512" w:right="0"/>
        <w:jc w:val="left"/>
      </w:pPr>
      <w:r>
        <w:rPr/>
        <w:t>（六）积极探索、实践新产业领域</w:t>
      </w:r>
    </w:p>
    <w:p>
      <w:pPr>
        <w:spacing w:line="240" w:lineRule="auto" w:before="0"/>
        <w:rPr>
          <w:rFonts w:ascii="宋体" w:hAnsi="宋体" w:cs="宋体" w:eastAsia="宋体" w:hint="default"/>
          <w:sz w:val="15"/>
          <w:szCs w:val="15"/>
        </w:rPr>
      </w:pPr>
    </w:p>
    <w:p>
      <w:pPr>
        <w:pStyle w:val="BodyText"/>
        <w:spacing w:line="309" w:lineRule="auto"/>
        <w:ind w:right="1132" w:firstLine="360"/>
        <w:jc w:val="both"/>
      </w:pPr>
      <w:r>
        <w:rPr>
          <w:spacing w:val="-2"/>
        </w:rPr>
        <w:t>秉承</w:t>
      </w:r>
      <w:r>
        <w:rPr>
          <w:rFonts w:ascii="Times New Roman" w:hAnsi="Times New Roman" w:cs="Times New Roman" w:eastAsia="Times New Roman" w:hint="default"/>
          <w:spacing w:val="-2"/>
        </w:rPr>
        <w:t>“</w:t>
      </w:r>
      <w:r>
        <w:rPr>
          <w:spacing w:val="-2"/>
        </w:rPr>
        <w:t>科技创新、精准扶贫、生物健康、造福人类</w:t>
      </w:r>
      <w:r>
        <w:rPr>
          <w:rFonts w:ascii="Times New Roman" w:hAnsi="Times New Roman" w:cs="Times New Roman" w:eastAsia="Times New Roman" w:hint="default"/>
          <w:spacing w:val="-2"/>
        </w:rPr>
        <w:t>”</w:t>
      </w:r>
      <w:r>
        <w:rPr>
          <w:spacing w:val="-2"/>
        </w:rPr>
        <w:t>的理念和愿景，公司与云南古耕农业科技开发有限公司及文山州政府</w:t>
      </w:r>
      <w:r>
        <w:rPr/>
        <w:t> </w:t>
      </w:r>
      <w:r>
        <w:rPr>
          <w:spacing w:val="-2"/>
        </w:rPr>
        <w:t>签署了《工业大麻产业发展合作协议》，公司与云南古耕农业科技开发有限公司共同设立文麻生物于文山州投资实施美盈森</w:t>
      </w:r>
      <w:r>
        <w:rPr>
          <w:spacing w:val="-64"/>
        </w:rPr>
        <w:t> </w:t>
      </w:r>
      <w:r>
        <w:rPr>
          <w:spacing w:val="-64"/>
        </w:rPr>
      </w:r>
      <w:r>
        <w:rPr/>
        <w:t>集团工业大麻产业发展项目。报告期内，文麻生物积极筹备工业大麻的种植及后续加工事宜。</w:t>
      </w:r>
    </w:p>
    <w:p>
      <w:pPr>
        <w:pStyle w:val="BodyText"/>
        <w:spacing w:line="316" w:lineRule="auto" w:before="144"/>
        <w:ind w:right="1132" w:firstLine="360"/>
        <w:jc w:val="both"/>
      </w:pPr>
      <w:r>
        <w:rPr>
          <w:spacing w:val="-2"/>
        </w:rPr>
        <w:t>报告期内，公司与江南大学签署《技术合作协议》，江南大学将利用自身在食品科学与工程方面的优势，为实现工业大</w:t>
      </w:r>
      <w:r>
        <w:rPr/>
        <w:t> </w:t>
      </w:r>
      <w:r>
        <w:rPr>
          <w:spacing w:val="-2"/>
        </w:rPr>
        <w:t>麻麻籽在人造肉、植物蛋白粉、植物奶、麻籽油、特殊医学用途配方食品等食品饮料产品中的应用研究及开发，新产品的小</w:t>
      </w:r>
      <w:r>
        <w:rPr>
          <w:spacing w:val="-67"/>
        </w:rPr>
        <w:t> </w:t>
      </w:r>
      <w:r>
        <w:rPr>
          <w:spacing w:val="-67"/>
        </w:rPr>
      </w:r>
      <w:r>
        <w:rPr/>
        <w:t>试、中试及规模化生产提供技术协助和支持，并提供小批量试验产品，助力美盈森集团工业大麻产业发展项目发展。</w:t>
      </w:r>
    </w:p>
    <w:p>
      <w:pPr>
        <w:pStyle w:val="BodyText"/>
        <w:spacing w:line="300" w:lineRule="auto" w:before="139"/>
        <w:ind w:right="1132"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日，公司在无锡成功举办</w:t>
      </w:r>
      <w:r>
        <w:rPr>
          <w:rFonts w:ascii="Times New Roman" w:hAnsi="Times New Roman" w:cs="Times New Roman" w:eastAsia="Times New Roman" w:hint="default"/>
          <w:spacing w:val="-1"/>
        </w:rPr>
        <w:t>“</w:t>
      </w:r>
      <w:r>
        <w:rPr>
          <w:spacing w:val="-1"/>
        </w:rPr>
        <w:t>新产品</w:t>
      </w:r>
      <w:r>
        <w:rPr>
          <w:rFonts w:ascii="Times New Roman" w:hAnsi="Times New Roman" w:cs="Times New Roman" w:eastAsia="Times New Roman" w:hint="default"/>
          <w:spacing w:val="-1"/>
        </w:rPr>
        <w:t>•</w:t>
      </w:r>
      <w:r>
        <w:rPr>
          <w:spacing w:val="-1"/>
        </w:rPr>
        <w:t>新经济</w:t>
      </w:r>
      <w:r>
        <w:rPr>
          <w:rFonts w:ascii="Times New Roman" w:hAnsi="Times New Roman" w:cs="Times New Roman" w:eastAsia="Times New Roman" w:hint="default"/>
          <w:spacing w:val="-1"/>
        </w:rPr>
        <w:t>—</w:t>
      </w:r>
      <w:r>
        <w:rPr>
          <w:spacing w:val="-1"/>
        </w:rPr>
        <w:t>植物蛋白食品发展趋势主题论坛暨美盈森新产品品鉴会</w:t>
      </w:r>
      <w:r>
        <w:rPr>
          <w:rFonts w:ascii="Times New Roman" w:hAnsi="Times New Roman" w:cs="Times New Roman" w:eastAsia="Times New Roman" w:hint="default"/>
          <w:spacing w:val="-1"/>
        </w:rPr>
        <w:t>”</w:t>
      </w:r>
      <w:r>
        <w:rPr>
          <w:spacing w:val="-1"/>
        </w:rPr>
        <w:t>，与会</w:t>
      </w:r>
      <w:r>
        <w:rPr/>
        <w:t> 食品行业专家对公司人造肉产品给予了充分的肯定。</w:t>
      </w:r>
    </w:p>
    <w:p>
      <w:pPr>
        <w:pStyle w:val="BodyText"/>
        <w:spacing w:line="240" w:lineRule="auto" w:before="151"/>
        <w:ind w:left="512" w:right="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日，文麻生物科技与西畴县董马乡人民政府签署了</w:t>
      </w:r>
      <w:r>
        <w:rPr>
          <w:rFonts w:ascii="Times New Roman" w:hAnsi="Times New Roman" w:cs="Times New Roman" w:eastAsia="Times New Roman" w:hint="default"/>
          <w:spacing w:val="-4"/>
        </w:rPr>
        <w:t>2000</w:t>
      </w:r>
      <w:r>
        <w:rPr>
          <w:spacing w:val="-4"/>
        </w:rPr>
        <w:t>亩《董马乡工业大麻示范种植基地土地流转协议》，</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0"/>
        <w:jc w:val="left"/>
      </w:pPr>
      <w:r>
        <w:rPr/>
        <w:t>积极推动工业大麻种植工作。</w:t>
      </w:r>
    </w:p>
    <w:p>
      <w:pPr>
        <w:spacing w:line="240" w:lineRule="auto" w:before="0"/>
        <w:rPr>
          <w:rFonts w:ascii="宋体" w:hAnsi="宋体" w:cs="宋体" w:eastAsia="宋体" w:hint="default"/>
          <w:sz w:val="15"/>
          <w:szCs w:val="15"/>
        </w:rPr>
      </w:pPr>
    </w:p>
    <w:p>
      <w:pPr>
        <w:pStyle w:val="BodyText"/>
        <w:spacing w:line="309" w:lineRule="auto"/>
        <w:ind w:right="1034" w:firstLine="360"/>
        <w:jc w:val="left"/>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日，文麻生物与文山州农业科学院签署《研发合作协议》，文山州农业科学院将对美盈森集团工业大麻产业</w:t>
      </w:r>
      <w:r>
        <w:rPr/>
        <w:t> 发展项目提供全面的种植技术指导、新产品研发支持以及咨询服务，双方共建工业大麻研发实验室，并进行工业大麻育种、 一年两季种植技术研究、工业大麻产业应用研究及蒜头果神经酸的制备与相关产品研发。</w:t>
      </w:r>
    </w:p>
    <w:p>
      <w:pPr>
        <w:pStyle w:val="BodyText"/>
        <w:spacing w:line="240" w:lineRule="auto" w:before="144"/>
        <w:ind w:left="512" w:right="0"/>
        <w:jc w:val="left"/>
      </w:pPr>
      <w:r>
        <w:rPr/>
        <w:t>目前美盈森集团工业大麻产业发展项目正在有序推进当中。</w:t>
      </w:r>
    </w:p>
    <w:p>
      <w:pPr>
        <w:pStyle w:val="BodyText"/>
        <w:spacing w:line="430" w:lineRule="atLeast" w:before="2"/>
        <w:ind w:left="512" w:right="0"/>
        <w:jc w:val="left"/>
      </w:pPr>
      <w:r>
        <w:rPr/>
        <w:t>（七）积极推动处理金之彩收购纠纷的解决 </w:t>
      </w:r>
      <w:r>
        <w:rPr>
          <w:spacing w:val="-2"/>
        </w:rPr>
        <w:t>报告期内，公司继续高度重视金之彩收购纠纷问题。积极向仲裁庭提交对方违约证据，以期望金之彩纠纷问题得以妥善</w:t>
      </w:r>
    </w:p>
    <w:p>
      <w:pPr>
        <w:pStyle w:val="BodyText"/>
        <w:spacing w:line="240" w:lineRule="auto" w:before="76"/>
        <w:ind w:right="0"/>
        <w:jc w:val="left"/>
      </w:pPr>
      <w:r>
        <w:rPr/>
        <w:t>解决，尽最大努力维护公司及广大投资者利益。</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报告期内，欧阳宣等人涉嫌职务侵占案一案，被深圳市公安局立案侦查。公司对于深圳市公安局依法对欧阳宣等人涉嫌</w:t>
      </w:r>
      <w:r>
        <w:rPr/>
        <w:t> 职务侵占案予以立案侦查坚决支持，并督促金之彩积极配合公安机关的调查取证工作。</w:t>
      </w:r>
    </w:p>
    <w:p>
      <w:pPr>
        <w:pStyle w:val="BodyText"/>
        <w:spacing w:line="307" w:lineRule="auto" w:before="139"/>
        <w:ind w:right="1130" w:firstLine="480"/>
        <w:jc w:val="both"/>
      </w:pPr>
      <w:r>
        <w:rPr>
          <w:spacing w:val="-1"/>
        </w:rPr>
        <w:t>报告期内，金之彩收到国家税务总局深圳市税务局第三稽查局签发的深税三稽罚告〔</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101006</w:t>
      </w:r>
      <w:r>
        <w:rPr>
          <w:spacing w:val="-1"/>
        </w:rPr>
        <w:t>号《税务行政处罚</w:t>
      </w:r>
      <w:r>
        <w:rPr/>
        <w:t> </w:t>
      </w:r>
      <w:r>
        <w:rPr>
          <w:spacing w:val="-2"/>
        </w:rPr>
        <w:t>事项告知书》，金之彩上述税务违法行为主要发生在公司于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月收购金之彩</w:t>
      </w:r>
      <w:r>
        <w:rPr>
          <w:rFonts w:ascii="Times New Roman" w:hAnsi="Times New Roman" w:cs="Times New Roman" w:eastAsia="Times New Roman" w:hint="default"/>
          <w:spacing w:val="-2"/>
        </w:rPr>
        <w:t>70%</w:t>
      </w:r>
      <w:r>
        <w:rPr>
          <w:spacing w:val="-2"/>
        </w:rPr>
        <w:t>股权之前，欧阳宣系时任董事长、法</w:t>
      </w:r>
      <w:r>
        <w:rPr>
          <w:spacing w:val="-34"/>
        </w:rPr>
        <w:t> </w:t>
      </w:r>
      <w:r>
        <w:rPr>
          <w:spacing w:val="-34"/>
        </w:rPr>
      </w:r>
      <w:r>
        <w:rPr>
          <w:spacing w:val="-2"/>
        </w:rPr>
        <w:t>定代表人及大股东；且在税务违法行为发生的所有期间，金之彩均由欧阳宣担任董事长、法定代表人及实际经营管理者。欧</w:t>
      </w:r>
      <w:r>
        <w:rPr>
          <w:spacing w:val="-64"/>
        </w:rPr>
        <w:t> </w:t>
      </w:r>
      <w:r>
        <w:rPr>
          <w:spacing w:val="-64"/>
        </w:rPr>
      </w:r>
      <w:r>
        <w:rPr/>
        <w:t>阳宣系前述税务违法行为的责任人，其依法依约应承担全部责任。</w:t>
      </w:r>
    </w:p>
    <w:p>
      <w:pPr>
        <w:pStyle w:val="BodyText"/>
        <w:spacing w:line="240" w:lineRule="auto" w:before="67"/>
        <w:ind w:left="632" w:right="0"/>
        <w:jc w:val="left"/>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日与西藏新天地投资合伙企业（有限合伙）（以下简称</w:t>
      </w:r>
      <w:r>
        <w:rPr>
          <w:rFonts w:ascii="Times New Roman" w:hAnsi="Times New Roman" w:cs="Times New Roman" w:eastAsia="Times New Roman" w:hint="default"/>
        </w:rPr>
        <w:t>“</w:t>
      </w:r>
      <w:r>
        <w:rPr/>
        <w:t>西藏新天地</w:t>
      </w:r>
      <w:r>
        <w:rPr>
          <w:rFonts w:ascii="Times New Roman" w:hAnsi="Times New Roman" w:cs="Times New Roman" w:eastAsia="Times New Roman" w:hint="default"/>
        </w:rPr>
        <w:t>”</w:t>
      </w:r>
      <w:r>
        <w:rPr/>
        <w:t>）、欧阳宣及金之彩签订的</w:t>
      </w:r>
    </w:p>
    <w:p>
      <w:pPr>
        <w:pStyle w:val="BodyText"/>
        <w:spacing w:line="300" w:lineRule="auto" w:before="63"/>
        <w:ind w:right="0"/>
        <w:jc w:val="left"/>
      </w:pPr>
      <w:r>
        <w:rPr>
          <w:spacing w:val="-2"/>
        </w:rPr>
        <w:t>《股权收购协议》</w:t>
      </w:r>
      <w:r>
        <w:rPr>
          <w:rFonts w:ascii="Times New Roman" w:hAnsi="Times New Roman" w:cs="Times New Roman" w:eastAsia="Times New Roman" w:hint="default"/>
          <w:spacing w:val="-2"/>
        </w:rPr>
        <w:t>“</w:t>
      </w:r>
      <w:r>
        <w:rPr>
          <w:spacing w:val="-2"/>
        </w:rPr>
        <w:t>附件二、原股东和标的公司的陈述、保证及承诺</w:t>
      </w:r>
      <w:r>
        <w:rPr>
          <w:rFonts w:ascii="Times New Roman" w:hAnsi="Times New Roman" w:cs="Times New Roman" w:eastAsia="Times New Roman" w:hint="default"/>
          <w:spacing w:val="-2"/>
        </w:rPr>
        <w:t>”“10.</w:t>
      </w:r>
      <w:r>
        <w:rPr>
          <w:spacing w:val="-2"/>
        </w:rPr>
        <w:t>税务</w:t>
      </w:r>
      <w:r>
        <w:rPr>
          <w:rFonts w:ascii="Times New Roman" w:hAnsi="Times New Roman" w:cs="Times New Roman" w:eastAsia="Times New Roman" w:hint="default"/>
          <w:spacing w:val="-2"/>
        </w:rPr>
        <w:t>”</w:t>
      </w:r>
      <w:r>
        <w:rPr>
          <w:spacing w:val="-2"/>
        </w:rPr>
        <w:t>明确了原股东（原股东系指西藏新天地及欧阳</w:t>
      </w:r>
      <w:r>
        <w:rPr>
          <w:spacing w:val="-66"/>
        </w:rPr>
        <w:t> </w:t>
      </w:r>
      <w:r>
        <w:rPr>
          <w:spacing w:val="-66"/>
        </w:rPr>
      </w:r>
      <w:r>
        <w:rPr/>
        <w:t>宣）和标的公司（标的公司系指金之彩）关于税务的保证及承诺，具体内容如下：</w:t>
      </w:r>
    </w:p>
    <w:p>
      <w:pPr>
        <w:pStyle w:val="BodyText"/>
        <w:spacing w:line="309" w:lineRule="auto" w:before="70"/>
        <w:ind w:right="1132" w:firstLine="480"/>
        <w:jc w:val="both"/>
      </w:pPr>
      <w:r>
        <w:rPr>
          <w:rFonts w:ascii="Times New Roman" w:hAnsi="Times New Roman" w:cs="Times New Roman" w:eastAsia="Times New Roman" w:hint="default"/>
        </w:rPr>
        <w:t>“10.1</w:t>
      </w:r>
      <w:r>
        <w:rPr>
          <w:rFonts w:ascii="Times New Roman" w:hAnsi="Times New Roman" w:cs="Times New Roman" w:eastAsia="Times New Roman" w:hint="default"/>
          <w:spacing w:val="9"/>
        </w:rPr>
        <w:t> </w:t>
      </w:r>
      <w:r>
        <w:rPr/>
        <w:t>除已向投资人披露的情况外，标的公司已经根据法律及税务机关的要求办理税务登记手续，及时、按规定办理 </w:t>
      </w:r>
      <w:r>
        <w:rPr>
          <w:spacing w:val="-2"/>
        </w:rPr>
        <w:t>纳税申报手续，并及时、足额缴纳税款，不存在税务的争议，也不存在任何可能招致标的公司遭受处罚的其他情形。对于标</w:t>
      </w:r>
      <w:r>
        <w:rPr>
          <w:spacing w:val="-69"/>
        </w:rPr>
        <w:t> </w:t>
      </w:r>
      <w:r>
        <w:rPr>
          <w:spacing w:val="-69"/>
        </w:rPr>
      </w:r>
      <w:r>
        <w:rPr/>
        <w:t>的公司应缴纳的税款或可能承担的税收责任，标的公司已经在账目中充分拨备或披露；</w:t>
      </w:r>
    </w:p>
    <w:p>
      <w:pPr>
        <w:pStyle w:val="BodyText"/>
        <w:spacing w:line="300" w:lineRule="auto" w:before="65"/>
        <w:ind w:right="0" w:firstLine="480"/>
        <w:jc w:val="left"/>
        <w:rPr>
          <w:rFonts w:ascii="Times New Roman" w:hAnsi="Times New Roman" w:cs="Times New Roman" w:eastAsia="Times New Roman" w:hint="default"/>
        </w:rPr>
      </w:pPr>
      <w:r>
        <w:rPr>
          <w:rFonts w:ascii="Times New Roman" w:hAnsi="Times New Roman" w:cs="Times New Roman" w:eastAsia="Times New Roman" w:hint="default"/>
        </w:rPr>
        <w:t>10.2</w:t>
      </w:r>
      <w:r>
        <w:rPr>
          <w:rFonts w:ascii="Times New Roman" w:hAnsi="Times New Roman" w:cs="Times New Roman" w:eastAsia="Times New Roman" w:hint="default"/>
          <w:spacing w:val="1"/>
        </w:rPr>
        <w:t> </w:t>
      </w:r>
      <w:r>
        <w:rPr>
          <w:spacing w:val="-3"/>
        </w:rPr>
        <w:t>本协议签订以后，若标的公司因税务问题受到税务机关</w:t>
      </w:r>
      <w:r>
        <w:rPr>
          <w:rFonts w:ascii="Times New Roman" w:hAnsi="Times New Roman" w:cs="Times New Roman" w:eastAsia="Times New Roman" w:hint="default"/>
          <w:spacing w:val="-3"/>
        </w:rPr>
        <w:t>/</w:t>
      </w:r>
      <w:r>
        <w:rPr>
          <w:spacing w:val="-3"/>
        </w:rPr>
        <w:t>财政部门的处罚</w:t>
      </w:r>
      <w:r>
        <w:rPr>
          <w:rFonts w:ascii="Times New Roman" w:hAnsi="Times New Roman" w:cs="Times New Roman" w:eastAsia="Times New Roman" w:hint="default"/>
          <w:spacing w:val="-3"/>
        </w:rPr>
        <w:t>(</w:t>
      </w:r>
      <w:r>
        <w:rPr>
          <w:spacing w:val="-3"/>
        </w:rPr>
        <w:t>包括但不限于追缴税款及滞纳金、罚款</w:t>
      </w:r>
      <w:r>
        <w:rPr>
          <w:rFonts w:ascii="Times New Roman" w:hAnsi="Times New Roman" w:cs="Times New Roman" w:eastAsia="Times New Roman" w:hint="default"/>
          <w:spacing w:val="-3"/>
        </w:rPr>
        <w:t>)</w:t>
      </w:r>
      <w:r>
        <w:rPr>
          <w:spacing w:val="-3"/>
        </w:rPr>
        <w:t>，</w:t>
      </w:r>
      <w:r>
        <w:rPr/>
        <w:t> 则原股东应承担全部责任，并在标的公司受到税务机关</w:t>
      </w:r>
      <w:r>
        <w:rPr>
          <w:rFonts w:ascii="Times New Roman" w:hAnsi="Times New Roman" w:cs="Times New Roman" w:eastAsia="Times New Roman" w:hint="default"/>
        </w:rPr>
        <w:t>/</w:t>
      </w:r>
      <w:r>
        <w:rPr/>
        <w:t>财政部门处罚之日起</w:t>
      </w:r>
      <w:r>
        <w:rPr>
          <w:rFonts w:ascii="Times New Roman" w:hAnsi="Times New Roman" w:cs="Times New Roman" w:eastAsia="Times New Roman" w:hint="default"/>
        </w:rPr>
        <w:t>10</w:t>
      </w:r>
      <w:r>
        <w:rPr/>
        <w:t>个工作日内将标的公司已经支付的相关款项</w:t>
      </w:r>
      <w:r>
        <w:rPr>
          <w:spacing w:val="-60"/>
        </w:rPr>
        <w:t> </w:t>
      </w:r>
      <w:r>
        <w:rPr>
          <w:spacing w:val="-60"/>
        </w:rPr>
      </w:r>
      <w:r>
        <w:rPr/>
        <w:t>支付给标的公司。为免生歧义，前述</w:t>
      </w:r>
      <w:r>
        <w:rPr>
          <w:rFonts w:ascii="Times New Roman" w:hAnsi="Times New Roman" w:cs="Times New Roman" w:eastAsia="Times New Roman" w:hint="default"/>
        </w:rPr>
        <w:t>“</w:t>
      </w:r>
      <w:r>
        <w:rPr/>
        <w:t>税务问题</w:t>
      </w:r>
      <w:r>
        <w:rPr>
          <w:rFonts w:ascii="Times New Roman" w:hAnsi="Times New Roman" w:cs="Times New Roman" w:eastAsia="Times New Roman" w:hint="default"/>
        </w:rPr>
        <w:t>”</w:t>
      </w:r>
      <w:r>
        <w:rPr/>
        <w:t>包括由于以前享受的税收优惠或返还</w:t>
      </w:r>
      <w:r>
        <w:rPr>
          <w:rFonts w:ascii="Times New Roman" w:hAnsi="Times New Roman" w:cs="Times New Roman" w:eastAsia="Times New Roman" w:hint="default"/>
        </w:rPr>
        <w:t>/</w:t>
      </w:r>
      <w:r>
        <w:rPr/>
        <w:t>奖励、合同补贴及财政补贴的行为被</w:t>
      </w:r>
      <w:r>
        <w:rPr>
          <w:spacing w:val="-46"/>
        </w:rPr>
        <w:t> </w:t>
      </w:r>
      <w:r>
        <w:rPr>
          <w:spacing w:val="-46"/>
        </w:rPr>
      </w:r>
      <w:r>
        <w:rPr/>
        <w:t>认定为无效而导致标的公司补缴税款或退还已获得的优惠；</w:t>
      </w:r>
      <w:r>
        <w:rPr>
          <w:rFonts w:ascii="Times New Roman" w:hAnsi="Times New Roman" w:cs="Times New Roman" w:eastAsia="Times New Roman" w:hint="default"/>
        </w:rPr>
        <w:t>”</w:t>
      </w:r>
    </w:p>
    <w:p>
      <w:pPr>
        <w:pStyle w:val="BodyText"/>
        <w:spacing w:line="312" w:lineRule="auto" w:before="53"/>
        <w:ind w:right="1130" w:firstLine="480"/>
        <w:jc w:val="both"/>
      </w:pPr>
      <w:r>
        <w:rPr>
          <w:spacing w:val="-1"/>
        </w:rPr>
        <w:t>公司将依据《股权收购协议》中原股东的承诺，在金之彩收到税务机关的处罚决定书后通知原股东履行承担全部责任</w:t>
      </w:r>
      <w:r>
        <w:rPr/>
        <w:t> </w:t>
      </w:r>
      <w:r>
        <w:rPr>
          <w:spacing w:val="-2"/>
        </w:rPr>
        <w:t>的承诺，并将税务处罚决定书等材料作为原股东违约的证据提交深圳国际仲裁院（深圳仲裁委员会），提请裁决欧阳宣等违</w:t>
      </w:r>
      <w:r>
        <w:rPr>
          <w:spacing w:val="-65"/>
        </w:rPr>
        <w:t> </w:t>
      </w:r>
      <w:r>
        <w:rPr>
          <w:spacing w:val="-65"/>
        </w:rPr>
      </w:r>
      <w:r>
        <w:rPr/>
        <w:t>约并承担相关责任。在（</w:t>
      </w:r>
      <w:r>
        <w:rPr>
          <w:rFonts w:ascii="Times New Roman" w:hAnsi="Times New Roman" w:cs="Times New Roman" w:eastAsia="Times New Roman" w:hint="default"/>
        </w:rPr>
        <w:t>2018</w:t>
      </w:r>
      <w:r>
        <w:rPr/>
        <w:t>）深仲受字第</w:t>
      </w:r>
      <w:r>
        <w:rPr>
          <w:rFonts w:ascii="Times New Roman" w:hAnsi="Times New Roman" w:cs="Times New Roman" w:eastAsia="Times New Roman" w:hint="default"/>
        </w:rPr>
        <w:t>2269</w:t>
      </w:r>
      <w:r>
        <w:rPr/>
        <w:t>号案中，经公司申请，欧阳宣持有的</w:t>
      </w:r>
      <w:r>
        <w:rPr>
          <w:rFonts w:ascii="Times New Roman" w:hAnsi="Times New Roman" w:cs="Times New Roman" w:eastAsia="Times New Roman" w:hint="default"/>
        </w:rPr>
        <w:t>150</w:t>
      </w:r>
      <w:r>
        <w:rPr/>
        <w:t>万股美盈森股票、</w:t>
      </w:r>
      <w:r>
        <w:rPr>
          <w:rFonts w:ascii="Times New Roman" w:hAnsi="Times New Roman" w:cs="Times New Roman" w:eastAsia="Times New Roman" w:hint="default"/>
        </w:rPr>
        <w:t>1900</w:t>
      </w:r>
      <w:r>
        <w:rPr/>
        <w:t>万元现金以 及在深圳的两套房产被深圳市南山区人民法院实施财产保全，为公司追究欧阳宣的违约责任提供财产保障。</w:t>
      </w:r>
    </w:p>
    <w:p>
      <w:pPr>
        <w:spacing w:line="240" w:lineRule="auto" w:before="12"/>
        <w:rPr>
          <w:rFonts w:ascii="宋体" w:hAnsi="宋体" w:cs="宋体" w:eastAsia="宋体" w:hint="default"/>
          <w:sz w:val="20"/>
          <w:szCs w:val="20"/>
        </w:rPr>
      </w:pPr>
    </w:p>
    <w:p>
      <w:pPr>
        <w:pStyle w:val="Heading3"/>
        <w:spacing w:line="240" w:lineRule="auto"/>
        <w:ind w:right="0"/>
        <w:jc w:val="left"/>
        <w:rPr>
          <w:rFonts w:ascii="Tahoma" w:hAnsi="Tahoma" w:cs="Tahoma" w:eastAsia="Tahoma" w:hint="default"/>
        </w:rPr>
      </w:pPr>
      <w:r>
        <w:rPr/>
        <w:t>二、主营业务分析</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line="547" w:lineRule="auto" w:before="0"/>
        <w:ind w:left="152" w:right="6474" w:firstLine="0"/>
        <w:jc w:val="left"/>
        <w:rPr>
          <w:rFonts w:ascii="Tahoma" w:hAnsi="Tahoma" w:cs="Tahoma" w:eastAsia="Tahoma" w:hint="default"/>
          <w:sz w:val="21"/>
          <w:szCs w:val="21"/>
        </w:rPr>
      </w:pPr>
      <w:r>
        <w:rPr>
          <w:rFonts w:ascii="Tahoma" w:hAnsi="Tahoma" w:cs="Tahoma" w:eastAsia="Tahoma" w:hint="default"/>
          <w:sz w:val="21"/>
          <w:szCs w:val="21"/>
        </w:rPr>
        <w:t>1</w:t>
      </w:r>
      <w:r>
        <w:rPr>
          <w:rFonts w:ascii="宋体" w:hAnsi="宋体" w:cs="宋体" w:eastAsia="宋体" w:hint="default"/>
          <w:sz w:val="21"/>
          <w:szCs w:val="21"/>
        </w:rPr>
        <w:t>、概述</w:t>
      </w:r>
      <w:r>
        <w:rPr>
          <w:rFonts w:ascii="Tahoma" w:hAnsi="Tahoma" w:cs="Tahoma" w:eastAsia="Tahoma" w:hint="default"/>
          <w:w w:val="8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ahoma" w:hAnsi="Tahoma" w:cs="Tahoma" w:eastAsia="Tahoma" w:hint="default"/>
          <w:sz w:val="21"/>
          <w:szCs w:val="21"/>
        </w:rPr>
        <w:t>2</w:t>
      </w:r>
      <w:r>
        <w:rPr>
          <w:rFonts w:ascii="宋体" w:hAnsi="宋体" w:cs="宋体" w:eastAsia="宋体" w:hint="default"/>
          <w:sz w:val="21"/>
          <w:szCs w:val="21"/>
        </w:rPr>
        <w:t>、收入与成本</w:t>
      </w:r>
      <w:r>
        <w:rPr>
          <w:rFonts w:ascii="Tahoma" w:hAnsi="Tahoma" w:cs="Tahoma" w:eastAsia="Tahoma" w:hint="default"/>
          <w:w w:val="80"/>
          <w:sz w:val="21"/>
          <w:szCs w:val="21"/>
        </w:rPr>
        <w:t> </w:t>
      </w:r>
      <w:r>
        <w:rPr>
          <w:rFonts w:ascii="Tahoma" w:hAnsi="Tahoma" w:cs="Tahoma" w:eastAsia="Tahoma" w:hint="default"/>
          <w:sz w:val="21"/>
          <w:szCs w:val="21"/>
        </w:rPr>
      </w:r>
    </w:p>
    <w:p>
      <w:pPr>
        <w:pStyle w:val="Heading4"/>
        <w:spacing w:line="240" w:lineRule="auto" w:before="1"/>
        <w:ind w:right="0"/>
        <w:jc w:val="left"/>
        <w:rPr>
          <w:rFonts w:ascii="Tahoma" w:hAnsi="Tahoma" w:cs="Tahoma" w:eastAsia="Tahoma" w:hint="default"/>
        </w:rPr>
      </w:pPr>
      <w:r>
        <w:rPr/>
        <w:t>（</w:t>
      </w:r>
      <w:r>
        <w:rPr>
          <w:rFonts w:ascii="Tahoma" w:hAnsi="Tahoma" w:cs="Tahoma" w:eastAsia="Tahoma" w:hint="default"/>
        </w:rPr>
        <w:t>1</w:t>
      </w:r>
      <w:r>
        <w:rPr/>
        <w:t>）营业收入构成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187"/>
        <w:gridCol w:w="3190"/>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3,392,132,631.63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3,248,945,549.35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3,287,349,427.25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3,125,396,512.31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96.20%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104,783,204.38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123,549,037.04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-15.19%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2,288,309,061.01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67.46%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2,285,030,667.17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146,545,602.19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144,691,313.89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852,494,764.05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695,674,531.25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22.54%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104,783,204.38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123,549,037.04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-15.19%</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2,457,247,323.44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2,285,315,638.99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934,885,308.19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963,629,910.36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）占公司营业收入或营业利润</w:t>
      </w:r>
      <w:r>
        <w:rPr>
          <w:spacing w:val="-58"/>
        </w:rPr>
        <w:t> </w:t>
      </w:r>
      <w:r>
        <w:rPr>
          <w:rFonts w:ascii="Tahoma" w:hAnsi="Tahoma" w:cs="Tahoma" w:eastAsia="Tahoma" w:hint="default"/>
        </w:rPr>
        <w:t>10%</w:t>
      </w:r>
      <w:r>
        <w:rPr/>
        <w:t>以上的行业、产品或地区情况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19" w:right="45"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3,287,349,427.25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2,296,316,817.68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2,288,309,061.01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1,536,606,175.17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146,545,602.19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100,082,794.08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852,494,764.05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659,627,848.43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2,352,464,119.06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1,694,783,662.81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934,885,308.19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601,533,154.87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6.04%</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）公司实物销售收入是否大于劳务收入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597"/>
        <w:gridCol w:w="1592"/>
        <w:gridCol w:w="1594"/>
        <w:gridCol w:w="1596"/>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1,636,688,969.25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1,647,544,271.28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1,649,153,375.03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1,667,713,229.41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278,415,248.04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265,950,842.25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）公司已签订的重大销售合同截至本报告期的履行情况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5</w:t>
      </w:r>
      <w:r>
        <w:rPr/>
        <w:t>）营业成本构成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行业和产品分类</w:t>
      </w:r>
    </w:p>
    <w:p>
      <w:pPr>
        <w:pStyle w:val="BodyText"/>
        <w:spacing w:line="240" w:lineRule="auto" w:before="117"/>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1,250,741,821.82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1,251,754,606.97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215,423,545.92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224,923,022.66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170,523,601.51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170,866,641.65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r>
    </w:tbl>
    <w:p>
      <w:pPr>
        <w:pStyle w:val="BodyText"/>
        <w:spacing w:line="240" w:lineRule="auto" w:before="49"/>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1,536,606,175.17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1,548,979,612.95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100,082,794.08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98,564,658.33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659,627,848.43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539,317,246.99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22.31%</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6</w:t>
      </w:r>
      <w:r>
        <w:rPr/>
        <w:t>）报告期内合并范围是否发生变动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28" w:lineRule="auto"/>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 </w:t>
      </w:r>
      <w:r>
        <w:rPr>
          <w:spacing w:val="-2"/>
        </w:rPr>
        <w:t>在上年度财务报告编制的基础上，公司本年度将福建美盈森、青岛美盈森、文麻生物、同奈美盈森、越南包装技术、美达科</w:t>
      </w:r>
      <w:r>
        <w:rPr>
          <w:spacing w:val="-68"/>
        </w:rPr>
        <w:t> </w:t>
      </w:r>
      <w:r>
        <w:rPr>
          <w:spacing w:val="-68"/>
        </w:rPr>
      </w:r>
      <w:r>
        <w:rPr>
          <w:spacing w:val="-4"/>
        </w:rPr>
        <w:t>技纳入合并报表范围；本年度深圳市汇天云网科技有限公司完成注销登记，合并报表范围减少深圳市汇天云网科技有限公司。</w:t>
      </w:r>
    </w:p>
    <w:p>
      <w:pPr>
        <w:pStyle w:val="BodyText"/>
        <w:spacing w:line="300" w:lineRule="auto" w:before="10"/>
        <w:ind w:right="1124"/>
        <w:jc w:val="left"/>
      </w:pPr>
      <w:r>
        <w:rPr/>
        <w:t>（</w:t>
      </w:r>
      <w:r>
        <w:rPr>
          <w:rFonts w:ascii="Times New Roman" w:hAnsi="Times New Roman" w:cs="Times New Roman" w:eastAsia="Times New Roman" w:hint="default"/>
        </w:rPr>
        <w:t>1</w:t>
      </w:r>
      <w:r>
        <w:rPr/>
        <w:t>）本期公司设立福建美盈森环保科技有限公司，于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24</w:t>
      </w:r>
      <w:r>
        <w:rPr/>
        <w:t>日完成办理工商设立登记手续，并取得统一社会信用代 码为</w:t>
      </w:r>
      <w:r>
        <w:rPr>
          <w:rFonts w:ascii="Times New Roman" w:hAnsi="Times New Roman" w:cs="Times New Roman" w:eastAsia="Times New Roman" w:hint="default"/>
        </w:rPr>
        <w:t>91350181MA32FLXY12</w:t>
      </w:r>
      <w:r>
        <w:rPr/>
        <w:t>的企业法人营业执照；按照相应的会计编制规则，公司本期将福建美盈森纳入合并报表范围。</w:t>
      </w:r>
    </w:p>
    <w:p>
      <w:pPr>
        <w:pStyle w:val="BodyText"/>
        <w:spacing w:line="300" w:lineRule="auto" w:before="13"/>
        <w:ind w:right="1124"/>
        <w:jc w:val="left"/>
      </w:pPr>
      <w:r>
        <w:rPr/>
        <w:t>（</w:t>
      </w:r>
      <w:r>
        <w:rPr>
          <w:rFonts w:ascii="Times New Roman" w:hAnsi="Times New Roman" w:cs="Times New Roman" w:eastAsia="Times New Roman" w:hint="default"/>
        </w:rPr>
        <w:t>2</w:t>
      </w:r>
      <w:r>
        <w:rPr/>
        <w:t>）本期公司设立青岛美盈森智谷科技有限公司，于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日完成办理工商设立登记手续，并取得统一社会信用代 码为</w:t>
      </w:r>
      <w:r>
        <w:rPr>
          <w:rFonts w:ascii="Times New Roman" w:hAnsi="Times New Roman" w:cs="Times New Roman" w:eastAsia="Times New Roman" w:hint="default"/>
        </w:rPr>
        <w:t>91370211MA3PRH8U53</w:t>
      </w:r>
      <w:r>
        <w:rPr/>
        <w:t>的企业法人营业执照；按照相应的会计编制规则，公司本期将青岛美盈森纳入合并报表范围。</w:t>
      </w:r>
    </w:p>
    <w:p>
      <w:pPr>
        <w:spacing w:after="0" w:line="30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32"/>
        <w:jc w:val="both"/>
      </w:pPr>
      <w:r>
        <w:rPr/>
        <w:t>（</w:t>
      </w:r>
      <w:r>
        <w:rPr>
          <w:rFonts w:ascii="Times New Roman" w:hAnsi="Times New Roman" w:cs="Times New Roman" w:eastAsia="Times New Roman" w:hint="default"/>
        </w:rPr>
        <w:t>3</w:t>
      </w:r>
      <w:r>
        <w:rPr/>
        <w:t>）本期由公司合资设立云南文麻生物科技有限公司，于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06</w:t>
      </w:r>
      <w:r>
        <w:rPr/>
        <w:t>日完成办理工商设立登记手续，并取得统一社会信 用代码为</w:t>
      </w:r>
      <w:r>
        <w:rPr>
          <w:rFonts w:ascii="Times New Roman" w:hAnsi="Times New Roman" w:cs="Times New Roman" w:eastAsia="Times New Roman" w:hint="default"/>
        </w:rPr>
        <w:t>91532600MA6NULCB6X</w:t>
      </w:r>
      <w:r>
        <w:rPr/>
        <w:t>的企业法人营业执照，该公司注册资本</w:t>
      </w:r>
      <w:r>
        <w:rPr>
          <w:rFonts w:ascii="Times New Roman" w:hAnsi="Times New Roman" w:cs="Times New Roman" w:eastAsia="Times New Roman" w:hint="default"/>
        </w:rPr>
        <w:t>5000</w:t>
      </w:r>
      <w:r>
        <w:rPr/>
        <w:t>万元，公司持股</w:t>
      </w:r>
      <w:r>
        <w:rPr>
          <w:rFonts w:ascii="Times New Roman" w:hAnsi="Times New Roman" w:cs="Times New Roman" w:eastAsia="Times New Roman" w:hint="default"/>
        </w:rPr>
        <w:t>70%</w:t>
      </w:r>
      <w:r>
        <w:rPr/>
        <w:t>；按照相应的会计报表编 制规则，公司本期将文麻生物纳入合并报表范围。</w:t>
      </w:r>
    </w:p>
    <w:p>
      <w:pPr>
        <w:pStyle w:val="BodyText"/>
        <w:spacing w:line="300" w:lineRule="auto" w:before="31"/>
        <w:ind w:right="1121"/>
        <w:jc w:val="left"/>
      </w:pPr>
      <w:r>
        <w:rPr/>
        <w:t>（</w:t>
      </w:r>
      <w:r>
        <w:rPr>
          <w:rFonts w:ascii="Times New Roman" w:hAnsi="Times New Roman" w:cs="Times New Roman" w:eastAsia="Times New Roman" w:hint="default"/>
        </w:rPr>
        <w:t>4</w:t>
      </w:r>
      <w:r>
        <w:rPr/>
        <w:t>）本期由公司全资子公司越南美盈森设立：</w:t>
      </w:r>
      <w:r>
        <w:rPr>
          <w:rFonts w:ascii="Times New Roman" w:hAnsi="Times New Roman" w:cs="Times New Roman" w:eastAsia="Times New Roman" w:hint="default"/>
        </w:rPr>
        <w:t>MYS</w:t>
      </w:r>
      <w:r>
        <w:rPr/>
        <w:t>（</w:t>
      </w:r>
      <w:r>
        <w:rPr>
          <w:rFonts w:ascii="Times New Roman" w:hAnsi="Times New Roman" w:cs="Times New Roman" w:eastAsia="Times New Roman" w:hint="default"/>
        </w:rPr>
        <w:t>DONG NAI</w:t>
      </w:r>
      <w:r>
        <w:rPr/>
        <w:t>） </w:t>
      </w:r>
      <w:r>
        <w:rPr>
          <w:rFonts w:ascii="Times New Roman" w:hAnsi="Times New Roman" w:cs="Times New Roman" w:eastAsia="Times New Roman" w:hint="default"/>
        </w:rPr>
        <w:t>PACKAGING TECHNOLOGY COMPANY</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 取得越南同奈省投资计划局颁发的《营业登记证明书》和越南同奈省工业区管理委员会颁发的《投资证书》，于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4</w:t>
      </w:r>
      <w:r>
        <w:rPr/>
        <w:t>日完成办理设立登记手续，并取得编号为</w:t>
      </w:r>
      <w:r>
        <w:rPr>
          <w:rFonts w:ascii="Times New Roman" w:hAnsi="Times New Roman" w:cs="Times New Roman" w:eastAsia="Times New Roman" w:hint="default"/>
        </w:rPr>
        <w:t>3603672568</w:t>
      </w:r>
      <w:r>
        <w:rPr/>
        <w:t>的企业注册证书，该公司注册资本：</w:t>
      </w:r>
      <w:r>
        <w:rPr>
          <w:rFonts w:ascii="Times New Roman" w:hAnsi="Times New Roman" w:cs="Times New Roman" w:eastAsia="Times New Roman" w:hint="default"/>
        </w:rPr>
        <w:t>232.80</w:t>
      </w:r>
      <w:r>
        <w:rPr/>
        <w:t>亿越南盾，越南美盈森 持股</w:t>
      </w:r>
      <w:r>
        <w:rPr>
          <w:rFonts w:ascii="Times New Roman" w:hAnsi="Times New Roman" w:cs="Times New Roman" w:eastAsia="Times New Roman" w:hint="default"/>
        </w:rPr>
        <w:t>100%</w:t>
      </w:r>
      <w:r>
        <w:rPr/>
        <w:t>；按照相应的会计报表编制规则，公司本期将同奈美盈森纳入合并报表范围。</w:t>
      </w:r>
    </w:p>
    <w:p>
      <w:pPr>
        <w:pStyle w:val="BodyText"/>
        <w:spacing w:line="300" w:lineRule="auto" w:before="13"/>
        <w:ind w:right="1064"/>
        <w:jc w:val="left"/>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0"/>
        </w:rPr>
        <w:t> </w:t>
      </w:r>
      <w:r>
        <w:rPr>
          <w:rFonts w:ascii="Times New Roman" w:hAnsi="Times New Roman" w:cs="Times New Roman" w:eastAsia="Times New Roman" w:hint="default"/>
        </w:rPr>
        <w:t>(VIETNAM)</w:t>
      </w:r>
      <w:r>
        <w:rPr>
          <w:rFonts w:ascii="Times New Roman" w:hAnsi="Times New Roman" w:cs="Times New Roman" w:eastAsia="Times New Roman" w:hint="default"/>
          <w:spacing w:val="-12"/>
        </w:rPr>
        <w:t> </w:t>
      </w:r>
      <w:r>
        <w:rPr>
          <w:rFonts w:ascii="Times New Roman" w:hAnsi="Times New Roman" w:cs="Times New Roman" w:eastAsia="Times New Roman" w:hint="default"/>
        </w:rPr>
        <w:t>PACKING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THCHNOLOGY</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，取得由越南 河南省计划与投资局商业登记室颁发的《营业登记证明书》，于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日完成办理设立登记手续，并取得编号为 </w:t>
      </w:r>
      <w:r>
        <w:rPr>
          <w:rFonts w:ascii="Times New Roman" w:hAnsi="Times New Roman" w:cs="Times New Roman" w:eastAsia="Times New Roman" w:hint="default"/>
        </w:rPr>
        <w:t>0700834402</w:t>
      </w:r>
      <w:r>
        <w:rPr/>
        <w:t>的企业注册证书，该公司注册资本：</w:t>
      </w:r>
      <w:r>
        <w:rPr>
          <w:rFonts w:ascii="Times New Roman" w:hAnsi="Times New Roman" w:cs="Times New Roman" w:eastAsia="Times New Roman" w:hint="default"/>
        </w:rPr>
        <w:t>4,861.50</w:t>
      </w:r>
      <w:r>
        <w:rPr/>
        <w:t>亿越南盾，香港美盈森持股</w:t>
      </w:r>
      <w:r>
        <w:rPr>
          <w:rFonts w:ascii="Times New Roman" w:hAnsi="Times New Roman" w:cs="Times New Roman" w:eastAsia="Times New Roman" w:hint="default"/>
        </w:rPr>
        <w:t>100%</w:t>
      </w:r>
      <w:r>
        <w:rPr/>
        <w:t>；按照相应的会计报表编制规则， 公司本期将越南包装技术纳入合并报表范围。</w:t>
      </w:r>
    </w:p>
    <w:p>
      <w:pPr>
        <w:pStyle w:val="BodyText"/>
        <w:spacing w:line="300" w:lineRule="auto" w:before="31"/>
        <w:ind w:right="1124"/>
        <w:jc w:val="left"/>
      </w:pPr>
      <w:r>
        <w:rPr/>
        <w:t>（</w:t>
      </w:r>
      <w:r>
        <w:rPr>
          <w:rFonts w:ascii="Times New Roman" w:hAnsi="Times New Roman" w:cs="Times New Roman" w:eastAsia="Times New Roman" w:hint="default"/>
        </w:rPr>
        <w:t>6</w:t>
      </w:r>
      <w:r>
        <w:rPr/>
        <w:t>）本期由公司全资子公司香港美盈森与源胜国际有限公司、陶亚峰、陶元生、葛长帅分别以</w:t>
      </w:r>
      <w:r>
        <w:rPr>
          <w:rFonts w:ascii="Times New Roman" w:hAnsi="Times New Roman" w:cs="Times New Roman" w:eastAsia="Times New Roman" w:hint="default"/>
        </w:rPr>
        <w:t>58%</w:t>
      </w:r>
      <w:r>
        <w:rPr/>
        <w:t>、</w:t>
      </w:r>
      <w:r>
        <w:rPr>
          <w:rFonts w:ascii="Times New Roman" w:hAnsi="Times New Roman" w:cs="Times New Roman" w:eastAsia="Times New Roman" w:hint="default"/>
        </w:rPr>
        <w:t>37%</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spacing w:val="-2"/>
        </w:rPr>
        <w:t>的比例于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日共同在泰国春武里府设立了美达科技包装（泰国）有限公司，于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日完成办理设立登记</w:t>
      </w:r>
      <w:r>
        <w:rPr>
          <w:spacing w:val="-58"/>
        </w:rPr>
        <w:t> </w:t>
      </w:r>
      <w:r>
        <w:rPr>
          <w:spacing w:val="-58"/>
        </w:rPr>
      </w:r>
      <w:r>
        <w:rPr/>
        <w:t>手续，并取得编号为</w:t>
      </w:r>
      <w:r>
        <w:rPr>
          <w:rFonts w:ascii="Times New Roman" w:hAnsi="Times New Roman" w:cs="Times New Roman" w:eastAsia="Times New Roman" w:hint="default"/>
        </w:rPr>
        <w:t>0205562046651</w:t>
      </w:r>
      <w:r>
        <w:rPr/>
        <w:t>的企业法人营业执照，该公司注册资本</w:t>
      </w:r>
      <w:r>
        <w:rPr>
          <w:rFonts w:ascii="Times New Roman" w:hAnsi="Times New Roman" w:cs="Times New Roman" w:eastAsia="Times New Roman" w:hint="default"/>
        </w:rPr>
        <w:t>9000</w:t>
      </w:r>
      <w:r>
        <w:rPr/>
        <w:t>万泰铢；按照相应的会计报表编制规则，公 司本期将美达科技纳入合并报表范围。</w:t>
      </w:r>
    </w:p>
    <w:p>
      <w:pPr>
        <w:pStyle w:val="BodyText"/>
        <w:spacing w:line="300" w:lineRule="auto" w:before="31"/>
        <w:ind w:right="1134"/>
        <w:jc w:val="both"/>
      </w:pPr>
      <w:r>
        <w:rPr>
          <w:spacing w:val="-2"/>
        </w:rPr>
        <w:t>（</w:t>
      </w:r>
      <w:r>
        <w:rPr>
          <w:rFonts w:ascii="Times New Roman" w:hAnsi="Times New Roman" w:cs="Times New Roman" w:eastAsia="Times New Roman" w:hint="default"/>
          <w:spacing w:val="-2"/>
        </w:rPr>
        <w:t>7</w:t>
      </w:r>
      <w:r>
        <w:rPr>
          <w:spacing w:val="-2"/>
        </w:rPr>
        <w:t>）本期公司的下属全资子公司深圳市汇天云网科技有限公司申请注销登记，于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月取得深圳市市场监督管理局</w:t>
      </w:r>
      <w:r>
        <w:rPr>
          <w:spacing w:val="-65"/>
        </w:rPr>
        <w:t> </w:t>
      </w:r>
      <w:r>
        <w:rPr>
          <w:spacing w:val="-65"/>
        </w:rPr>
      </w:r>
      <w:r>
        <w:rPr/>
        <w:t>的《企业注销通知书》核准公司注销登记。按照相应的会计报表编制规则，自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日之后，公司的合并范围减少子 公司深圳市汇天云网科技有限公司。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rFonts w:ascii="Tahoma" w:hAnsi="Tahoma" w:cs="Tahoma" w:eastAsia="Tahoma" w:hint="default"/>
        </w:rPr>
      </w:pPr>
      <w:r>
        <w:rPr/>
        <w:t>（</w:t>
      </w:r>
      <w:r>
        <w:rPr>
          <w:rFonts w:ascii="Tahoma" w:hAnsi="Tahoma" w:cs="Tahoma" w:eastAsia="Tahoma" w:hint="default"/>
        </w:rPr>
        <w:t>7</w:t>
      </w:r>
      <w:r>
        <w:rPr/>
        <w:t>）公司报告期内业务、产品或服务发生重大变化或调整有关情况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8</w:t>
      </w:r>
      <w:r>
        <w:rPr/>
        <w:t>）主要销售客户和主要供应商情况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886,423,778.88</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26.13%</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272,837,547.49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224,101,547.44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157,520,210.22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121,418,991.00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110,545,482.73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886,423,778.88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26.13%</w:t>
            </w:r>
          </w:p>
        </w:tc>
      </w:tr>
    </w:tbl>
    <w:p>
      <w:pPr>
        <w:pStyle w:val="BodyText"/>
        <w:spacing w:line="240" w:lineRule="auto" w:before="49"/>
        <w:ind w:right="0"/>
        <w:jc w:val="left"/>
      </w:pPr>
      <w:r>
        <w:rPr/>
        <w:t>主要客户其他情况说明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footerReference w:type="default" r:id="rId13"/>
          <w:pgSz w:w="11910" w:h="16840"/>
          <w:pgMar w:footer="982" w:header="753" w:top="1060" w:bottom="1180" w:left="980" w:right="0"/>
          <w:pgNumType w:start="20"/>
        </w:sectPr>
      </w:pPr>
    </w:p>
    <w:p>
      <w:pPr>
        <w:spacing w:line="240" w:lineRule="auto" w:before="4"/>
        <w:rPr>
          <w:rFonts w:ascii="宋体" w:hAnsi="宋体" w:cs="宋体" w:eastAsia="宋体" w:hint="default"/>
          <w:sz w:val="26"/>
          <w:szCs w:val="26"/>
        </w:rPr>
      </w:pPr>
    </w:p>
    <w:p>
      <w:pPr>
        <w:pStyle w:val="BodyText"/>
        <w:spacing w:line="240" w:lineRule="auto" w:before="37"/>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806,256,392.60</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30.23%</w:t>
            </w:r>
          </w:p>
        </w:tc>
      </w:tr>
      <w:tr>
        <w:trPr>
          <w:trHeight w:val="71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293,106,595.04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163,184,774.95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146,692,189.38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126,961,407.99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76,311,425.24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806,256,392.60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30.23%</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242,189,532.19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238,380,120.95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211,253,807.49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204,079,870.59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6,917,491.17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-19,246,519.93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135.94%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主要系本期汇兑损失增加所致。</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147,391,163.22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127,081,637.14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w:t>
      </w:r>
      <w:r>
        <w:rPr/>
        <w:t>、研发投入</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5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4"/>
        </w:rPr>
        <w:t>公司研发投入目的是进一步提升公司在主营业务上的竞争优势，更好地满足客户和市场的需求，对公司未来发展有积极影响。</w:t>
      </w:r>
      <w:r>
        <w:rPr>
          <w:spacing w:val="-44"/>
        </w:rPr>
        <w:t> </w:t>
      </w:r>
      <w:r>
        <w:rPr>
          <w:spacing w:val="-44"/>
        </w:rPr>
      </w:r>
      <w:r>
        <w:rPr/>
        <w:t>公司研发投入情况</w:t>
      </w: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147,391,163.22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127,081,637.14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、现金流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3,533,677,650.67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3,378,152,737.81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3,092,547,304.35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3,104,226,170.43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441,130,346.32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273,926,567.38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1,728,848,837.26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864,742,324.33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1,923,110,678.36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2,153,251,592.38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-194,261,841.10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-1,288,509,268.05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-84.92%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530,600,753.48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480,158,060.93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790,587,660.93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636,938,697.48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24.12%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-259,986,907.45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-156,780,636.55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-10,294,952.55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-1,163,785,709.13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99.12%</w:t>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、报告期公司经营活动产生的现金流量净额比去年同期增加</w:t>
      </w:r>
      <w:r>
        <w:rPr>
          <w:rFonts w:ascii="Times New Roman" w:hAnsi="Times New Roman" w:cs="Times New Roman" w:eastAsia="Times New Roman" w:hint="default"/>
        </w:rPr>
        <w:t>61.04%</w:t>
      </w:r>
      <w:r>
        <w:rPr/>
        <w:t>，主要系本期客户回款情况较好所致。</w:t>
      </w:r>
    </w:p>
    <w:p>
      <w:pPr>
        <w:pStyle w:val="BodyText"/>
        <w:spacing w:line="300" w:lineRule="auto" w:before="103"/>
        <w:ind w:right="1126"/>
        <w:jc w:val="left"/>
      </w:pPr>
      <w:r>
        <w:rPr>
          <w:rFonts w:ascii="Times New Roman" w:hAnsi="Times New Roman" w:cs="Times New Roman" w:eastAsia="Times New Roman" w:hint="default"/>
          <w:spacing w:val="-1"/>
        </w:rPr>
        <w:t>2</w:t>
      </w:r>
      <w:r>
        <w:rPr>
          <w:spacing w:val="-1"/>
        </w:rPr>
        <w:t>、报告期公司投资活动现金流入金额比去年同期增加</w:t>
      </w:r>
      <w:r>
        <w:rPr>
          <w:rFonts w:ascii="Times New Roman" w:hAnsi="Times New Roman" w:cs="Times New Roman" w:eastAsia="Times New Roman" w:hint="default"/>
          <w:spacing w:val="-1"/>
        </w:rPr>
        <w:t>99.93%</w:t>
      </w:r>
      <w:r>
        <w:rPr>
          <w:spacing w:val="-1"/>
        </w:rPr>
        <w:t>，主要系本期利用部分暂时闲置的资金购买银行理财产品到期</w:t>
      </w:r>
      <w:r>
        <w:rPr>
          <w:spacing w:val="-44"/>
        </w:rPr>
        <w:t> </w:t>
      </w:r>
      <w:r>
        <w:rPr>
          <w:spacing w:val="-44"/>
        </w:rPr>
      </w:r>
      <w:r>
        <w:rPr/>
        <w:t>赎回所致。</w:t>
      </w:r>
    </w:p>
    <w:p>
      <w:pPr>
        <w:pStyle w:val="BodyText"/>
        <w:spacing w:line="300" w:lineRule="auto" w:before="72"/>
        <w:ind w:right="1126"/>
        <w:jc w:val="left"/>
      </w:pPr>
      <w:r>
        <w:rPr>
          <w:rFonts w:ascii="Times New Roman" w:hAnsi="Times New Roman" w:cs="Times New Roman" w:eastAsia="Times New Roman" w:hint="default"/>
          <w:spacing w:val="-1"/>
        </w:rPr>
        <w:t>3</w:t>
      </w:r>
      <w:r>
        <w:rPr>
          <w:spacing w:val="-1"/>
        </w:rPr>
        <w:t>、报告期公司投资活动产生的现金流量净额比去年同期减少</w:t>
      </w:r>
      <w:r>
        <w:rPr>
          <w:rFonts w:ascii="Times New Roman" w:hAnsi="Times New Roman" w:cs="Times New Roman" w:eastAsia="Times New Roman" w:hint="default"/>
          <w:spacing w:val="-1"/>
        </w:rPr>
        <w:t>84.92%</w:t>
      </w:r>
      <w:r>
        <w:rPr>
          <w:spacing w:val="-1"/>
        </w:rPr>
        <w:t>，主要系本期利用部分暂时闲置的资金购买银行理财产</w:t>
      </w:r>
      <w:r>
        <w:rPr>
          <w:spacing w:val="-45"/>
        </w:rPr>
        <w:t> </w:t>
      </w:r>
      <w:r>
        <w:rPr>
          <w:spacing w:val="-45"/>
        </w:rPr>
      </w:r>
      <w:r>
        <w:rPr/>
        <w:t>品所致。</w:t>
      </w:r>
    </w:p>
    <w:p>
      <w:pPr>
        <w:pStyle w:val="BodyText"/>
        <w:spacing w:line="300" w:lineRule="auto" w:before="70"/>
        <w:ind w:right="0"/>
        <w:jc w:val="left"/>
      </w:pPr>
      <w:r>
        <w:rPr>
          <w:rFonts w:ascii="Times New Roman" w:hAnsi="Times New Roman" w:cs="Times New Roman" w:eastAsia="Times New Roman" w:hint="default"/>
          <w:spacing w:val="-1"/>
        </w:rPr>
        <w:t>4</w:t>
      </w:r>
      <w:r>
        <w:rPr>
          <w:spacing w:val="-1"/>
        </w:rPr>
        <w:t>、报告期公司筹资活动产生的现金流量净额比去年同期减少</w:t>
      </w:r>
      <w:r>
        <w:rPr>
          <w:rFonts w:ascii="Times New Roman" w:hAnsi="Times New Roman" w:cs="Times New Roman" w:eastAsia="Times New Roman" w:hint="default"/>
          <w:spacing w:val="-1"/>
        </w:rPr>
        <w:t>65.83%</w:t>
      </w:r>
      <w:r>
        <w:rPr>
          <w:spacing w:val="-1"/>
        </w:rPr>
        <w:t>，主要系本期归还银行短期借款及公司实施了</w:t>
      </w:r>
      <w:r>
        <w:rPr>
          <w:rFonts w:ascii="Times New Roman" w:hAnsi="Times New Roman" w:cs="Times New Roman" w:eastAsia="Times New Roman" w:hint="default"/>
          <w:spacing w:val="-1"/>
        </w:rPr>
        <w:t>2018</w:t>
      </w:r>
      <w:r>
        <w:rPr>
          <w:spacing w:val="-1"/>
        </w:rPr>
        <w:t>年度</w:t>
      </w:r>
      <w:r>
        <w:rPr>
          <w:spacing w:val="-42"/>
        </w:rPr>
        <w:t> </w:t>
      </w:r>
      <w:r>
        <w:rPr/>
        <w:t>利润分配所致。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三、非主营业务分析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24"/>
        <w:gridCol w:w="1915"/>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64" w:hRule="exact"/>
        </w:trPr>
        <w:tc>
          <w:tcPr>
            <w:tcW w:w="15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22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主要系公司利用部分暂时闲</w:t>
            </w:r>
          </w:p>
        </w:tc>
        <w:tc>
          <w:tcPr>
            <w:tcW w:w="225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5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16,010,387.99</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2.60%</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置的资金购买银行理财产品</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5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取得收益所致</w:t>
            </w:r>
          </w:p>
        </w:tc>
        <w:tc>
          <w:tcPr>
            <w:tcW w:w="2254"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22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公司、重庆美盈森、成都美</w:t>
            </w:r>
          </w:p>
        </w:tc>
        <w:tc>
          <w:tcPr>
            <w:tcW w:w="225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153,583,500.61</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24.94%</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57"/>
              <w:jc w:val="left"/>
              <w:rPr>
                <w:rFonts w:ascii="宋体" w:hAnsi="宋体" w:cs="宋体" w:eastAsia="宋体" w:hint="default"/>
                <w:sz w:val="18"/>
                <w:szCs w:val="18"/>
              </w:rPr>
            </w:pPr>
            <w:r>
              <w:rPr>
                <w:rFonts w:ascii="宋体" w:hAnsi="宋体" w:cs="宋体" w:eastAsia="宋体" w:hint="default"/>
                <w:sz w:val="18"/>
                <w:szCs w:val="18"/>
              </w:rPr>
              <w:t>盈森、苏州美盈森、长沙美 盈森投资性房地产公允价值</w:t>
            </w:r>
          </w:p>
        </w:tc>
        <w:tc>
          <w:tcPr>
            <w:tcW w:w="22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15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变动损益形成</w:t>
            </w:r>
          </w:p>
        </w:tc>
        <w:tc>
          <w:tcPr>
            <w:tcW w:w="225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-2,891,526.70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计提存货跌价准备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4,539,301.27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主要系收到政府奖励款所致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5,393,514.34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7"/>
              <w:jc w:val="left"/>
              <w:rPr>
                <w:rFonts w:ascii="宋体" w:hAnsi="宋体" w:cs="宋体" w:eastAsia="宋体" w:hint="default"/>
                <w:sz w:val="18"/>
                <w:szCs w:val="18"/>
              </w:rPr>
            </w:pPr>
            <w:r>
              <w:rPr>
                <w:rFonts w:ascii="宋体" w:hAnsi="宋体" w:cs="宋体" w:eastAsia="宋体" w:hint="default"/>
                <w:sz w:val="18"/>
                <w:szCs w:val="18"/>
              </w:rPr>
              <w:t>主要系金之彩退回政府补贴 款所致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-9,715,767.03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13,818,826.52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四、资产及负债状况分析</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、资产构成重大变动情况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1,016,858,752.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990,802,086.36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主要系报告期内利用部分暂时闲置 的资金购买银行理财产品到期赎回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1,088,781,408.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998,117,661.52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728,608,688.2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667,198,889.53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1,476,455,255.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主要系本期美盈森大厦、苏州美盈 </w:t>
            </w:r>
            <w:r>
              <w:rPr>
                <w:rFonts w:ascii="宋体" w:hAnsi="宋体" w:cs="宋体" w:eastAsia="宋体" w:hint="default"/>
                <w:spacing w:val="-2"/>
                <w:sz w:val="18"/>
                <w:szCs w:val="18"/>
              </w:rPr>
              <w:t>森、成都美盈森、长沙美盈森部分房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产、重庆美盈森部分土地转入投资性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房地产所致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31,728,554.67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主要系报告期参股甲骨文超级码所 致</w:t>
            </w:r>
          </w:p>
        </w:tc>
      </w:tr>
    </w:tbl>
    <w:p>
      <w:pPr>
        <w:spacing w:after="0" w:line="316"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1,249,979,254.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1,219,297,623.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主要系报告期美盈森大厦等房产转 入投资性房地产所致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265,996,461.3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461,154,106.4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399,106,125.89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100,810,439.6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96,823,280.60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517,803,063.7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418,615,032.91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46,375,290.65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227,257,564.10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both"/>
              <w:rPr>
                <w:rFonts w:ascii="宋体" w:hAnsi="宋体" w:cs="宋体" w:eastAsia="宋体" w:hint="default"/>
                <w:sz w:val="18"/>
                <w:szCs w:val="18"/>
              </w:rPr>
            </w:pPr>
            <w:r>
              <w:rPr>
                <w:rFonts w:ascii="宋体" w:hAnsi="宋体" w:cs="宋体" w:eastAsia="宋体" w:hint="default"/>
                <w:spacing w:val="-2"/>
                <w:sz w:val="18"/>
                <w:szCs w:val="18"/>
              </w:rPr>
              <w:t>主要系报告期佛山美盈森、西安美盈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森取得土地使用权，预付土地款转入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无形资产所致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600,157,464.5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629,341,765.09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605,387,333.7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517,588,314.52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43,125,152.99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36,901,696.03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508,908,643.5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740,838,727.02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11.63%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both"/>
              <w:rPr>
                <w:rFonts w:ascii="宋体" w:hAnsi="宋体" w:cs="宋体" w:eastAsia="宋体" w:hint="default"/>
                <w:sz w:val="18"/>
                <w:szCs w:val="18"/>
              </w:rPr>
            </w:pPr>
            <w:r>
              <w:rPr>
                <w:rFonts w:ascii="宋体" w:hAnsi="宋体" w:cs="宋体" w:eastAsia="宋体" w:hint="default"/>
                <w:sz w:val="18"/>
                <w:szCs w:val="18"/>
              </w:rPr>
              <w:t>主要系报告期内利用部分暂时闲置 的资金购买银行理财产品到期赎回 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、以公允价值计量的资产和负债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92"/>
        <w:gridCol w:w="1092"/>
        <w:gridCol w:w="1092"/>
        <w:gridCol w:w="1092"/>
        <w:gridCol w:w="1090"/>
        <w:gridCol w:w="1092"/>
        <w:gridCol w:w="1090"/>
        <w:gridCol w:w="965"/>
        <w:gridCol w:w="965"/>
      </w:tblGrid>
      <w:tr>
        <w:trPr>
          <w:trHeight w:val="1027" w:hRule="exact"/>
        </w:trPr>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1"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0" w:right="86"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1" w:right="8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7" w:type="dxa"/>
            <w:gridSpan w:val="8"/>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740,838,727.0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1,478,980,000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1,708,980,000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508,908,643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364" w:hRule="exact"/>
        </w:trPr>
        <w:tc>
          <w:tcPr>
            <w:tcW w:w="109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金融资产小</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741,838,727.0</w:t>
            </w:r>
          </w:p>
        </w:tc>
        <w:tc>
          <w:tcPr>
            <w:tcW w:w="1092"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1,478,980,000</w:t>
            </w:r>
          </w:p>
        </w:tc>
        <w:tc>
          <w:tcPr>
            <w:tcW w:w="10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1,708,980,000</w:t>
            </w:r>
          </w:p>
        </w:tc>
        <w:tc>
          <w:tcPr>
            <w:tcW w:w="965" w:type="dxa"/>
            <w:vMerge w:val="restart"/>
            <w:tcBorders>
              <w:top w:val="single" w:sz="4" w:space="0" w:color="000000"/>
              <w:left w:val="single" w:sz="4" w:space="0" w:color="000000"/>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509,908,643</w:t>
            </w:r>
          </w:p>
        </w:tc>
      </w:tr>
      <w:tr>
        <w:trPr>
          <w:trHeight w:val="349" w:hRule="exact"/>
        </w:trPr>
        <w:tc>
          <w:tcPr>
            <w:tcW w:w="10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2</w:t>
            </w:r>
          </w:p>
        </w:tc>
        <w:tc>
          <w:tcPr>
            <w:tcW w:w="109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.00</w:t>
            </w:r>
          </w:p>
        </w:tc>
        <w:tc>
          <w:tcPr>
            <w:tcW w:w="965" w:type="dxa"/>
            <w:vMerge/>
            <w:tcBorders>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.58</w:t>
            </w:r>
          </w:p>
        </w:tc>
      </w:tr>
      <w:tr>
        <w:trPr>
          <w:trHeight w:val="365" w:hRule="exact"/>
        </w:trPr>
        <w:tc>
          <w:tcPr>
            <w:tcW w:w="109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506,898,981.8</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153,583,500.6</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340,837,677.8</w:t>
            </w:r>
          </w:p>
        </w:tc>
        <w:tc>
          <w:tcPr>
            <w:tcW w:w="1090"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1,476,455,2</w:t>
            </w:r>
          </w:p>
        </w:tc>
      </w:tr>
      <w:tr>
        <w:trPr>
          <w:trHeight w:val="350" w:hRule="exact"/>
        </w:trPr>
        <w:tc>
          <w:tcPr>
            <w:tcW w:w="10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8</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1</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7</w:t>
            </w:r>
          </w:p>
        </w:tc>
        <w:tc>
          <w:tcPr>
            <w:tcW w:w="1090"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55.79</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91"/>
        <w:gridCol w:w="1092"/>
        <w:gridCol w:w="1092"/>
        <w:gridCol w:w="1092"/>
        <w:gridCol w:w="1090"/>
        <w:gridCol w:w="1092"/>
        <w:gridCol w:w="1090"/>
        <w:gridCol w:w="965"/>
        <w:gridCol w:w="965"/>
      </w:tblGrid>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1,248,737,708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153,583,500.6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340,837,677.8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1,478,980,000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1,708,980,000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1,986,363,8</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99.37</w:t>
            </w: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9494"/>
        <w:jc w:val="left"/>
      </w:pPr>
      <w:r>
        <w:rPr/>
        <w:t>其他变动的内容 无</w:t>
      </w:r>
    </w:p>
    <w:p>
      <w:pPr>
        <w:pStyle w:val="BodyText"/>
        <w:spacing w:line="240" w:lineRule="auto" w:before="29"/>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、截至报告期末的资产权利受限情况</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94"/>
        <w:gridCol w:w="3262"/>
        <w:gridCol w:w="3838"/>
      </w:tblGrid>
      <w:tr>
        <w:trPr>
          <w:trHeight w:val="426" w:hRule="exact"/>
        </w:trPr>
        <w:tc>
          <w:tcPr>
            <w:tcW w:w="2594"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9"/>
              <w:ind w:left="813"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838"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2" w:hRule="exact"/>
        </w:trPr>
        <w:tc>
          <w:tcPr>
            <w:tcW w:w="2594" w:type="dxa"/>
            <w:tcBorders>
              <w:top w:val="single" w:sz="10"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37,241,434.06</w:t>
            </w:r>
          </w:p>
        </w:tc>
        <w:tc>
          <w:tcPr>
            <w:tcW w:w="383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见附注七、合并财务报表项目注释</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p>
        </w:tc>
      </w:tr>
    </w:tbl>
    <w:p>
      <w:pPr>
        <w:spacing w:line="240" w:lineRule="auto" w:before="0"/>
        <w:rPr>
          <w:rFonts w:ascii="Tahoma" w:hAnsi="Tahoma" w:cs="Tahoma" w:eastAsia="Tahoma" w:hint="default"/>
          <w:sz w:val="20"/>
          <w:szCs w:val="20"/>
        </w:rPr>
      </w:pPr>
    </w:p>
    <w:p>
      <w:pPr>
        <w:spacing w:line="240" w:lineRule="auto" w:before="5"/>
        <w:rPr>
          <w:rFonts w:ascii="Tahoma" w:hAnsi="Tahoma" w:cs="Tahoma" w:eastAsia="Tahoma" w:hint="default"/>
          <w:sz w:val="25"/>
          <w:szCs w:val="25"/>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五、投资状况分析</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Tahoma" w:hAnsi="Tahoma" w:cs="Tahoma" w:eastAsia="Tahoma" w:hint="default"/>
          <w:sz w:val="21"/>
          <w:szCs w:val="21"/>
        </w:rPr>
        <w:t>1</w:t>
      </w:r>
      <w:r>
        <w:rPr>
          <w:rFonts w:ascii="宋体" w:hAnsi="宋体" w:cs="宋体" w:eastAsia="宋体" w:hint="default"/>
          <w:sz w:val="21"/>
          <w:szCs w:val="21"/>
        </w:rPr>
        <w:t>、总体情况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207,824,228.88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1,233,469,404.35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-83.15%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、报告期内获取的重大的股权投资情况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0"/>
        <w:gridCol w:w="622"/>
        <w:gridCol w:w="624"/>
        <w:gridCol w:w="622"/>
        <w:gridCol w:w="622"/>
        <w:gridCol w:w="617"/>
        <w:gridCol w:w="617"/>
        <w:gridCol w:w="619"/>
        <w:gridCol w:w="590"/>
        <w:gridCol w:w="593"/>
        <w:gridCol w:w="694"/>
        <w:gridCol w:w="689"/>
        <w:gridCol w:w="691"/>
        <w:gridCol w:w="667"/>
      </w:tblGrid>
      <w:tr>
        <w:trPr>
          <w:trHeight w:val="363" w:hRule="exact"/>
        </w:trPr>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17" w:type="dxa"/>
            <w:tcBorders>
              <w:top w:val="single" w:sz="4" w:space="0" w:color="000000"/>
              <w:left w:val="single" w:sz="4" w:space="0" w:color="000000"/>
              <w:bottom w:val="nil" w:sz="6" w:space="0" w:color="auto"/>
              <w:right w:val="single" w:sz="4" w:space="0" w:color="000000"/>
            </w:tcBorders>
            <w:shd w:val="clear" w:color="auto" w:fill="D3D3D3"/>
          </w:tcPr>
          <w:p>
            <w:pPr/>
          </w:p>
        </w:tc>
        <w:tc>
          <w:tcPr>
            <w:tcW w:w="617"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59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截至</w:t>
            </w:r>
          </w:p>
        </w:tc>
        <w:tc>
          <w:tcPr>
            <w:tcW w:w="593" w:type="dxa"/>
            <w:tcBorders>
              <w:top w:val="single" w:sz="4" w:space="0" w:color="000000"/>
              <w:left w:val="single" w:sz="4" w:space="0" w:color="000000"/>
              <w:bottom w:val="nil" w:sz="6" w:space="0" w:color="auto"/>
              <w:right w:val="single" w:sz="4" w:space="0" w:color="000000"/>
            </w:tcBorders>
            <w:shd w:val="clear" w:color="auto" w:fill="D3D3D3"/>
          </w:tcPr>
          <w:p>
            <w:pPr/>
          </w:p>
        </w:tc>
        <w:tc>
          <w:tcPr>
            <w:tcW w:w="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9"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0"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17" w:type="dxa"/>
            <w:tcBorders>
              <w:top w:val="nil" w:sz="6" w:space="0" w:color="auto"/>
              <w:left w:val="single" w:sz="4" w:space="0" w:color="000000"/>
              <w:bottom w:val="nil" w:sz="6" w:space="0" w:color="auto"/>
              <w:right w:val="single" w:sz="4" w:space="0" w:color="000000"/>
            </w:tcBorders>
            <w:shd w:val="clear" w:color="auto" w:fill="D3D3D3"/>
          </w:tcPr>
          <w:p>
            <w:pPr/>
          </w:p>
        </w:tc>
        <w:tc>
          <w:tcPr>
            <w:tcW w:w="617"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4" w:type="dxa"/>
            <w:tcBorders>
              <w:top w:val="nil" w:sz="6" w:space="0" w:color="auto"/>
              <w:left w:val="single" w:sz="4" w:space="0" w:color="000000"/>
              <w:bottom w:val="nil" w:sz="6" w:space="0" w:color="auto"/>
              <w:right w:val="single" w:sz="4" w:space="0" w:color="000000"/>
            </w:tcBorders>
            <w:shd w:val="clear" w:color="auto" w:fill="D3D3D3"/>
          </w:tcPr>
          <w:p>
            <w:pPr/>
          </w:p>
        </w:tc>
        <w:tc>
          <w:tcPr>
            <w:tcW w:w="689"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6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936"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51"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5" w:right="3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6" w:right="3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6" w:right="3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13" w:right="3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110" w:right="108"/>
              <w:jc w:val="both"/>
              <w:rPr>
                <w:rFonts w:ascii="宋体" w:hAnsi="宋体" w:cs="宋体" w:eastAsia="宋体" w:hint="default"/>
                <w:sz w:val="18"/>
                <w:szCs w:val="18"/>
              </w:rPr>
            </w:pPr>
            <w:r>
              <w:rPr>
                <w:rFonts w:ascii="宋体" w:hAnsi="宋体" w:cs="宋体" w:eastAsia="宋体" w:hint="default"/>
                <w:sz w:val="18"/>
                <w:szCs w:val="18"/>
              </w:rPr>
              <w:t>负债 表日 的进</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71" w:right="6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69" w:right="6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0"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17" w:type="dxa"/>
            <w:tcBorders>
              <w:top w:val="nil" w:sz="6" w:space="0" w:color="auto"/>
              <w:left w:val="single" w:sz="4" w:space="0" w:color="000000"/>
              <w:bottom w:val="nil" w:sz="6" w:space="0" w:color="auto"/>
              <w:right w:val="single" w:sz="4" w:space="0" w:color="000000"/>
            </w:tcBorders>
            <w:shd w:val="clear" w:color="auto" w:fill="D3D3D3"/>
          </w:tcPr>
          <w:p>
            <w:pPr/>
          </w:p>
        </w:tc>
        <w:tc>
          <w:tcPr>
            <w:tcW w:w="617"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展情</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4" w:type="dxa"/>
            <w:tcBorders>
              <w:top w:val="nil" w:sz="6" w:space="0" w:color="auto"/>
              <w:left w:val="single" w:sz="4" w:space="0" w:color="000000"/>
              <w:bottom w:val="nil" w:sz="6" w:space="0" w:color="auto"/>
              <w:right w:val="single" w:sz="4" w:space="0" w:color="000000"/>
            </w:tcBorders>
            <w:shd w:val="clear" w:color="auto" w:fill="D3D3D3"/>
          </w:tcPr>
          <w:p>
            <w:pPr/>
          </w:p>
        </w:tc>
        <w:tc>
          <w:tcPr>
            <w:tcW w:w="689"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6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2" w:hRule="exact"/>
        </w:trPr>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17" w:type="dxa"/>
            <w:tcBorders>
              <w:top w:val="nil" w:sz="6" w:space="0" w:color="auto"/>
              <w:left w:val="single" w:sz="4" w:space="0" w:color="000000"/>
              <w:bottom w:val="single" w:sz="4" w:space="0" w:color="000000"/>
              <w:right w:val="single" w:sz="4" w:space="0" w:color="000000"/>
            </w:tcBorders>
            <w:shd w:val="clear" w:color="auto" w:fill="D3D3D3"/>
          </w:tcPr>
          <w:p>
            <w:pPr/>
          </w:p>
        </w:tc>
        <w:tc>
          <w:tcPr>
            <w:tcW w:w="617"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59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593" w:type="dxa"/>
            <w:tcBorders>
              <w:top w:val="nil" w:sz="6" w:space="0" w:color="auto"/>
              <w:left w:val="single" w:sz="4" w:space="0" w:color="000000"/>
              <w:bottom w:val="single" w:sz="4" w:space="0" w:color="000000"/>
              <w:right w:val="single" w:sz="4" w:space="0" w:color="000000"/>
            </w:tcBorders>
            <w:shd w:val="clear" w:color="auto" w:fill="D3D3D3"/>
          </w:tcPr>
          <w:p>
            <w:pPr/>
          </w:p>
        </w:tc>
        <w:tc>
          <w:tcPr>
            <w:tcW w:w="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9"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655"/>
        <w:gridCol w:w="650"/>
        <w:gridCol w:w="622"/>
        <w:gridCol w:w="624"/>
        <w:gridCol w:w="622"/>
        <w:gridCol w:w="622"/>
        <w:gridCol w:w="617"/>
        <w:gridCol w:w="617"/>
        <w:gridCol w:w="619"/>
        <w:gridCol w:w="590"/>
        <w:gridCol w:w="593"/>
        <w:gridCol w:w="694"/>
        <w:gridCol w:w="689"/>
        <w:gridCol w:w="691"/>
        <w:gridCol w:w="667"/>
      </w:tblGrid>
      <w:tr>
        <w:trPr>
          <w:trHeight w:val="363" w:hRule="exact"/>
        </w:trPr>
        <w:tc>
          <w:tcPr>
            <w:tcW w:w="655"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4"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w:t>
            </w:r>
          </w:p>
        </w:tc>
      </w:tr>
      <w:tr>
        <w:trPr>
          <w:trHeight w:val="311"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防伪溯</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及《证</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源营</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券时</w:t>
            </w:r>
          </w:p>
        </w:tc>
      </w:tr>
      <w:tr>
        <w:trPr>
          <w:trHeight w:val="2184"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79"/>
              <w:jc w:val="both"/>
              <w:rPr>
                <w:rFonts w:ascii="宋体" w:hAnsi="宋体" w:cs="宋体" w:eastAsia="宋体" w:hint="default"/>
                <w:sz w:val="18"/>
                <w:szCs w:val="18"/>
              </w:rPr>
            </w:pPr>
            <w:r>
              <w:rPr>
                <w:rFonts w:ascii="宋体" w:hAnsi="宋体" w:cs="宋体" w:eastAsia="宋体" w:hint="default"/>
                <w:sz w:val="18"/>
                <w:szCs w:val="18"/>
              </w:rPr>
              <w:t>浙江甲 骨文超 级码科 技股份 有限公 司</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74"/>
              <w:jc w:val="both"/>
              <w:rPr>
                <w:rFonts w:ascii="宋体" w:hAnsi="宋体" w:cs="宋体" w:eastAsia="宋体" w:hint="default"/>
                <w:sz w:val="18"/>
                <w:szCs w:val="18"/>
              </w:rPr>
            </w:pPr>
            <w:r>
              <w:rPr>
                <w:rFonts w:ascii="宋体" w:hAnsi="宋体" w:cs="宋体" w:eastAsia="宋体" w:hint="default"/>
                <w:sz w:val="18"/>
                <w:szCs w:val="18"/>
              </w:rPr>
              <w:t>销、农 业信息 化、质 量安全 体系化 与数字 智能化</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0" w:right="0"/>
              <w:jc w:val="left"/>
              <w:rPr>
                <w:rFonts w:ascii="Times New Roman" w:hAnsi="Times New Roman" w:cs="Times New Roman" w:eastAsia="Times New Roman" w:hint="default"/>
                <w:sz w:val="18"/>
                <w:szCs w:val="18"/>
              </w:rPr>
            </w:pPr>
            <w:r>
              <w:rPr>
                <w:rFonts w:ascii="Times New Roman"/>
                <w:sz w:val="18"/>
              </w:rPr>
              <w:t>30,400,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防伪溯 源系统 及软件 产品</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4" w:right="194"/>
              <w:jc w:val="both"/>
              <w:rPr>
                <w:rFonts w:ascii="宋体" w:hAnsi="宋体" w:cs="宋体" w:eastAsia="宋体" w:hint="default"/>
                <w:sz w:val="18"/>
                <w:szCs w:val="18"/>
              </w:rPr>
            </w:pPr>
            <w:r>
              <w:rPr>
                <w:rFonts w:ascii="宋体" w:hAnsi="宋体" w:cs="宋体" w:eastAsia="宋体" w:hint="default"/>
                <w:sz w:val="18"/>
                <w:szCs w:val="18"/>
              </w:rPr>
              <w:t>已办 理股 份登 记手 续</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8" w:right="0"/>
              <w:jc w:val="left"/>
              <w:rPr>
                <w:rFonts w:ascii="Times New Roman" w:hAnsi="Times New Roman" w:cs="Times New Roman" w:eastAsia="Times New Roman" w:hint="default"/>
                <w:sz w:val="18"/>
                <w:szCs w:val="18"/>
              </w:rPr>
            </w:pPr>
            <w:r>
              <w:rPr>
                <w:rFonts w:ascii="Times New Roman"/>
                <w:sz w:val="18"/>
              </w:rPr>
              <w:t>1,328,55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4.67</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91"/>
              <w:jc w:val="both"/>
              <w:rPr>
                <w:rFonts w:ascii="宋体" w:hAnsi="宋体" w:cs="宋体" w:eastAsia="宋体" w:hint="default"/>
                <w:sz w:val="18"/>
                <w:szCs w:val="18"/>
              </w:rPr>
            </w:pPr>
            <w:r>
              <w:rPr>
                <w:rFonts w:ascii="宋体" w:hAnsi="宋体" w:cs="宋体" w:eastAsia="宋体" w:hint="default"/>
                <w:sz w:val="18"/>
                <w:szCs w:val="18"/>
              </w:rPr>
              <w:t>报》刊 载的</w:t>
            </w:r>
          </w:p>
          <w:p>
            <w:pPr>
              <w:pStyle w:val="TableParagraph"/>
              <w:spacing w:line="316" w:lineRule="auto" w:before="19"/>
              <w:ind w:left="23" w:right="91"/>
              <w:jc w:val="both"/>
              <w:rPr>
                <w:rFonts w:ascii="宋体" w:hAnsi="宋体" w:cs="宋体" w:eastAsia="宋体" w:hint="default"/>
                <w:sz w:val="18"/>
                <w:szCs w:val="18"/>
              </w:rPr>
            </w:pPr>
            <w:r>
              <w:rPr>
                <w:rFonts w:ascii="宋体" w:hAnsi="宋体" w:cs="宋体" w:eastAsia="宋体" w:hint="default"/>
                <w:sz w:val="18"/>
                <w:szCs w:val="18"/>
              </w:rPr>
              <w:t>《关于 参股浙 江甲骨 文超级 码科技</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技术服</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股份有</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务的服</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务商</w:t>
            </w: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的公</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08"/>
                <w:sz w:val="18"/>
                <w:szCs w:val="18"/>
              </w:rPr>
              <w:t>》</w:t>
            </w:r>
            <w:r>
              <w:rPr>
                <w:rFonts w:ascii="宋体" w:hAnsi="宋体" w:cs="宋体" w:eastAsia="宋体" w:hint="default"/>
                <w:sz w:val="18"/>
                <w:szCs w:val="18"/>
              </w:rPr>
              <w:t>（公</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告编</w:t>
            </w:r>
          </w:p>
        </w:tc>
      </w:tr>
      <w:tr>
        <w:trPr>
          <w:trHeight w:val="313"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2019-03</w:t>
            </w:r>
          </w:p>
        </w:tc>
      </w:tr>
      <w:tr>
        <w:trPr>
          <w:trHeight w:val="349" w:hRule="exact"/>
        </w:trPr>
        <w:tc>
          <w:tcPr>
            <w:tcW w:w="655"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715" w:hRule="exact"/>
        </w:trPr>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30,400,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1,328,55</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4.67</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、报告期内正在进行的重大的非股权投资情况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363" w:hRule="exact"/>
        </w:trPr>
        <w:tc>
          <w:tcPr>
            <w:tcW w:w="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截止报</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未达到</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6" w:hRule="exact"/>
        </w:trPr>
        <w:tc>
          <w:tcPr>
            <w:tcW w:w="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89"/>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91"/>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 w:hRule="exact"/>
        </w:trPr>
        <w:tc>
          <w:tcPr>
            <w:tcW w:w="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于公司</w:t>
            </w: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战略性 包装工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项 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87,876.0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2" w:right="0"/>
              <w:jc w:val="left"/>
              <w:rPr>
                <w:rFonts w:ascii="Times New Roman" w:hAnsi="Times New Roman" w:cs="Times New Roman" w:eastAsia="Times New Roman" w:hint="default"/>
                <w:sz w:val="18"/>
                <w:szCs w:val="18"/>
              </w:rPr>
            </w:pPr>
            <w:r>
              <w:rPr>
                <w:rFonts w:ascii="Times New Roman"/>
                <w:sz w:val="18"/>
              </w:rPr>
              <w:t>36,180,8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7.24%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于郑州 市投资 建设战 略性包</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装工业</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暨签署</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投资协</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议的公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2016-00</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4"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24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9" w:lineRule="auto" w:before="2"/>
              <w:ind w:left="24" w:right="62"/>
              <w:jc w:val="left"/>
              <w:rPr>
                <w:rFonts w:ascii="宋体" w:hAnsi="宋体" w:cs="宋体" w:eastAsia="宋体" w:hint="default"/>
                <w:sz w:val="18"/>
                <w:szCs w:val="18"/>
              </w:rPr>
            </w:pPr>
            <w:r>
              <w:rPr>
                <w:rFonts w:ascii="宋体" w:hAnsi="宋体" w:cs="宋体" w:eastAsia="宋体" w:hint="default"/>
                <w:sz w:val="18"/>
                <w:szCs w:val="18"/>
              </w:rPr>
              <w:t>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240" w:lineRule="auto" w:before="24"/>
              <w:ind w:left="24" w:right="-22"/>
              <w:jc w:val="left"/>
              <w:rPr>
                <w:rFonts w:ascii="宋体" w:hAnsi="宋体" w:cs="宋体" w:eastAsia="宋体" w:hint="default"/>
                <w:sz w:val="18"/>
                <w:szCs w:val="18"/>
              </w:rPr>
            </w:pPr>
            <w:r>
              <w:rPr>
                <w:rFonts w:ascii="宋体" w:hAnsi="宋体" w:cs="宋体" w:eastAsia="宋体" w:hint="default"/>
                <w:sz w:val="18"/>
                <w:szCs w:val="18"/>
              </w:rPr>
              <w:t>（长沙）</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72" w:right="0"/>
              <w:jc w:val="left"/>
              <w:rPr>
                <w:rFonts w:ascii="Times New Roman" w:hAnsi="Times New Roman" w:cs="Times New Roman" w:eastAsia="Times New Roman" w:hint="default"/>
                <w:sz w:val="18"/>
                <w:szCs w:val="18"/>
              </w:rPr>
            </w:pPr>
            <w:r>
              <w:rPr>
                <w:rFonts w:ascii="Times New Roman"/>
                <w:sz w:val="18"/>
              </w:rPr>
              <w:t>91,851,8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40.67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52" w:right="0"/>
              <w:jc w:val="center"/>
              <w:rPr>
                <w:rFonts w:ascii="Times New Roman" w:hAnsi="Times New Roman" w:cs="Times New Roman" w:eastAsia="Times New Roman" w:hint="default"/>
                <w:sz w:val="18"/>
                <w:szCs w:val="18"/>
              </w:rPr>
            </w:pPr>
            <w:r>
              <w:rPr>
                <w:rFonts w:ascii="Times New Roman"/>
                <w:sz w:val="18"/>
              </w:rPr>
              <w:t>207,789,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072.74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41.56%</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0" w:right="0"/>
              <w:jc w:val="center"/>
              <w:rPr>
                <w:rFonts w:ascii="Times New Roman" w:hAnsi="Times New Roman" w:cs="Times New Roman" w:eastAsia="Times New Roman" w:hint="default"/>
                <w:sz w:val="18"/>
                <w:szCs w:val="18"/>
              </w:rPr>
            </w:pPr>
            <w:r>
              <w:rPr>
                <w:rFonts w:ascii="Times New Roman"/>
                <w:sz w:val="18"/>
              </w:rPr>
              <w:t>-2,571,1</w:t>
            </w:r>
          </w:p>
          <w:p>
            <w:pPr>
              <w:pStyle w:val="TableParagraph"/>
              <w:spacing w:line="240" w:lineRule="auto" w:before="102"/>
              <w:ind w:left="274" w:right="0"/>
              <w:jc w:val="center"/>
              <w:rPr>
                <w:rFonts w:ascii="Times New Roman" w:hAnsi="Times New Roman" w:cs="Times New Roman" w:eastAsia="Times New Roman" w:hint="default"/>
                <w:sz w:val="18"/>
                <w:szCs w:val="18"/>
              </w:rPr>
            </w:pPr>
            <w:r>
              <w:rPr>
                <w:rFonts w:ascii="Times New Roman"/>
                <w:sz w:val="18"/>
              </w:rPr>
              <w:t>69.26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投资落</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户合同</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书的公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2016-06</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218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15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（成都） 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61,578,0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15.94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148,041,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008.06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28" w:right="0"/>
              <w:jc w:val="center"/>
              <w:rPr>
                <w:rFonts w:ascii="Times New Roman" w:hAnsi="Times New Roman" w:cs="Times New Roman" w:eastAsia="Times New Roman" w:hint="default"/>
                <w:sz w:val="18"/>
                <w:szCs w:val="18"/>
              </w:rPr>
            </w:pPr>
            <w:r>
              <w:rPr>
                <w:rFonts w:ascii="Times New Roman"/>
                <w:sz w:val="18"/>
              </w:rPr>
              <w:t>24.64%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5,955,16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于使用 非公开 发行股 票募集 资金向 全资子 公司增</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资以实</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施募投</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项目的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2016-08</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364"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249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4" w:lineRule="auto" w:before="159"/>
              <w:ind w:left="24" w:right="19"/>
              <w:jc w:val="left"/>
              <w:rPr>
                <w:rFonts w:ascii="宋体" w:hAnsi="宋体" w:cs="宋体" w:eastAsia="宋体" w:hint="default"/>
                <w:sz w:val="18"/>
                <w:szCs w:val="18"/>
              </w:rPr>
            </w:pPr>
            <w:r>
              <w:rPr>
                <w:rFonts w:ascii="宋体" w:hAnsi="宋体" w:cs="宋体" w:eastAsia="宋体" w:hint="default"/>
                <w:sz w:val="18"/>
                <w:szCs w:val="18"/>
              </w:rPr>
              <w:t>基于装 备制造 的智慧 包装工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产 业园项 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72" w:right="0"/>
              <w:jc w:val="left"/>
              <w:rPr>
                <w:rFonts w:ascii="Times New Roman" w:hAnsi="Times New Roman" w:cs="Times New Roman" w:eastAsia="Times New Roman" w:hint="default"/>
                <w:sz w:val="18"/>
                <w:szCs w:val="18"/>
              </w:rPr>
            </w:pPr>
            <w:r>
              <w:rPr>
                <w:rFonts w:ascii="Times New Roman"/>
                <w:sz w:val="18"/>
              </w:rPr>
              <w:t>18,565,9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83.13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52" w:right="0"/>
              <w:jc w:val="center"/>
              <w:rPr>
                <w:rFonts w:ascii="Times New Roman" w:hAnsi="Times New Roman" w:cs="Times New Roman" w:eastAsia="Times New Roman" w:hint="default"/>
                <w:sz w:val="18"/>
                <w:szCs w:val="18"/>
              </w:rPr>
            </w:pPr>
            <w:r>
              <w:rPr>
                <w:rFonts w:ascii="Times New Roman"/>
                <w:sz w:val="18"/>
              </w:rPr>
              <w:t>120,761,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641.25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13.72%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42"/>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重大投 资协议 暨股票 复牌的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2016-07</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55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7"/>
              <w:ind w:left="24"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深圳智 慧农谷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1"/>
                <w:sz w:val="18"/>
                <w:szCs w:val="18"/>
              </w:rPr>
              <w:t>农业、旅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5,110,19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17,769,0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1.18%</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农地开 发合作</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合同的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2016-07</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64"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249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4" w:lineRule="auto" w:before="161"/>
              <w:ind w:left="24" w:right="19"/>
              <w:jc w:val="left"/>
              <w:rPr>
                <w:rFonts w:ascii="宋体" w:hAnsi="宋体" w:cs="宋体" w:eastAsia="宋体" w:hint="default"/>
                <w:sz w:val="18"/>
                <w:szCs w:val="18"/>
              </w:rPr>
            </w:pPr>
            <w:r>
              <w:rPr>
                <w:rFonts w:ascii="宋体" w:hAnsi="宋体" w:cs="宋体" w:eastAsia="宋体" w:hint="default"/>
                <w:sz w:val="18"/>
                <w:szCs w:val="18"/>
              </w:rPr>
              <w:t>包装印 刷工业 进出口 贸易及 保税加 工</w:t>
            </w:r>
            <w:r>
              <w:rPr>
                <w:rFonts w:ascii="Times New Roman" w:hAnsi="Times New Roman" w:cs="Times New Roman" w:eastAsia="Times New Roman" w:hint="default"/>
                <w:sz w:val="18"/>
                <w:szCs w:val="18"/>
              </w:rPr>
              <w:t>(</w:t>
            </w:r>
            <w:r>
              <w:rPr>
                <w:rFonts w:ascii="宋体" w:hAnsi="宋体" w:cs="宋体" w:eastAsia="宋体" w:hint="default"/>
                <w:sz w:val="18"/>
                <w:szCs w:val="18"/>
              </w:rPr>
              <w:t>岳 </w:t>
            </w:r>
            <w:r>
              <w:rPr>
                <w:rFonts w:ascii="宋体" w:hAnsi="宋体" w:cs="宋体" w:eastAsia="宋体" w:hint="default"/>
                <w:spacing w:val="-11"/>
                <w:sz w:val="18"/>
                <w:szCs w:val="18"/>
              </w:rPr>
              <w:t>阳）项目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2" w:right="0"/>
              <w:jc w:val="left"/>
              <w:rPr>
                <w:rFonts w:ascii="Times New Roman" w:hAnsi="Times New Roman" w:cs="Times New Roman" w:eastAsia="Times New Roman" w:hint="default"/>
                <w:sz w:val="18"/>
                <w:szCs w:val="18"/>
              </w:rPr>
            </w:pPr>
            <w:r>
              <w:rPr>
                <w:rFonts w:ascii="Times New Roman"/>
                <w:sz w:val="18"/>
              </w:rPr>
              <w:t>21,470,3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2" w:right="0"/>
              <w:jc w:val="left"/>
              <w:rPr>
                <w:rFonts w:ascii="Times New Roman" w:hAnsi="Times New Roman" w:cs="Times New Roman" w:eastAsia="Times New Roman" w:hint="default"/>
                <w:sz w:val="18"/>
                <w:szCs w:val="18"/>
              </w:rPr>
            </w:pPr>
            <w:r>
              <w:rPr>
                <w:rFonts w:ascii="Times New Roman"/>
                <w:sz w:val="18"/>
              </w:rPr>
              <w:t>78,088,6</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55.11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28" w:right="0"/>
              <w:jc w:val="center"/>
              <w:rPr>
                <w:rFonts w:ascii="Times New Roman" w:hAnsi="Times New Roman" w:cs="Times New Roman" w:eastAsia="Times New Roman" w:hint="default"/>
                <w:sz w:val="18"/>
                <w:szCs w:val="18"/>
              </w:rPr>
            </w:pPr>
            <w:r>
              <w:rPr>
                <w:rFonts w:ascii="Times New Roman"/>
                <w:sz w:val="18"/>
              </w:rPr>
              <w:t>15.62%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9" w:lineRule="auto" w:before="3"/>
              <w:ind w:left="23" w:right="22"/>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cninfo.co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招商合 作协议 书的公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（公</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告编号：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2017-01</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pacing w:val="-11"/>
                <w:sz w:val="18"/>
                <w:szCs w:val="18"/>
              </w:rPr>
              <w:t>露的《关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于全资</w:t>
            </w: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6"/>
              <w:jc w:val="both"/>
              <w:rPr>
                <w:rFonts w:ascii="宋体" w:hAnsi="宋体" w:cs="宋体" w:eastAsia="宋体" w:hint="default"/>
                <w:sz w:val="18"/>
                <w:szCs w:val="18"/>
              </w:rPr>
            </w:pPr>
            <w:r>
              <w:rPr>
                <w:rFonts w:ascii="宋体" w:hAnsi="宋体" w:cs="宋体" w:eastAsia="宋体" w:hint="default"/>
                <w:sz w:val="18"/>
                <w:szCs w:val="18"/>
              </w:rPr>
              <w:t>高端环 保包装 生产基 地项目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377,972.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2" w:right="0"/>
              <w:jc w:val="left"/>
              <w:rPr>
                <w:rFonts w:ascii="Times New Roman" w:hAnsi="Times New Roman" w:cs="Times New Roman" w:eastAsia="Times New Roman" w:hint="default"/>
                <w:sz w:val="18"/>
                <w:szCs w:val="18"/>
              </w:rPr>
            </w:pPr>
            <w:r>
              <w:rPr>
                <w:rFonts w:ascii="Times New Roman"/>
                <w:sz w:val="18"/>
              </w:rPr>
              <w:t>20,309,0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6.77%</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61"/>
              <w:jc w:val="both"/>
              <w:rPr>
                <w:rFonts w:ascii="宋体" w:hAnsi="宋体" w:cs="宋体" w:eastAsia="宋体" w:hint="default"/>
                <w:sz w:val="18"/>
                <w:szCs w:val="18"/>
              </w:rPr>
            </w:pPr>
            <w:r>
              <w:rPr>
                <w:rFonts w:ascii="宋体" w:hAnsi="宋体" w:cs="宋体" w:eastAsia="宋体" w:hint="default"/>
                <w:sz w:val="18"/>
                <w:szCs w:val="18"/>
              </w:rPr>
              <w:t>子公司 苏州美 盈森环 保科技</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司签订</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投资协</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议书的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2017-01</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64"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4" w:right="36"/>
              <w:jc w:val="left"/>
              <w:rPr>
                <w:rFonts w:ascii="宋体" w:hAnsi="宋体" w:cs="宋体" w:eastAsia="宋体" w:hint="default"/>
                <w:sz w:val="18"/>
                <w:szCs w:val="18"/>
              </w:rPr>
            </w:pPr>
            <w:r>
              <w:rPr>
                <w:rFonts w:ascii="宋体" w:hAnsi="宋体" w:cs="宋体" w:eastAsia="宋体" w:hint="default"/>
                <w:sz w:val="18"/>
                <w:szCs w:val="18"/>
              </w:rPr>
              <w:t>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72" w:right="0"/>
              <w:jc w:val="left"/>
              <w:rPr>
                <w:rFonts w:ascii="Times New Roman" w:hAnsi="Times New Roman" w:cs="Times New Roman" w:eastAsia="Times New Roman" w:hint="default"/>
                <w:sz w:val="18"/>
                <w:szCs w:val="18"/>
              </w:rPr>
            </w:pPr>
            <w:r>
              <w:rPr>
                <w:rFonts w:ascii="Times New Roman"/>
                <w:sz w:val="18"/>
              </w:rPr>
              <w:t>64,775,5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45.23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52" w:right="0"/>
              <w:jc w:val="center"/>
              <w:rPr>
                <w:rFonts w:ascii="Times New Roman" w:hAnsi="Times New Roman" w:cs="Times New Roman" w:eastAsia="Times New Roman" w:hint="default"/>
                <w:sz w:val="18"/>
                <w:szCs w:val="18"/>
              </w:rPr>
            </w:pPr>
            <w:r>
              <w:rPr>
                <w:rFonts w:ascii="Times New Roman"/>
                <w:sz w:val="18"/>
              </w:rPr>
              <w:t>169,532,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658.06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筹资金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21.19%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71" w:right="0"/>
              <w:jc w:val="left"/>
              <w:rPr>
                <w:rFonts w:ascii="Times New Roman" w:hAnsi="Times New Roman" w:cs="Times New Roman" w:eastAsia="Times New Roman" w:hint="default"/>
                <w:sz w:val="18"/>
                <w:szCs w:val="18"/>
              </w:rPr>
            </w:pPr>
            <w:r>
              <w:rPr>
                <w:rFonts w:ascii="Times New Roman"/>
                <w:sz w:val="18"/>
              </w:rPr>
              <w:t>1,645,26</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z w:val="18"/>
              </w:rPr>
              <w:t>2.11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161"/>
              <w:jc w:val="both"/>
              <w:rPr>
                <w:rFonts w:ascii="宋体" w:hAnsi="宋体" w:cs="宋体" w:eastAsia="宋体" w:hint="default"/>
                <w:sz w:val="18"/>
                <w:szCs w:val="18"/>
              </w:rPr>
            </w:pPr>
            <w:r>
              <w:rPr>
                <w:rFonts w:ascii="宋体" w:hAnsi="宋体" w:cs="宋体" w:eastAsia="宋体" w:hint="default"/>
                <w:sz w:val="18"/>
                <w:szCs w:val="18"/>
              </w:rPr>
              <w:t>项目已 开始逐 步投入 使用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2" w:lineRule="auto" w:before="2"/>
              <w:ind w:left="23"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于签订 投资协</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议书的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2017-05</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5"/>
          <w:pgSz w:w="11910" w:h="16840"/>
          <w:pgMar w:footer="982" w:header="753" w:top="1060" w:bottom="1180" w:left="980" w:right="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司于巨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4"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cninfo.co</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w:t>
            </w:r>
          </w:p>
        </w:tc>
      </w:tr>
      <w:tr>
        <w:trPr>
          <w:trHeight w:val="124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56"/>
              <w:jc w:val="both"/>
              <w:rPr>
                <w:rFonts w:ascii="宋体" w:hAnsi="宋体" w:cs="宋体" w:eastAsia="宋体" w:hint="default"/>
                <w:sz w:val="18"/>
                <w:szCs w:val="18"/>
              </w:rPr>
            </w:pPr>
            <w:r>
              <w:rPr>
                <w:rFonts w:ascii="宋体" w:hAnsi="宋体" w:cs="宋体" w:eastAsia="宋体" w:hint="default"/>
                <w:sz w:val="18"/>
                <w:szCs w:val="18"/>
              </w:rPr>
              <w:t>智能包 装研发 生产基 地项目</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23,267,8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46,582,2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10.83%</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22"/>
              <w:jc w:val="left"/>
              <w:rPr>
                <w:rFonts w:ascii="宋体" w:hAnsi="宋体" w:cs="宋体" w:eastAsia="宋体" w:hint="default"/>
                <w:sz w:val="18"/>
                <w:szCs w:val="18"/>
              </w:rPr>
            </w:pPr>
            <w:r>
              <w:rPr>
                <w:rFonts w:ascii="宋体" w:hAnsi="宋体" w:cs="宋体" w:eastAsia="宋体" w:hint="default"/>
                <w:spacing w:val="-11"/>
                <w:sz w:val="18"/>
                <w:szCs w:val="18"/>
              </w:rPr>
              <w:t>露的《关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于实施 智能包 装研发</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生产基</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地项目</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17"/>
              <w:jc w:val="left"/>
              <w:rPr>
                <w:rFonts w:ascii="宋体" w:hAnsi="宋体" w:cs="宋体" w:eastAsia="宋体" w:hint="default"/>
                <w:sz w:val="18"/>
                <w:szCs w:val="18"/>
              </w:rPr>
            </w:pPr>
            <w:r>
              <w:rPr>
                <w:rFonts w:ascii="宋体" w:hAnsi="宋体" w:cs="宋体" w:eastAsia="宋体" w:hint="default"/>
                <w:sz w:val="18"/>
                <w:szCs w:val="18"/>
              </w:rPr>
              <w:t>的公告》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3" w:right="0"/>
              <w:jc w:val="left"/>
              <w:rPr>
                <w:rFonts w:ascii="Times New Roman" w:hAnsi="Times New Roman" w:cs="Times New Roman" w:eastAsia="Times New Roman" w:hint="default"/>
                <w:sz w:val="18"/>
                <w:szCs w:val="18"/>
              </w:rPr>
            </w:pPr>
            <w:r>
              <w:rPr>
                <w:rFonts w:ascii="Times New Roman"/>
                <w:sz w:val="18"/>
              </w:rPr>
              <w:t>2018-01</w:t>
            </w:r>
          </w:p>
        </w:tc>
      </w:tr>
      <w:tr>
        <w:trPr>
          <w:trHeight w:val="349"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287,085,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640.31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845,054,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243.31</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5,029,25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5.04</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w:t>
      </w:r>
      <w:r>
        <w:rPr/>
        <w:t>、以公允价值计量的金融资产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87"/>
        <w:gridCol w:w="895"/>
        <w:gridCol w:w="1090"/>
        <w:gridCol w:w="1178"/>
        <w:gridCol w:w="1193"/>
        <w:gridCol w:w="958"/>
        <w:gridCol w:w="955"/>
        <w:gridCol w:w="955"/>
        <w:gridCol w:w="958"/>
      </w:tblGrid>
      <w:tr>
        <w:trPr>
          <w:trHeight w:val="1027"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4" w:right="21"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62" w:hRule="exact"/>
        </w:trPr>
        <w:tc>
          <w:tcPr>
            <w:tcW w:w="138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1178" w:type="dxa"/>
            <w:vMerge w:val="restart"/>
            <w:tcBorders>
              <w:top w:val="single" w:sz="4" w:space="0" w:color="000000"/>
              <w:left w:val="single" w:sz="4" w:space="0" w:color="000000"/>
              <w:right w:val="single" w:sz="4" w:space="0" w:color="000000"/>
            </w:tcBorders>
          </w:tcPr>
          <w:p>
            <w:pPr/>
          </w:p>
        </w:tc>
        <w:tc>
          <w:tcPr>
            <w:tcW w:w="1193"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暂时闲置的</w:t>
            </w:r>
          </w:p>
        </w:tc>
      </w:tr>
      <w:tr>
        <w:trPr>
          <w:trHeight w:val="624" w:hRule="exact"/>
        </w:trPr>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2" w:right="0"/>
              <w:jc w:val="left"/>
              <w:rPr>
                <w:rFonts w:ascii="Times New Roman" w:hAnsi="Times New Roman" w:cs="Times New Roman" w:eastAsia="Times New Roman" w:hint="default"/>
                <w:sz w:val="18"/>
                <w:szCs w:val="18"/>
              </w:rPr>
            </w:pPr>
            <w:r>
              <w:rPr>
                <w:rFonts w:ascii="Times New Roman"/>
                <w:sz w:val="18"/>
              </w:rPr>
              <w:t>740,838,72</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7.02</w:t>
            </w:r>
          </w:p>
        </w:tc>
        <w:tc>
          <w:tcPr>
            <w:tcW w:w="1090"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1,478,980,000.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69" w:right="0"/>
              <w:jc w:val="left"/>
              <w:rPr>
                <w:rFonts w:ascii="Times New Roman" w:hAnsi="Times New Roman" w:cs="Times New Roman" w:eastAsia="Times New Roman" w:hint="default"/>
                <w:sz w:val="18"/>
                <w:szCs w:val="18"/>
              </w:rPr>
            </w:pPr>
            <w:r>
              <w:rPr>
                <w:rFonts w:ascii="Times New Roman"/>
                <w:sz w:val="18"/>
              </w:rPr>
              <w:t>1,708,980,0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15,900,379.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508,908,643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21"/>
              <w:jc w:val="left"/>
              <w:rPr>
                <w:rFonts w:ascii="宋体" w:hAnsi="宋体" w:cs="宋体" w:eastAsia="宋体" w:hint="default"/>
                <w:sz w:val="18"/>
                <w:szCs w:val="18"/>
              </w:rPr>
            </w:pPr>
            <w:r>
              <w:rPr>
                <w:rFonts w:ascii="宋体" w:hAnsi="宋体" w:cs="宋体" w:eastAsia="宋体" w:hint="default"/>
                <w:sz w:val="18"/>
                <w:szCs w:val="18"/>
              </w:rPr>
              <w:t>部分募集资 金及自有资</w:t>
            </w:r>
          </w:p>
        </w:tc>
      </w:tr>
      <w:tr>
        <w:trPr>
          <w:trHeight w:val="351" w:hRule="exact"/>
        </w:trPr>
        <w:tc>
          <w:tcPr>
            <w:tcW w:w="138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193"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7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741,838,72</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7.02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1,478,980,000.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1,708,980,0</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15,900,379.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509,908,643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5</w:t>
      </w:r>
      <w:r>
        <w:rPr/>
        <w:t>、募集资金使用情况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1</w:t>
      </w:r>
      <w:r>
        <w:rPr/>
        <w:t>）募集资金总体使用情况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6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27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0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109,812.94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300.98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104,962.04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14,731.52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首次公开 发行股票 募集资金 已全部使 用完毕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09"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138,811.2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25,452.59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71,475.74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93,811.09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75,354.62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集资金存 放于募集 资金专户 </w:t>
            </w:r>
            <w:r>
              <w:rPr>
                <w:rFonts w:ascii="宋体" w:hAnsi="宋体" w:cs="宋体" w:eastAsia="宋体" w:hint="default"/>
                <w:spacing w:val="-18"/>
                <w:sz w:val="18"/>
                <w:szCs w:val="18"/>
              </w:rPr>
              <w:t>当中，将用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金投资项 目的投资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248,624.14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25,753.57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176,437.78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108,542.61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43.66%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75,354.62</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[2009]1013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号文《关于核准深圳市美盈森环保科技股份有限公司首次公开发行 </w:t>
            </w:r>
            <w:r>
              <w:rPr>
                <w:rFonts w:ascii="宋体" w:hAnsi="宋体" w:cs="宋体" w:eastAsia="宋体" w:hint="default"/>
                <w:spacing w:val="-1"/>
                <w:sz w:val="18"/>
                <w:szCs w:val="18"/>
              </w:rPr>
              <w:t>股票的批复》核准，公司采用网下向询价对象询价配售和网上资金申购定价发行相结合的方式，向社会公众公开发行了普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万股，每股发行价格为人民币 </w:t>
            </w:r>
            <w:r>
              <w:rPr>
                <w:rFonts w:ascii="Times New Roman" w:hAnsi="Times New Roman" w:cs="Times New Roman" w:eastAsia="Times New Roman" w:hint="default"/>
                <w:sz w:val="18"/>
                <w:szCs w:val="18"/>
              </w:rPr>
              <w:t>25.36  </w:t>
            </w:r>
            <w:r>
              <w:rPr>
                <w:rFonts w:ascii="宋体" w:hAnsi="宋体" w:cs="宋体" w:eastAsia="宋体" w:hint="default"/>
                <w:sz w:val="18"/>
                <w:szCs w:val="18"/>
              </w:rPr>
              <w:t>元。公司共募集资金 </w:t>
            </w:r>
            <w:r>
              <w:rPr>
                <w:rFonts w:ascii="Times New Roman" w:hAnsi="Times New Roman" w:cs="Times New Roman" w:eastAsia="Times New Roman" w:hint="default"/>
                <w:sz w:val="18"/>
                <w:szCs w:val="18"/>
              </w:rPr>
              <w:t>1,141,200,000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元，扣除发行费用</w:t>
            </w:r>
          </w:p>
          <w:p>
            <w:pPr>
              <w:pStyle w:val="TableParagraph"/>
              <w:spacing w:line="300" w:lineRule="auto" w:before="7"/>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43,070,599 </w:t>
            </w:r>
            <w:r>
              <w:rPr>
                <w:rFonts w:ascii="宋体" w:hAnsi="宋体" w:cs="宋体" w:eastAsia="宋体" w:hint="default"/>
                <w:sz w:val="18"/>
                <w:szCs w:val="18"/>
              </w:rPr>
              <w:t>元后，募集资金净额为 </w:t>
            </w:r>
            <w:r>
              <w:rPr>
                <w:rFonts w:ascii="Times New Roman" w:hAnsi="Times New Roman" w:cs="Times New Roman" w:eastAsia="Times New Roman" w:hint="default"/>
                <w:sz w:val="18"/>
                <w:szCs w:val="18"/>
              </w:rPr>
              <w:t>1,098,129,401 </w:t>
            </w:r>
            <w:r>
              <w:rPr>
                <w:rFonts w:ascii="宋体" w:hAnsi="宋体" w:cs="宋体" w:eastAsia="宋体" w:hint="default"/>
                <w:sz w:val="18"/>
                <w:szCs w:val="18"/>
              </w:rPr>
              <w:t>元。该募集资金已于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日全部到位，并经大信会计师 事务有限公司大信验字 </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4-0019</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号《验资报告》审验确认。（</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）经中国证券监督管理委员会《关于核准美盈森集</w:t>
            </w:r>
            <w:r>
              <w:rPr>
                <w:rFonts w:ascii="宋体" w:hAnsi="宋体" w:cs="宋体" w:eastAsia="宋体" w:hint="default"/>
                <w:sz w:val="18"/>
                <w:szCs w:val="18"/>
              </w:rPr>
              <w:t> </w:t>
            </w:r>
            <w:r>
              <w:rPr>
                <w:rFonts w:ascii="宋体" w:hAnsi="宋体" w:cs="宋体" w:eastAsia="宋体" w:hint="default"/>
                <w:spacing w:val="-3"/>
                <w:sz w:val="18"/>
                <w:szCs w:val="18"/>
              </w:rPr>
              <w:t>团股份有限公司非公开发行股票的批复》（证监许可</w:t>
            </w:r>
            <w:r>
              <w:rPr>
                <w:rFonts w:ascii="Times New Roman" w:hAnsi="Times New Roman" w:cs="Times New Roman" w:eastAsia="Times New Roman" w:hint="default"/>
                <w:spacing w:val="-3"/>
                <w:sz w:val="18"/>
                <w:szCs w:val="18"/>
              </w:rPr>
              <w:t>[2016]1225</w:t>
            </w:r>
            <w:r>
              <w:rPr>
                <w:rFonts w:ascii="Times New Roman" w:hAnsi="Times New Roman" w:cs="Times New Roman" w:eastAsia="Times New Roman" w:hint="default"/>
                <w:spacing w:val="26"/>
                <w:sz w:val="18"/>
                <w:szCs w:val="18"/>
              </w:rPr>
              <w:t> </w:t>
            </w:r>
            <w:r>
              <w:rPr>
                <w:rFonts w:ascii="宋体" w:hAnsi="宋体" w:cs="宋体" w:eastAsia="宋体" w:hint="default"/>
                <w:spacing w:val="-1"/>
                <w:sz w:val="18"/>
                <w:szCs w:val="18"/>
              </w:rPr>
              <w:t>号）文核准，以非公开发行股票方式向特定投资者发行了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2"/>
                <w:sz w:val="18"/>
                <w:szCs w:val="18"/>
              </w:rPr>
              <w:t>111,923,685</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股人民币普通股（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4"/>
                <w:sz w:val="18"/>
                <w:szCs w:val="18"/>
              </w:rPr>
              <w:t>股），发行价格</w:t>
            </w:r>
            <w:r>
              <w:rPr>
                <w:rFonts w:ascii="宋体" w:hAnsi="宋体" w:cs="宋体" w:eastAsia="宋体" w:hint="default"/>
                <w:sz w:val="18"/>
                <w:szCs w:val="18"/>
              </w:rPr>
              <w:t> </w:t>
            </w:r>
            <w:r>
              <w:rPr>
                <w:rFonts w:ascii="Times New Roman" w:hAnsi="Times New Roman" w:cs="Times New Roman" w:eastAsia="Times New Roman" w:hint="default"/>
                <w:sz w:val="18"/>
                <w:szCs w:val="18"/>
              </w:rPr>
              <w:t>12.58  </w:t>
            </w:r>
            <w:r>
              <w:rPr>
                <w:rFonts w:ascii="宋体" w:hAnsi="宋体" w:cs="宋体" w:eastAsia="宋体" w:hint="default"/>
                <w:spacing w:val="-1"/>
                <w:w w:val="99"/>
                <w:sz w:val="18"/>
                <w:szCs w:val="18"/>
              </w:rPr>
              <w:t>元</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股，本次募集资金总额为人民币</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1,407,999,957.30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元，扣除发</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行费用 </w:t>
            </w:r>
            <w:r>
              <w:rPr>
                <w:rFonts w:ascii="Times New Roman" w:hAnsi="Times New Roman" w:cs="Times New Roman" w:eastAsia="Times New Roman" w:hint="default"/>
                <w:sz w:val="18"/>
                <w:szCs w:val="18"/>
              </w:rPr>
              <w:t>19,887,923.18  </w:t>
            </w:r>
            <w:r>
              <w:rPr>
                <w:rFonts w:ascii="宋体" w:hAnsi="宋体" w:cs="宋体" w:eastAsia="宋体" w:hint="default"/>
                <w:sz w:val="18"/>
                <w:szCs w:val="18"/>
              </w:rPr>
              <w:t>元，本次募集资金净额为 </w:t>
            </w:r>
            <w:r>
              <w:rPr>
                <w:rFonts w:ascii="Times New Roman" w:hAnsi="Times New Roman" w:cs="Times New Roman" w:eastAsia="Times New Roman" w:hint="default"/>
                <w:sz w:val="18"/>
                <w:szCs w:val="18"/>
              </w:rPr>
              <w:t>1,388,112,034.12  </w:t>
            </w:r>
            <w:r>
              <w:rPr>
                <w:rFonts w:ascii="宋体" w:hAnsi="宋体" w:cs="宋体" w:eastAsia="宋体" w:hint="default"/>
                <w:sz w:val="18"/>
                <w:szCs w:val="18"/>
              </w:rPr>
              <w:t>元。该项募集资金已于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日到账，并</w:t>
            </w:r>
          </w:p>
          <w:p>
            <w:pPr>
              <w:pStyle w:val="TableParagraph"/>
              <w:spacing w:line="312" w:lineRule="auto" w:before="63"/>
              <w:ind w:left="24" w:right="16"/>
              <w:jc w:val="both"/>
              <w:rPr>
                <w:rFonts w:ascii="宋体" w:hAnsi="宋体" w:cs="宋体" w:eastAsia="宋体" w:hint="default"/>
                <w:sz w:val="18"/>
                <w:szCs w:val="18"/>
              </w:rPr>
            </w:pPr>
            <w:r>
              <w:rPr>
                <w:rFonts w:ascii="宋体" w:hAnsi="宋体" w:cs="宋体" w:eastAsia="宋体" w:hint="default"/>
                <w:spacing w:val="-3"/>
                <w:sz w:val="18"/>
                <w:szCs w:val="18"/>
              </w:rPr>
              <w:t>经大信会计师事务所（特殊普通合伙）审验，出具了《验资报告》（大信验字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5-00045 </w:t>
            </w:r>
            <w:r>
              <w:rPr>
                <w:rFonts w:ascii="宋体" w:hAnsi="宋体" w:cs="宋体" w:eastAsia="宋体" w:hint="default"/>
                <w:spacing w:val="-8"/>
                <w:sz w:val="18"/>
                <w:szCs w:val="18"/>
              </w:rPr>
              <w:t>号）。公司按照中国证券监</w:t>
            </w:r>
            <w:r>
              <w:rPr>
                <w:rFonts w:ascii="宋体" w:hAnsi="宋体" w:cs="宋体" w:eastAsia="宋体" w:hint="default"/>
                <w:sz w:val="18"/>
                <w:szCs w:val="18"/>
              </w:rPr>
              <w:t> </w:t>
            </w:r>
            <w:r>
              <w:rPr>
                <w:rFonts w:ascii="宋体" w:hAnsi="宋体" w:cs="宋体" w:eastAsia="宋体" w:hint="default"/>
                <w:spacing w:val="-1"/>
                <w:sz w:val="18"/>
                <w:szCs w:val="18"/>
              </w:rPr>
              <w:t>督管理委员会和深圳证券交易所关于募集资金存储和使用的相关规定和要求存储和使用募集资金。公司募集资金实行专户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存储，并与银行及保荐机构签订了募集资金三方监管协议。募集资金使用过程中严格履行相应的申请和审批程序，充分接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受保荐机构、独立董事以及公司监事会的监督。</w:t>
            </w:r>
          </w:p>
        </w:tc>
      </w:tr>
    </w:tbl>
    <w:p>
      <w:pPr>
        <w:spacing w:after="0" w:line="312" w:lineRule="auto"/>
        <w:jc w:val="both"/>
        <w:rPr>
          <w:rFonts w:ascii="宋体" w:hAnsi="宋体" w:cs="宋体" w:eastAsia="宋体" w:hint="default"/>
          <w:sz w:val="18"/>
          <w:szCs w:val="18"/>
        </w:rPr>
        <w:sectPr>
          <w:pgSz w:w="11910" w:h="16840"/>
          <w:pgMar w:header="753" w:footer="982" w:top="1060" w:bottom="1180" w:left="980" w:right="0"/>
        </w:sectPr>
      </w:pPr>
    </w:p>
    <w:p>
      <w:pPr>
        <w:spacing w:line="240" w:lineRule="auto" w:before="10"/>
        <w:rPr>
          <w:rFonts w:ascii="宋体" w:hAnsi="宋体" w:cs="宋体" w:eastAsia="宋体" w:hint="default"/>
          <w:sz w:val="24"/>
          <w:szCs w:val="24"/>
        </w:rPr>
      </w:pPr>
      <w:r>
        <w:rPr/>
        <w:pict>
          <v:shape style="position:absolute;margin-left:139.083374pt;margin-top:613.559998pt;width:44.8pt;height:19.6pt;mso-position-horizontal-relative:page;mso-position-vertical-relative:page;z-index:-1539136" type="#_x0000_t202" filled="false" stroked="false">
            <v:textbox inset="0,0,0,0">
              <w:txbxContent>
                <w:p>
                  <w:pPr>
                    <w:pStyle w:val="BodyText"/>
                    <w:spacing w:line="240" w:lineRule="auto" w:before="49"/>
                    <w:ind w:left="0" w:right="0"/>
                    <w:jc w:val="left"/>
                  </w:pPr>
                  <w:r>
                    <w:rPr/>
                    <w:t>）</w:t>
                  </w:r>
                </w:p>
              </w:txbxContent>
            </v:textbox>
            <w10:wrap type="none"/>
          </v:shape>
        </w:pict>
      </w: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）募集资金承诺项目情况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4"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49"/>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东莞市美盈森环保科 技有限公司环保包装 生产建设项目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42,059.37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6,286.37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环保轻型包装生产线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包装物流一体化项目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项目结余募集资金永 久补充流动资金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51,758.78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48,689.8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6,286.37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苏州美盈森现代化环 保包装生产基地项目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11,167.37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重庆美盈森现代化环 保包装物流综合基地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8,227.53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7"/>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低碳环保包装研发总 部基地项目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108.20%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9"/>
                <w:sz w:val="18"/>
                <w:szCs w:val="18"/>
              </w:rPr>
              <w:t>美盈森（成都）现代化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环保包装生产基地项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2,257.29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112.86%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6,705.65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6,705.65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66,632.63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19,394.9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101,258.7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114,859.8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115,322.4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25,681.27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r>
        <w:rPr/>
        <w:pict>
          <v:shape style="position:absolute;margin-left:56.459999pt;margin-top:72pt;width:479.1pt;height:664.4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4"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）包装物流一体化项目，因项目实施的可行性发生变化，公司已履行必要审批程序终止该项目</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：东莞市美盈森环保科技有限公司环保包装生产建设项目实际投资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40,095.66</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万元，于</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p>
                    </w:tc>
                  </w:tr>
                  <w:tr>
                    <w:trPr>
                      <w:trHeight w:val="31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月底投产试运行，逐步达到预定可使用状态，产量逐年释放，新客户开发卓有成效，实现利润增长</w:t>
                        </w:r>
                      </w:p>
                    </w:tc>
                  </w:tr>
                  <w:tr>
                    <w:trPr>
                      <w:trHeight w:val="33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有效提升了公司的市场知名度和综合竞争力。</w:t>
                        </w:r>
                      </w:p>
                    </w:tc>
                  </w:tr>
                  <w:tr>
                    <w:trPr>
                      <w:trHeight w:val="576"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300" w:lineRule="auto" w:before="22"/>
                          <w:ind w:left="24" w:right="66"/>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：环保轻型包装生产线技术改造项目无法单独计算效益，主要系技改设备产出的产品类别原因 无法单独计算收益所致。</w:t>
                        </w:r>
                      </w:p>
                    </w:tc>
                  </w:tr>
                  <w:tr>
                    <w:trPr>
                      <w:trHeight w:val="73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1" w:lineRule="exact"/>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300" w:lineRule="auto" w:before="111"/>
                          <w:ind w:left="24" w:right="7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：苏州美盈森现代化环保包装生产基地项目系公司超募资金投资建设项目，该项目实际投资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月投产试运行，逐步达到预定可使用状态，产量逐年释放，新客户开</w:t>
                        </w:r>
                      </w:p>
                    </w:tc>
                  </w:tr>
                  <w:tr>
                    <w:trPr>
                      <w:trHeight w:val="33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发卓有成效，实现利润增长，有效提升了公司的市场知名度和综合竞争力。</w:t>
                        </w:r>
                      </w:p>
                    </w:tc>
                  </w:tr>
                  <w:tr>
                    <w:trPr>
                      <w:trHeight w:val="334"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：重庆美盈森现代化环保包装物流综合基地项目系公司超募资金投资建设项目，该项目实际投</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27,085.97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月投产试运行，逐步达到预定可使用状态，产能陆续释放，实现利</w:t>
                        </w:r>
                      </w:p>
                    </w:tc>
                  </w:tr>
                  <w:tr>
                    <w:trPr>
                      <w:trHeight w:val="349"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润增长，取得良好经济效益，有效提升了公司的综合竞争力。</w:t>
                        </w:r>
                      </w:p>
                    </w:tc>
                  </w:tr>
                  <w:tr>
                    <w:trPr>
                      <w:trHeight w:val="365"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继续实施的可行性发生变化，经过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年度第一次临时股东大会批准，公</w:t>
                        </w:r>
                      </w:p>
                    </w:tc>
                  </w:tr>
                  <w:tr>
                    <w:trPr>
                      <w:trHeight w:val="31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司已决定终止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的继续实施，对该募投项目进行变更。项目继续实施的可行性</w:t>
                        </w:r>
                      </w:p>
                    </w:tc>
                  </w:tr>
                  <w:tr>
                    <w:trPr>
                      <w:trHeight w:val="936"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16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309" w:lineRule="auto" w:before="2"/>
                          <w:ind w:left="24" w:right="19"/>
                          <w:jc w:val="both"/>
                          <w:rPr>
                            <w:rFonts w:ascii="宋体" w:hAnsi="宋体" w:cs="宋体" w:eastAsia="宋体" w:hint="default"/>
                            <w:sz w:val="18"/>
                            <w:szCs w:val="18"/>
                          </w:rPr>
                        </w:pPr>
                        <w:r>
                          <w:rPr>
                            <w:rFonts w:ascii="宋体" w:hAnsi="宋体" w:cs="宋体" w:eastAsia="宋体" w:hint="default"/>
                            <w:spacing w:val="-3"/>
                            <w:sz w:val="18"/>
                            <w:szCs w:val="18"/>
                          </w:rPr>
                          <w:t>发生变化原因如下：（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）上市以来，公司通过增加物流运输设备、优化物流配送调度、精确掌握客</w:t>
                        </w:r>
                        <w:r>
                          <w:rPr>
                            <w:rFonts w:ascii="宋体" w:hAnsi="宋体" w:cs="宋体" w:eastAsia="宋体" w:hint="default"/>
                            <w:spacing w:val="-49"/>
                            <w:sz w:val="18"/>
                            <w:szCs w:val="18"/>
                          </w:rPr>
                          <w:t> </w:t>
                        </w:r>
                        <w:r>
                          <w:rPr>
                            <w:rFonts w:ascii="宋体" w:hAnsi="宋体" w:cs="宋体" w:eastAsia="宋体" w:hint="default"/>
                            <w:sz w:val="18"/>
                            <w:szCs w:val="18"/>
                          </w:rPr>
                          <w:t>户下单计划等，较大程度上提升物流配送体系的效能，更好的实现及时响应能力。鉴于此，并依据 </w:t>
                        </w:r>
                        <w:r>
                          <w:rPr>
                            <w:rFonts w:ascii="宋体" w:hAnsi="宋体" w:cs="宋体" w:eastAsia="宋体" w:hint="default"/>
                            <w:spacing w:val="-3"/>
                            <w:sz w:val="18"/>
                            <w:szCs w:val="18"/>
                          </w:rPr>
                          <w:t>客户布局调整、产品所需包材种类以及充分考虑包装一体化成本结构，公司原计划设置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座仓库的</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方案需要调整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）减少仓库配置同时，相应的流动资金需求减少。鉴于上述原因，公司决定调整</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包装一体化项目原有投资计划，以更好的适应公司发展需要，并提高募集资金使用效率。</w:t>
                        </w: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公司首次公开发行股票共超募资金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具体投</w:t>
                        </w:r>
                        <w:r>
                          <w:rPr>
                            <w:rFonts w:ascii="宋体" w:hAnsi="宋体" w:cs="宋体" w:eastAsia="宋体" w:hint="default"/>
                            <w:spacing w:val="-4"/>
                            <w:sz w:val="18"/>
                            <w:szCs w:val="18"/>
                          </w:rPr>
                          <w:t>资</w:t>
                        </w:r>
                        <w:r>
                          <w:rPr>
                            <w:rFonts w:ascii="宋体" w:hAnsi="宋体" w:cs="宋体" w:eastAsia="宋体" w:hint="default"/>
                            <w:sz w:val="18"/>
                            <w:szCs w:val="18"/>
                          </w:rPr>
                          <w:t>情况如下</w:t>
                        </w:r>
                        <w:r>
                          <w:rPr>
                            <w:rFonts w:ascii="宋体" w:hAnsi="宋体" w:cs="宋体" w:eastAsia="宋体" w:hint="default"/>
                            <w:spacing w:val="-13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公司共计投资</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万元募集资金（其中超募资金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年度第一次临时股东大会批准）用于全资子</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公司苏州美盈森环保科技有限公司实施</w:t>
                        </w:r>
                        <w:r>
                          <w:rPr>
                            <w:rFonts w:ascii="宋体" w:hAnsi="宋体" w:cs="宋体" w:eastAsia="宋体" w:hint="default"/>
                            <w:spacing w:val="-1"/>
                            <w:sz w:val="18"/>
                            <w:szCs w:val="18"/>
                          </w:rPr>
                          <w:t>的</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现代化环保包装生产基地项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5"/>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度</w:t>
                        </w:r>
                        <w:r>
                          <w:rPr>
                            <w:rFonts w:ascii="宋体" w:hAnsi="宋体" w:cs="宋体" w:eastAsia="宋体" w:hint="default"/>
                            <w:sz w:val="18"/>
                            <w:szCs w:val="18"/>
                          </w:rPr>
                          <w:t>第二次</w:t>
                        </w:r>
                      </w:p>
                      <w:p>
                        <w:pPr>
                          <w:pStyle w:val="TableParagraph"/>
                          <w:spacing w:line="300"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临时股东大会和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年度第一次临时股东大会批准，公司共计投资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万元超募资金用于全 </w:t>
                        </w:r>
                        <w:r>
                          <w:rPr>
                            <w:rFonts w:ascii="宋体" w:hAnsi="宋体" w:cs="宋体" w:eastAsia="宋体" w:hint="default"/>
                            <w:spacing w:val="-3"/>
                            <w:w w:val="99"/>
                            <w:sz w:val="18"/>
                            <w:szCs w:val="18"/>
                          </w:rPr>
                          <w:t>资子公司重庆市美盈森环保包装工程有限公司实施的</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现代化环保包装物流综合基地项目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3</w:t>
                        </w:r>
                        <w:r>
                          <w:rPr>
                            <w:rFonts w:ascii="宋体" w:hAnsi="宋体" w:cs="宋体" w:eastAsia="宋体" w:hint="default"/>
                            <w:spacing w:val="-3"/>
                            <w:w w:val="99"/>
                            <w:sz w:val="18"/>
                            <w:szCs w:val="18"/>
                          </w:rPr>
                          <w:t>）经</w:t>
                        </w:r>
                        <w:r>
                          <w:rPr>
                            <w:rFonts w:ascii="宋体" w:hAnsi="宋体" w:cs="宋体" w:eastAsia="宋体" w:hint="default"/>
                            <w:spacing w:val="-48"/>
                            <w:w w:val="99"/>
                            <w:sz w:val="18"/>
                            <w:szCs w:val="18"/>
                          </w:rPr>
                          <w:t> </w:t>
                        </w:r>
                        <w:r>
                          <w:rPr>
                            <w:rFonts w:ascii="宋体" w:hAnsi="宋体" w:cs="宋体" w:eastAsia="宋体" w:hint="default"/>
                            <w:spacing w:val="-4"/>
                            <w:sz w:val="18"/>
                            <w:szCs w:val="18"/>
                          </w:rPr>
                          <w:t>第一届董事会第十九次临时会议批准，公司投资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2,500.00</w:t>
                        </w:r>
                        <w:r>
                          <w:rPr>
                            <w:rFonts w:ascii="Times New Roman" w:hAnsi="Times New Roman" w:cs="Times New Roman" w:eastAsia="Times New Roman" w:hint="default"/>
                            <w:spacing w:val="-16"/>
                            <w:sz w:val="18"/>
                            <w:szCs w:val="18"/>
                          </w:rPr>
                          <w:t> </w:t>
                        </w:r>
                        <w:r>
                          <w:rPr>
                            <w:rFonts w:ascii="宋体" w:hAnsi="宋体" w:cs="宋体" w:eastAsia="宋体" w:hint="default"/>
                            <w:spacing w:val="-1"/>
                            <w:w w:val="99"/>
                            <w:sz w:val="18"/>
                            <w:szCs w:val="18"/>
                          </w:rPr>
                          <w:t>万元超募资金用于投资新建</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低碳环保包装</w:t>
                        </w:r>
                      </w:p>
                      <w:p>
                        <w:pPr>
                          <w:pStyle w:val="TableParagraph"/>
                          <w:spacing w:line="300" w:lineRule="auto" w:before="13"/>
                          <w:ind w:left="24" w:right="18"/>
                          <w:jc w:val="both"/>
                          <w:rPr>
                            <w:rFonts w:ascii="宋体" w:hAnsi="宋体" w:cs="宋体" w:eastAsia="宋体" w:hint="default"/>
                            <w:sz w:val="18"/>
                            <w:szCs w:val="18"/>
                          </w:rPr>
                        </w:pPr>
                        <w:r>
                          <w:rPr>
                            <w:rFonts w:ascii="宋体" w:hAnsi="宋体" w:cs="宋体" w:eastAsia="宋体" w:hint="default"/>
                            <w:spacing w:val="-6"/>
                            <w:w w:val="99"/>
                            <w:sz w:val="18"/>
                            <w:szCs w:val="18"/>
                          </w:rPr>
                          <w:t>研发总部基地项目</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4</w:t>
                        </w:r>
                        <w:r>
                          <w:rPr>
                            <w:rFonts w:ascii="宋体" w:hAnsi="宋体" w:cs="宋体" w:eastAsia="宋体" w:hint="default"/>
                            <w:spacing w:val="-6"/>
                            <w:w w:val="99"/>
                            <w:sz w:val="18"/>
                            <w:szCs w:val="18"/>
                          </w:rPr>
                          <w:t>）经第二届董事会第七次会议批准，公司投资</w:t>
                        </w:r>
                        <w:r>
                          <w:rPr>
                            <w:rFonts w:ascii="宋体" w:hAnsi="宋体" w:cs="宋体" w:eastAsia="宋体" w:hint="default"/>
                            <w:spacing w:val="-32"/>
                            <w:w w:val="99"/>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万元超募资金用于设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w w:val="99"/>
                            <w:sz w:val="18"/>
                            <w:szCs w:val="18"/>
                          </w:rPr>
                          <w:t>立成都市美盈森环保科技有限公司以实施</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美盈森（成都）现代化环保包装生产基地项目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5</w:t>
                        </w:r>
                        <w:r>
                          <w:rPr>
                            <w:rFonts w:ascii="宋体" w:hAnsi="宋体" w:cs="宋体" w:eastAsia="宋体" w:hint="default"/>
                            <w:spacing w:val="-3"/>
                            <w:w w:val="99"/>
                            <w:sz w:val="18"/>
                            <w:szCs w:val="18"/>
                          </w:rPr>
                          <w:t>）经</w:t>
                        </w:r>
                        <w:r>
                          <w:rPr>
                            <w:rFonts w:ascii="宋体" w:hAnsi="宋体" w:cs="宋体" w:eastAsia="宋体" w:hint="default"/>
                            <w:spacing w:val="-48"/>
                            <w:w w:val="99"/>
                            <w:sz w:val="18"/>
                            <w:szCs w:val="18"/>
                          </w:rPr>
                          <w:t> </w:t>
                        </w:r>
                        <w:r>
                          <w:rPr>
                            <w:rFonts w:ascii="宋体" w:hAnsi="宋体" w:cs="宋体" w:eastAsia="宋体" w:hint="default"/>
                            <w:spacing w:val="-4"/>
                            <w:sz w:val="18"/>
                            <w:szCs w:val="18"/>
                          </w:rPr>
                          <w:t>第三届董事会第二十次（临时）会议审议和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年第三次临时股东大会批准，公司将募集资金账户</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尚未有明确使用用途的超募资金余额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3,066.02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1800"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8" w:type="dxa"/>
                        <w:vMerge/>
                        <w:tcBorders>
                          <w:left w:val="single" w:sz="4" w:space="0" w:color="000000"/>
                          <w:bottom w:val="single" w:sz="4" w:space="0" w:color="000000"/>
                          <w:right w:val="single" w:sz="4" w:space="0" w:color="000000"/>
                        </w:tcBorders>
                      </w:tcPr>
                      <w:p>
                        <w:pPr/>
                      </w:p>
                    </w:tc>
                  </w:tr>
                  <w:tr>
                    <w:trPr>
                      <w:trHeight w:val="330"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208"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
                    </w:tc>
                  </w:tr>
                  <w:tr>
                    <w:trPr>
                      <w:trHeight w:val="195"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8"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公司已终止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的继续实施，并将剩余资金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万元增资全资子公司苏州美盈森 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以弥补苏州一期项目设备款、工程 款、运营资金等的不足。</w:t>
                        </w:r>
                      </w:p>
                    </w:tc>
                  </w:tr>
                  <w:tr>
                    <w:trPr>
                      <w:trHeight w:val="909"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vMerge/>
                        <w:tcBorders>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13"/>
        <w:rPr>
          <w:rFonts w:ascii="宋体" w:hAnsi="宋体" w:cs="宋体" w:eastAsia="宋体" w:hint="default"/>
          <w:sz w:val="12"/>
          <w:szCs w:val="12"/>
        </w:rPr>
      </w:pPr>
    </w:p>
    <w:p>
      <w:pPr>
        <w:pStyle w:val="BodyText"/>
        <w:spacing w:line="240" w:lineRule="auto"/>
        <w:ind w:left="0" w:right="1140"/>
        <w:jc w:val="right"/>
      </w:pPr>
      <w:r>
        <w:rPr/>
        <w:t>。</w:t>
      </w:r>
    </w:p>
    <w:p>
      <w:pPr>
        <w:spacing w:line="240" w:lineRule="auto" w:before="11"/>
        <w:rPr>
          <w:rFonts w:ascii="宋体" w:hAnsi="宋体" w:cs="宋体" w:eastAsia="宋体" w:hint="default"/>
          <w:sz w:val="26"/>
          <w:szCs w:val="26"/>
        </w:rPr>
      </w:pPr>
    </w:p>
    <w:p>
      <w:pPr>
        <w:pStyle w:val="BodyText"/>
        <w:spacing w:line="240" w:lineRule="auto" w:before="37"/>
        <w:ind w:left="0" w:right="1137"/>
        <w:jc w:val="right"/>
      </w:pP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1770"/>
        <w:gridCol w:w="7798"/>
      </w:tblGrid>
      <w:tr>
        <w:trPr>
          <w:trHeight w:val="196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在首次公开发行股票募集资金到位前，公司根据生产经营的需要，利用自有资金先期投入募集资金 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万元。募集资金到位后，公司第一届董事会第十二次会议审议通过了《关于使用募集 </w:t>
            </w:r>
            <w:r>
              <w:rPr>
                <w:rFonts w:ascii="宋体" w:hAnsi="宋体" w:cs="宋体" w:eastAsia="宋体" w:hint="default"/>
                <w:spacing w:val="-5"/>
                <w:sz w:val="18"/>
                <w:szCs w:val="18"/>
              </w:rPr>
              <w:t>资金置换预先已投入募集资金项目的自筹资金的议案》，并由保荐机构国信证券股份有限公司出具了</w:t>
            </w:r>
          </w:p>
          <w:p>
            <w:pPr>
              <w:pStyle w:val="TableParagraph"/>
              <w:spacing w:line="316" w:lineRule="auto" w:before="24"/>
              <w:ind w:left="24" w:right="21"/>
              <w:jc w:val="both"/>
              <w:rPr>
                <w:rFonts w:ascii="宋体" w:hAnsi="宋体" w:cs="宋体" w:eastAsia="宋体" w:hint="default"/>
                <w:sz w:val="18"/>
                <w:szCs w:val="18"/>
              </w:rPr>
            </w:pPr>
            <w:r>
              <w:rPr>
                <w:rFonts w:ascii="宋体" w:hAnsi="宋体" w:cs="宋体" w:eastAsia="宋体" w:hint="default"/>
                <w:sz w:val="18"/>
                <w:szCs w:val="18"/>
              </w:rPr>
              <w:t>《关于深圳市美盈森环保科技股份有限公司首次公开发行股票募集资金使用情况的专项意见</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大信</w:t>
            </w:r>
            <w:r>
              <w:rPr>
                <w:rFonts w:ascii="宋体" w:hAnsi="宋体" w:cs="宋体" w:eastAsia="宋体" w:hint="default"/>
                <w:sz w:val="18"/>
                <w:szCs w:val="18"/>
              </w:rPr>
              <w:t> 会计师事务有限公司出具</w:t>
            </w:r>
            <w:r>
              <w:rPr>
                <w:rFonts w:ascii="宋体" w:hAnsi="宋体" w:cs="宋体" w:eastAsia="宋体" w:hint="default"/>
                <w:spacing w:val="-1"/>
                <w:sz w:val="18"/>
                <w:szCs w:val="18"/>
              </w:rPr>
              <w:t>了</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大信专审</w:t>
            </w:r>
            <w:r>
              <w:rPr>
                <w:rFonts w:ascii="宋体" w:hAnsi="宋体" w:cs="宋体" w:eastAsia="宋体" w:hint="default"/>
                <w:spacing w:val="-1"/>
                <w:sz w:val="18"/>
                <w:szCs w:val="18"/>
              </w:rPr>
              <w:t>字</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pacing w:val="3"/>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5"/>
                <w:w w:val="9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专项审核报告</w:t>
            </w:r>
            <w:r>
              <w:rPr>
                <w:rFonts w:ascii="宋体" w:hAnsi="宋体" w:cs="宋体" w:eastAsia="宋体" w:hint="default"/>
                <w:spacing w:val="-92"/>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报告期内公司以募集</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资金置换先期投入募集资金金额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57"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）公司募集资金投资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环保轻型包装生产线技术改造项目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已实施完毕，公司通过规模集约化采购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有效控制成本，截至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410.01 </w:t>
            </w:r>
            <w:r>
              <w:rPr>
                <w:rFonts w:ascii="宋体" w:hAnsi="宋体" w:cs="宋体" w:eastAsia="宋体" w:hint="default"/>
                <w:sz w:val="18"/>
                <w:szCs w:val="18"/>
              </w:rPr>
              <w:t>万元。公司第二届董事会第十三</w:t>
            </w:r>
          </w:p>
          <w:p>
            <w:pPr>
              <w:pStyle w:val="TableParagraph"/>
              <w:spacing w:line="300" w:lineRule="auto" w:before="13"/>
              <w:ind w:left="24" w:right="18"/>
              <w:jc w:val="both"/>
              <w:rPr>
                <w:rFonts w:ascii="宋体" w:hAnsi="宋体" w:cs="宋体" w:eastAsia="宋体" w:hint="default"/>
                <w:sz w:val="18"/>
                <w:szCs w:val="18"/>
              </w:rPr>
            </w:pPr>
            <w:r>
              <w:rPr>
                <w:rFonts w:ascii="宋体" w:hAnsi="宋体" w:cs="宋体" w:eastAsia="宋体" w:hint="default"/>
                <w:spacing w:val="-11"/>
                <w:sz w:val="18"/>
                <w:szCs w:val="18"/>
              </w:rPr>
              <w:t>次（临时）会议和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年第一次临时股东大会已决议将该部分剩余资金增资苏州美盈森环保科技有 </w:t>
            </w:r>
            <w:r>
              <w:rPr>
                <w:rFonts w:ascii="宋体" w:hAnsi="宋体" w:cs="宋体" w:eastAsia="宋体" w:hint="default"/>
                <w:spacing w:val="-3"/>
                <w:w w:val="99"/>
                <w:sz w:val="18"/>
                <w:szCs w:val="18"/>
              </w:rPr>
              <w:t>限公司用于其实施的</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现代化环保生产基地项目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2</w:t>
            </w:r>
            <w:r>
              <w:rPr>
                <w:rFonts w:ascii="宋体" w:hAnsi="宋体" w:cs="宋体" w:eastAsia="宋体" w:hint="default"/>
                <w:spacing w:val="-3"/>
                <w:w w:val="99"/>
                <w:sz w:val="18"/>
                <w:szCs w:val="18"/>
              </w:rPr>
              <w:t>）公司募投项目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东莞市美盈森环保科技有</w:t>
            </w:r>
            <w:r>
              <w:rPr>
                <w:rFonts w:ascii="宋体" w:hAnsi="宋体" w:cs="宋体" w:eastAsia="宋体" w:hint="default"/>
                <w:spacing w:val="-51"/>
                <w:w w:val="99"/>
                <w:sz w:val="18"/>
                <w:szCs w:val="18"/>
              </w:rPr>
              <w:t> </w:t>
            </w:r>
            <w:r>
              <w:rPr>
                <w:rFonts w:ascii="宋体" w:hAnsi="宋体" w:cs="宋体" w:eastAsia="宋体" w:hint="default"/>
                <w:sz w:val="18"/>
                <w:szCs w:val="18"/>
              </w:rPr>
              <w:t>限公司环保包装生产建设项目已实施完毕，该项目计划总投资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42,059.37</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万元，公司通过规模集约化</w:t>
            </w:r>
          </w:p>
          <w:p>
            <w:pPr>
              <w:pStyle w:val="TableParagraph"/>
              <w:spacing w:line="300" w:lineRule="auto" w:before="13"/>
              <w:ind w:left="24" w:right="18"/>
              <w:jc w:val="both"/>
              <w:rPr>
                <w:rFonts w:ascii="宋体" w:hAnsi="宋体" w:cs="宋体" w:eastAsia="宋体" w:hint="default"/>
                <w:sz w:val="18"/>
                <w:szCs w:val="18"/>
              </w:rPr>
            </w:pPr>
            <w:r>
              <w:rPr>
                <w:rFonts w:ascii="宋体" w:hAnsi="宋体" w:cs="宋体" w:eastAsia="宋体" w:hint="default"/>
                <w:spacing w:val="-9"/>
                <w:sz w:val="18"/>
                <w:szCs w:val="18"/>
              </w:rPr>
              <w:t>采购有效控制成本，截至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pacing w:val="-10"/>
                <w:sz w:val="18"/>
                <w:szCs w:val="18"/>
              </w:rPr>
              <w:t>日，该项目已累计投入</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40,095.66</w:t>
            </w:r>
            <w:r>
              <w:rPr>
                <w:rFonts w:ascii="Times New Roman" w:hAnsi="Times New Roman" w:cs="Times New Roman" w:eastAsia="Times New Roman" w:hint="default"/>
                <w:spacing w:val="-10"/>
                <w:sz w:val="18"/>
                <w:szCs w:val="18"/>
              </w:rPr>
              <w:t> </w:t>
            </w:r>
            <w:r>
              <w:rPr>
                <w:rFonts w:ascii="宋体" w:hAnsi="宋体" w:cs="宋体" w:eastAsia="宋体" w:hint="default"/>
                <w:spacing w:val="-11"/>
                <w:sz w:val="18"/>
                <w:szCs w:val="18"/>
              </w:rPr>
              <w:t>万元，节余募集资金</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3,654.75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）公司超募项目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苏州美盈森现代化环保包装生产基地项目已实施完毕，该项目计划总</w:t>
            </w:r>
            <w:r>
              <w:rPr>
                <w:rFonts w:ascii="宋体" w:hAnsi="宋体" w:cs="宋体" w:eastAsia="宋体" w:hint="default"/>
                <w:spacing w:val="-50"/>
                <w:sz w:val="18"/>
                <w:szCs w:val="18"/>
              </w:rPr>
              <w:t> </w:t>
            </w:r>
            <w:r>
              <w:rPr>
                <w:rFonts w:ascii="宋体" w:hAnsi="宋体" w:cs="宋体" w:eastAsia="宋体" w:hint="default"/>
                <w:sz w:val="18"/>
                <w:szCs w:val="18"/>
              </w:rPr>
              <w:t>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29,781.14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万元，公司通过规模集约化采购有效控制成本，截至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日，该项目已投</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29"/>
                <w:sz w:val="18"/>
                <w:szCs w:val="18"/>
              </w:rPr>
              <w:t>，</w:t>
            </w:r>
            <w:r>
              <w:rPr>
                <w:rFonts w:ascii="宋体" w:hAnsi="宋体" w:cs="宋体" w:eastAsia="宋体" w:hint="default"/>
                <w:sz w:val="18"/>
                <w:szCs w:val="18"/>
              </w:rPr>
              <w:t>节余募集</w:t>
            </w:r>
            <w:r>
              <w:rPr>
                <w:rFonts w:ascii="宋体" w:hAnsi="宋体" w:cs="宋体" w:eastAsia="宋体" w:hint="default"/>
                <w:spacing w:val="-4"/>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超</w:t>
            </w:r>
            <w:r>
              <w:rPr>
                <w:rFonts w:ascii="宋体" w:hAnsi="宋体" w:cs="宋体" w:eastAsia="宋体" w:hint="default"/>
                <w:sz w:val="18"/>
                <w:szCs w:val="18"/>
              </w:rPr>
              <w:t>募项</w:t>
            </w:r>
            <w:r>
              <w:rPr>
                <w:rFonts w:ascii="宋体" w:hAnsi="宋体" w:cs="宋体" w:eastAsia="宋体" w:hint="default"/>
                <w:spacing w:val="-1"/>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重庆美盈森现代化环保包装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物流综合基地项目已实施完毕，该项目计划总投资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万元，公司通过规模集约化采购有效控制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成本，截至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日，该项目已投入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27,085.97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1,298.26 </w:t>
            </w:r>
            <w:r>
              <w:rPr>
                <w:rFonts w:ascii="宋体" w:hAnsi="宋体" w:cs="宋体" w:eastAsia="宋体" w:hint="default"/>
                <w:spacing w:val="-4"/>
                <w:sz w:val="18"/>
                <w:szCs w:val="18"/>
              </w:rPr>
              <w:t>万元。公司第</w:t>
            </w:r>
          </w:p>
          <w:p>
            <w:pPr>
              <w:pStyle w:val="TableParagraph"/>
              <w:spacing w:line="309"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三届董事会第四次会议和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年度股东大会审议通过了《关于部分募集资金项目完成后节余资金变</w:t>
            </w:r>
            <w:r>
              <w:rPr>
                <w:rFonts w:ascii="宋体" w:hAnsi="宋体" w:cs="宋体" w:eastAsia="宋体" w:hint="default"/>
                <w:sz w:val="18"/>
                <w:szCs w:val="18"/>
              </w:rPr>
              <w:t> </w:t>
            </w:r>
            <w:r>
              <w:rPr>
                <w:rFonts w:ascii="宋体" w:hAnsi="宋体" w:cs="宋体" w:eastAsia="宋体" w:hint="default"/>
                <w:spacing w:val="-5"/>
                <w:sz w:val="18"/>
                <w:szCs w:val="18"/>
              </w:rPr>
              <w:t>更为永久补充流动资金的议案》，决议将上述东莞、苏州及重庆项目节余募集资金变更为永久补充流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动资金。考虑利息因素，实际变更为永久补充流动资金金额以转入自有资金账户当日金额为准。</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截至报告期末，公司首次公开发行股票募集资金已全部使用完毕。</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left="172" w:right="0"/>
        <w:jc w:val="left"/>
        <w:rPr>
          <w:rFonts w:ascii="Tahoma" w:hAnsi="Tahoma" w:cs="Tahoma" w:eastAsia="Tahoma" w:hint="default"/>
        </w:rPr>
      </w:pPr>
      <w:r>
        <w:rPr/>
        <w:t>（</w:t>
      </w:r>
      <w:r>
        <w:rPr>
          <w:rFonts w:ascii="Tahoma" w:hAnsi="Tahoma" w:cs="Tahoma" w:eastAsia="Tahoma" w:hint="default"/>
        </w:rPr>
        <w:t>3</w:t>
      </w:r>
      <w:r>
        <w:rPr/>
        <w:t>）</w:t>
      </w:r>
      <w:r>
        <w:rPr>
          <w:spacing w:val="1"/>
        </w:rPr>
        <w:t> </w:t>
      </w:r>
      <w:r>
        <w:rPr>
          <w:rFonts w:ascii="Tahoma" w:hAnsi="Tahoma" w:cs="Tahoma" w:eastAsia="Tahoma" w:hint="default"/>
          <w:spacing w:val="1"/>
        </w:rPr>
      </w:r>
      <w:r>
        <w:rPr/>
        <w:t>非公开发行募集资金承诺项目情况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单位（人民币）：万元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36"/>
        <w:gridCol w:w="749"/>
        <w:gridCol w:w="708"/>
        <w:gridCol w:w="708"/>
        <w:gridCol w:w="710"/>
        <w:gridCol w:w="850"/>
        <w:gridCol w:w="708"/>
        <w:gridCol w:w="1068"/>
        <w:gridCol w:w="991"/>
        <w:gridCol w:w="994"/>
        <w:gridCol w:w="991"/>
      </w:tblGrid>
      <w:tr>
        <w:trPr>
          <w:trHeight w:val="660" w:hRule="exact"/>
        </w:trPr>
        <w:tc>
          <w:tcPr>
            <w:tcW w:w="2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55" w:right="0"/>
              <w:jc w:val="left"/>
              <w:rPr>
                <w:rFonts w:ascii="Times New Roman" w:hAnsi="Times New Roman" w:cs="Times New Roman" w:eastAsia="Times New Roman" w:hint="default"/>
                <w:sz w:val="21"/>
                <w:szCs w:val="21"/>
              </w:rPr>
            </w:pPr>
            <w:r>
              <w:rPr>
                <w:rFonts w:ascii="Times New Roman"/>
                <w:sz w:val="21"/>
              </w:rPr>
              <w:t>138,811.20</w:t>
            </w:r>
          </w:p>
        </w:tc>
        <w:tc>
          <w:tcPr>
            <w:tcW w:w="1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4"/>
              <w:jc w:val="left"/>
              <w:rPr>
                <w:rFonts w:ascii="宋体" w:hAnsi="宋体" w:cs="宋体" w:eastAsia="宋体" w:hint="default"/>
                <w:sz w:val="18"/>
                <w:szCs w:val="18"/>
              </w:rPr>
            </w:pPr>
            <w:r>
              <w:rPr>
                <w:rFonts w:ascii="宋体" w:hAnsi="宋体" w:cs="宋体" w:eastAsia="宋体" w:hint="default"/>
                <w:sz w:val="18"/>
                <w:szCs w:val="18"/>
              </w:rPr>
              <w:t>本年度投入募集资金 总额</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25,452.59</w:t>
            </w:r>
          </w:p>
        </w:tc>
      </w:tr>
      <w:tr>
        <w:trPr>
          <w:trHeight w:val="658" w:hRule="exact"/>
        </w:trPr>
        <w:tc>
          <w:tcPr>
            <w:tcW w:w="2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报告期内变更用途的募集资金总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0.00</w:t>
            </w:r>
          </w:p>
        </w:tc>
        <w:tc>
          <w:tcPr>
            <w:tcW w:w="1776" w:type="dxa"/>
            <w:gridSpan w:val="2"/>
            <w:vMerge w:val="restart"/>
            <w:tcBorders>
              <w:top w:val="single" w:sz="6" w:space="0" w:color="000000"/>
              <w:left w:val="single" w:sz="6" w:space="0" w:color="000000"/>
              <w:right w:val="single" w:sz="6" w:space="0" w:color="000000"/>
            </w:tcBorders>
          </w:tcPr>
          <w:p>
            <w:pPr>
              <w:pStyle w:val="TableParagraph"/>
              <w:spacing w:line="316" w:lineRule="auto" w:before="17"/>
              <w:ind w:left="4" w:right="134"/>
              <w:jc w:val="left"/>
              <w:rPr>
                <w:rFonts w:ascii="宋体" w:hAnsi="宋体" w:cs="宋体" w:eastAsia="宋体" w:hint="default"/>
                <w:sz w:val="18"/>
                <w:szCs w:val="18"/>
              </w:rPr>
            </w:pPr>
            <w:r>
              <w:rPr>
                <w:rFonts w:ascii="宋体" w:hAnsi="宋体" w:cs="宋体" w:eastAsia="宋体" w:hint="default"/>
                <w:sz w:val="18"/>
                <w:szCs w:val="18"/>
              </w:rPr>
              <w:t>已累计投入募集资金 总额</w:t>
            </w:r>
          </w:p>
        </w:tc>
        <w:tc>
          <w:tcPr>
            <w:tcW w:w="2976" w:type="dxa"/>
            <w:gridSpan w:val="3"/>
            <w:vMerge w:val="restart"/>
            <w:tcBorders>
              <w:top w:val="single" w:sz="6" w:space="0" w:color="000000"/>
              <w:left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71,475.74</w:t>
            </w:r>
          </w:p>
        </w:tc>
      </w:tr>
      <w:tr>
        <w:trPr>
          <w:trHeight w:val="348" w:hRule="exact"/>
        </w:trPr>
        <w:tc>
          <w:tcPr>
            <w:tcW w:w="2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52" w:right="0"/>
              <w:jc w:val="left"/>
              <w:rPr>
                <w:rFonts w:ascii="宋体" w:hAnsi="宋体" w:cs="宋体" w:eastAsia="宋体" w:hint="default"/>
                <w:sz w:val="11"/>
                <w:szCs w:val="11"/>
              </w:rPr>
            </w:pPr>
            <w:r>
              <w:rPr>
                <w:rFonts w:ascii="Times New Roman" w:hAnsi="Times New Roman" w:cs="Times New Roman" w:eastAsia="Times New Roman" w:hint="default"/>
                <w:sz w:val="21"/>
                <w:szCs w:val="21"/>
              </w:rPr>
              <w:t>93,811.09</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1776" w:type="dxa"/>
            <w:gridSpan w:val="2"/>
            <w:vMerge/>
            <w:tcBorders>
              <w:left w:val="single" w:sz="6" w:space="0" w:color="000000"/>
              <w:right w:val="single" w:sz="6" w:space="0" w:color="000000"/>
            </w:tcBorders>
          </w:tcPr>
          <w:p>
            <w:pPr/>
          </w:p>
        </w:tc>
        <w:tc>
          <w:tcPr>
            <w:tcW w:w="2976" w:type="dxa"/>
            <w:gridSpan w:val="3"/>
            <w:vMerge/>
            <w:tcBorders>
              <w:left w:val="single" w:sz="6" w:space="0" w:color="000000"/>
              <w:right w:val="single" w:sz="6" w:space="0" w:color="000000"/>
            </w:tcBorders>
          </w:tcPr>
          <w:p>
            <w:pPr/>
          </w:p>
        </w:tc>
      </w:tr>
      <w:tr>
        <w:trPr>
          <w:trHeight w:val="658" w:hRule="exact"/>
        </w:trPr>
        <w:tc>
          <w:tcPr>
            <w:tcW w:w="2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累计变更用途的募集资金总额比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例</w:t>
            </w:r>
          </w:p>
        </w:tc>
        <w:tc>
          <w:tcPr>
            <w:tcW w:w="22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67.58%</w:t>
            </w:r>
          </w:p>
        </w:tc>
        <w:tc>
          <w:tcPr>
            <w:tcW w:w="1776" w:type="dxa"/>
            <w:gridSpan w:val="2"/>
            <w:vMerge/>
            <w:tcBorders>
              <w:left w:val="single" w:sz="6" w:space="0" w:color="000000"/>
              <w:bottom w:val="single" w:sz="6" w:space="0" w:color="000000"/>
              <w:right w:val="single" w:sz="6" w:space="0" w:color="000000"/>
            </w:tcBorders>
          </w:tcPr>
          <w:p>
            <w:pPr/>
          </w:p>
        </w:tc>
        <w:tc>
          <w:tcPr>
            <w:tcW w:w="2976" w:type="dxa"/>
            <w:gridSpan w:val="3"/>
            <w:vMerge/>
            <w:tcBorders>
              <w:left w:val="single" w:sz="6" w:space="0" w:color="000000"/>
              <w:bottom w:val="single" w:sz="6" w:space="0" w:color="000000"/>
              <w:right w:val="single" w:sz="6" w:space="0" w:color="000000"/>
            </w:tcBorders>
          </w:tcPr>
          <w:p>
            <w:pPr/>
          </w:p>
        </w:tc>
      </w:tr>
      <w:tr>
        <w:trPr>
          <w:trHeight w:val="97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2" w:right="67"/>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5" w:right="5" w:hanging="89"/>
              <w:jc w:val="left"/>
              <w:rPr>
                <w:rFonts w:ascii="宋体" w:hAnsi="宋体" w:cs="宋体" w:eastAsia="宋体" w:hint="default"/>
                <w:sz w:val="18"/>
                <w:szCs w:val="18"/>
              </w:rPr>
            </w:pPr>
            <w:r>
              <w:rPr>
                <w:rFonts w:ascii="宋体" w:hAnsi="宋体" w:cs="宋体" w:eastAsia="宋体" w:hint="default"/>
                <w:sz w:val="18"/>
                <w:szCs w:val="18"/>
              </w:rPr>
              <w:t>是否已变 更项目</w:t>
            </w:r>
          </w:p>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（含部分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 w:right="72"/>
              <w:jc w:val="both"/>
              <w:rPr>
                <w:rFonts w:ascii="宋体" w:hAnsi="宋体" w:cs="宋体" w:eastAsia="宋体" w:hint="default"/>
                <w:sz w:val="18"/>
                <w:szCs w:val="18"/>
              </w:rPr>
            </w:pPr>
            <w:r>
              <w:rPr>
                <w:rFonts w:ascii="宋体" w:hAnsi="宋体" w:cs="宋体" w:eastAsia="宋体" w:hint="default"/>
                <w:sz w:val="18"/>
                <w:szCs w:val="18"/>
              </w:rPr>
              <w:t>募集资 金承诺 投资总</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 w:right="74"/>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0"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 w:right="72"/>
              <w:jc w:val="both"/>
              <w:rPr>
                <w:rFonts w:ascii="宋体" w:hAnsi="宋体" w:cs="宋体" w:eastAsia="宋体" w:hint="default"/>
                <w:sz w:val="18"/>
                <w:szCs w:val="18"/>
              </w:rPr>
            </w:pPr>
            <w:r>
              <w:rPr>
                <w:rFonts w:ascii="宋体" w:hAnsi="宋体" w:cs="宋体" w:eastAsia="宋体" w:hint="default"/>
                <w:sz w:val="18"/>
                <w:szCs w:val="18"/>
              </w:rPr>
              <w:t>截至期 末投入 进度</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6" w:right="7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0" w:right="33"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0" w:right="36"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36"/>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bl>
    <w:p>
      <w:pPr>
        <w:spacing w:after="0" w:line="316" w:lineRule="auto"/>
        <w:jc w:val="center"/>
        <w:rPr>
          <w:rFonts w:ascii="宋体" w:hAnsi="宋体" w:cs="宋体" w:eastAsia="宋体" w:hint="default"/>
          <w:sz w:val="18"/>
          <w:szCs w:val="18"/>
        </w:rPr>
        <w:sectPr>
          <w:pgSz w:w="11910" w:h="16840"/>
          <w:pgMar w:header="753" w:footer="982" w:top="1060" w:bottom="11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236"/>
        <w:gridCol w:w="749"/>
        <w:gridCol w:w="708"/>
        <w:gridCol w:w="708"/>
        <w:gridCol w:w="710"/>
        <w:gridCol w:w="850"/>
        <w:gridCol w:w="708"/>
        <w:gridCol w:w="1068"/>
        <w:gridCol w:w="991"/>
        <w:gridCol w:w="994"/>
        <w:gridCol w:w="991"/>
      </w:tblGrid>
      <w:tr>
        <w:trPr>
          <w:trHeight w:val="660" w:hRule="exact"/>
        </w:trPr>
        <w:tc>
          <w:tcPr>
            <w:tcW w:w="1236" w:type="dxa"/>
            <w:tcBorders>
              <w:top w:val="single" w:sz="6" w:space="0" w:color="000000"/>
              <w:left w:val="single" w:sz="6" w:space="0" w:color="000000"/>
              <w:bottom w:val="single" w:sz="6" w:space="0" w:color="000000"/>
              <w:right w:val="single" w:sz="6" w:space="0" w:color="000000"/>
            </w:tcBorders>
          </w:tcPr>
          <w:p>
            <w:pP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6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49" w:type="dxa"/>
            <w:tcBorders>
              <w:top w:val="single" w:sz="6" w:space="0" w:color="000000"/>
              <w:left w:val="single" w:sz="6" w:space="0" w:color="000000"/>
              <w:bottom w:val="single" w:sz="6" w:space="0" w:color="000000"/>
              <w:right w:val="single" w:sz="6" w:space="0" w:color="000000"/>
            </w:tcBorders>
          </w:tcPr>
          <w:p>
            <w:pPr/>
          </w:p>
        </w:tc>
        <w:tc>
          <w:tcPr>
            <w:tcW w:w="7728" w:type="dxa"/>
            <w:gridSpan w:val="9"/>
            <w:tcBorders>
              <w:top w:val="single" w:sz="6" w:space="0" w:color="000000"/>
              <w:left w:val="single" w:sz="6" w:space="0" w:color="000000"/>
              <w:bottom w:val="single" w:sz="6" w:space="0" w:color="000000"/>
              <w:right w:val="single" w:sz="6" w:space="0" w:color="000000"/>
            </w:tcBorders>
          </w:tcPr>
          <w:p>
            <w:pPr/>
          </w:p>
        </w:tc>
      </w:tr>
      <w:tr>
        <w:trPr>
          <w:trHeight w:val="1284"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互</w:t>
            </w:r>
            <w:r>
              <w:rPr>
                <w:rFonts w:ascii="宋体" w:hAnsi="宋体" w:cs="宋体" w:eastAsia="宋体" w:hint="default"/>
                <w:spacing w:val="-63"/>
                <w:sz w:val="18"/>
                <w:szCs w:val="18"/>
              </w:rPr>
              <w:t> </w:t>
            </w:r>
            <w:r>
              <w:rPr>
                <w:rFonts w:ascii="宋体" w:hAnsi="宋体" w:cs="宋体" w:eastAsia="宋体" w:hint="default"/>
                <w:sz w:val="18"/>
                <w:szCs w:val="18"/>
              </w:rPr>
              <w:t>联</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z w:val="18"/>
                <w:szCs w:val="18"/>
              </w:rPr>
              <w:t> 刷</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云</w:t>
            </w:r>
            <w:r>
              <w:rPr>
                <w:rFonts w:ascii="宋体" w:hAnsi="宋体" w:cs="宋体" w:eastAsia="宋体" w:hint="default"/>
                <w:spacing w:val="-63"/>
                <w:sz w:val="18"/>
                <w:szCs w:val="18"/>
              </w:rPr>
              <w:t> </w:t>
            </w:r>
            <w:r>
              <w:rPr>
                <w:rFonts w:ascii="宋体" w:hAnsi="宋体" w:cs="宋体" w:eastAsia="宋体" w:hint="default"/>
                <w:sz w:val="18"/>
                <w:szCs w:val="18"/>
              </w:rPr>
              <w:t>平</w:t>
            </w:r>
            <w:r>
              <w:rPr>
                <w:rFonts w:ascii="宋体" w:hAnsi="宋体" w:cs="宋体" w:eastAsia="宋体" w:hint="default"/>
                <w:spacing w:val="-65"/>
                <w:sz w:val="18"/>
                <w:szCs w:val="18"/>
              </w:rPr>
              <w:t> </w:t>
            </w:r>
            <w:r>
              <w:rPr>
                <w:rFonts w:ascii="宋体" w:hAnsi="宋体" w:cs="宋体" w:eastAsia="宋体" w:hint="default"/>
                <w:sz w:val="18"/>
                <w:szCs w:val="18"/>
              </w:rPr>
              <w:t>台</w:t>
            </w:r>
            <w:r>
              <w:rPr>
                <w:rFonts w:ascii="宋体" w:hAnsi="宋体" w:cs="宋体" w:eastAsia="宋体" w:hint="default"/>
                <w:sz w:val="18"/>
                <w:szCs w:val="18"/>
              </w:rPr>
              <w:t> 及</w:t>
            </w:r>
            <w:r>
              <w:rPr>
                <w:rFonts w:ascii="宋体" w:hAnsi="宋体" w:cs="宋体" w:eastAsia="宋体" w:hint="default"/>
                <w:spacing w:val="-63"/>
                <w:sz w:val="18"/>
                <w:szCs w:val="18"/>
              </w:rPr>
              <w:t> </w:t>
            </w:r>
            <w:r>
              <w:rPr>
                <w:rFonts w:ascii="宋体" w:hAnsi="宋体" w:cs="宋体" w:eastAsia="宋体" w:hint="default"/>
                <w:sz w:val="18"/>
                <w:szCs w:val="18"/>
              </w:rPr>
              <w:t>生</w:t>
            </w:r>
            <w:r>
              <w:rPr>
                <w:rFonts w:ascii="宋体" w:hAnsi="宋体" w:cs="宋体" w:eastAsia="宋体" w:hint="default"/>
                <w:spacing w:val="-65"/>
                <w:sz w:val="18"/>
                <w:szCs w:val="18"/>
              </w:rPr>
              <w:t> </w:t>
            </w:r>
            <w:r>
              <w:rPr>
                <w:rFonts w:ascii="宋体" w:hAnsi="宋体" w:cs="宋体" w:eastAsia="宋体" w:hint="default"/>
                <w:sz w:val="18"/>
                <w:szCs w:val="18"/>
              </w:rPr>
              <w:t>态</w:t>
            </w:r>
            <w:r>
              <w:rPr>
                <w:rFonts w:ascii="宋体" w:hAnsi="宋体" w:cs="宋体" w:eastAsia="宋体" w:hint="default"/>
                <w:spacing w:val="-63"/>
                <w:sz w:val="18"/>
                <w:szCs w:val="18"/>
              </w:rPr>
              <w:t> </w:t>
            </w:r>
            <w:r>
              <w:rPr>
                <w:rFonts w:ascii="宋体" w:hAnsi="宋体" w:cs="宋体" w:eastAsia="宋体" w:hint="default"/>
                <w:sz w:val="18"/>
                <w:szCs w:val="18"/>
              </w:rPr>
              <w:t>系</w:t>
            </w:r>
            <w:r>
              <w:rPr>
                <w:rFonts w:ascii="宋体" w:hAnsi="宋体" w:cs="宋体" w:eastAsia="宋体" w:hint="default"/>
                <w:spacing w:val="-63"/>
                <w:sz w:val="18"/>
                <w:szCs w:val="18"/>
              </w:rPr>
              <w:t> </w:t>
            </w:r>
            <w:r>
              <w:rPr>
                <w:rFonts w:ascii="宋体" w:hAnsi="宋体" w:cs="宋体" w:eastAsia="宋体" w:hint="default"/>
                <w:sz w:val="18"/>
                <w:szCs w:val="18"/>
              </w:rPr>
              <w:t>统</w:t>
            </w:r>
            <w:r>
              <w:rPr>
                <w:rFonts w:ascii="宋体" w:hAnsi="宋体" w:cs="宋体" w:eastAsia="宋体" w:hint="default"/>
                <w:spacing w:val="-65"/>
                <w:sz w:val="18"/>
                <w:szCs w:val="18"/>
              </w:rPr>
              <w:t> </w:t>
            </w:r>
            <w:r>
              <w:rPr>
                <w:rFonts w:ascii="宋体" w:hAnsi="宋体" w:cs="宋体" w:eastAsia="宋体" w:hint="default"/>
                <w:sz w:val="18"/>
                <w:szCs w:val="18"/>
              </w:rPr>
              <w:t>建</w:t>
            </w:r>
            <w:r>
              <w:rPr>
                <w:rFonts w:ascii="宋体" w:hAnsi="宋体" w:cs="宋体" w:eastAsia="宋体" w:hint="default"/>
                <w:sz w:val="18"/>
                <w:szCs w:val="18"/>
              </w:rPr>
              <w:t> 设项目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52,511.4</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0.00%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3"/>
                <w:sz w:val="18"/>
                <w:szCs w:val="18"/>
              </w:rPr>
              <w:t> </w:t>
            </w:r>
            <w:r>
              <w:rPr>
                <w:rFonts w:ascii="宋体" w:hAnsi="宋体" w:cs="宋体" w:eastAsia="宋体" w:hint="default"/>
                <w:sz w:val="18"/>
                <w:szCs w:val="18"/>
              </w:rPr>
              <w:t>刷</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Times New Roman" w:hAnsi="Times New Roman" w:cs="Times New Roman" w:eastAsia="Times New Roman" w:hint="default"/>
                <w:spacing w:val="-10"/>
                <w:sz w:val="18"/>
                <w:szCs w:val="18"/>
              </w:rPr>
              <w:t>4.0</w:t>
            </w:r>
            <w:r>
              <w:rPr>
                <w:rFonts w:ascii="宋体" w:hAnsi="宋体" w:cs="宋体" w:eastAsia="宋体" w:hint="default"/>
                <w:spacing w:val="-10"/>
                <w:sz w:val="18"/>
                <w:szCs w:val="18"/>
              </w:rPr>
              <w:t>智慧工厂（成</w:t>
            </w:r>
            <w:r>
              <w:rPr>
                <w:rFonts w:ascii="宋体" w:hAnsi="宋体" w:cs="宋体" w:eastAsia="宋体" w:hint="default"/>
                <w:sz w:val="18"/>
                <w:szCs w:val="18"/>
              </w:rPr>
              <w:t> 都）项目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6,157.80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14,804.10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74.02%</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5" w:right="0"/>
              <w:jc w:val="center"/>
              <w:rPr>
                <w:rFonts w:ascii="Times New Roman" w:hAnsi="Times New Roman" w:cs="Times New Roman" w:eastAsia="Times New Roman" w:hint="default"/>
                <w:sz w:val="18"/>
                <w:szCs w:val="18"/>
              </w:rPr>
            </w:pPr>
            <w:r>
              <w:rPr>
                <w:rFonts w:ascii="Times New Roman"/>
                <w:sz w:val="18"/>
              </w:rPr>
              <w:t>595.52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55" w:right="21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3"/>
                <w:sz w:val="18"/>
                <w:szCs w:val="18"/>
              </w:rPr>
              <w:t> </w:t>
            </w:r>
            <w:r>
              <w:rPr>
                <w:rFonts w:ascii="宋体" w:hAnsi="宋体" w:cs="宋体" w:eastAsia="宋体" w:hint="default"/>
                <w:sz w:val="18"/>
                <w:szCs w:val="18"/>
              </w:rPr>
              <w:t>刷</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Times New Roman" w:hAnsi="Times New Roman" w:cs="Times New Roman" w:eastAsia="Times New Roman" w:hint="default"/>
                <w:spacing w:val="-10"/>
                <w:sz w:val="18"/>
                <w:szCs w:val="18"/>
              </w:rPr>
              <w:t>4.0</w:t>
            </w:r>
            <w:r>
              <w:rPr>
                <w:rFonts w:ascii="宋体" w:hAnsi="宋体" w:cs="宋体" w:eastAsia="宋体" w:hint="default"/>
                <w:spacing w:val="-10"/>
                <w:sz w:val="18"/>
                <w:szCs w:val="18"/>
              </w:rPr>
              <w:t>智慧工厂（东</w:t>
            </w:r>
            <w:r>
              <w:rPr>
                <w:rFonts w:ascii="宋体" w:hAnsi="宋体" w:cs="宋体" w:eastAsia="宋体" w:hint="default"/>
                <w:sz w:val="18"/>
                <w:szCs w:val="18"/>
              </w:rPr>
              <w:t> 莞）项目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25,539.96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102.16%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2" w:right="0"/>
              <w:jc w:val="center"/>
              <w:rPr>
                <w:rFonts w:ascii="Times New Roman" w:hAnsi="Times New Roman" w:cs="Times New Roman" w:eastAsia="Times New Roman" w:hint="default"/>
                <w:sz w:val="18"/>
                <w:szCs w:val="18"/>
              </w:rPr>
            </w:pPr>
            <w:r>
              <w:rPr>
                <w:rFonts w:ascii="Times New Roman"/>
                <w:sz w:val="18"/>
              </w:rPr>
              <w:t>2,593.62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5" w:right="21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5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63"/>
                <w:sz w:val="18"/>
                <w:szCs w:val="18"/>
              </w:rPr>
              <w:t> </w:t>
            </w:r>
            <w:r>
              <w:rPr>
                <w:rFonts w:ascii="宋体" w:hAnsi="宋体" w:cs="宋体" w:eastAsia="宋体" w:hint="default"/>
                <w:sz w:val="18"/>
                <w:szCs w:val="18"/>
              </w:rPr>
              <w:t>能</w:t>
            </w:r>
            <w:r>
              <w:rPr>
                <w:rFonts w:ascii="宋体" w:hAnsi="宋体" w:cs="宋体" w:eastAsia="宋体" w:hint="default"/>
                <w:spacing w:val="-65"/>
                <w:sz w:val="18"/>
                <w:szCs w:val="18"/>
              </w:rPr>
              <w:t> </w:t>
            </w: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3"/>
                <w:sz w:val="18"/>
                <w:szCs w:val="18"/>
              </w:rPr>
              <w:t> </w:t>
            </w:r>
            <w:r>
              <w:rPr>
                <w:rFonts w:ascii="宋体" w:hAnsi="宋体" w:cs="宋体" w:eastAsia="宋体" w:hint="default"/>
                <w:sz w:val="18"/>
                <w:szCs w:val="18"/>
              </w:rPr>
              <w:t>物</w:t>
            </w:r>
            <w:r>
              <w:rPr>
                <w:rFonts w:ascii="宋体" w:hAnsi="宋体" w:cs="宋体" w:eastAsia="宋体" w:hint="default"/>
                <w:spacing w:val="-65"/>
                <w:sz w:val="18"/>
                <w:szCs w:val="18"/>
              </w:rPr>
              <w:t> </w:t>
            </w:r>
            <w:r>
              <w:rPr>
                <w:rFonts w:ascii="宋体" w:hAnsi="宋体" w:cs="宋体" w:eastAsia="宋体" w:hint="default"/>
                <w:sz w:val="18"/>
                <w:szCs w:val="18"/>
              </w:rPr>
              <w:t>联</w:t>
            </w:r>
            <w:r>
              <w:rPr>
                <w:rFonts w:ascii="宋体" w:hAnsi="宋体" w:cs="宋体" w:eastAsia="宋体" w:hint="default"/>
                <w:sz w:val="18"/>
                <w:szCs w:val="18"/>
              </w:rPr>
              <w:t> 网平台项目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41,299.7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0.00%</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3"/>
                <w:sz w:val="18"/>
                <w:szCs w:val="18"/>
              </w:rPr>
              <w:t> </w:t>
            </w:r>
            <w:r>
              <w:rPr>
                <w:rFonts w:ascii="宋体" w:hAnsi="宋体" w:cs="宋体" w:eastAsia="宋体" w:hint="default"/>
                <w:sz w:val="18"/>
                <w:szCs w:val="18"/>
              </w:rPr>
              <w:t>刷</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Times New Roman" w:hAnsi="Times New Roman" w:cs="Times New Roman" w:eastAsia="Times New Roman" w:hint="default"/>
                <w:spacing w:val="-10"/>
                <w:sz w:val="18"/>
                <w:szCs w:val="18"/>
              </w:rPr>
              <w:t>4.0</w:t>
            </w:r>
            <w:r>
              <w:rPr>
                <w:rFonts w:ascii="宋体" w:hAnsi="宋体" w:cs="宋体" w:eastAsia="宋体" w:hint="default"/>
                <w:spacing w:val="-10"/>
                <w:sz w:val="18"/>
                <w:szCs w:val="18"/>
              </w:rPr>
              <w:t>智慧工厂（六</w:t>
            </w:r>
            <w:r>
              <w:rPr>
                <w:rFonts w:ascii="宋体" w:hAnsi="宋体" w:cs="宋体" w:eastAsia="宋体" w:hint="default"/>
                <w:sz w:val="18"/>
                <w:szCs w:val="18"/>
              </w:rPr>
              <w:t> 安）项目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17,983.5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6,477.55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11,926.28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66.32%</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 w:right="0"/>
              <w:jc w:val="center"/>
              <w:rPr>
                <w:rFonts w:ascii="Times New Roman" w:hAnsi="Times New Roman" w:cs="Times New Roman" w:eastAsia="Times New Roman" w:hint="default"/>
                <w:sz w:val="18"/>
                <w:szCs w:val="18"/>
              </w:rPr>
            </w:pPr>
            <w:r>
              <w:rPr>
                <w:rFonts w:ascii="Times New Roman"/>
                <w:sz w:val="18"/>
              </w:rPr>
              <w:t>164.53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5" w:right="21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84"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3"/>
                <w:sz w:val="18"/>
                <w:szCs w:val="18"/>
              </w:rPr>
              <w:t> </w:t>
            </w:r>
            <w:r>
              <w:rPr>
                <w:rFonts w:ascii="宋体" w:hAnsi="宋体" w:cs="宋体" w:eastAsia="宋体" w:hint="default"/>
                <w:sz w:val="18"/>
                <w:szCs w:val="18"/>
              </w:rPr>
              <w:t>刷</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进</w:t>
            </w:r>
            <w:r>
              <w:rPr>
                <w:rFonts w:ascii="宋体" w:hAnsi="宋体" w:cs="宋体" w:eastAsia="宋体" w:hint="default"/>
                <w:spacing w:val="-63"/>
                <w:sz w:val="18"/>
                <w:szCs w:val="18"/>
              </w:rPr>
              <w:t> </w:t>
            </w:r>
            <w:r>
              <w:rPr>
                <w:rFonts w:ascii="宋体" w:hAnsi="宋体" w:cs="宋体" w:eastAsia="宋体" w:hint="default"/>
                <w:sz w:val="18"/>
                <w:szCs w:val="18"/>
              </w:rPr>
              <w:t>出</w:t>
            </w:r>
            <w:r>
              <w:rPr>
                <w:rFonts w:ascii="宋体" w:hAnsi="宋体" w:cs="宋体" w:eastAsia="宋体" w:hint="default"/>
                <w:spacing w:val="-65"/>
                <w:sz w:val="18"/>
                <w:szCs w:val="18"/>
              </w:rPr>
              <w:t> </w:t>
            </w:r>
            <w:r>
              <w:rPr>
                <w:rFonts w:ascii="宋体" w:hAnsi="宋体" w:cs="宋体" w:eastAsia="宋体" w:hint="default"/>
                <w:sz w:val="18"/>
                <w:szCs w:val="18"/>
              </w:rPr>
              <w:t>口</w:t>
            </w:r>
            <w:r>
              <w:rPr>
                <w:rFonts w:ascii="宋体" w:hAnsi="宋体" w:cs="宋体" w:eastAsia="宋体" w:hint="default"/>
                <w:spacing w:val="-63"/>
                <w:sz w:val="18"/>
                <w:szCs w:val="18"/>
              </w:rPr>
              <w:t> </w:t>
            </w:r>
            <w:r>
              <w:rPr>
                <w:rFonts w:ascii="宋体" w:hAnsi="宋体" w:cs="宋体" w:eastAsia="宋体" w:hint="default"/>
                <w:sz w:val="18"/>
                <w:szCs w:val="18"/>
              </w:rPr>
              <w:t>贸</w:t>
            </w:r>
            <w:r>
              <w:rPr>
                <w:rFonts w:ascii="宋体" w:hAnsi="宋体" w:cs="宋体" w:eastAsia="宋体" w:hint="default"/>
                <w:spacing w:val="-63"/>
                <w:sz w:val="18"/>
                <w:szCs w:val="18"/>
              </w:rPr>
              <w:t> </w:t>
            </w:r>
            <w:r>
              <w:rPr>
                <w:rFonts w:ascii="宋体" w:hAnsi="宋体" w:cs="宋体" w:eastAsia="宋体" w:hint="default"/>
                <w:sz w:val="18"/>
                <w:szCs w:val="18"/>
              </w:rPr>
              <w:t>易</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z w:val="18"/>
                <w:szCs w:val="18"/>
              </w:rPr>
              <w:t> 保</w:t>
            </w:r>
            <w:r>
              <w:rPr>
                <w:rFonts w:ascii="宋体" w:hAnsi="宋体" w:cs="宋体" w:eastAsia="宋体" w:hint="default"/>
                <w:spacing w:val="-63"/>
                <w:sz w:val="18"/>
                <w:szCs w:val="18"/>
              </w:rPr>
              <w:t> </w:t>
            </w:r>
            <w:r>
              <w:rPr>
                <w:rFonts w:ascii="宋体" w:hAnsi="宋体" w:cs="宋体" w:eastAsia="宋体" w:hint="default"/>
                <w:sz w:val="18"/>
                <w:szCs w:val="18"/>
              </w:rPr>
              <w:t>税</w:t>
            </w:r>
            <w:r>
              <w:rPr>
                <w:rFonts w:ascii="宋体" w:hAnsi="宋体" w:cs="宋体" w:eastAsia="宋体" w:hint="default"/>
                <w:spacing w:val="-65"/>
                <w:sz w:val="18"/>
                <w:szCs w:val="18"/>
              </w:rPr>
              <w:t> </w:t>
            </w:r>
            <w:r>
              <w:rPr>
                <w:rFonts w:ascii="宋体" w:hAnsi="宋体" w:cs="宋体" w:eastAsia="宋体" w:hint="default"/>
                <w:sz w:val="18"/>
                <w:szCs w:val="18"/>
              </w:rPr>
              <w:t>加</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岳</w:t>
            </w:r>
            <w:r>
              <w:rPr>
                <w:rFonts w:ascii="宋体" w:hAnsi="宋体" w:cs="宋体" w:eastAsia="宋体" w:hint="default"/>
                <w:sz w:val="18"/>
                <w:szCs w:val="18"/>
              </w:rPr>
              <w:t> 阳）项目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2,147.03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3,356.41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33.56%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5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高</w:t>
            </w:r>
            <w:r>
              <w:rPr>
                <w:rFonts w:ascii="宋体" w:hAnsi="宋体" w:cs="宋体" w:eastAsia="宋体" w:hint="default"/>
                <w:spacing w:val="-63"/>
                <w:sz w:val="18"/>
                <w:szCs w:val="18"/>
              </w:rPr>
              <w:t> </w:t>
            </w:r>
            <w:r>
              <w:rPr>
                <w:rFonts w:ascii="宋体" w:hAnsi="宋体" w:cs="宋体" w:eastAsia="宋体" w:hint="default"/>
                <w:sz w:val="18"/>
                <w:szCs w:val="18"/>
              </w:rPr>
              <w:t>端</w:t>
            </w:r>
            <w:r>
              <w:rPr>
                <w:rFonts w:ascii="宋体" w:hAnsi="宋体" w:cs="宋体" w:eastAsia="宋体" w:hint="default"/>
                <w:spacing w:val="-65"/>
                <w:sz w:val="18"/>
                <w:szCs w:val="18"/>
              </w:rPr>
              <w:t> </w:t>
            </w:r>
            <w:r>
              <w:rPr>
                <w:rFonts w:ascii="宋体" w:hAnsi="宋体" w:cs="宋体" w:eastAsia="宋体" w:hint="default"/>
                <w:sz w:val="18"/>
                <w:szCs w:val="18"/>
              </w:rPr>
              <w:t>环</w:t>
            </w:r>
            <w:r>
              <w:rPr>
                <w:rFonts w:ascii="宋体" w:hAnsi="宋体" w:cs="宋体" w:eastAsia="宋体" w:hint="default"/>
                <w:spacing w:val="-63"/>
                <w:sz w:val="18"/>
                <w:szCs w:val="18"/>
              </w:rPr>
              <w:t> </w:t>
            </w:r>
            <w:r>
              <w:rPr>
                <w:rFonts w:ascii="宋体" w:hAnsi="宋体" w:cs="宋体" w:eastAsia="宋体" w:hint="default"/>
                <w:sz w:val="18"/>
                <w:szCs w:val="18"/>
              </w:rPr>
              <w:t>保</w:t>
            </w:r>
            <w:r>
              <w:rPr>
                <w:rFonts w:ascii="宋体" w:hAnsi="宋体" w:cs="宋体" w:eastAsia="宋体" w:hint="default"/>
                <w:spacing w:val="-63"/>
                <w:sz w:val="18"/>
                <w:szCs w:val="18"/>
              </w:rPr>
              <w:t> </w:t>
            </w:r>
            <w:r>
              <w:rPr>
                <w:rFonts w:ascii="宋体" w:hAnsi="宋体" w:cs="宋体" w:eastAsia="宋体" w:hint="default"/>
                <w:sz w:val="18"/>
                <w:szCs w:val="18"/>
              </w:rPr>
              <w:t>包</w:t>
            </w:r>
            <w:r>
              <w:rPr>
                <w:rFonts w:ascii="宋体" w:hAnsi="宋体" w:cs="宋体" w:eastAsia="宋体" w:hint="default"/>
                <w:spacing w:val="-65"/>
                <w:sz w:val="18"/>
                <w:szCs w:val="18"/>
              </w:rPr>
              <w:t> </w:t>
            </w:r>
            <w:r>
              <w:rPr>
                <w:rFonts w:ascii="宋体" w:hAnsi="宋体" w:cs="宋体" w:eastAsia="宋体" w:hint="default"/>
                <w:sz w:val="18"/>
                <w:szCs w:val="18"/>
              </w:rPr>
              <w:t>装</w:t>
            </w:r>
            <w:r>
              <w:rPr>
                <w:rFonts w:ascii="宋体" w:hAnsi="宋体" w:cs="宋体" w:eastAsia="宋体" w:hint="default"/>
                <w:sz w:val="18"/>
                <w:szCs w:val="18"/>
              </w:rPr>
              <w:t> 生产基地项目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37.80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37.80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0.21%</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7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3"/>
                <w:sz w:val="18"/>
                <w:szCs w:val="18"/>
              </w:rPr>
              <w:t> </w:t>
            </w:r>
            <w:r>
              <w:rPr>
                <w:rFonts w:ascii="宋体" w:hAnsi="宋体" w:cs="宋体" w:eastAsia="宋体" w:hint="default"/>
                <w:sz w:val="18"/>
                <w:szCs w:val="18"/>
              </w:rPr>
              <w:t>刷</w:t>
            </w:r>
            <w:r>
              <w:rPr>
                <w:rFonts w:ascii="宋体" w:hAnsi="宋体" w:cs="宋体" w:eastAsia="宋体" w:hint="default"/>
                <w:spacing w:val="-63"/>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业</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4"/>
                <w:sz w:val="18"/>
                <w:szCs w:val="18"/>
              </w:rPr>
              <w:t> </w:t>
            </w:r>
            <w:r>
              <w:rPr>
                <w:rFonts w:ascii="宋体" w:hAnsi="宋体" w:cs="宋体" w:eastAsia="宋体" w:hint="default"/>
                <w:spacing w:val="13"/>
                <w:sz w:val="18"/>
                <w:szCs w:val="18"/>
              </w:rPr>
              <w:t>智慧型工厂</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9,185.18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14,365.52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71.83%</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-257.12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5" w:right="21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8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3"/>
                <w:sz w:val="18"/>
                <w:szCs w:val="18"/>
              </w:rPr>
              <w:t> </w:t>
            </w:r>
            <w:r>
              <w:rPr>
                <w:rFonts w:ascii="宋体" w:hAnsi="宋体" w:cs="宋体" w:eastAsia="宋体" w:hint="default"/>
                <w:sz w:val="18"/>
                <w:szCs w:val="18"/>
              </w:rPr>
              <w:t>于</w:t>
            </w:r>
            <w:r>
              <w:rPr>
                <w:rFonts w:ascii="宋体" w:hAnsi="宋体" w:cs="宋体" w:eastAsia="宋体" w:hint="default"/>
                <w:spacing w:val="-65"/>
                <w:sz w:val="18"/>
                <w:szCs w:val="18"/>
              </w:rPr>
              <w:t> </w:t>
            </w:r>
            <w:r>
              <w:rPr>
                <w:rFonts w:ascii="宋体" w:hAnsi="宋体" w:cs="宋体" w:eastAsia="宋体" w:hint="default"/>
                <w:sz w:val="18"/>
                <w:szCs w:val="18"/>
              </w:rPr>
              <w:t>装</w:t>
            </w:r>
            <w:r>
              <w:rPr>
                <w:rFonts w:ascii="宋体" w:hAnsi="宋体" w:cs="宋体" w:eastAsia="宋体" w:hint="default"/>
                <w:spacing w:val="-63"/>
                <w:sz w:val="18"/>
                <w:szCs w:val="18"/>
              </w:rPr>
              <w:t> </w:t>
            </w:r>
            <w:r>
              <w:rPr>
                <w:rFonts w:ascii="宋体" w:hAnsi="宋体" w:cs="宋体" w:eastAsia="宋体" w:hint="default"/>
                <w:sz w:val="18"/>
                <w:szCs w:val="18"/>
              </w:rPr>
              <w:t>备</w:t>
            </w:r>
            <w:r>
              <w:rPr>
                <w:rFonts w:ascii="宋体" w:hAnsi="宋体" w:cs="宋体" w:eastAsia="宋体" w:hint="default"/>
                <w:spacing w:val="-63"/>
                <w:sz w:val="18"/>
                <w:szCs w:val="18"/>
              </w:rPr>
              <w:t> </w:t>
            </w:r>
            <w:r>
              <w:rPr>
                <w:rFonts w:ascii="宋体" w:hAnsi="宋体" w:cs="宋体" w:eastAsia="宋体" w:hint="default"/>
                <w:sz w:val="18"/>
                <w:szCs w:val="18"/>
              </w:rPr>
              <w:t>制</w:t>
            </w:r>
            <w:r>
              <w:rPr>
                <w:rFonts w:ascii="宋体" w:hAnsi="宋体" w:cs="宋体" w:eastAsia="宋体" w:hint="default"/>
                <w:spacing w:val="-65"/>
                <w:sz w:val="18"/>
                <w:szCs w:val="18"/>
              </w:rPr>
              <w:t> </w:t>
            </w:r>
            <w:r>
              <w:rPr>
                <w:rFonts w:ascii="宋体" w:hAnsi="宋体" w:cs="宋体" w:eastAsia="宋体" w:hint="default"/>
                <w:sz w:val="18"/>
                <w:szCs w:val="18"/>
              </w:rPr>
              <w:t>造</w:t>
            </w:r>
            <w:r>
              <w:rPr>
                <w:rFonts w:ascii="宋体" w:hAnsi="宋体" w:cs="宋体" w:eastAsia="宋体" w:hint="default"/>
                <w:sz w:val="18"/>
                <w:szCs w:val="18"/>
              </w:rPr>
              <w:t> 的</w:t>
            </w:r>
            <w:r>
              <w:rPr>
                <w:rFonts w:ascii="宋体" w:hAnsi="宋体" w:cs="宋体" w:eastAsia="宋体" w:hint="default"/>
                <w:spacing w:val="-63"/>
                <w:sz w:val="18"/>
                <w:szCs w:val="18"/>
              </w:rPr>
              <w:t> </w:t>
            </w:r>
            <w:r>
              <w:rPr>
                <w:rFonts w:ascii="宋体" w:hAnsi="宋体" w:cs="宋体" w:eastAsia="宋体" w:hint="default"/>
                <w:sz w:val="18"/>
                <w:szCs w:val="18"/>
              </w:rPr>
              <w:t>智</w:t>
            </w:r>
            <w:r>
              <w:rPr>
                <w:rFonts w:ascii="宋体" w:hAnsi="宋体" w:cs="宋体" w:eastAsia="宋体" w:hint="default"/>
                <w:spacing w:val="-65"/>
                <w:sz w:val="18"/>
                <w:szCs w:val="18"/>
              </w:rPr>
              <w:t> </w:t>
            </w:r>
            <w:r>
              <w:rPr>
                <w:rFonts w:ascii="宋体" w:hAnsi="宋体" w:cs="宋体" w:eastAsia="宋体" w:hint="default"/>
                <w:sz w:val="18"/>
                <w:szCs w:val="18"/>
              </w:rPr>
              <w:t>慧</w:t>
            </w:r>
            <w:r>
              <w:rPr>
                <w:rFonts w:ascii="宋体" w:hAnsi="宋体" w:cs="宋体" w:eastAsia="宋体" w:hint="default"/>
                <w:spacing w:val="-63"/>
                <w:sz w:val="18"/>
                <w:szCs w:val="18"/>
              </w:rPr>
              <w:t> </w:t>
            </w:r>
            <w:r>
              <w:rPr>
                <w:rFonts w:ascii="宋体" w:hAnsi="宋体" w:cs="宋体" w:eastAsia="宋体" w:hint="default"/>
                <w:sz w:val="18"/>
                <w:szCs w:val="18"/>
              </w:rPr>
              <w:t>包</w:t>
            </w:r>
            <w:r>
              <w:rPr>
                <w:rFonts w:ascii="宋体" w:hAnsi="宋体" w:cs="宋体" w:eastAsia="宋体" w:hint="default"/>
                <w:spacing w:val="-63"/>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z w:val="18"/>
                <w:szCs w:val="18"/>
              </w:rPr>
              <w:t> 业</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6"/>
                <w:sz w:val="18"/>
                <w:szCs w:val="18"/>
              </w:rPr>
              <w:t> </w:t>
            </w:r>
            <w:r>
              <w:rPr>
                <w:rFonts w:ascii="宋体" w:hAnsi="宋体" w:cs="宋体" w:eastAsia="宋体" w:hint="default"/>
                <w:spacing w:val="12"/>
                <w:sz w:val="18"/>
                <w:szCs w:val="18"/>
              </w:rPr>
              <w:t>产业园项</w:t>
            </w:r>
            <w:r>
              <w:rPr>
                <w:rFonts w:ascii="宋体" w:hAnsi="宋体" w:cs="宋体" w:eastAsia="宋体" w:hint="default"/>
                <w:sz w:val="18"/>
                <w:szCs w:val="18"/>
              </w:rPr>
              <w:t> 目</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1,445.51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1,445.52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5.16%</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72"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2" w:right="67" w:hanging="360"/>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138,811.</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20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138,983.</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52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25,452.5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71,475.74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3,096.55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w:t>
            </w:r>
          </w:p>
        </w:tc>
      </w:tr>
      <w:tr>
        <w:trPr>
          <w:trHeight w:val="2844" w:hRule="exact"/>
        </w:trPr>
        <w:tc>
          <w:tcPr>
            <w:tcW w:w="2693"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未达到计划进度或预计收益的情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况和原因（分具体项目）</w:t>
            </w:r>
          </w:p>
        </w:tc>
        <w:tc>
          <w:tcPr>
            <w:tcW w:w="70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5</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智慧型工厂（成都）项目于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月逐步投入使用。</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6</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智慧工厂（东莞）项目于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月逐步投入使用。</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7</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智慧型工厂（六安）项目于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月逐步投入使用。</w:t>
            </w:r>
          </w:p>
          <w:p>
            <w:pPr>
              <w:pStyle w:val="TableParagraph"/>
              <w:spacing w:line="309"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和注</w:t>
            </w:r>
            <w:r>
              <w:rPr>
                <w:rFonts w:ascii="Times New Roman" w:hAnsi="Times New Roman" w:cs="Times New Roman" w:eastAsia="Times New Roman" w:hint="default"/>
                <w:sz w:val="18"/>
                <w:szCs w:val="18"/>
              </w:rPr>
              <w:t>10</w:t>
            </w:r>
            <w:r>
              <w:rPr>
                <w:rFonts w:ascii="宋体" w:hAnsi="宋体" w:cs="宋体" w:eastAsia="宋体" w:hint="default"/>
                <w:sz w:val="18"/>
                <w:szCs w:val="18"/>
              </w:rPr>
              <w:t>：从谨慎性及保护中小股东权益的角度出发，经第五届董事会第四次会议审议 </w:t>
            </w:r>
            <w:r>
              <w:rPr>
                <w:rFonts w:ascii="宋体" w:hAnsi="宋体" w:cs="宋体" w:eastAsia="宋体" w:hint="default"/>
                <w:spacing w:val="-1"/>
                <w:sz w:val="18"/>
                <w:szCs w:val="18"/>
              </w:rPr>
              <w:t>通过，公司将包装印刷工业进出口贸易及保税加工（岳阳）项目及基于装备制造的智慧包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装工业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产业园项目的预计完工时间分别延期至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309" w:lineRule="auto" w:before="5"/>
              <w:ind w:left="4" w:right="-2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9</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智慧型工厂（长沙）项目于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月逐步投入使用。 上述智慧工厂的逐步投入使用，正逐步释放高效产能，能够有效提升公司的综合竞争力， 有利于推动公司实现业绩增长。</w:t>
            </w:r>
          </w:p>
        </w:tc>
      </w:tr>
    </w:tbl>
    <w:p>
      <w:pPr>
        <w:spacing w:after="0" w:line="309" w:lineRule="auto"/>
        <w:jc w:val="left"/>
        <w:rPr>
          <w:rFonts w:ascii="宋体" w:hAnsi="宋体" w:cs="宋体" w:eastAsia="宋体" w:hint="default"/>
          <w:sz w:val="18"/>
          <w:szCs w:val="18"/>
        </w:rPr>
        <w:sectPr>
          <w:pgSz w:w="11910" w:h="16840"/>
          <w:pgMar w:header="753" w:footer="982" w:top="1060" w:bottom="1180" w:left="960" w:right="0"/>
        </w:sectPr>
      </w:pPr>
    </w:p>
    <w:p>
      <w:pPr>
        <w:spacing w:line="240" w:lineRule="auto" w:before="0"/>
        <w:rPr>
          <w:rFonts w:ascii="Times New Roman" w:hAnsi="Times New Roman" w:cs="Times New Roman" w:eastAsia="Times New Roman" w:hint="default"/>
          <w:sz w:val="20"/>
          <w:szCs w:val="20"/>
        </w:rPr>
      </w:pPr>
      <w:r>
        <w:rPr/>
        <w:pict>
          <v:shape style="position:absolute;margin-left:53.040001pt;margin-top:72pt;width:486.75pt;height:695.6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7020"/>
                  </w:tblGrid>
                  <w:tr>
                    <w:trPr>
                      <w:trHeight w:val="5652"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项目可行性发生重大变化的情况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说明</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、基于行业发展、政策环境、公司战略和资金使用效率等多方面综合考虑，经公司审慎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研究认为，短期内并不是公司大规模资金投资于</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互联网包装印刷产业云平台及生态系统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w w:val="99"/>
                            <w:sz w:val="18"/>
                            <w:szCs w:val="18"/>
                          </w:rPr>
                          <w:t>建设项目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智能包装物联网平台项目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的最佳时机，为了进一步提高募集资金的使用效率</w:t>
                        </w:r>
                        <w:r>
                          <w:rPr>
                            <w:rFonts w:ascii="宋体" w:hAnsi="宋体" w:cs="宋体" w:eastAsia="宋体" w:hint="default"/>
                            <w:spacing w:val="-59"/>
                            <w:w w:val="99"/>
                            <w:sz w:val="18"/>
                            <w:szCs w:val="18"/>
                          </w:rPr>
                          <w:t> </w:t>
                        </w:r>
                        <w:r>
                          <w:rPr>
                            <w:rFonts w:ascii="宋体" w:hAnsi="宋体" w:cs="宋体" w:eastAsia="宋体" w:hint="default"/>
                            <w:spacing w:val="-59"/>
                            <w:w w:val="99"/>
                            <w:sz w:val="18"/>
                            <w:szCs w:val="18"/>
                          </w:rPr>
                        </w:r>
                        <w:r>
                          <w:rPr>
                            <w:rFonts w:ascii="宋体" w:hAnsi="宋体" w:cs="宋体" w:eastAsia="宋体" w:hint="default"/>
                            <w:sz w:val="18"/>
                            <w:szCs w:val="18"/>
                          </w:rPr>
                          <w:t>保证股东利益最大化，公司拟将</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年度非公开发行股票募集资金投资项目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互联网包装 印刷产业云平台及生态系统建设项目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智慧型工厂（六安）项目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包装印刷工业进出口贸易及保税加工</w:t>
                        </w:r>
                        <w:r>
                          <w:rPr>
                            <w:rFonts w:ascii="Times New Roman" w:hAnsi="Times New Roman" w:cs="Times New Roman" w:eastAsia="Times New Roman" w:hint="default"/>
                            <w:sz w:val="18"/>
                            <w:szCs w:val="18"/>
                          </w:rPr>
                          <w:t>(</w:t>
                        </w:r>
                        <w:r>
                          <w:rPr>
                            <w:rFonts w:ascii="宋体" w:hAnsi="宋体" w:cs="宋体" w:eastAsia="宋体" w:hint="default"/>
                            <w:sz w:val="18"/>
                            <w:szCs w:val="18"/>
                          </w:rPr>
                          <w:t>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r>
                          <w:rPr>
                            <w:rFonts w:ascii="宋体" w:hAnsi="宋体" w:cs="宋体" w:eastAsia="宋体" w:hint="default"/>
                            <w:spacing w:val="-86"/>
                            <w:sz w:val="18"/>
                            <w:szCs w:val="18"/>
                          </w:rPr>
                          <w:t> </w:t>
                        </w:r>
                        <w:r>
                          <w:rPr>
                            <w:rFonts w:ascii="宋体" w:hAnsi="宋体" w:cs="宋体" w:eastAsia="宋体" w:hint="default"/>
                            <w:sz w:val="18"/>
                            <w:szCs w:val="18"/>
                          </w:rPr>
                          <w:t>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。具体详见公司于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日刊载于《证券时报》及巨潮资 </w:t>
                        </w:r>
                        <w:r>
                          <w:rPr>
                            <w:rFonts w:ascii="宋体" w:hAnsi="宋体" w:cs="宋体" w:eastAsia="宋体" w:hint="default"/>
                            <w:spacing w:val="-6"/>
                            <w:w w:val="99"/>
                            <w:sz w:val="18"/>
                            <w:szCs w:val="18"/>
                          </w:rPr>
                          <w:t>讯网（</w:t>
                        </w:r>
                        <w:hyperlink r:id="rId11">
                          <w:r>
                            <w:rPr>
                              <w:rFonts w:ascii="Times New Roman" w:hAnsi="Times New Roman" w:cs="Times New Roman" w:eastAsia="Times New Roman" w:hint="default"/>
                              <w:spacing w:val="-6"/>
                              <w:w w:val="99"/>
                              <w:sz w:val="18"/>
                              <w:szCs w:val="18"/>
                            </w:rPr>
                            <w:t>www.cninfo.com.cn</w:t>
                          </w:r>
                        </w:hyperlink>
                        <w:r>
                          <w:rPr>
                            <w:rFonts w:ascii="宋体" w:hAnsi="宋体" w:cs="宋体" w:eastAsia="宋体" w:hint="default"/>
                            <w:spacing w:val="-6"/>
                            <w:w w:val="99"/>
                            <w:sz w:val="18"/>
                            <w:szCs w:val="18"/>
                          </w:rPr>
                          <w:t>）的《关于部分变更募集资金用途的公告》（公告编号：</w:t>
                        </w:r>
                        <w:r>
                          <w:rPr>
                            <w:rFonts w:ascii="Times New Roman" w:hAnsi="Times New Roman" w:cs="Times New Roman" w:eastAsia="Times New Roman" w:hint="default"/>
                            <w:spacing w:val="-6"/>
                            <w:w w:val="99"/>
                            <w:sz w:val="18"/>
                            <w:szCs w:val="18"/>
                          </w:rPr>
                          <w:t>2017-068</w:t>
                        </w:r>
                        <w:r>
                          <w:rPr>
                            <w:rFonts w:ascii="Times New Roman" w:hAnsi="Times New Roman" w:cs="Times New Roman" w:eastAsia="Times New Roman" w:hint="default"/>
                            <w:spacing w:val="-20"/>
                            <w:w w:val="99"/>
                            <w:sz w:val="18"/>
                            <w:szCs w:val="18"/>
                          </w:rPr>
                          <w:t> </w:t>
                        </w:r>
                        <w:r>
                          <w:rPr>
                            <w:rFonts w:ascii="Times New Roman" w:hAnsi="Times New Roman" w:cs="Times New Roman" w:eastAsia="Times New Roman" w:hint="default"/>
                            <w:spacing w:val="-20"/>
                            <w:w w:val="99"/>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、随着我国经济的不断发展，近几年国内土地、劳动力成本不断上升，部分制造业企业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为了控制综合成本，逐步将产能向土地及劳动力成本较低的地区转移；同时，在国际贸易</w:t>
                        </w:r>
                        <w:r>
                          <w:rPr>
                            <w:rFonts w:ascii="宋体" w:hAnsi="宋体" w:cs="宋体" w:eastAsia="宋体" w:hint="default"/>
                            <w:sz w:val="18"/>
                            <w:szCs w:val="18"/>
                          </w:rPr>
                          <w:t> 局势趋于复杂化的环境下，区域内部分客户（如电子通讯行业部分企业）为分散经营风险 将制造业务向东南亚等新兴市场转移，导致区域市场需求发生变化。同时，公司在相邻省 份投资建设的六安智慧工厂已于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年逐步投产，该工厂可在一定程度分担公司苏州美盈 森生产基地的满负荷运转压力。综合行业发展、市场环境、公司战略和资金使用效率等多 方面因素考虑，经公司审慎研究认为，短期内并不是公司大规模资金投资于高端环保包装 生产基地项目的最佳时机，为了进一步提高募集资金的使用效率，保证股东利益最大化， 公司拟终止高端环保包装生产基地项目。 上述事项已经由公司于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日召开的第五届董事会第四次会议审议通过。</w:t>
                        </w:r>
                      </w:p>
                    </w:tc>
                  </w:tr>
                  <w:tr>
                    <w:trPr>
                      <w:trHeight w:val="65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超募资金的金额、用途及使用情况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进展</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60"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募集资金投资项目实施地点变更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94"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募集资金投资项目实施方式调整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both"/>
                          <w:rPr>
                            <w:rFonts w:ascii="宋体" w:hAnsi="宋体" w:cs="宋体" w:eastAsia="宋体" w:hint="default"/>
                            <w:sz w:val="18"/>
                            <w:szCs w:val="18"/>
                          </w:rPr>
                        </w:pP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日召开第四届董事会第九次（临时）会议，于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日召开</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pacing w:val="-1"/>
                            <w:sz w:val="18"/>
                            <w:szCs w:val="18"/>
                          </w:rPr>
                          <w:t>年第二次临时股东大会，审议通过《关于部分变更募集资金用途的议案》，将</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年度非</w:t>
                        </w:r>
                        <w:r>
                          <w:rPr>
                            <w:rFonts w:ascii="宋体" w:hAnsi="宋体" w:cs="宋体" w:eastAsia="宋体" w:hint="default"/>
                            <w:spacing w:val="-71"/>
                            <w:sz w:val="18"/>
                            <w:szCs w:val="18"/>
                          </w:rPr>
                          <w:t> </w:t>
                        </w:r>
                        <w:r>
                          <w:rPr>
                            <w:rFonts w:ascii="宋体" w:hAnsi="宋体" w:cs="宋体" w:eastAsia="宋体" w:hint="default"/>
                            <w:spacing w:val="-3"/>
                            <w:w w:val="99"/>
                            <w:sz w:val="18"/>
                            <w:szCs w:val="18"/>
                          </w:rPr>
                          <w:t>公开发行股票募集资金投资项目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互联网包装印刷产业云平台及生态系统建设项目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智能</w:t>
                        </w:r>
                        <w:r>
                          <w:rPr>
                            <w:rFonts w:ascii="宋体" w:hAnsi="宋体" w:cs="宋体" w:eastAsia="宋体" w:hint="default"/>
                            <w:spacing w:val="-52"/>
                            <w:w w:val="99"/>
                            <w:sz w:val="18"/>
                            <w:szCs w:val="18"/>
                          </w:rPr>
                          <w:t> </w:t>
                        </w:r>
                        <w:r>
                          <w:rPr>
                            <w:rFonts w:ascii="宋体" w:hAnsi="宋体" w:cs="宋体" w:eastAsia="宋体" w:hint="default"/>
                            <w:spacing w:val="-1"/>
                            <w:sz w:val="18"/>
                            <w:szCs w:val="18"/>
                          </w:rPr>
                          <w:t>包装物联网平台项目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变更为实施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包装印刷工业</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智慧型工厂（六安）项目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包装印刷</w:t>
                        </w:r>
                        <w:r>
                          <w:rPr>
                            <w:rFonts w:ascii="宋体" w:hAnsi="宋体" w:cs="宋体" w:eastAsia="宋体" w:hint="default"/>
                            <w:spacing w:val="-80"/>
                            <w:sz w:val="18"/>
                            <w:szCs w:val="18"/>
                          </w:rPr>
                          <w:t> </w:t>
                        </w:r>
                        <w:r>
                          <w:rPr>
                            <w:rFonts w:ascii="宋体" w:hAnsi="宋体" w:cs="宋体" w:eastAsia="宋体" w:hint="default"/>
                            <w:sz w:val="18"/>
                            <w:szCs w:val="18"/>
                          </w:rPr>
                          <w:t>工业进出口贸易及保税加工（岳阳）项目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60"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募集资金投资项目先期投入及置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换情况</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0"/>
                            <w:sz w:val="18"/>
                            <w:szCs w:val="18"/>
                          </w:rPr>
                          <w:t>用闲置募集资金暂时补充流动资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金情况</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37"/>
                          <w:ind w:left="4" w:right="-1"/>
                          <w:jc w:val="both"/>
                          <w:rPr>
                            <w:rFonts w:ascii="宋体" w:hAnsi="宋体" w:cs="宋体" w:eastAsia="宋体" w:hint="default"/>
                            <w:sz w:val="18"/>
                            <w:szCs w:val="18"/>
                          </w:rPr>
                        </w:pPr>
                        <w:r>
                          <w:rPr>
                            <w:rFonts w:ascii="宋体" w:hAnsi="宋体" w:cs="宋体" w:eastAsia="宋体" w:hint="default"/>
                            <w:spacing w:val="2"/>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日召开第四届董事会第二十七次会议和第四届监事会第二十次</w:t>
                        </w:r>
                        <w:r>
                          <w:rPr>
                            <w:rFonts w:ascii="宋体" w:hAnsi="宋体" w:cs="宋体" w:eastAsia="宋体" w:hint="default"/>
                            <w:sz w:val="18"/>
                            <w:szCs w:val="18"/>
                          </w:rPr>
                          <w:t> </w:t>
                        </w:r>
                        <w:r>
                          <w:rPr>
                            <w:rFonts w:ascii="宋体" w:hAnsi="宋体" w:cs="宋体" w:eastAsia="宋体" w:hint="default"/>
                            <w:spacing w:val="-1"/>
                            <w:sz w:val="18"/>
                            <w:szCs w:val="18"/>
                          </w:rPr>
                          <w:t>会议，审议通过《关于使用部分暂时闲置募集资金暂时补充流动资金的议案》，在保证募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投项目资金需求的前提下，同意公司使用不超过 </w:t>
                        </w:r>
                        <w:r>
                          <w:rPr>
                            <w:rFonts w:ascii="Times New Roman" w:hAnsi="Times New Roman" w:cs="Times New Roman" w:eastAsia="Times New Roman" w:hint="default"/>
                            <w:sz w:val="18"/>
                            <w:szCs w:val="18"/>
                          </w:rPr>
                          <w:t>25,000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万元暂时闲置募集资金暂时补充</w:t>
                        </w:r>
                      </w:p>
                      <w:p>
                        <w:pPr>
                          <w:pStyle w:val="TableParagraph"/>
                          <w:spacing w:line="240" w:lineRule="auto" w:before="5"/>
                          <w:ind w:left="4" w:right="0"/>
                          <w:jc w:val="both"/>
                          <w:rPr>
                            <w:rFonts w:ascii="宋体" w:hAnsi="宋体" w:cs="宋体" w:eastAsia="宋体" w:hint="default"/>
                            <w:sz w:val="18"/>
                            <w:szCs w:val="18"/>
                          </w:rPr>
                        </w:pPr>
                        <w:r>
                          <w:rPr>
                            <w:rFonts w:ascii="宋体" w:hAnsi="宋体" w:cs="宋体" w:eastAsia="宋体" w:hint="default"/>
                            <w:spacing w:val="2"/>
                            <w:sz w:val="18"/>
                            <w:szCs w:val="18"/>
                          </w:rPr>
                          <w:t>流动资金，使用期限为自公司董事会审议通过之日起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个月内（期限：</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p>
                        <w:pPr>
                          <w:pStyle w:val="TableParagraph"/>
                          <w:spacing w:line="300" w:lineRule="auto" w:before="63"/>
                          <w:ind w:left="4" w:right="-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23</w:t>
                        </w:r>
                        <w:r>
                          <w:rPr>
                            <w:rFonts w:ascii="宋体" w:hAnsi="宋体" w:cs="宋体" w:eastAsia="宋体" w:hint="default"/>
                            <w:spacing w:val="-4"/>
                            <w:sz w:val="18"/>
                            <w:szCs w:val="18"/>
                          </w:rPr>
                          <w:t>日）。独立董事及保荐机构分别发表了同意的独立意见及核查意见。截至</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日，公司实际使用闲置募集资金补充流动资金</w:t>
                        </w:r>
                        <w:r>
                          <w:rPr>
                            <w:rFonts w:ascii="Times New Roman" w:hAnsi="Times New Roman" w:cs="Times New Roman" w:eastAsia="Times New Roman" w:hint="default"/>
                            <w:spacing w:val="-1"/>
                            <w:sz w:val="18"/>
                            <w:szCs w:val="18"/>
                          </w:rPr>
                          <w:t>16,260.00</w:t>
                        </w:r>
                        <w:r>
                          <w:rPr>
                            <w:rFonts w:ascii="宋体" w:hAnsi="宋体" w:cs="宋体" w:eastAsia="宋体" w:hint="default"/>
                            <w:spacing w:val="-1"/>
                            <w:sz w:val="18"/>
                            <w:szCs w:val="18"/>
                          </w:rPr>
                          <w:t>万元，该资金使用期限未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超过</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r>
                  <w:tr>
                    <w:trPr>
                      <w:trHeight w:val="660"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0"/>
                            <w:sz w:val="18"/>
                            <w:szCs w:val="18"/>
                          </w:rPr>
                          <w:t>项目实施出现募集资金结余的金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额及原因</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00"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37"/>
                          <w:ind w:left="4" w:right="-1"/>
                          <w:jc w:val="left"/>
                          <w:rPr>
                            <w:rFonts w:ascii="宋体" w:hAnsi="宋体" w:cs="宋体" w:eastAsia="宋体" w:hint="default"/>
                            <w:sz w:val="18"/>
                            <w:szCs w:val="18"/>
                          </w:rPr>
                        </w:pPr>
                        <w:r>
                          <w:rPr>
                            <w:rFonts w:ascii="宋体" w:hAnsi="宋体" w:cs="宋体" w:eastAsia="宋体" w:hint="default"/>
                            <w:spacing w:val="-1"/>
                            <w:sz w:val="18"/>
                            <w:szCs w:val="18"/>
                          </w:rPr>
                          <w:t>截至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日，除闲置募集资金暂时补充流动资金外，其余尚未使用的募集资金存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放在募集资金专户中，用于募集资金投资项目的后续投入。</w:t>
                        </w:r>
                      </w:p>
                    </w:tc>
                  </w:tr>
                  <w:tr>
                    <w:trPr>
                      <w:trHeight w:val="65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1"/>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7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pStyle w:val="BodyText"/>
        <w:spacing w:line="240" w:lineRule="auto" w:before="37"/>
        <w:ind w:left="0"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7"/>
        <w:ind w:left="0" w:right="1039"/>
        <w:jc w:val="right"/>
      </w:pPr>
      <w:r>
        <w:rPr/>
        <w:t>）</w:t>
      </w:r>
    </w:p>
    <w:p>
      <w:pPr>
        <w:spacing w:after="0" w:line="240" w:lineRule="auto"/>
        <w:jc w:val="right"/>
        <w:sectPr>
          <w:pgSz w:w="11910" w:h="16840"/>
          <w:pgMar w:header="753" w:footer="982" w:top="1060" w:bottom="1180" w:left="960" w:right="0"/>
        </w:sectPr>
      </w:pPr>
    </w:p>
    <w:p>
      <w:pPr>
        <w:spacing w:line="240" w:lineRule="auto" w:before="4"/>
        <w:rPr>
          <w:rFonts w:ascii="宋体" w:hAnsi="宋体" w:cs="宋体" w:eastAsia="宋体" w:hint="default"/>
          <w:sz w:val="26"/>
          <w:szCs w:val="26"/>
        </w:rPr>
      </w:pPr>
    </w:p>
    <w:p>
      <w:pPr>
        <w:pStyle w:val="BodyText"/>
        <w:spacing w:line="300" w:lineRule="auto" w:before="37"/>
        <w:ind w:right="1124"/>
        <w:jc w:val="left"/>
      </w:pPr>
      <w:r>
        <w:rPr/>
        <w:t>说明</w:t>
      </w:r>
      <w:r>
        <w:rPr>
          <w:rFonts w:ascii="Times New Roman" w:hAnsi="Times New Roman" w:cs="Times New Roman" w:eastAsia="Times New Roman" w:hint="default"/>
        </w:rPr>
        <w:t>1</w:t>
      </w:r>
      <w:r>
        <w:rPr/>
        <w:t>：经公司第四届董事会第九次（临时）会议及公司</w:t>
      </w:r>
      <w:r>
        <w:rPr>
          <w:rFonts w:ascii="Times New Roman" w:hAnsi="Times New Roman" w:cs="Times New Roman" w:eastAsia="Times New Roman" w:hint="default"/>
        </w:rPr>
        <w:t>2017</w:t>
      </w:r>
      <w:r>
        <w:rPr/>
        <w:t>年第二次临时股东大会审议通过，公司将</w:t>
      </w:r>
      <w:r>
        <w:rPr>
          <w:rFonts w:ascii="Times New Roman" w:hAnsi="Times New Roman" w:cs="Times New Roman" w:eastAsia="Times New Roman" w:hint="default"/>
        </w:rPr>
        <w:t>2015</w:t>
      </w:r>
      <w:r>
        <w:rPr/>
        <w:t>年度非公开发行 股票募集资金投资项目中</w:t>
      </w:r>
      <w:r>
        <w:rPr>
          <w:rFonts w:ascii="Times New Roman" w:hAnsi="Times New Roman" w:cs="Times New Roman" w:eastAsia="Times New Roman" w:hint="default"/>
        </w:rPr>
        <w:t>“</w:t>
      </w:r>
      <w:r>
        <w:rPr/>
        <w:t>互联网包装印刷产业云平台及生态系统建设项目</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日全部募集资金余额以及上述 募投项目对应的募集资金专户自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日后、募集资金投资项目变更前收到的其他募集资金利息净额（利息收入具体 </w:t>
      </w:r>
      <w:r>
        <w:rPr>
          <w:spacing w:val="-2"/>
        </w:rPr>
        <w:t>以转出时利息金额为准）全部变更投入</w:t>
      </w:r>
      <w:r>
        <w:rPr>
          <w:rFonts w:ascii="Times New Roman" w:hAnsi="Times New Roman" w:cs="Times New Roman" w:eastAsia="Times New Roman" w:hint="default"/>
          <w:spacing w:val="-2"/>
        </w:rPr>
        <w:t>“</w:t>
      </w:r>
      <w:r>
        <w:rPr>
          <w:spacing w:val="-2"/>
        </w:rPr>
        <w:t>包装印刷工业</w:t>
      </w:r>
      <w:r>
        <w:rPr>
          <w:rFonts w:ascii="Times New Roman" w:hAnsi="Times New Roman" w:cs="Times New Roman" w:eastAsia="Times New Roman" w:hint="default"/>
          <w:spacing w:val="-2"/>
        </w:rPr>
        <w:t>4.0</w:t>
      </w:r>
      <w:r>
        <w:rPr>
          <w:spacing w:val="-2"/>
        </w:rPr>
        <w:t>智慧型工厂（六安）项目</w:t>
      </w:r>
      <w:r>
        <w:rPr>
          <w:rFonts w:ascii="Times New Roman" w:hAnsi="Times New Roman" w:cs="Times New Roman" w:eastAsia="Times New Roman" w:hint="default"/>
          <w:spacing w:val="-2"/>
        </w:rPr>
        <w:t>”</w:t>
      </w:r>
      <w:r>
        <w:rPr>
          <w:spacing w:val="-2"/>
        </w:rPr>
        <w:t>的建设，因此对应的募集资金专户自</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日后的募集资金利息净额无法全面体现，此处仅列示已变更募集资金本金金额。 说明</w:t>
      </w:r>
      <w:r>
        <w:rPr>
          <w:rFonts w:ascii="Times New Roman" w:hAnsi="Times New Roman" w:cs="Times New Roman" w:eastAsia="Times New Roman" w:hint="default"/>
        </w:rPr>
        <w:t>2</w:t>
      </w:r>
      <w:r>
        <w:rPr/>
        <w:t>：基于行业发展、政策环境、下游需求等多方面综合考虑，从谨慎性及保护中小股东权益的角度出发，经第五届董事 会第四次会议审议通过，公司将包装印刷工业进出口贸易及保税加工（岳阳）项目及基于装备制造的智慧包装工业</w:t>
      </w:r>
      <w:r>
        <w:rPr>
          <w:rFonts w:ascii="Times New Roman" w:hAnsi="Times New Roman" w:cs="Times New Roman" w:eastAsia="Times New Roman" w:hint="default"/>
        </w:rPr>
        <w:t>4.0</w:t>
      </w:r>
      <w:r>
        <w:rPr/>
        <w:t>产业 园项目的预计完工时间分别延期至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p>
    <w:p>
      <w:pPr>
        <w:spacing w:line="240" w:lineRule="auto" w:before="4"/>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）募集资金变更项目情况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7"/>
        <w:ind w:left="0" w:right="1133"/>
        <w:jc w:val="right"/>
      </w:pPr>
      <w:r>
        <w:rPr/>
        <w:pict>
          <v:shape style="position:absolute;margin-left:56.459999pt;margin-top:-346.198303pt;width:479.25pt;height:476.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1"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1"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64" w:hRule="exact"/>
                    </w:trPr>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2" w:right="21"/>
                          <w:jc w:val="left"/>
                          <w:rPr>
                            <w:rFonts w:ascii="宋体" w:hAnsi="宋体" w:cs="宋体" w:eastAsia="宋体" w:hint="default"/>
                            <w:sz w:val="18"/>
                            <w:szCs w:val="18"/>
                          </w:rPr>
                        </w:pPr>
                        <w:r>
                          <w:rPr>
                            <w:rFonts w:ascii="宋体" w:hAnsi="宋体" w:cs="宋体" w:eastAsia="宋体" w:hint="default"/>
                            <w:sz w:val="18"/>
                            <w:szCs w:val="18"/>
                          </w:rPr>
                          <w:t>现代化环保 包装生产基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包装物流一 体化项目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11,167.37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地项目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11,167.37</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5"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鉴于公司募集资金投资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实际运行情况、资金使用进度等，公司</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日召开的第二届董事会第十三次（临时）会议和于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年第一次临时股东大会审议通过《关于部分变更募集资金投资项目的</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决议终</w:t>
                        </w:r>
                        <w:r>
                          <w:rPr>
                            <w:rFonts w:ascii="宋体" w:hAnsi="宋体" w:cs="宋体" w:eastAsia="宋体" w:hint="default"/>
                            <w:spacing w:val="2"/>
                            <w:sz w:val="18"/>
                            <w:szCs w:val="18"/>
                          </w:rPr>
                          <w:t>止</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包装一体</w:t>
                        </w:r>
                        <w:r>
                          <w:rPr>
                            <w:rFonts w:ascii="宋体" w:hAnsi="宋体" w:cs="宋体" w:eastAsia="宋体" w:hint="default"/>
                            <w:spacing w:val="1"/>
                            <w:sz w:val="18"/>
                            <w:szCs w:val="18"/>
                          </w:rPr>
                          <w:t>化</w:t>
                        </w:r>
                        <w:r>
                          <w:rPr>
                            <w:rFonts w:ascii="宋体" w:hAnsi="宋体" w:cs="宋体" w:eastAsia="宋体" w:hint="default"/>
                            <w:sz w:val="18"/>
                            <w:szCs w:val="18"/>
                          </w:rPr>
                          <w:t>项目</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的继续实施</w:t>
                        </w:r>
                        <w:r>
                          <w:rPr>
                            <w:rFonts w:ascii="宋体" w:hAnsi="宋体" w:cs="宋体" w:eastAsia="宋体" w:hint="default"/>
                            <w:spacing w:val="-38"/>
                            <w:sz w:val="18"/>
                            <w:szCs w:val="18"/>
                          </w:rPr>
                          <w:t>，</w:t>
                        </w:r>
                        <w:r>
                          <w:rPr>
                            <w:rFonts w:ascii="宋体" w:hAnsi="宋体" w:cs="宋体" w:eastAsia="宋体" w:hint="default"/>
                            <w:sz w:val="18"/>
                            <w:szCs w:val="18"/>
                          </w:rPr>
                          <w:t>并将剩余</w:t>
                        </w:r>
                        <w:r>
                          <w:rPr>
                            <w:rFonts w:ascii="宋体" w:hAnsi="宋体" w:cs="宋体" w:eastAsia="宋体" w:hint="default"/>
                            <w:spacing w:val="1"/>
                            <w:sz w:val="18"/>
                            <w:szCs w:val="18"/>
                          </w:rPr>
                          <w:t>资</w:t>
                        </w:r>
                        <w:r>
                          <w:rPr>
                            <w:rFonts w:ascii="宋体" w:hAnsi="宋体" w:cs="宋体" w:eastAsia="宋体" w:hint="default"/>
                            <w:sz w:val="18"/>
                            <w:szCs w:val="18"/>
                          </w:rPr>
                          <w:t>金增资全资子公司苏州美</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盈森环保科技有限公司用于其实施的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w:t>
                        </w:r>
                      </w:p>
                    </w:tc>
                  </w:tr>
                  <w:tr>
                    <w:trPr>
                      <w:trHeight w:val="33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项目设备款、工程款、运营资金等的不足。</w:t>
                        </w:r>
                      </w:p>
                    </w:tc>
                  </w:tr>
                  <w:tr>
                    <w:trPr>
                      <w:trHeight w:val="33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上述募集资金变更事宜详见公司于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日披露于证券</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时报和巨潮资讯网（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）的相关公告。本次募集资金变更相关</w:t>
                        </w:r>
                      </w:p>
                    </w:tc>
                  </w:tr>
                  <w:tr>
                    <w:trPr>
                      <w:trHeight w:val="32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情况说明如下：</w:t>
                        </w:r>
                      </w:p>
                    </w:tc>
                  </w:tr>
                  <w:tr>
                    <w:trPr>
                      <w:trHeight w:val="33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）变更的募集资金投资项目概况：包装一体化项目计划通过设置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仓库和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ERP</w:t>
                        </w:r>
                      </w:p>
                    </w:tc>
                  </w:tr>
                  <w:tr>
                    <w:trPr>
                      <w:trHeight w:val="32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系统建设来提升公司的整体服务能力。该项目总投资为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6,706.48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万元，其中建设投资</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万元，项目配套流动资金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4,042.00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日，包装一体</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化项目仅部分实施，已投入募集资金共计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2,335.35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万元，剩余募集资金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包装一体化实际投资具体为：</w:t>
                        </w:r>
                        <w:r>
                          <w:rPr>
                            <w:rFonts w:ascii="Times New Roman" w:hAnsi="Times New Roman" w:cs="Times New Roman" w:eastAsia="Times New Roman" w:hint="default"/>
                            <w:spacing w:val="-3"/>
                            <w:sz w:val="18"/>
                            <w:szCs w:val="18"/>
                          </w:rPr>
                          <w:t>VMI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仓库租金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604.59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系统建设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654.54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5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配套流动资金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0.07 </w:t>
                        </w:r>
                        <w:r>
                          <w:rPr>
                            <w:rFonts w:ascii="宋体" w:hAnsi="宋体" w:cs="宋体" w:eastAsia="宋体" w:hint="default"/>
                            <w:sz w:val="18"/>
                            <w:szCs w:val="18"/>
                          </w:rPr>
                          <w:t>万元。</w:t>
                        </w:r>
                      </w:p>
                    </w:tc>
                  </w:tr>
                  <w:tr>
                    <w:trPr>
                      <w:trHeight w:val="35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）变更募集资金投资项目的原因：</w:t>
                        </w:r>
                        <w:r>
                          <w:rPr>
                            <w:rFonts w:ascii="Times New Roman" w:hAnsi="Times New Roman" w:cs="Times New Roman" w:eastAsia="Times New Roman" w:hint="default"/>
                            <w:sz w:val="18"/>
                            <w:szCs w:val="18"/>
                          </w:rPr>
                          <w:t>1</w:t>
                        </w:r>
                        <w:r>
                          <w:rPr>
                            <w:rFonts w:ascii="宋体" w:hAnsi="宋体" w:cs="宋体" w:eastAsia="宋体" w:hint="default"/>
                            <w:sz w:val="18"/>
                            <w:szCs w:val="18"/>
                          </w:rPr>
                          <w:t>）上市以来，公司通过增加物流运输设备、优</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化物流配送调度、精确掌握客户下单计划等，较大程度上提升物流配送体系的效能，</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更好的实现及时响应能力。鉴于此，并依据客户布局调整、产品所需包材种类以及充</w:t>
                        </w:r>
                      </w:p>
                    </w:tc>
                  </w:tr>
                  <w:tr>
                    <w:trPr>
                      <w:trHeight w:val="31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分考虑包装一体化成本结构，公司原计划设置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座仓库的方案需要调整。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）减少仓</w:t>
                        </w:r>
                      </w:p>
                    </w:tc>
                  </w:tr>
                  <w:tr>
                    <w:trPr>
                      <w:trHeight w:val="310"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库配置同时，相应的流动资金需求减少。鉴于上述原因，公司决定调整包装一体化项</w:t>
                        </w:r>
                      </w:p>
                    </w:tc>
                  </w:tr>
                </w:tbl>
                <w:p>
                  <w:pPr/>
                </w:p>
              </w:txbxContent>
            </v:textbox>
            <w10:wrap type="none"/>
          </v:shape>
        </w:pict>
      </w:r>
      <w:r>
        <w:rPr/>
        <w:t>。</w:t>
      </w:r>
    </w:p>
    <w:p>
      <w:pPr>
        <w:pStyle w:val="BodyText"/>
        <w:spacing w:line="240" w:lineRule="auto" w:before="76"/>
        <w:ind w:left="0" w:right="1135"/>
        <w:jc w:val="right"/>
      </w:pP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2872"/>
        <w:gridCol w:w="6698"/>
      </w:tblGrid>
      <w:tr>
        <w:trPr>
          <w:trHeight w:val="362"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目原有投资计划，以更好的适应公司发展需要，并提高募集资金使用效率。</w:t>
            </w:r>
          </w:p>
        </w:tc>
      </w:tr>
      <w:tr>
        <w:trPr>
          <w:trHeight w:val="402" w:hRule="exact"/>
        </w:trPr>
        <w:tc>
          <w:tcPr>
            <w:tcW w:w="2872"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0"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：苏州美盈森现代化环保包装生产基地项目系公司超募资金投资建设项目，该项</w:t>
            </w:r>
          </w:p>
        </w:tc>
      </w:tr>
      <w:tr>
        <w:trPr>
          <w:trHeight w:val="312"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4" w:right="0"/>
              <w:jc w:val="left"/>
              <w:rPr>
                <w:rFonts w:ascii="宋体" w:hAnsi="宋体" w:cs="宋体" w:eastAsia="宋体" w:hint="default"/>
                <w:sz w:val="18"/>
                <w:szCs w:val="18"/>
              </w:rPr>
            </w:pPr>
            <w:r>
              <w:rPr>
                <w:rFonts w:ascii="宋体" w:hAnsi="宋体" w:cs="宋体" w:eastAsia="宋体" w:hint="default"/>
                <w:sz w:val="18"/>
                <w:szCs w:val="18"/>
              </w:rPr>
              <w:t>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月投产试运行，逐步达到预定可使用状态，</w:t>
            </w:r>
          </w:p>
        </w:tc>
      </w:tr>
      <w:tr>
        <w:trPr>
          <w:trHeight w:val="253"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产量逐年释放，新客户开发卓有成效，实现利润增长，有效提升了公司的市场知名度</w:t>
            </w:r>
          </w:p>
        </w:tc>
      </w:tr>
      <w:tr>
        <w:trPr>
          <w:trHeight w:val="352" w:hRule="exact"/>
        </w:trPr>
        <w:tc>
          <w:tcPr>
            <w:tcW w:w="2872"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和综合竞争力。</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left="252" w:right="0"/>
        <w:jc w:val="left"/>
        <w:rPr>
          <w:rFonts w:ascii="Tahoma" w:hAnsi="Tahoma" w:cs="Tahoma" w:eastAsia="Tahoma" w:hint="default"/>
        </w:rPr>
      </w:pPr>
      <w:r>
        <w:rPr/>
        <w:t>（</w:t>
      </w:r>
      <w:r>
        <w:rPr>
          <w:rFonts w:ascii="Tahoma" w:hAnsi="Tahoma" w:cs="Tahoma" w:eastAsia="Tahoma" w:hint="default"/>
        </w:rPr>
        <w:t>5</w:t>
      </w:r>
      <w:r>
        <w:rPr/>
        <w:t>）</w:t>
      </w:r>
      <w:r>
        <w:rPr>
          <w:spacing w:val="4"/>
        </w:rPr>
        <w:t> </w:t>
      </w:r>
      <w:r>
        <w:rPr>
          <w:rFonts w:ascii="Tahoma" w:hAnsi="Tahoma" w:cs="Tahoma" w:eastAsia="Tahoma" w:hint="default"/>
          <w:spacing w:val="4"/>
        </w:rPr>
      </w:r>
      <w:r>
        <w:rPr/>
        <w:t>非公开发行变更募集资金投资项目情况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单位（人民币）：万元</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217"/>
        <w:gridCol w:w="1049"/>
        <w:gridCol w:w="1020"/>
        <w:gridCol w:w="991"/>
        <w:gridCol w:w="994"/>
        <w:gridCol w:w="991"/>
        <w:gridCol w:w="994"/>
        <w:gridCol w:w="833"/>
        <w:gridCol w:w="850"/>
        <w:gridCol w:w="852"/>
      </w:tblGrid>
      <w:tr>
        <w:trPr>
          <w:trHeight w:val="158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29" w:right="67" w:hanging="360"/>
              <w:jc w:val="left"/>
              <w:rPr>
                <w:rFonts w:ascii="宋体" w:hAnsi="宋体" w:cs="宋体" w:eastAsia="宋体" w:hint="default"/>
                <w:sz w:val="18"/>
                <w:szCs w:val="18"/>
              </w:rPr>
            </w:pPr>
            <w:r>
              <w:rPr>
                <w:rFonts w:ascii="宋体" w:hAnsi="宋体" w:cs="宋体" w:eastAsia="宋体" w:hint="default"/>
                <w:sz w:val="18"/>
                <w:szCs w:val="18"/>
              </w:rPr>
              <w:t>对应的原项 目</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3" w:firstLine="4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w:t>
            </w:r>
            <w:r>
              <w:rPr>
                <w:rFonts w:ascii="宋体" w:hAnsi="宋体" w:cs="宋体" w:eastAsia="宋体" w:hint="default"/>
                <w:spacing w:val="-14"/>
                <w:sz w:val="18"/>
                <w:szCs w:val="18"/>
              </w:rPr>
              <w:t>资金总额（</w:t>
            </w:r>
            <w:r>
              <w:rPr>
                <w:rFonts w:ascii="Times New Roman" w:hAnsi="Times New Roman" w:cs="Times New Roman" w:eastAsia="Times New Roman" w:hint="default"/>
                <w:spacing w:val="-14"/>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31" w:right="36" w:hanging="89"/>
              <w:jc w:val="left"/>
              <w:rPr>
                <w:rFonts w:ascii="宋体" w:hAnsi="宋体" w:cs="宋体" w:eastAsia="宋体" w:hint="default"/>
                <w:sz w:val="18"/>
                <w:szCs w:val="18"/>
              </w:rPr>
            </w:pPr>
            <w:r>
              <w:rPr>
                <w:rFonts w:ascii="宋体" w:hAnsi="宋体" w:cs="宋体" w:eastAsia="宋体" w:hint="default"/>
                <w:sz w:val="18"/>
                <w:szCs w:val="18"/>
              </w:rPr>
              <w:t>本年度实际 投入金额</w:t>
            </w:r>
          </w:p>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3" w:right="38"/>
              <w:jc w:val="both"/>
              <w:rPr>
                <w:rFonts w:ascii="宋体" w:hAnsi="宋体" w:cs="宋体" w:eastAsia="宋体" w:hint="default"/>
                <w:sz w:val="18"/>
                <w:szCs w:val="18"/>
              </w:rPr>
            </w:pPr>
            <w:r>
              <w:rPr>
                <w:rFonts w:ascii="宋体" w:hAnsi="宋体" w:cs="宋体" w:eastAsia="宋体" w:hint="default"/>
                <w:sz w:val="18"/>
                <w:szCs w:val="18"/>
              </w:rPr>
              <w:t>截止期末实 际累计投入 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7"/>
              <w:ind w:left="100" w:right="94"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投资进度 </w:t>
            </w:r>
            <w:r>
              <w:rPr>
                <w:rFonts w:ascii="Times New Roman" w:hAnsi="Times New Roman" w:cs="Times New Roman" w:eastAsia="Times New Roman" w:hint="default"/>
                <w:sz w:val="18"/>
                <w:szCs w:val="18"/>
              </w:rPr>
              <w:t>(%) (3)=(2)/(1)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3"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0" w:right="50"/>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2" w:right="5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2" w:right="57"/>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96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智慧工厂</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（六安）项目</w:t>
            </w:r>
          </w:p>
        </w:tc>
        <w:tc>
          <w:tcPr>
            <w:tcW w:w="1049" w:type="dxa"/>
            <w:vMerge w:val="restart"/>
            <w:tcBorders>
              <w:top w:val="single" w:sz="4" w:space="0" w:color="000000"/>
              <w:left w:val="single" w:sz="4" w:space="0" w:color="000000"/>
              <w:right w:val="single" w:sz="4"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互</w:t>
            </w:r>
            <w:r>
              <w:rPr>
                <w:rFonts w:ascii="宋体" w:hAnsi="宋体" w:cs="宋体" w:eastAsia="宋体" w:hint="default"/>
                <w:spacing w:val="-56"/>
                <w:sz w:val="18"/>
                <w:szCs w:val="18"/>
              </w:rPr>
              <w:t> </w:t>
            </w:r>
            <w:r>
              <w:rPr>
                <w:rFonts w:ascii="宋体" w:hAnsi="宋体" w:cs="宋体" w:eastAsia="宋体" w:hint="default"/>
                <w:sz w:val="18"/>
                <w:szCs w:val="18"/>
              </w:rPr>
              <w:t>联</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6"/>
                <w:sz w:val="18"/>
                <w:szCs w:val="18"/>
              </w:rPr>
              <w:t> </w:t>
            </w:r>
            <w:r>
              <w:rPr>
                <w:rFonts w:ascii="宋体" w:hAnsi="宋体" w:cs="宋体" w:eastAsia="宋体" w:hint="default"/>
                <w:sz w:val="18"/>
                <w:szCs w:val="18"/>
              </w:rPr>
              <w:t>包</w:t>
            </w:r>
            <w:r>
              <w:rPr>
                <w:rFonts w:ascii="宋体" w:hAnsi="宋体" w:cs="宋体" w:eastAsia="宋体" w:hint="default"/>
                <w:spacing w:val="-56"/>
                <w:sz w:val="18"/>
                <w:szCs w:val="18"/>
              </w:rPr>
              <w:t> </w:t>
            </w:r>
            <w:r>
              <w:rPr>
                <w:rFonts w:ascii="宋体" w:hAnsi="宋体" w:cs="宋体" w:eastAsia="宋体" w:hint="default"/>
                <w:sz w:val="18"/>
                <w:szCs w:val="18"/>
              </w:rPr>
              <w:t>装</w:t>
            </w:r>
            <w:r>
              <w:rPr>
                <w:rFonts w:ascii="宋体" w:hAnsi="宋体" w:cs="宋体" w:eastAsia="宋体" w:hint="default"/>
                <w:sz w:val="18"/>
                <w:szCs w:val="18"/>
              </w:rPr>
              <w:t> 印</w:t>
            </w:r>
            <w:r>
              <w:rPr>
                <w:rFonts w:ascii="宋体" w:hAnsi="宋体" w:cs="宋体" w:eastAsia="宋体" w:hint="default"/>
                <w:spacing w:val="-56"/>
                <w:sz w:val="18"/>
                <w:szCs w:val="18"/>
              </w:rPr>
              <w:t> </w:t>
            </w:r>
            <w:r>
              <w:rPr>
                <w:rFonts w:ascii="宋体" w:hAnsi="宋体" w:cs="宋体" w:eastAsia="宋体" w:hint="default"/>
                <w:sz w:val="18"/>
                <w:szCs w:val="18"/>
              </w:rPr>
              <w:t>刷</w:t>
            </w:r>
            <w:r>
              <w:rPr>
                <w:rFonts w:ascii="宋体" w:hAnsi="宋体" w:cs="宋体" w:eastAsia="宋体" w:hint="default"/>
                <w:spacing w:val="-58"/>
                <w:sz w:val="18"/>
                <w:szCs w:val="18"/>
              </w:rPr>
              <w:t> </w:t>
            </w:r>
            <w:r>
              <w:rPr>
                <w:rFonts w:ascii="宋体" w:hAnsi="宋体" w:cs="宋体" w:eastAsia="宋体" w:hint="default"/>
                <w:sz w:val="18"/>
                <w:szCs w:val="18"/>
              </w:rPr>
              <w:t>产</w:t>
            </w:r>
            <w:r>
              <w:rPr>
                <w:rFonts w:ascii="宋体" w:hAnsi="宋体" w:cs="宋体" w:eastAsia="宋体" w:hint="default"/>
                <w:spacing w:val="-56"/>
                <w:sz w:val="18"/>
                <w:szCs w:val="18"/>
              </w:rPr>
              <w:t> </w:t>
            </w:r>
            <w:r>
              <w:rPr>
                <w:rFonts w:ascii="宋体" w:hAnsi="宋体" w:cs="宋体" w:eastAsia="宋体" w:hint="default"/>
                <w:sz w:val="18"/>
                <w:szCs w:val="18"/>
              </w:rPr>
              <w:t>业</w:t>
            </w:r>
            <w:r>
              <w:rPr>
                <w:rFonts w:ascii="宋体" w:hAnsi="宋体" w:cs="宋体" w:eastAsia="宋体" w:hint="default"/>
                <w:spacing w:val="-56"/>
                <w:sz w:val="18"/>
                <w:szCs w:val="18"/>
              </w:rPr>
              <w:t> </w:t>
            </w:r>
            <w:r>
              <w:rPr>
                <w:rFonts w:ascii="宋体" w:hAnsi="宋体" w:cs="宋体" w:eastAsia="宋体" w:hint="default"/>
                <w:sz w:val="18"/>
                <w:szCs w:val="18"/>
              </w:rPr>
              <w:t>云</w:t>
            </w:r>
            <w:r>
              <w:rPr>
                <w:rFonts w:ascii="宋体" w:hAnsi="宋体" w:cs="宋体" w:eastAsia="宋体" w:hint="default"/>
                <w:sz w:val="18"/>
                <w:szCs w:val="18"/>
              </w:rPr>
              <w:t> 平</w:t>
            </w:r>
            <w:r>
              <w:rPr>
                <w:rFonts w:ascii="宋体" w:hAnsi="宋体" w:cs="宋体" w:eastAsia="宋体" w:hint="default"/>
                <w:spacing w:val="-56"/>
                <w:sz w:val="18"/>
                <w:szCs w:val="18"/>
              </w:rPr>
              <w:t> </w:t>
            </w:r>
            <w:r>
              <w:rPr>
                <w:rFonts w:ascii="宋体" w:hAnsi="宋体" w:cs="宋体" w:eastAsia="宋体" w:hint="default"/>
                <w:sz w:val="18"/>
                <w:szCs w:val="18"/>
              </w:rPr>
              <w:t>台</w:t>
            </w:r>
            <w:r>
              <w:rPr>
                <w:rFonts w:ascii="宋体" w:hAnsi="宋体" w:cs="宋体" w:eastAsia="宋体" w:hint="default"/>
                <w:spacing w:val="-58"/>
                <w:sz w:val="18"/>
                <w:szCs w:val="18"/>
              </w:rPr>
              <w:t> </w:t>
            </w:r>
            <w:r>
              <w:rPr>
                <w:rFonts w:ascii="宋体" w:hAnsi="宋体" w:cs="宋体" w:eastAsia="宋体" w:hint="default"/>
                <w:sz w:val="18"/>
                <w:szCs w:val="18"/>
              </w:rPr>
              <w:t>及</w:t>
            </w:r>
            <w:r>
              <w:rPr>
                <w:rFonts w:ascii="宋体" w:hAnsi="宋体" w:cs="宋体" w:eastAsia="宋体" w:hint="default"/>
                <w:spacing w:val="-56"/>
                <w:sz w:val="18"/>
                <w:szCs w:val="18"/>
              </w:rPr>
              <w:t> </w:t>
            </w:r>
            <w:r>
              <w:rPr>
                <w:rFonts w:ascii="宋体" w:hAnsi="宋体" w:cs="宋体" w:eastAsia="宋体" w:hint="default"/>
                <w:sz w:val="18"/>
                <w:szCs w:val="18"/>
              </w:rPr>
              <w:t>生</w:t>
            </w:r>
            <w:r>
              <w:rPr>
                <w:rFonts w:ascii="宋体" w:hAnsi="宋体" w:cs="宋体" w:eastAsia="宋体" w:hint="default"/>
                <w:spacing w:val="-56"/>
                <w:sz w:val="18"/>
                <w:szCs w:val="18"/>
              </w:rPr>
              <w:t> </w:t>
            </w:r>
            <w:r>
              <w:rPr>
                <w:rFonts w:ascii="宋体" w:hAnsi="宋体" w:cs="宋体" w:eastAsia="宋体" w:hint="default"/>
                <w:sz w:val="18"/>
                <w:szCs w:val="18"/>
              </w:rPr>
              <w:t>态</w:t>
            </w:r>
            <w:r>
              <w:rPr>
                <w:rFonts w:ascii="宋体" w:hAnsi="宋体" w:cs="宋体" w:eastAsia="宋体" w:hint="default"/>
                <w:sz w:val="18"/>
                <w:szCs w:val="18"/>
              </w:rPr>
              <w:t> 系</w:t>
            </w:r>
            <w:r>
              <w:rPr>
                <w:rFonts w:ascii="宋体" w:hAnsi="宋体" w:cs="宋体" w:eastAsia="宋体" w:hint="default"/>
                <w:spacing w:val="-56"/>
                <w:sz w:val="18"/>
                <w:szCs w:val="18"/>
              </w:rPr>
              <w:t> </w:t>
            </w:r>
            <w:r>
              <w:rPr>
                <w:rFonts w:ascii="宋体" w:hAnsi="宋体" w:cs="宋体" w:eastAsia="宋体" w:hint="default"/>
                <w:sz w:val="18"/>
                <w:szCs w:val="18"/>
              </w:rPr>
              <w:t>统</w:t>
            </w:r>
            <w:r>
              <w:rPr>
                <w:rFonts w:ascii="宋体" w:hAnsi="宋体" w:cs="宋体" w:eastAsia="宋体" w:hint="default"/>
                <w:spacing w:val="-58"/>
                <w:sz w:val="18"/>
                <w:szCs w:val="18"/>
              </w:rPr>
              <w:t> </w:t>
            </w:r>
            <w:r>
              <w:rPr>
                <w:rFonts w:ascii="宋体" w:hAnsi="宋体" w:cs="宋体" w:eastAsia="宋体" w:hint="default"/>
                <w:sz w:val="18"/>
                <w:szCs w:val="18"/>
              </w:rPr>
              <w:t>建</w:t>
            </w:r>
            <w:r>
              <w:rPr>
                <w:rFonts w:ascii="宋体" w:hAnsi="宋体" w:cs="宋体" w:eastAsia="宋体" w:hint="default"/>
                <w:spacing w:val="-56"/>
                <w:sz w:val="18"/>
                <w:szCs w:val="18"/>
              </w:rPr>
              <w:t> </w:t>
            </w:r>
            <w:r>
              <w:rPr>
                <w:rFonts w:ascii="宋体" w:hAnsi="宋体" w:cs="宋体" w:eastAsia="宋体" w:hint="default"/>
                <w:sz w:val="18"/>
                <w:szCs w:val="18"/>
              </w:rPr>
              <w:t>设</w:t>
            </w:r>
            <w:r>
              <w:rPr>
                <w:rFonts w:ascii="宋体" w:hAnsi="宋体" w:cs="宋体" w:eastAsia="宋体" w:hint="default"/>
                <w:spacing w:val="-56"/>
                <w:sz w:val="18"/>
                <w:szCs w:val="18"/>
              </w:rPr>
              <w:t> </w:t>
            </w:r>
            <w:r>
              <w:rPr>
                <w:rFonts w:ascii="宋体" w:hAnsi="宋体" w:cs="宋体" w:eastAsia="宋体" w:hint="default"/>
                <w:sz w:val="18"/>
                <w:szCs w:val="18"/>
              </w:rPr>
              <w:t>项</w:t>
            </w:r>
            <w:r>
              <w:rPr>
                <w:rFonts w:ascii="宋体" w:hAnsi="宋体" w:cs="宋体" w:eastAsia="宋体" w:hint="default"/>
                <w:sz w:val="18"/>
                <w:szCs w:val="18"/>
              </w:rPr>
              <w:t> </w:t>
            </w:r>
            <w:r>
              <w:rPr>
                <w:rFonts w:ascii="宋体" w:hAnsi="宋体" w:cs="宋体" w:eastAsia="宋体" w:hint="default"/>
                <w:spacing w:val="-9"/>
                <w:sz w:val="18"/>
                <w:szCs w:val="18"/>
              </w:rPr>
              <w:t>目、智能包装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物</w:t>
            </w:r>
            <w:r>
              <w:rPr>
                <w:rFonts w:ascii="宋体" w:hAnsi="宋体" w:cs="宋体" w:eastAsia="宋体" w:hint="default"/>
                <w:spacing w:val="-56"/>
                <w:sz w:val="18"/>
                <w:szCs w:val="18"/>
              </w:rPr>
              <w:t> </w:t>
            </w:r>
            <w:r>
              <w:rPr>
                <w:rFonts w:ascii="宋体" w:hAnsi="宋体" w:cs="宋体" w:eastAsia="宋体" w:hint="default"/>
                <w:sz w:val="18"/>
                <w:szCs w:val="18"/>
              </w:rPr>
              <w:t>联</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6"/>
                <w:sz w:val="18"/>
                <w:szCs w:val="18"/>
              </w:rPr>
              <w:t> </w:t>
            </w:r>
            <w:r>
              <w:rPr>
                <w:rFonts w:ascii="宋体" w:hAnsi="宋体" w:cs="宋体" w:eastAsia="宋体" w:hint="default"/>
                <w:sz w:val="18"/>
                <w:szCs w:val="18"/>
              </w:rPr>
              <w:t>平</w:t>
            </w:r>
            <w:r>
              <w:rPr>
                <w:rFonts w:ascii="宋体" w:hAnsi="宋体" w:cs="宋体" w:eastAsia="宋体" w:hint="default"/>
                <w:spacing w:val="-56"/>
                <w:sz w:val="18"/>
                <w:szCs w:val="18"/>
              </w:rPr>
              <w:t> </w:t>
            </w:r>
            <w:r>
              <w:rPr>
                <w:rFonts w:ascii="宋体" w:hAnsi="宋体" w:cs="宋体" w:eastAsia="宋体" w:hint="default"/>
                <w:sz w:val="18"/>
                <w:szCs w:val="18"/>
              </w:rPr>
              <w:t>台</w:t>
            </w:r>
            <w:r>
              <w:rPr>
                <w:rFonts w:ascii="宋体" w:hAnsi="宋体" w:cs="宋体" w:eastAsia="宋体" w:hint="default"/>
                <w:sz w:val="18"/>
                <w:szCs w:val="18"/>
              </w:rPr>
              <w:t> 项目</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17,983.52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6,477.55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11,926.28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66.32%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164.53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42" w:right="146"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7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20"/>
              <w:jc w:val="both"/>
              <w:rPr>
                <w:rFonts w:ascii="宋体" w:hAnsi="宋体" w:cs="宋体" w:eastAsia="宋体" w:hint="default"/>
                <w:sz w:val="18"/>
                <w:szCs w:val="18"/>
              </w:rPr>
            </w:pPr>
            <w:r>
              <w:rPr>
                <w:rFonts w:ascii="宋体" w:hAnsi="宋体" w:cs="宋体" w:eastAsia="宋体" w:hint="default"/>
                <w:sz w:val="18"/>
                <w:szCs w:val="18"/>
              </w:rPr>
              <w:t>包装印刷工业 进出口贸易及 保税加工（岳 阳）项目</w:t>
            </w:r>
          </w:p>
        </w:tc>
        <w:tc>
          <w:tcPr>
            <w:tcW w:w="1049" w:type="dxa"/>
            <w:vMerge/>
            <w:tcBorders>
              <w:left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2,147.03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3,356.41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33.56%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left="13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20"/>
              <w:jc w:val="left"/>
              <w:rPr>
                <w:rFonts w:ascii="宋体" w:hAnsi="宋体" w:cs="宋体" w:eastAsia="宋体" w:hint="default"/>
                <w:sz w:val="18"/>
                <w:szCs w:val="18"/>
              </w:rPr>
            </w:pPr>
            <w:r>
              <w:rPr>
                <w:rFonts w:ascii="宋体" w:hAnsi="宋体" w:cs="宋体" w:eastAsia="宋体" w:hint="default"/>
                <w:sz w:val="18"/>
                <w:szCs w:val="18"/>
              </w:rPr>
              <w:t>高端环保包装 生产基地项目</w:t>
            </w:r>
          </w:p>
        </w:tc>
        <w:tc>
          <w:tcPr>
            <w:tcW w:w="1049" w:type="dxa"/>
            <w:vMerge/>
            <w:tcBorders>
              <w:left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37.80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7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7"/>
                <w:sz w:val="18"/>
                <w:szCs w:val="18"/>
              </w:rPr>
              <w:t> </w:t>
            </w:r>
            <w:r>
              <w:rPr>
                <w:rFonts w:ascii="宋体" w:hAnsi="宋体" w:cs="宋体" w:eastAsia="宋体" w:hint="default"/>
                <w:sz w:val="18"/>
                <w:szCs w:val="18"/>
              </w:rPr>
              <w:t>于</w:t>
            </w:r>
            <w:r>
              <w:rPr>
                <w:rFonts w:ascii="宋体" w:hAnsi="宋体" w:cs="宋体" w:eastAsia="宋体" w:hint="default"/>
                <w:spacing w:val="-65"/>
                <w:sz w:val="18"/>
                <w:szCs w:val="18"/>
              </w:rPr>
              <w:t> </w:t>
            </w: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pacing w:val="10"/>
                <w:sz w:val="18"/>
                <w:szCs w:val="18"/>
              </w:rPr>
              <w:t>备制</w:t>
            </w:r>
            <w:r>
              <w:rPr>
                <w:rFonts w:ascii="宋体" w:hAnsi="宋体" w:cs="宋体" w:eastAsia="宋体" w:hint="default"/>
                <w:spacing w:val="-67"/>
                <w:sz w:val="18"/>
                <w:szCs w:val="18"/>
              </w:rPr>
              <w:t> </w:t>
            </w:r>
            <w:r>
              <w:rPr>
                <w:rFonts w:ascii="宋体" w:hAnsi="宋体" w:cs="宋体" w:eastAsia="宋体" w:hint="default"/>
                <w:sz w:val="18"/>
                <w:szCs w:val="18"/>
              </w:rPr>
              <w:t>造</w:t>
            </w:r>
            <w:r>
              <w:rPr>
                <w:rFonts w:ascii="宋体" w:hAnsi="宋体" w:cs="宋体" w:eastAsia="宋体" w:hint="default"/>
                <w:sz w:val="18"/>
                <w:szCs w:val="18"/>
              </w:rPr>
              <w:t> 的</w:t>
            </w:r>
            <w:r>
              <w:rPr>
                <w:rFonts w:ascii="宋体" w:hAnsi="宋体" w:cs="宋体" w:eastAsia="宋体" w:hint="default"/>
                <w:spacing w:val="-67"/>
                <w:sz w:val="18"/>
                <w:szCs w:val="18"/>
              </w:rPr>
              <w:t> </w:t>
            </w:r>
            <w:r>
              <w:rPr>
                <w:rFonts w:ascii="宋体" w:hAnsi="宋体" w:cs="宋体" w:eastAsia="宋体" w:hint="default"/>
                <w:sz w:val="18"/>
                <w:szCs w:val="18"/>
              </w:rPr>
              <w:t>智</w:t>
            </w:r>
            <w:r>
              <w:rPr>
                <w:rFonts w:ascii="宋体" w:hAnsi="宋体" w:cs="宋体" w:eastAsia="宋体" w:hint="default"/>
                <w:spacing w:val="-65"/>
                <w:sz w:val="18"/>
                <w:szCs w:val="18"/>
              </w:rPr>
              <w:t> </w:t>
            </w:r>
            <w:r>
              <w:rPr>
                <w:rFonts w:ascii="宋体" w:hAnsi="宋体" w:cs="宋体" w:eastAsia="宋体" w:hint="default"/>
                <w:sz w:val="18"/>
                <w:szCs w:val="18"/>
              </w:rPr>
              <w:t>慧</w:t>
            </w:r>
            <w:r>
              <w:rPr>
                <w:rFonts w:ascii="宋体" w:hAnsi="宋体" w:cs="宋体" w:eastAsia="宋体" w:hint="default"/>
                <w:spacing w:val="-67"/>
                <w:sz w:val="18"/>
                <w:szCs w:val="18"/>
              </w:rPr>
              <w:t> </w:t>
            </w:r>
            <w:r>
              <w:rPr>
                <w:rFonts w:ascii="宋体" w:hAnsi="宋体" w:cs="宋体" w:eastAsia="宋体" w:hint="default"/>
                <w:spacing w:val="10"/>
                <w:sz w:val="18"/>
                <w:szCs w:val="18"/>
              </w:rPr>
              <w:t>包装</w:t>
            </w:r>
            <w:r>
              <w:rPr>
                <w:rFonts w:ascii="宋体" w:hAnsi="宋体" w:cs="宋体" w:eastAsia="宋体" w:hint="default"/>
                <w:spacing w:val="-67"/>
                <w:sz w:val="18"/>
                <w:szCs w:val="18"/>
              </w:rPr>
              <w:t> </w:t>
            </w:r>
            <w:r>
              <w:rPr>
                <w:rFonts w:ascii="宋体" w:hAnsi="宋体" w:cs="宋体" w:eastAsia="宋体" w:hint="default"/>
                <w:sz w:val="18"/>
                <w:szCs w:val="18"/>
              </w:rPr>
              <w:t>工</w:t>
            </w:r>
            <w:r>
              <w:rPr>
                <w:rFonts w:ascii="宋体" w:hAnsi="宋体" w:cs="宋体" w:eastAsia="宋体" w:hint="default"/>
                <w:sz w:val="18"/>
                <w:szCs w:val="18"/>
              </w:rPr>
              <w:t> </w:t>
            </w:r>
            <w:r>
              <w:rPr>
                <w:rFonts w:ascii="宋体" w:hAnsi="宋体" w:cs="宋体" w:eastAsia="宋体" w:hint="default"/>
                <w:spacing w:val="8"/>
                <w:sz w:val="18"/>
                <w:szCs w:val="18"/>
              </w:rPr>
              <w:t>业</w:t>
            </w:r>
            <w:r>
              <w:rPr>
                <w:rFonts w:ascii="Times New Roman" w:hAnsi="Times New Roman" w:cs="Times New Roman" w:eastAsia="Times New Roman" w:hint="default"/>
                <w:spacing w:val="8"/>
                <w:sz w:val="18"/>
                <w:szCs w:val="18"/>
              </w:rPr>
              <w:t>4.0</w:t>
            </w:r>
            <w:r>
              <w:rPr>
                <w:rFonts w:ascii="宋体" w:hAnsi="宋体" w:cs="宋体" w:eastAsia="宋体" w:hint="default"/>
                <w:spacing w:val="8"/>
                <w:sz w:val="18"/>
                <w:szCs w:val="18"/>
              </w:rPr>
              <w:t>产业园项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w:t>
            </w:r>
          </w:p>
        </w:tc>
        <w:tc>
          <w:tcPr>
            <w:tcW w:w="1049" w:type="dxa"/>
            <w:vMerge/>
            <w:tcBorders>
              <w:left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1,445.51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1,445.52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6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67"/>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印</w:t>
            </w:r>
            <w:r>
              <w:rPr>
                <w:rFonts w:ascii="宋体" w:hAnsi="宋体" w:cs="宋体" w:eastAsia="宋体" w:hint="default"/>
                <w:spacing w:val="-67"/>
                <w:sz w:val="18"/>
                <w:szCs w:val="18"/>
              </w:rPr>
              <w:t> </w:t>
            </w:r>
            <w:r>
              <w:rPr>
                <w:rFonts w:ascii="宋体" w:hAnsi="宋体" w:cs="宋体" w:eastAsia="宋体" w:hint="default"/>
                <w:spacing w:val="10"/>
                <w:sz w:val="18"/>
                <w:szCs w:val="18"/>
              </w:rPr>
              <w:t>刷工</w:t>
            </w:r>
            <w:r>
              <w:rPr>
                <w:rFonts w:ascii="宋体" w:hAnsi="宋体" w:cs="宋体" w:eastAsia="宋体" w:hint="default"/>
                <w:spacing w:val="-67"/>
                <w:sz w:val="18"/>
                <w:szCs w:val="18"/>
              </w:rPr>
              <w:t> </w:t>
            </w:r>
            <w:r>
              <w:rPr>
                <w:rFonts w:ascii="宋体" w:hAnsi="宋体" w:cs="宋体" w:eastAsia="宋体" w:hint="default"/>
                <w:sz w:val="18"/>
                <w:szCs w:val="18"/>
              </w:rPr>
              <w:t>业</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4.0</w:t>
            </w:r>
            <w:r>
              <w:rPr>
                <w:rFonts w:ascii="宋体" w:hAnsi="宋体" w:cs="宋体" w:eastAsia="宋体" w:hint="default"/>
                <w:spacing w:val="8"/>
                <w:sz w:val="18"/>
                <w:szCs w:val="18"/>
              </w:rPr>
              <w:t>智慧型工厂</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1049"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9,185.18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14,365.52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71.83%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-257.12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42" w:right="146"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 注</w:t>
            </w:r>
            <w:r>
              <w:rPr>
                <w:rFonts w:ascii="Times New Roman" w:hAnsi="Times New Roman" w:cs="Times New Roman" w:eastAsia="Times New Roman" w:hint="default"/>
                <w:sz w:val="18"/>
                <w:szCs w:val="18"/>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93,983.52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19,293.07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31,131.53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33.12%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-92.59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1" w:right="0"/>
              <w:jc w:val="left"/>
              <w:rPr>
                <w:rFonts w:ascii="Times New Roman" w:hAnsi="Times New Roman" w:cs="Times New Roman" w:eastAsia="Times New Roman" w:hint="default"/>
                <w:sz w:val="18"/>
                <w:szCs w:val="18"/>
              </w:rPr>
            </w:pPr>
            <w:r>
              <w:rPr>
                <w:rFonts w:ascii="Times New Roman"/>
                <w:sz w:val="18"/>
              </w:rPr>
              <w:t>--</w:t>
            </w:r>
          </w:p>
        </w:tc>
      </w:tr>
      <w:tr>
        <w:trPr>
          <w:trHeight w:val="2527" w:hRule="exact"/>
        </w:trPr>
        <w:tc>
          <w:tcPr>
            <w:tcW w:w="3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6504"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）基于行业发展、政策环境、公司战略和资金使用效率等多方面综合考虑，公司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日召开第四届董事会第九次（临时）会议，审议并通过《关于部分变</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更募集资金用途的议案》，同意公司终止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互联网包装印刷产业云平台及生态系统建</w:t>
            </w:r>
            <w:r>
              <w:rPr>
                <w:rFonts w:ascii="宋体" w:hAnsi="宋体" w:cs="宋体" w:eastAsia="宋体" w:hint="default"/>
                <w:spacing w:val="-59"/>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互联网包装印刷产业云平台及生态系 </w:t>
            </w:r>
            <w:r>
              <w:rPr>
                <w:rFonts w:ascii="宋体" w:hAnsi="宋体" w:cs="宋体" w:eastAsia="宋体" w:hint="default"/>
                <w:spacing w:val="-2"/>
                <w:sz w:val="18"/>
                <w:szCs w:val="18"/>
              </w:rPr>
              <w:t>统建设项目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日全部募集资金余额</w:t>
            </w:r>
            <w:r>
              <w:rPr>
                <w:rFonts w:ascii="Times New Roman" w:hAnsi="Times New Roman" w:cs="Times New Roman" w:eastAsia="Times New Roman" w:hint="default"/>
                <w:spacing w:val="-2"/>
                <w:sz w:val="18"/>
                <w:szCs w:val="18"/>
              </w:rPr>
              <w:t>52,514.29</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智能包装物联网</w:t>
            </w:r>
            <w:r>
              <w:rPr>
                <w:rFonts w:ascii="宋体" w:hAnsi="宋体" w:cs="宋体" w:eastAsia="宋体" w:hint="default"/>
                <w:spacing w:val="-73"/>
                <w:sz w:val="18"/>
                <w:szCs w:val="18"/>
              </w:rPr>
              <w:t> </w:t>
            </w:r>
            <w:r>
              <w:rPr>
                <w:rFonts w:ascii="宋体" w:hAnsi="宋体" w:cs="宋体" w:eastAsia="宋体" w:hint="default"/>
                <w:sz w:val="18"/>
                <w:szCs w:val="18"/>
              </w:rPr>
              <w:t>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日全部募集资金余额</w:t>
            </w:r>
            <w:r>
              <w:rPr>
                <w:rFonts w:ascii="Times New Roman" w:hAnsi="Times New Roman" w:cs="Times New Roman" w:eastAsia="Times New Roman" w:hint="default"/>
                <w:sz w:val="18"/>
                <w:szCs w:val="18"/>
              </w:rPr>
              <w:t>41,469.24</w:t>
            </w:r>
            <w:r>
              <w:rPr>
                <w:rFonts w:ascii="宋体" w:hAnsi="宋体" w:cs="宋体" w:eastAsia="宋体" w:hint="default"/>
                <w:sz w:val="18"/>
                <w:szCs w:val="18"/>
              </w:rPr>
              <w:t>万元，共计</w:t>
            </w:r>
            <w:r>
              <w:rPr>
                <w:rFonts w:ascii="Times New Roman" w:hAnsi="Times New Roman" w:cs="Times New Roman" w:eastAsia="Times New Roman" w:hint="default"/>
                <w:sz w:val="18"/>
                <w:szCs w:val="18"/>
              </w:rPr>
              <w:t>93,983.52</w:t>
            </w:r>
            <w:r>
              <w:rPr>
                <w:rFonts w:ascii="宋体" w:hAnsi="宋体" w:cs="宋体" w:eastAsia="宋体" w:hint="default"/>
                <w:sz w:val="18"/>
                <w:szCs w:val="18"/>
              </w:rPr>
              <w:t>万元 </w:t>
            </w:r>
            <w:r>
              <w:rPr>
                <w:rFonts w:ascii="宋体" w:hAnsi="宋体" w:cs="宋体" w:eastAsia="宋体" w:hint="default"/>
                <w:spacing w:val="-3"/>
                <w:sz w:val="18"/>
                <w:szCs w:val="18"/>
              </w:rPr>
              <w:t>以及上述募投项目对应的募集资金专户自</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日后、募集资金投资项目变更</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前收到的其他募集资金利息净额（利息收入具体以转出时利息金额为准）全部变更</w:t>
            </w:r>
          </w:p>
        </w:tc>
      </w:tr>
    </w:tbl>
    <w:p>
      <w:pPr>
        <w:spacing w:after="0" w:line="300" w:lineRule="auto"/>
        <w:jc w:val="both"/>
        <w:rPr>
          <w:rFonts w:ascii="宋体" w:hAnsi="宋体" w:cs="宋体" w:eastAsia="宋体" w:hint="default"/>
          <w:sz w:val="18"/>
          <w:szCs w:val="18"/>
        </w:rPr>
        <w:sectPr>
          <w:pgSz w:w="11910" w:h="16840"/>
          <w:pgMar w:header="753" w:footer="982" w:top="1060" w:bottom="118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37"/>
        <w:ind w:left="0" w:right="1037"/>
        <w:jc w:val="right"/>
      </w:pPr>
      <w:r>
        <w:rPr/>
        <w:pict>
          <v:shape style="position:absolute;margin-left:49.32pt;margin-top:-61.918251pt;width:490.2pt;height:519.8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6"/>
                    <w:gridCol w:w="6504"/>
                  </w:tblGrid>
                  <w:tr>
                    <w:trPr>
                      <w:trHeight w:val="333" w:hRule="exact"/>
                    </w:trPr>
                    <w:tc>
                      <w:tcPr>
                        <w:tcW w:w="3286" w:type="dxa"/>
                        <w:vMerge w:val="restart"/>
                        <w:tcBorders>
                          <w:top w:val="single" w:sz="4" w:space="0" w:color="000000"/>
                          <w:left w:val="single" w:sz="4" w:space="0" w:color="000000"/>
                          <w:right w:val="single" w:sz="4" w:space="0" w:color="000000"/>
                        </w:tcBorders>
                      </w:tcPr>
                      <w:p>
                        <w:pPr/>
                      </w:p>
                    </w:tc>
                    <w:tc>
                      <w:tcPr>
                        <w:tcW w:w="6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税加工</w:t>
                        </w:r>
                        <w:r>
                          <w:rPr>
                            <w:rFonts w:ascii="Times New Roman" w:hAnsi="Times New Roman" w:cs="Times New Roman" w:eastAsia="Times New Roman" w:hint="default"/>
                            <w:sz w:val="18"/>
                            <w:szCs w:val="18"/>
                          </w:rPr>
                          <w:t>(</w:t>
                        </w:r>
                        <w:r>
                          <w:rPr>
                            <w:rFonts w:ascii="宋体" w:hAnsi="宋体" w:cs="宋体" w:eastAsia="宋体" w:hint="default"/>
                            <w:sz w:val="18"/>
                            <w:szCs w:val="18"/>
                          </w:rPr>
                          <w:t>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的建设。上述变更募集资金用</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途的议案已经由公司于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年第二次临时股东大会审议通</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87"/>
                            <w:sz w:val="18"/>
                            <w:szCs w:val="18"/>
                          </w:rPr>
                          <w:t>。</w:t>
                        </w:r>
                        <w:r>
                          <w:rPr>
                            <w:rFonts w:ascii="宋体" w:hAnsi="宋体" w:cs="宋体" w:eastAsia="宋体" w:hint="default"/>
                            <w:sz w:val="18"/>
                            <w:szCs w:val="18"/>
                          </w:rPr>
                          <w:t>相关事宜详见公司</w:t>
                        </w: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017</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宋体" w:hAnsi="宋体" w:cs="宋体" w:eastAsia="宋体" w:hint="default"/>
                            <w:spacing w:val="-3"/>
                            <w:sz w:val="18"/>
                            <w:szCs w:val="18"/>
                          </w:rPr>
                          <w:t>及</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宋体" w:hAnsi="宋体" w:cs="宋体" w:eastAsia="宋体" w:hint="default"/>
                            <w:spacing w:val="-3"/>
                            <w:sz w:val="18"/>
                            <w:szCs w:val="18"/>
                          </w:rPr>
                          <w:t>月</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宋体" w:hAnsi="宋体" w:cs="宋体" w:eastAsia="宋体" w:hint="default"/>
                            <w:sz w:val="18"/>
                            <w:szCs w:val="18"/>
                          </w:rPr>
                          <w:t>日披</w:t>
                        </w:r>
                        <w:r>
                          <w:rPr>
                            <w:rFonts w:ascii="宋体" w:hAnsi="宋体" w:cs="宋体" w:eastAsia="宋体" w:hint="default"/>
                            <w:spacing w:val="-2"/>
                            <w:sz w:val="18"/>
                            <w:szCs w:val="18"/>
                          </w:rPr>
                          <w:t>露</w:t>
                        </w:r>
                        <w:r>
                          <w:rPr>
                            <w:rFonts w:ascii="宋体" w:hAnsi="宋体" w:cs="宋体" w:eastAsia="宋体" w:hint="default"/>
                            <w:sz w:val="18"/>
                            <w:szCs w:val="18"/>
                          </w:rPr>
                          <w:t>于证券时报和巨潮资</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）的相关公告，编号</w:t>
                        </w:r>
                        <w:r>
                          <w:rPr>
                            <w:rFonts w:ascii="Times New Roman" w:hAnsi="Times New Roman" w:cs="Times New Roman" w:eastAsia="Times New Roman" w:hint="default"/>
                            <w:spacing w:val="-3"/>
                            <w:sz w:val="18"/>
                            <w:szCs w:val="18"/>
                          </w:rPr>
                          <w:t>2017-065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2017-068</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2017-072</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）公司于</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日召开第四届董事会第十六次（临时）会议，审议通过《关</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pacing w:val="-2"/>
                            <w:sz w:val="18"/>
                            <w:szCs w:val="18"/>
                          </w:rPr>
                          <w:t>于部分变更募集资金用途的议案》，同意将包装印刷工业</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智慧型工厂（六安）项</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目募集资金金额中的</w:t>
                        </w:r>
                        <w:r>
                          <w:rPr>
                            <w:rFonts w:ascii="Times New Roman" w:hAnsi="Times New Roman" w:cs="Times New Roman" w:eastAsia="Times New Roman" w:hint="default"/>
                            <w:sz w:val="18"/>
                            <w:szCs w:val="18"/>
                          </w:rPr>
                          <w:t>28,000</w:t>
                        </w:r>
                        <w:r>
                          <w:rPr>
                            <w:rFonts w:ascii="宋体" w:hAnsi="宋体" w:cs="宋体" w:eastAsia="宋体" w:hint="default"/>
                            <w:sz w:val="18"/>
                            <w:szCs w:val="18"/>
                          </w:rPr>
                          <w:t>万元变更用于基于装备制造的智慧包装工业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产业园</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（佛山）项目建设，将</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万元变更用于包装印刷工业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智慧型工厂（长沙）项</w:t>
                        </w:r>
                      </w:p>
                    </w:tc>
                  </w:tr>
                  <w:tr>
                    <w:trPr>
                      <w:trHeight w:val="311"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目建设，同意将包装印刷工业进出口贸易及保税加工（岳阳）项目募集资金余额中</w:t>
                        </w:r>
                      </w:p>
                    </w:tc>
                  </w:tr>
                  <w:tr>
                    <w:trPr>
                      <w:trHeight w:val="313"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万元变更用于包装印刷工业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智慧型工厂（长沙）项目建设。上述变更募</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集资金用途的议案已</w:t>
                        </w:r>
                        <w:r>
                          <w:rPr>
                            <w:rFonts w:ascii="宋体" w:hAnsi="宋体" w:cs="宋体" w:eastAsia="宋体" w:hint="default"/>
                            <w:spacing w:val="-1"/>
                            <w:sz w:val="18"/>
                            <w:szCs w:val="18"/>
                          </w:rPr>
                          <w:t>经</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宋体" w:hAnsi="宋体" w:cs="宋体" w:eastAsia="宋体" w:hint="default"/>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日召开的第二次临时股</w:t>
                        </w:r>
                        <w:r>
                          <w:rPr>
                            <w:rFonts w:ascii="宋体" w:hAnsi="宋体" w:cs="宋体" w:eastAsia="宋体" w:hint="default"/>
                            <w:spacing w:val="-2"/>
                            <w:sz w:val="18"/>
                            <w:szCs w:val="18"/>
                          </w:rPr>
                          <w:t>东</w:t>
                        </w:r>
                        <w:r>
                          <w:rPr>
                            <w:rFonts w:ascii="宋体" w:hAnsi="宋体" w:cs="宋体" w:eastAsia="宋体" w:hint="default"/>
                            <w:sz w:val="18"/>
                            <w:szCs w:val="18"/>
                          </w:rPr>
                          <w:t>大会审议通过</w:t>
                        </w:r>
                        <w:r>
                          <w:rPr>
                            <w:rFonts w:ascii="宋体" w:hAnsi="宋体" w:cs="宋体" w:eastAsia="宋体" w:hint="default"/>
                            <w:spacing w:val="-87"/>
                            <w:sz w:val="18"/>
                            <w:szCs w:val="18"/>
                          </w:rPr>
                          <w:t>。</w:t>
                        </w:r>
                        <w:r>
                          <w:rPr>
                            <w:rFonts w:ascii="宋体" w:hAnsi="宋体" w:cs="宋体" w:eastAsia="宋体" w:hint="default"/>
                            <w:sz w:val="18"/>
                            <w:szCs w:val="18"/>
                          </w:rPr>
                          <w:t>相关事</w:t>
                        </w:r>
                      </w:p>
                    </w:tc>
                  </w:tr>
                  <w:tr>
                    <w:trPr>
                      <w:trHeight w:val="312" w:hRule="exact"/>
                    </w:trPr>
                    <w:tc>
                      <w:tcPr>
                        <w:tcW w:w="3286" w:type="dxa"/>
                        <w:vMerge/>
                        <w:tcBorders>
                          <w:left w:val="single" w:sz="4" w:space="0" w:color="000000"/>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宜详见公司于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日披露于证券时报和巨潮资讯网</w:t>
                        </w:r>
                      </w:p>
                    </w:tc>
                  </w:tr>
                  <w:tr>
                    <w:trPr>
                      <w:trHeight w:val="320" w:hRule="exact"/>
                    </w:trPr>
                    <w:tc>
                      <w:tcPr>
                        <w:tcW w:w="3286" w:type="dxa"/>
                        <w:vMerge/>
                        <w:tcBorders>
                          <w:left w:val="single" w:sz="4" w:space="0" w:color="000000"/>
                          <w:bottom w:val="single" w:sz="4" w:space="0" w:color="000000"/>
                          <w:right w:val="single" w:sz="4" w:space="0" w:color="000000"/>
                        </w:tcBorders>
                      </w:tcPr>
                      <w:p>
                        <w:pPr/>
                      </w:p>
                    </w:tc>
                    <w:tc>
                      <w:tcPr>
                        <w:tcW w:w="6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）的相关公告，编号</w:t>
                        </w:r>
                        <w:r>
                          <w:rPr>
                            <w:rFonts w:ascii="Times New Roman" w:hAnsi="Times New Roman" w:cs="Times New Roman" w:eastAsia="Times New Roman" w:hint="default"/>
                            <w:sz w:val="18"/>
                            <w:szCs w:val="18"/>
                          </w:rPr>
                          <w:t>2018-045</w:t>
                        </w:r>
                        <w:r>
                          <w:rPr>
                            <w:rFonts w:ascii="宋体" w:hAnsi="宋体" w:cs="宋体" w:eastAsia="宋体" w:hint="default"/>
                            <w:sz w:val="18"/>
                            <w:szCs w:val="18"/>
                          </w:rPr>
                          <w:t>、</w:t>
                        </w:r>
                        <w:r>
                          <w:rPr>
                            <w:rFonts w:ascii="Times New Roman" w:hAnsi="Times New Roman" w:cs="Times New Roman" w:eastAsia="Times New Roman" w:hint="default"/>
                            <w:sz w:val="18"/>
                            <w:szCs w:val="18"/>
                          </w:rPr>
                          <w:t>2018-047</w:t>
                        </w:r>
                        <w:r>
                          <w:rPr>
                            <w:rFonts w:ascii="宋体" w:hAnsi="宋体" w:cs="宋体" w:eastAsia="宋体" w:hint="default"/>
                            <w:sz w:val="18"/>
                            <w:szCs w:val="18"/>
                          </w:rPr>
                          <w:t>和</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p>
                    </w:tc>
                  </w:tr>
                  <w:tr>
                    <w:trPr>
                      <w:trHeight w:val="335" w:hRule="exact"/>
                    </w:trPr>
                    <w:tc>
                      <w:tcPr>
                        <w:tcW w:w="3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tc>
                    <w:tc>
                      <w:tcPr>
                        <w:tcW w:w="6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12</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智慧型工厂（六安）项目于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月逐步投入使用</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13</w:t>
                        </w:r>
                        <w:r>
                          <w:rPr>
                            <w:rFonts w:ascii="宋体" w:hAnsi="宋体" w:cs="宋体" w:eastAsia="宋体" w:hint="default"/>
                            <w:sz w:val="18"/>
                            <w:szCs w:val="18"/>
                          </w:rPr>
                          <w:t>和注</w:t>
                        </w:r>
                        <w:r>
                          <w:rPr>
                            <w:rFonts w:ascii="Times New Roman" w:hAnsi="Times New Roman" w:cs="Times New Roman" w:eastAsia="Times New Roman" w:hint="default"/>
                            <w:sz w:val="18"/>
                            <w:szCs w:val="18"/>
                          </w:rPr>
                          <w:t>14</w:t>
                        </w:r>
                        <w:r>
                          <w:rPr>
                            <w:rFonts w:ascii="宋体" w:hAnsi="宋体" w:cs="宋体" w:eastAsia="宋体" w:hint="default"/>
                            <w:sz w:val="18"/>
                            <w:szCs w:val="18"/>
                          </w:rPr>
                          <w:t>：从谨慎性及保护中小股东权益的角度出发，经第五届董事会第四次会</w:t>
                        </w:r>
                      </w:p>
                    </w:tc>
                  </w:tr>
                  <w:tr>
                    <w:trPr>
                      <w:trHeight w:val="311"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议审议通过，公司将包装印刷工业进出口贸易及保税加工（岳阳）项目及基于装备</w:t>
                        </w:r>
                      </w:p>
                    </w:tc>
                  </w:tr>
                  <w:tr>
                    <w:trPr>
                      <w:trHeight w:val="313"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制造的智慧包装工业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产业园项目的预计完工时间分别延期至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15</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智慧型工厂（长沙）项目于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月逐步投入使用</w:t>
                        </w:r>
                      </w:p>
                    </w:tc>
                  </w:tr>
                  <w:tr>
                    <w:trPr>
                      <w:trHeight w:val="311"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上述智慧工厂的逐步投入使用，正逐步释放高效产能，能够有效提升公司的综合竞</w:t>
                        </w:r>
                      </w:p>
                    </w:tc>
                  </w:tr>
                  <w:tr>
                    <w:trPr>
                      <w:trHeight w:val="321" w:hRule="exact"/>
                    </w:trPr>
                    <w:tc>
                      <w:tcPr>
                        <w:tcW w:w="3286" w:type="dxa"/>
                        <w:tcBorders>
                          <w:top w:val="nil" w:sz="6" w:space="0" w:color="auto"/>
                          <w:left w:val="single" w:sz="4" w:space="0" w:color="000000"/>
                          <w:bottom w:val="single" w:sz="4" w:space="0" w:color="000000"/>
                          <w:right w:val="single" w:sz="4" w:space="0" w:color="000000"/>
                        </w:tcBorders>
                      </w:tcPr>
                      <w:p>
                        <w:pPr/>
                      </w:p>
                    </w:tc>
                    <w:tc>
                      <w:tcPr>
                        <w:tcW w:w="6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争力，有利于推动公司实现业绩增长。</w:t>
                        </w:r>
                      </w:p>
                    </w:tc>
                  </w:tr>
                  <w:tr>
                    <w:trPr>
                      <w:trHeight w:val="332" w:hRule="exact"/>
                    </w:trPr>
                    <w:tc>
                      <w:tcPr>
                        <w:tcW w:w="3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w:t>
                        </w:r>
                      </w:p>
                    </w:tc>
                    <w:tc>
                      <w:tcPr>
                        <w:tcW w:w="6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随着我国经济的不断发展，近几年国内土地、劳动力成本不断上升，部分制造业企</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业为了控制综合成本，逐步将产能向土地及劳动力成本较低的地区转移；同时，在</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国际贸易局势趋于复杂化的环境下，区域内部分客户（如电子通讯行业部分企业）</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为分散经营风险将制造业务向东南亚等新兴市场转移</w:t>
                        </w:r>
                        <w:r>
                          <w:rPr>
                            <w:rFonts w:ascii="宋体" w:hAnsi="宋体" w:cs="宋体" w:eastAsia="宋体" w:hint="default"/>
                            <w:spacing w:val="-87"/>
                            <w:sz w:val="18"/>
                            <w:szCs w:val="18"/>
                          </w:rPr>
                          <w:t>，</w:t>
                        </w:r>
                        <w:r>
                          <w:rPr>
                            <w:rFonts w:ascii="宋体" w:hAnsi="宋体" w:cs="宋体" w:eastAsia="宋体" w:hint="default"/>
                            <w:sz w:val="18"/>
                            <w:szCs w:val="18"/>
                          </w:rPr>
                          <w:t>导致区域市场需求发生变化</w:t>
                        </w:r>
                      </w:p>
                    </w:tc>
                  </w:tr>
                  <w:tr>
                    <w:trPr>
                      <w:trHeight w:val="313"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同时，公司在相邻省份投资建设的六安智慧工厂已于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年逐步投产，该工厂可在</w:t>
                        </w:r>
                      </w:p>
                    </w:tc>
                  </w:tr>
                  <w:tr>
                    <w:trPr>
                      <w:trHeight w:val="311"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7" w:right="0"/>
                          <w:jc w:val="left"/>
                          <w:rPr>
                            <w:rFonts w:ascii="宋体" w:hAnsi="宋体" w:cs="宋体" w:eastAsia="宋体" w:hint="default"/>
                            <w:sz w:val="18"/>
                            <w:szCs w:val="18"/>
                          </w:rPr>
                        </w:pPr>
                        <w:r>
                          <w:rPr>
                            <w:rFonts w:ascii="宋体" w:hAnsi="宋体" w:cs="宋体" w:eastAsia="宋体" w:hint="default"/>
                            <w:sz w:val="18"/>
                            <w:szCs w:val="18"/>
                          </w:rPr>
                          <w:t>一定程度分担公司苏州美盈森生产基地的满负荷运转压力。综合行业发展、市场环</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境、公司战略和资金使用效率等多方面因素考虑，经公司审慎研究认为，短期内并</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不是公司大规模资金投资于高端环保包装生产基地项目的最佳时机，为了进一步提</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高募集资金的使用效率，保证股东利益最大化，公司拟终止高端环保包装生产基地</w:t>
                        </w:r>
                      </w:p>
                    </w:tc>
                  </w:tr>
                  <w:tr>
                    <w:trPr>
                      <w:trHeight w:val="312" w:hRule="exact"/>
                    </w:trPr>
                    <w:tc>
                      <w:tcPr>
                        <w:tcW w:w="3286" w:type="dxa"/>
                        <w:tcBorders>
                          <w:top w:val="nil" w:sz="6" w:space="0" w:color="auto"/>
                          <w:left w:val="single" w:sz="4" w:space="0" w:color="000000"/>
                          <w:bottom w:val="nil" w:sz="6" w:space="0" w:color="auto"/>
                          <w:right w:val="single" w:sz="4" w:space="0" w:color="000000"/>
                        </w:tcBorders>
                      </w:tcPr>
                      <w:p>
                        <w:pPr/>
                      </w:p>
                    </w:tc>
                    <w:tc>
                      <w:tcPr>
                        <w:tcW w:w="650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项目。</w:t>
                        </w:r>
                      </w:p>
                    </w:tc>
                  </w:tr>
                  <w:tr>
                    <w:trPr>
                      <w:trHeight w:val="324" w:hRule="exact"/>
                    </w:trPr>
                    <w:tc>
                      <w:tcPr>
                        <w:tcW w:w="3286" w:type="dxa"/>
                        <w:tcBorders>
                          <w:top w:val="nil" w:sz="6" w:space="0" w:color="auto"/>
                          <w:left w:val="single" w:sz="4" w:space="0" w:color="000000"/>
                          <w:bottom w:val="single" w:sz="4" w:space="0" w:color="000000"/>
                          <w:right w:val="single" w:sz="4" w:space="0" w:color="000000"/>
                        </w:tcBorders>
                      </w:tcPr>
                      <w:p>
                        <w:pPr/>
                      </w:p>
                    </w:tc>
                    <w:tc>
                      <w:tcPr>
                        <w:tcW w:w="6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7" w:right="0"/>
                          <w:jc w:val="left"/>
                          <w:rPr>
                            <w:rFonts w:ascii="宋体" w:hAnsi="宋体" w:cs="宋体" w:eastAsia="宋体" w:hint="default"/>
                            <w:sz w:val="18"/>
                            <w:szCs w:val="18"/>
                          </w:rPr>
                        </w:pPr>
                        <w:r>
                          <w:rPr>
                            <w:rFonts w:ascii="宋体" w:hAnsi="宋体" w:cs="宋体" w:eastAsia="宋体" w:hint="default"/>
                            <w:sz w:val="18"/>
                            <w:szCs w:val="18"/>
                          </w:rPr>
                          <w:t>上述事项已经由公司于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日召开的第五届董事会第四次会议审议通过。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7"/>
        <w:ind w:left="0" w:right="10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7"/>
        <w:ind w:left="0" w:right="10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7"/>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0"/>
        <w:ind w:left="252" w:right="0"/>
        <w:jc w:val="left"/>
        <w:rPr>
          <w:rFonts w:ascii="Tahoma" w:hAnsi="Tahoma" w:cs="Tahoma" w:eastAsia="Tahoma" w:hint="default"/>
        </w:rPr>
      </w:pPr>
      <w:r>
        <w:rPr/>
        <w:t>六、重大资产和股权出售</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4"/>
        <w:spacing w:line="240" w:lineRule="auto"/>
        <w:ind w:left="252" w:right="0"/>
        <w:jc w:val="left"/>
        <w:rPr>
          <w:rFonts w:ascii="Tahoma" w:hAnsi="Tahoma" w:cs="Tahoma" w:eastAsia="Tahoma" w:hint="default"/>
        </w:rPr>
      </w:pPr>
      <w:r>
        <w:rPr>
          <w:rFonts w:ascii="Tahoma" w:hAnsi="Tahoma" w:cs="Tahoma" w:eastAsia="Tahoma" w:hint="default"/>
        </w:rPr>
        <w:t>1</w:t>
      </w:r>
      <w:r>
        <w:rPr/>
        <w:t>、出售重大资产情况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left="25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公司报告期未出售重大资产。</w:t>
      </w:r>
    </w:p>
    <w:p>
      <w:pPr>
        <w:spacing w:line="240" w:lineRule="auto" w:before="7"/>
        <w:rPr>
          <w:rFonts w:ascii="宋体" w:hAnsi="宋体" w:cs="宋体" w:eastAsia="宋体" w:hint="default"/>
          <w:sz w:val="21"/>
          <w:szCs w:val="21"/>
        </w:rPr>
      </w:pPr>
    </w:p>
    <w:p>
      <w:pPr>
        <w:pStyle w:val="Heading4"/>
        <w:spacing w:line="240" w:lineRule="auto"/>
        <w:ind w:left="252" w:right="0"/>
        <w:jc w:val="left"/>
        <w:rPr>
          <w:rFonts w:ascii="Tahoma" w:hAnsi="Tahoma" w:cs="Tahoma" w:eastAsia="Tahoma" w:hint="default"/>
        </w:rPr>
      </w:pPr>
      <w:r>
        <w:rPr>
          <w:rFonts w:ascii="Tahoma" w:hAnsi="Tahoma" w:cs="Tahoma" w:eastAsia="Tahoma" w:hint="default"/>
        </w:rPr>
        <w:t>2</w:t>
      </w:r>
      <w:r>
        <w:rPr/>
        <w:t>、出售重大股权情况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5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footerReference w:type="default" r:id="rId16"/>
          <w:pgSz w:w="11910" w:h="16840"/>
          <w:pgMar w:footer="982" w:header="753" w:top="1060" w:bottom="1180" w:left="880" w:right="0"/>
          <w:pgNumType w:start="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七、主要控股参股公司分析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240" w:lineRule="auto" w:before="37"/>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17"/>
              <w:jc w:val="both"/>
              <w:rPr>
                <w:rFonts w:ascii="宋体" w:hAnsi="宋体" w:cs="宋体" w:eastAsia="宋体" w:hint="default"/>
                <w:sz w:val="18"/>
                <w:szCs w:val="18"/>
              </w:rPr>
            </w:pPr>
            <w:r>
              <w:rPr>
                <w:rFonts w:ascii="宋体" w:hAnsi="宋体" w:cs="宋体" w:eastAsia="宋体" w:hint="default"/>
                <w:sz w:val="18"/>
                <w:szCs w:val="18"/>
              </w:rPr>
              <w:t>东莞市美盈 森环保科技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left"/>
              <w:rPr>
                <w:rFonts w:ascii="宋体" w:hAnsi="宋体" w:cs="宋体" w:eastAsia="宋体" w:hint="default"/>
                <w:sz w:val="18"/>
                <w:szCs w:val="18"/>
              </w:rPr>
            </w:pPr>
            <w:r>
              <w:rPr>
                <w:rFonts w:ascii="宋体" w:hAnsi="宋体" w:cs="宋体" w:eastAsia="宋体" w:hint="default"/>
                <w:sz w:val="18"/>
                <w:szCs w:val="18"/>
              </w:rPr>
              <w:t>业务是轻重 型环保包装 制品的研 发、生产及</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Times New Roman" w:hAnsi="Times New Roman" w:cs="Times New Roman" w:eastAsia="Times New Roman" w:hint="default"/>
                <w:sz w:val="18"/>
                <w:szCs w:val="18"/>
              </w:rPr>
            </w:pPr>
            <w:r>
              <w:rPr>
                <w:rFonts w:ascii="Times New Roman"/>
                <w:sz w:val="18"/>
              </w:rPr>
              <w:t>675,002,500.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1,766,762,86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4.25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1,051,649,34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1.23</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1,398,445,56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7.60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
              <w:jc w:val="right"/>
              <w:rPr>
                <w:rFonts w:ascii="Times New Roman" w:hAnsi="Times New Roman" w:cs="Times New Roman" w:eastAsia="Times New Roman" w:hint="default"/>
                <w:sz w:val="18"/>
                <w:szCs w:val="18"/>
              </w:rPr>
            </w:pPr>
            <w:r>
              <w:rPr>
                <w:rFonts w:ascii="Times New Roman"/>
                <w:spacing w:val="-1"/>
                <w:sz w:val="18"/>
              </w:rPr>
              <w:t>101,139,229.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5"/>
              <w:jc w:val="right"/>
              <w:rPr>
                <w:rFonts w:ascii="Times New Roman" w:hAnsi="Times New Roman" w:cs="Times New Roman" w:eastAsia="Times New Roman" w:hint="default"/>
                <w:sz w:val="18"/>
                <w:szCs w:val="18"/>
              </w:rPr>
            </w:pPr>
            <w:r>
              <w:rPr>
                <w:rFonts w:ascii="Times New Roman"/>
                <w:spacing w:val="-1"/>
                <w:sz w:val="18"/>
              </w:rPr>
              <w:t>91,262,817.2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4" w:right="117"/>
              <w:jc w:val="both"/>
              <w:rPr>
                <w:rFonts w:ascii="宋体" w:hAnsi="宋体" w:cs="宋体" w:eastAsia="宋体" w:hint="default"/>
                <w:sz w:val="18"/>
                <w:szCs w:val="18"/>
              </w:rPr>
            </w:pPr>
            <w:r>
              <w:rPr>
                <w:rFonts w:ascii="宋体" w:hAnsi="宋体" w:cs="宋体" w:eastAsia="宋体" w:hint="default"/>
                <w:sz w:val="18"/>
                <w:szCs w:val="18"/>
              </w:rPr>
              <w:t>苏州美盈森 环保科技有 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08"/>
              <w:jc w:val="left"/>
              <w:rPr>
                <w:rFonts w:ascii="宋体" w:hAnsi="宋体" w:cs="宋体" w:eastAsia="宋体" w:hint="default"/>
                <w:sz w:val="18"/>
                <w:szCs w:val="18"/>
              </w:rPr>
            </w:pPr>
            <w:r>
              <w:rPr>
                <w:rFonts w:ascii="宋体" w:hAnsi="宋体" w:cs="宋体" w:eastAsia="宋体" w:hint="default"/>
                <w:sz w:val="18"/>
                <w:szCs w:val="18"/>
              </w:rPr>
              <w:t>业务是轻重 型环保包装 制品的研 发、生产及</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sz w:val="18"/>
              </w:rPr>
              <w:t>478,311,400.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1,390,690,30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5.79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831,066,430.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1,047,235,39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0.84</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135,250,578.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5"/>
              <w:jc w:val="right"/>
              <w:rPr>
                <w:rFonts w:ascii="Times New Roman" w:hAnsi="Times New Roman" w:cs="Times New Roman" w:eastAsia="Times New Roman" w:hint="default"/>
                <w:sz w:val="18"/>
                <w:szCs w:val="18"/>
              </w:rPr>
            </w:pPr>
            <w:r>
              <w:rPr>
                <w:rFonts w:ascii="Times New Roman"/>
                <w:spacing w:val="-1"/>
                <w:sz w:val="18"/>
              </w:rPr>
              <w:t>116,245,694.</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重庆市美盈</w:t>
            </w: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业务是轻重</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17"/>
              <w:jc w:val="left"/>
              <w:rPr>
                <w:rFonts w:ascii="宋体" w:hAnsi="宋体" w:cs="宋体" w:eastAsia="宋体" w:hint="default"/>
                <w:sz w:val="18"/>
                <w:szCs w:val="18"/>
              </w:rPr>
            </w:pPr>
            <w:r>
              <w:rPr>
                <w:rFonts w:ascii="宋体" w:hAnsi="宋体" w:cs="宋体" w:eastAsia="宋体" w:hint="default"/>
                <w:sz w:val="18"/>
                <w:szCs w:val="18"/>
              </w:rPr>
              <w:t>森环保包装 工程有限公</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left"/>
              <w:rPr>
                <w:rFonts w:ascii="宋体" w:hAnsi="宋体" w:cs="宋体" w:eastAsia="宋体" w:hint="default"/>
                <w:sz w:val="18"/>
                <w:szCs w:val="18"/>
              </w:rPr>
            </w:pPr>
            <w:r>
              <w:rPr>
                <w:rFonts w:ascii="宋体" w:hAnsi="宋体" w:cs="宋体" w:eastAsia="宋体" w:hint="default"/>
                <w:sz w:val="18"/>
                <w:szCs w:val="18"/>
              </w:rPr>
              <w:t>型环保包装 制品的研</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4"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649,352,947.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492,872,634.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398,601,275.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97,478,468.0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pacing w:val="-1"/>
                <w:sz w:val="18"/>
              </w:rPr>
              <w:t>82,275,330.7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该公司主营</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业务是软件</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开发，隐藏</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17"/>
              <w:jc w:val="both"/>
              <w:rPr>
                <w:rFonts w:ascii="宋体" w:hAnsi="宋体" w:cs="宋体" w:eastAsia="宋体" w:hint="default"/>
                <w:sz w:val="18"/>
                <w:szCs w:val="18"/>
              </w:rPr>
            </w:pPr>
            <w:r>
              <w:rPr>
                <w:rFonts w:ascii="宋体" w:hAnsi="宋体" w:cs="宋体" w:eastAsia="宋体" w:hint="default"/>
                <w:sz w:val="18"/>
                <w:szCs w:val="18"/>
              </w:rPr>
              <w:t>东莞市美芯 龙物联网科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08"/>
              <w:jc w:val="both"/>
              <w:rPr>
                <w:rFonts w:ascii="宋体" w:hAnsi="宋体" w:cs="宋体" w:eastAsia="宋体" w:hint="default"/>
                <w:sz w:val="18"/>
                <w:szCs w:val="18"/>
              </w:rPr>
            </w:pPr>
            <w:r>
              <w:rPr>
                <w:rFonts w:ascii="宋体" w:hAnsi="宋体" w:cs="宋体" w:eastAsia="宋体" w:hint="default"/>
                <w:sz w:val="18"/>
                <w:szCs w:val="18"/>
              </w:rPr>
              <w:t>信息防伪技 术的开发， 高新材料的</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186,461,189.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147,746,031.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118,542,361.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45,489,328.2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39,215,476.9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研发，无线</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射频标签生</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产及销售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福建美盈森环保科技有限公司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-3,334.99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青岛美盈森智谷科技有限公司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云南文麻生物科技有限公司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-330,786.41</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2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MYS</w:t>
            </w:r>
            <w:r>
              <w:rPr>
                <w:rFonts w:ascii="宋体" w:hAnsi="宋体" w:cs="宋体" w:eastAsia="宋体" w:hint="default"/>
                <w:sz w:val="18"/>
                <w:szCs w:val="18"/>
              </w:rPr>
              <w:t>（</w:t>
            </w:r>
            <w:r>
              <w:rPr>
                <w:rFonts w:ascii="Times New Roman" w:hAnsi="Times New Roman" w:cs="Times New Roman" w:eastAsia="Times New Roman" w:hint="default"/>
                <w:sz w:val="18"/>
                <w:szCs w:val="18"/>
              </w:rPr>
              <w:t>DONG NAI</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PACKAGING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TECHNOLOGY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-768,195.50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9"/>
              <w:jc w:val="left"/>
              <w:rPr>
                <w:rFonts w:ascii="Times New Roman" w:hAnsi="Times New Roman" w:cs="Times New Roman" w:eastAsia="Times New Roman" w:hint="default"/>
                <w:sz w:val="18"/>
                <w:szCs w:val="18"/>
              </w:rPr>
            </w:pPr>
            <w:r>
              <w:rPr>
                <w:rFonts w:ascii="Times New Roman"/>
                <w:sz w:val="18"/>
              </w:rPr>
              <w:t>MYS GROUP (VIETNAM)</w:t>
            </w:r>
            <w:r>
              <w:rPr>
                <w:rFonts w:ascii="Times New Roman"/>
                <w:spacing w:val="-9"/>
                <w:sz w:val="18"/>
              </w:rPr>
              <w:t> </w:t>
            </w:r>
            <w:r>
              <w:rPr>
                <w:rFonts w:ascii="Times New Roman"/>
                <w:spacing w:val="-3"/>
                <w:sz w:val="18"/>
              </w:rPr>
              <w:t>PACKING</w:t>
            </w:r>
            <w:r>
              <w:rPr>
                <w:rFonts w:ascii="Times New Roman"/>
                <w:w w:val="99"/>
                <w:sz w:val="18"/>
              </w:rPr>
              <w:t> </w:t>
            </w:r>
            <w:r>
              <w:rPr>
                <w:rFonts w:ascii="Times New Roman"/>
                <w:sz w:val="18"/>
              </w:rPr>
              <w:t>THCHNOLOGY</w:t>
            </w:r>
            <w:r>
              <w:rPr>
                <w:rFonts w:ascii="Times New Roman"/>
                <w:spacing w:val="-11"/>
                <w:sz w:val="18"/>
              </w:rPr>
              <w:t> </w:t>
            </w:r>
            <w:r>
              <w:rPr>
                <w:rFonts w:ascii="Times New Roman"/>
                <w:spacing w:val="-3"/>
                <w:sz w:val="18"/>
              </w:rPr>
              <w:t>CO.,LTD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61,177.05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美达科技包装（泰国）有限公司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深圳市汇天云网科技有限公司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68,203.00</w:t>
            </w:r>
          </w:p>
        </w:tc>
      </w:tr>
    </w:tbl>
    <w:p>
      <w:pPr>
        <w:pStyle w:val="BodyText"/>
        <w:spacing w:line="357" w:lineRule="auto" w:before="49"/>
        <w:ind w:right="8594"/>
        <w:jc w:val="left"/>
      </w:pPr>
      <w:r>
        <w:rPr/>
        <w:t>主要控股参股公司情况说明 无</w:t>
      </w:r>
    </w:p>
    <w:p>
      <w:pPr>
        <w:spacing w:line="240" w:lineRule="auto" w:before="7"/>
        <w:rPr>
          <w:rFonts w:ascii="宋体" w:hAnsi="宋体" w:cs="宋体" w:eastAsia="宋体" w:hint="default"/>
          <w:sz w:val="18"/>
          <w:szCs w:val="18"/>
        </w:rPr>
      </w:pPr>
    </w:p>
    <w:p>
      <w:pPr>
        <w:pStyle w:val="Heading3"/>
        <w:spacing w:line="240" w:lineRule="auto"/>
        <w:ind w:right="0"/>
        <w:jc w:val="left"/>
        <w:rPr>
          <w:rFonts w:ascii="Tahoma" w:hAnsi="Tahoma" w:cs="Tahoma" w:eastAsia="Tahoma" w:hint="default"/>
        </w:rPr>
      </w:pPr>
      <w:r>
        <w:rPr/>
        <w:t>八、公司控制的结构化主体情况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九、公司未来发展的展望</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512" w:right="0"/>
        <w:jc w:val="left"/>
      </w:pPr>
      <w:r>
        <w:rPr/>
        <w:t>（一）包装产业行业格局和趋势</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1</w:t>
      </w:r>
      <w:r>
        <w:rPr/>
        <w:t>、行业发展整体态势分析</w:t>
      </w:r>
    </w:p>
    <w:p>
      <w:pPr>
        <w:pStyle w:val="BodyText"/>
        <w:spacing w:line="460" w:lineRule="atLeast" w:before="8"/>
        <w:ind w:left="512" w:right="0"/>
        <w:jc w:val="left"/>
      </w:pPr>
      <w:r>
        <w:rPr/>
        <w:t>（</w:t>
      </w:r>
      <w:r>
        <w:rPr>
          <w:rFonts w:ascii="Times New Roman" w:hAnsi="Times New Roman" w:cs="Times New Roman" w:eastAsia="Times New Roman" w:hint="default"/>
        </w:rPr>
        <w:t>1</w:t>
      </w:r>
      <w:r>
        <w:rPr/>
        <w:t>）包装行业市场巨大，并呈稳步增长趋势 根据市场研究机构</w:t>
      </w:r>
      <w:r>
        <w:rPr>
          <w:rFonts w:ascii="Times New Roman" w:hAnsi="Times New Roman" w:cs="Times New Roman" w:eastAsia="Times New Roman" w:hint="default"/>
        </w:rPr>
        <w:t>SmithersPira</w:t>
      </w:r>
      <w:r>
        <w:rPr/>
        <w:t>的数据，全球包装市场中，纸包装市场目前是份额最大的包装细分市场。纸质包装具有</w:t>
      </w:r>
    </w:p>
    <w:p>
      <w:pPr>
        <w:pStyle w:val="BodyText"/>
        <w:spacing w:line="316" w:lineRule="auto" w:before="63"/>
        <w:ind w:right="1034"/>
        <w:jc w:val="left"/>
      </w:pPr>
      <w:r>
        <w:rPr/>
        <w:t>原料来源广泛、占产品成本比重较低、便于物流搬运、易于储存和回收等诸多优势，随着生产工艺和技术水平的不断提高， </w:t>
      </w:r>
      <w:r>
        <w:rPr>
          <w:spacing w:val="-2"/>
        </w:rPr>
        <w:t>纸质包装产品已经可以部分取代塑料包装、玻璃包装、金属包装等多种包装形式，应用范围越来越广。由于纸质包装可再生</w:t>
      </w:r>
      <w:r>
        <w:rPr>
          <w:spacing w:val="-65"/>
        </w:rPr>
        <w:t> </w:t>
      </w:r>
      <w:r>
        <w:rPr>
          <w:spacing w:val="-65"/>
        </w:rPr>
      </w:r>
      <w:r>
        <w:rPr/>
        <w:t>利用，绿色环保，可较好地提高经济效益，是市场经济的理想选择，也是循环经济的发展方向。</w:t>
      </w:r>
    </w:p>
    <w:p>
      <w:pPr>
        <w:spacing w:line="240" w:lineRule="auto" w:before="5"/>
        <w:rPr>
          <w:rFonts w:ascii="宋体" w:hAnsi="宋体" w:cs="宋体" w:eastAsia="宋体" w:hint="default"/>
          <w:sz w:val="13"/>
          <w:szCs w:val="13"/>
        </w:rPr>
      </w:pPr>
    </w:p>
    <w:p>
      <w:pPr>
        <w:pStyle w:val="BodyText"/>
        <w:spacing w:line="300" w:lineRule="auto"/>
        <w:ind w:right="1124" w:firstLine="360"/>
        <w:jc w:val="left"/>
      </w:pPr>
      <w:r>
        <w:rPr/>
        <w:t>根据市场研究机构</w:t>
      </w:r>
      <w:r>
        <w:rPr>
          <w:rFonts w:ascii="Times New Roman" w:hAnsi="Times New Roman" w:cs="Times New Roman" w:eastAsia="Times New Roman" w:hint="default"/>
        </w:rPr>
        <w:t>SmithersPira</w:t>
      </w:r>
      <w:r>
        <w:rPr/>
        <w:t>的预计，全球包装市场在</w:t>
      </w:r>
      <w:r>
        <w:rPr>
          <w:rFonts w:ascii="Times New Roman" w:hAnsi="Times New Roman" w:cs="Times New Roman" w:eastAsia="Times New Roman" w:hint="default"/>
        </w:rPr>
        <w:t>2016</w:t>
      </w:r>
      <w:r>
        <w:rPr/>
        <w:t>到</w:t>
      </w:r>
      <w:r>
        <w:rPr>
          <w:rFonts w:ascii="Times New Roman" w:hAnsi="Times New Roman" w:cs="Times New Roman" w:eastAsia="Times New Roman" w:hint="default"/>
        </w:rPr>
        <w:t>2026</w:t>
      </w:r>
      <w:r>
        <w:rPr/>
        <w:t>年期间的复合年增长率为</w:t>
      </w:r>
      <w:r>
        <w:rPr>
          <w:rFonts w:ascii="Times New Roman" w:hAnsi="Times New Roman" w:cs="Times New Roman" w:eastAsia="Times New Roman" w:hint="default"/>
        </w:rPr>
        <w:t>3.8%</w:t>
      </w:r>
      <w:r>
        <w:rPr/>
        <w:t>，将从</w:t>
      </w:r>
      <w:r>
        <w:rPr>
          <w:rFonts w:ascii="Times New Roman" w:hAnsi="Times New Roman" w:cs="Times New Roman" w:eastAsia="Times New Roman" w:hint="default"/>
        </w:rPr>
        <w:t>8,063</w:t>
      </w:r>
      <w:r>
        <w:rPr/>
        <w:t>亿美元增 长到</w:t>
      </w:r>
      <w:r>
        <w:rPr>
          <w:rFonts w:ascii="Times New Roman" w:hAnsi="Times New Roman" w:cs="Times New Roman" w:eastAsia="Times New Roman" w:hint="default"/>
        </w:rPr>
        <w:t>11,621</w:t>
      </w:r>
      <w:r>
        <w:rPr/>
        <w:t>亿美元，市场规模呈稳步增长趋势。</w:t>
      </w:r>
    </w:p>
    <w:p>
      <w:pPr>
        <w:spacing w:line="240" w:lineRule="auto" w:before="12"/>
        <w:rPr>
          <w:rFonts w:ascii="宋体" w:hAnsi="宋体" w:cs="宋体" w:eastAsia="宋体" w:hint="default"/>
          <w:sz w:val="12"/>
          <w:szCs w:val="12"/>
        </w:rPr>
      </w:pPr>
    </w:p>
    <w:p>
      <w:pPr>
        <w:pStyle w:val="BodyText"/>
        <w:spacing w:line="309" w:lineRule="auto"/>
        <w:ind w:right="0" w:firstLine="360"/>
        <w:jc w:val="left"/>
      </w:pPr>
      <w:r>
        <w:rPr>
          <w:spacing w:val="-2"/>
        </w:rPr>
        <w:t>我国包装产业主要分为纸包装、塑料包装、金属包装、玻璃包装和竹木包装五大子行业，近年来，我国的包装行业获得</w:t>
      </w:r>
      <w:r>
        <w:rPr/>
        <w:t> </w:t>
      </w:r>
      <w:r>
        <w:rPr>
          <w:spacing w:val="-3"/>
        </w:rPr>
        <w:t>了长足发展，根据中商产业研究院的研究报告显示，全国包装工业总产值己从</w:t>
      </w:r>
      <w:r>
        <w:rPr>
          <w:rFonts w:ascii="Times New Roman" w:hAnsi="Times New Roman" w:cs="Times New Roman" w:eastAsia="Times New Roman" w:hint="default"/>
          <w:spacing w:val="-3"/>
        </w:rPr>
        <w:t>2005</w:t>
      </w:r>
      <w:r>
        <w:rPr>
          <w:spacing w:val="-3"/>
        </w:rPr>
        <w:t>年的</w:t>
      </w:r>
      <w:r>
        <w:rPr>
          <w:rFonts w:ascii="Times New Roman" w:hAnsi="Times New Roman" w:cs="Times New Roman" w:eastAsia="Times New Roman" w:hint="default"/>
          <w:spacing w:val="-3"/>
        </w:rPr>
        <w:t>4,017</w:t>
      </w:r>
      <w:r>
        <w:rPr>
          <w:spacing w:val="-3"/>
        </w:rPr>
        <w:t>亿元增长至</w:t>
      </w:r>
      <w:r>
        <w:rPr>
          <w:rFonts w:ascii="Times New Roman" w:hAnsi="Times New Roman" w:cs="Times New Roman" w:eastAsia="Times New Roman" w:hint="default"/>
          <w:spacing w:val="-3"/>
        </w:rPr>
        <w:t>2016</w:t>
      </w:r>
      <w:r>
        <w:rPr>
          <w:spacing w:val="-3"/>
        </w:rPr>
        <w:t>年的</w:t>
      </w:r>
      <w:r>
        <w:rPr>
          <w:rFonts w:ascii="Times New Roman" w:hAnsi="Times New Roman" w:cs="Times New Roman" w:eastAsia="Times New Roman" w:hint="default"/>
          <w:spacing w:val="-3"/>
        </w:rPr>
        <w:t>1.90</w:t>
      </w:r>
      <w:r>
        <w:rPr>
          <w:spacing w:val="-3"/>
        </w:rPr>
        <w:t>万亿元，</w:t>
      </w:r>
      <w:r>
        <w:rPr>
          <w:spacing w:val="-78"/>
        </w:rPr>
        <w:t> </w:t>
      </w:r>
      <w:r>
        <w:rPr/>
        <w:t>成为我国新兴产业之一，増长势头较强劲。</w:t>
      </w:r>
    </w:p>
    <w:p>
      <w:pPr>
        <w:spacing w:line="240" w:lineRule="auto" w:before="10"/>
        <w:rPr>
          <w:rFonts w:ascii="宋体" w:hAnsi="宋体" w:cs="宋体" w:eastAsia="宋体" w:hint="default"/>
          <w:sz w:val="13"/>
          <w:szCs w:val="13"/>
        </w:rPr>
      </w:pPr>
    </w:p>
    <w:p>
      <w:pPr>
        <w:pStyle w:val="BodyText"/>
        <w:spacing w:line="307" w:lineRule="auto"/>
        <w:ind w:right="1130" w:firstLine="360"/>
        <w:jc w:val="both"/>
      </w:pPr>
      <w:r>
        <w:rPr>
          <w:spacing w:val="-2"/>
        </w:rPr>
        <w:t>根据国家统计局</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月数据，</w:t>
      </w:r>
      <w:r>
        <w:rPr>
          <w:rFonts w:ascii="Times New Roman" w:hAnsi="Times New Roman" w:cs="Times New Roman" w:eastAsia="Times New Roman" w:hint="default"/>
          <w:spacing w:val="-2"/>
        </w:rPr>
        <w:t>2019</w:t>
      </w:r>
      <w:r>
        <w:rPr>
          <w:spacing w:val="-2"/>
        </w:rPr>
        <w:t>年中国国内生产总值接近</w:t>
      </w:r>
      <w:r>
        <w:rPr>
          <w:rFonts w:ascii="Times New Roman" w:hAnsi="Times New Roman" w:cs="Times New Roman" w:eastAsia="Times New Roman" w:hint="default"/>
          <w:spacing w:val="-2"/>
        </w:rPr>
        <w:t>100</w:t>
      </w:r>
      <w:r>
        <w:rPr>
          <w:spacing w:val="-2"/>
        </w:rPr>
        <w:t>万亿元人民币大关，按年平均汇率折算，人均生产总</w:t>
      </w:r>
      <w:r>
        <w:rPr/>
        <w:t> </w:t>
      </w:r>
      <w:r>
        <w:rPr>
          <w:spacing w:val="-1"/>
        </w:rPr>
        <w:t>值达</w:t>
      </w:r>
      <w:r>
        <w:rPr>
          <w:rFonts w:ascii="Times New Roman" w:hAnsi="Times New Roman" w:cs="Times New Roman" w:eastAsia="Times New Roman" w:hint="default"/>
          <w:spacing w:val="-1"/>
        </w:rPr>
        <w:t>10,276</w:t>
      </w:r>
      <w:r>
        <w:rPr>
          <w:spacing w:val="-1"/>
        </w:rPr>
        <w:t>美元，首次突破万美元大关，中国作为世界第二大经济体地位更加巩固，在我国经济实力不断增强的过程中，国</w:t>
      </w:r>
      <w:r>
        <w:rPr>
          <w:spacing w:val="-76"/>
        </w:rPr>
        <w:t> </w:t>
      </w:r>
      <w:r>
        <w:rPr>
          <w:spacing w:val="-76"/>
        </w:rPr>
      </w:r>
      <w:r>
        <w:rPr>
          <w:spacing w:val="-2"/>
        </w:rPr>
        <w:t>内各个产业也得到了迅猛的发展。包装产业是与国计民生密切相关的服务型制造业，其发展情况与国家经济发展情况正相关</w:t>
      </w:r>
      <w:r>
        <w:rPr>
          <w:spacing w:val="-64"/>
        </w:rPr>
        <w:t> </w:t>
      </w:r>
      <w:r>
        <w:rPr>
          <w:spacing w:val="-64"/>
        </w:rPr>
      </w:r>
      <w:r>
        <w:rPr/>
        <w:t>度较高。</w:t>
      </w:r>
    </w:p>
    <w:p>
      <w:pPr>
        <w:spacing w:line="240" w:lineRule="auto" w:before="12"/>
        <w:rPr>
          <w:rFonts w:ascii="宋体" w:hAnsi="宋体" w:cs="宋体" w:eastAsia="宋体" w:hint="default"/>
          <w:sz w:val="13"/>
          <w:szCs w:val="13"/>
        </w:rPr>
      </w:pPr>
    </w:p>
    <w:p>
      <w:pPr>
        <w:pStyle w:val="BodyText"/>
        <w:spacing w:line="300" w:lineRule="auto"/>
        <w:ind w:right="1039" w:firstLine="360"/>
        <w:jc w:val="left"/>
      </w:pPr>
      <w:r>
        <w:rPr>
          <w:spacing w:val="-2"/>
        </w:rPr>
        <w:t>根据中国包装联合会数据，</w:t>
      </w:r>
      <w:r>
        <w:rPr>
          <w:rFonts w:ascii="Times New Roman" w:hAnsi="Times New Roman" w:cs="Times New Roman" w:eastAsia="Times New Roman" w:hint="default"/>
          <w:spacing w:val="-2"/>
        </w:rPr>
        <w:t>2018</w:t>
      </w:r>
      <w:r>
        <w:rPr>
          <w:spacing w:val="-2"/>
        </w:rPr>
        <w:t>年，我国包装行业规模以上企业（指年销售收入</w:t>
      </w:r>
      <w:r>
        <w:rPr>
          <w:rFonts w:ascii="Times New Roman" w:hAnsi="Times New Roman" w:cs="Times New Roman" w:eastAsia="Times New Roman" w:hint="default"/>
          <w:spacing w:val="-2"/>
        </w:rPr>
        <w:t>2000</w:t>
      </w:r>
      <w:r>
        <w:rPr>
          <w:spacing w:val="-2"/>
        </w:rPr>
        <w:t>万元以上的企业）</w:t>
      </w:r>
      <w:r>
        <w:rPr>
          <w:rFonts w:ascii="Times New Roman" w:hAnsi="Times New Roman" w:cs="Times New Roman" w:eastAsia="Times New Roman" w:hint="default"/>
          <w:spacing w:val="-2"/>
        </w:rPr>
        <w:t>7830</w:t>
      </w:r>
      <w:r>
        <w:rPr>
          <w:spacing w:val="-2"/>
        </w:rPr>
        <w:t>家，累计完</w:t>
      </w:r>
      <w:r>
        <w:rPr/>
        <w:t> 成主营业务收入</w:t>
      </w:r>
      <w:r>
        <w:rPr>
          <w:rFonts w:ascii="Times New Roman" w:hAnsi="Times New Roman" w:cs="Times New Roman" w:eastAsia="Times New Roman" w:hint="default"/>
        </w:rPr>
        <w:t>9703.23</w:t>
      </w:r>
      <w:r>
        <w:rPr/>
        <w:t>亿元，同比增长</w:t>
      </w:r>
      <w:r>
        <w:rPr>
          <w:rFonts w:ascii="Times New Roman" w:hAnsi="Times New Roman" w:cs="Times New Roman" w:eastAsia="Times New Roman" w:hint="default"/>
        </w:rPr>
        <w:t>6.53%</w:t>
      </w:r>
      <w:r>
        <w:rPr/>
        <w:t>。其中纸包装主营业务收入</w:t>
      </w:r>
      <w:r>
        <w:rPr>
          <w:rFonts w:ascii="Times New Roman" w:hAnsi="Times New Roman" w:cs="Times New Roman" w:eastAsia="Times New Roman" w:hint="default"/>
        </w:rPr>
        <w:t>2919.05</w:t>
      </w:r>
      <w:r>
        <w:rPr/>
        <w:t>亿元，占</w:t>
      </w:r>
      <w:r>
        <w:rPr>
          <w:rFonts w:ascii="Times New Roman" w:hAnsi="Times New Roman" w:cs="Times New Roman" w:eastAsia="Times New Roman" w:hint="default"/>
        </w:rPr>
        <w:t>30.08%</w:t>
      </w:r>
      <w:r>
        <w:rPr/>
        <w:t>；同比增长</w:t>
      </w:r>
      <w:r>
        <w:rPr>
          <w:rFonts w:ascii="Times New Roman" w:hAnsi="Times New Roman" w:cs="Times New Roman" w:eastAsia="Times New Roman" w:hint="default"/>
        </w:rPr>
        <w:t>6.35%</w:t>
      </w:r>
      <w:r>
        <w:rPr/>
        <w:t>，塑料薄 </w:t>
      </w:r>
      <w:r>
        <w:rPr>
          <w:spacing w:val="-2"/>
        </w:rPr>
        <w:t>膜累计完成主营业务收入</w:t>
      </w:r>
      <w:r>
        <w:rPr>
          <w:rFonts w:ascii="Times New Roman" w:hAnsi="Times New Roman" w:cs="Times New Roman" w:eastAsia="Times New Roman" w:hint="default"/>
          <w:spacing w:val="-2"/>
        </w:rPr>
        <w:t>2427.57</w:t>
      </w:r>
      <w:r>
        <w:rPr>
          <w:spacing w:val="-2"/>
        </w:rPr>
        <w:t>亿元，占</w:t>
      </w:r>
      <w:r>
        <w:rPr>
          <w:rFonts w:ascii="Times New Roman" w:hAnsi="Times New Roman" w:cs="Times New Roman" w:eastAsia="Times New Roman" w:hint="default"/>
          <w:spacing w:val="-2"/>
        </w:rPr>
        <w:t>25.02%</w:t>
      </w:r>
      <w:r>
        <w:rPr>
          <w:spacing w:val="-2"/>
        </w:rPr>
        <w:t>，同比增长</w:t>
      </w:r>
      <w:r>
        <w:rPr>
          <w:rFonts w:ascii="Times New Roman" w:hAnsi="Times New Roman" w:cs="Times New Roman" w:eastAsia="Times New Roman" w:hint="default"/>
          <w:spacing w:val="-2"/>
        </w:rPr>
        <w:t>6.9%</w:t>
      </w:r>
      <w:r>
        <w:rPr>
          <w:spacing w:val="-2"/>
        </w:rPr>
        <w:t>；塑料包装累计完成主营业务收入</w:t>
      </w:r>
      <w:r>
        <w:rPr>
          <w:rFonts w:ascii="Times New Roman" w:hAnsi="Times New Roman" w:cs="Times New Roman" w:eastAsia="Times New Roman" w:hint="default"/>
          <w:spacing w:val="-2"/>
        </w:rPr>
        <w:t>1571.35</w:t>
      </w:r>
      <w:r>
        <w:rPr>
          <w:spacing w:val="-2"/>
        </w:rPr>
        <w:t>亿元，占</w:t>
      </w:r>
      <w:r>
        <w:rPr>
          <w:rFonts w:ascii="Times New Roman" w:hAnsi="Times New Roman" w:cs="Times New Roman" w:eastAsia="Times New Roman" w:hint="default"/>
          <w:spacing w:val="-2"/>
        </w:rPr>
        <w:t>16.19%</w:t>
      </w:r>
      <w:r>
        <w:rPr>
          <w:spacing w:val="-2"/>
        </w:rPr>
        <w:t>，</w:t>
      </w:r>
      <w:r>
        <w:rPr/>
        <w:t> </w:t>
      </w:r>
      <w:r>
        <w:rPr>
          <w:spacing w:val="-2"/>
        </w:rPr>
        <w:t>同比增长</w:t>
      </w:r>
      <w:r>
        <w:rPr>
          <w:rFonts w:ascii="Times New Roman" w:hAnsi="Times New Roman" w:cs="Times New Roman" w:eastAsia="Times New Roman" w:hint="default"/>
          <w:spacing w:val="-2"/>
        </w:rPr>
        <w:t>8.09%</w:t>
      </w:r>
      <w:r>
        <w:rPr>
          <w:spacing w:val="-2"/>
        </w:rPr>
        <w:t>；金属包装累计完成主营业务收入</w:t>
      </w:r>
      <w:r>
        <w:rPr>
          <w:rFonts w:ascii="Times New Roman" w:hAnsi="Times New Roman" w:cs="Times New Roman" w:eastAsia="Times New Roman" w:hint="default"/>
          <w:spacing w:val="-2"/>
        </w:rPr>
        <w:t>1114.07</w:t>
      </w:r>
      <w:r>
        <w:rPr>
          <w:spacing w:val="-2"/>
        </w:rPr>
        <w:t>亿元，占</w:t>
      </w:r>
      <w:r>
        <w:rPr>
          <w:rFonts w:ascii="Times New Roman" w:hAnsi="Times New Roman" w:cs="Times New Roman" w:eastAsia="Times New Roman" w:hint="default"/>
          <w:spacing w:val="-2"/>
        </w:rPr>
        <w:t>11.48%</w:t>
      </w:r>
      <w:r>
        <w:rPr>
          <w:spacing w:val="-2"/>
        </w:rPr>
        <w:t>，同比增长</w:t>
      </w:r>
      <w:r>
        <w:rPr>
          <w:rFonts w:ascii="Times New Roman" w:hAnsi="Times New Roman" w:cs="Times New Roman" w:eastAsia="Times New Roman" w:hint="default"/>
          <w:spacing w:val="-2"/>
        </w:rPr>
        <w:t>5.3%</w:t>
      </w:r>
      <w:r>
        <w:rPr>
          <w:spacing w:val="-2"/>
        </w:rPr>
        <w:t>；玻璃包装累计完成主营业务收入</w:t>
      </w:r>
      <w:r>
        <w:rPr>
          <w:spacing w:val="-56"/>
        </w:rPr>
        <w:t> </w:t>
      </w:r>
      <w:r>
        <w:rPr>
          <w:spacing w:val="-56"/>
        </w:rPr>
      </w:r>
      <w:r>
        <w:rPr>
          <w:rFonts w:ascii="Times New Roman" w:hAnsi="Times New Roman" w:cs="Times New Roman" w:eastAsia="Times New Roman" w:hint="default"/>
        </w:rPr>
        <w:t>563.41</w:t>
      </w:r>
      <w:r>
        <w:rPr/>
        <w:t>亿元，占</w:t>
      </w:r>
      <w:r>
        <w:rPr>
          <w:rFonts w:ascii="Times New Roman" w:hAnsi="Times New Roman" w:cs="Times New Roman" w:eastAsia="Times New Roman" w:hint="default"/>
        </w:rPr>
        <w:t>5.81%</w:t>
      </w:r>
      <w:r>
        <w:rPr/>
        <w:t>，竹木包装累计完成主营业务收入</w:t>
      </w:r>
      <w:r>
        <w:rPr>
          <w:rFonts w:ascii="Times New Roman" w:hAnsi="Times New Roman" w:cs="Times New Roman" w:eastAsia="Times New Roman" w:hint="default"/>
        </w:rPr>
        <w:t>463.45</w:t>
      </w:r>
      <w:r>
        <w:rPr/>
        <w:t>亿元，占</w:t>
      </w:r>
      <w:r>
        <w:rPr>
          <w:rFonts w:ascii="Times New Roman" w:hAnsi="Times New Roman" w:cs="Times New Roman" w:eastAsia="Times New Roman" w:hint="default"/>
        </w:rPr>
        <w:t>4.78%</w:t>
      </w:r>
      <w:r>
        <w:rPr/>
        <w:t>。</w:t>
      </w:r>
    </w:p>
    <w:p>
      <w:pPr>
        <w:pStyle w:val="BodyText"/>
        <w:spacing w:line="468" w:lineRule="exact" w:before="5"/>
        <w:ind w:left="512" w:right="0"/>
        <w:jc w:val="left"/>
      </w:pPr>
      <w:r>
        <w:rPr/>
        <w:t>（</w:t>
      </w:r>
      <w:r>
        <w:rPr>
          <w:rFonts w:ascii="Times New Roman" w:hAnsi="Times New Roman" w:cs="Times New Roman" w:eastAsia="Times New Roman" w:hint="default"/>
        </w:rPr>
        <w:t>2</w:t>
      </w:r>
      <w:r>
        <w:rPr/>
        <w:t>）国内包装行业集中度呈逐步提升趋势 根据《印刷经理人》杂志发布的</w:t>
      </w:r>
      <w:r>
        <w:rPr>
          <w:rFonts w:ascii="Times New Roman" w:hAnsi="Times New Roman" w:cs="Times New Roman" w:eastAsia="Times New Roman" w:hint="default"/>
        </w:rPr>
        <w:t>“</w:t>
      </w:r>
      <w:r>
        <w:rPr/>
        <w:t>中国印刷包装企业</w:t>
      </w:r>
      <w:r>
        <w:rPr>
          <w:rFonts w:ascii="Times New Roman" w:hAnsi="Times New Roman" w:cs="Times New Roman" w:eastAsia="Times New Roman" w:hint="default"/>
        </w:rPr>
        <w:t>100</w:t>
      </w:r>
      <w:r>
        <w:rPr/>
        <w:t>强排行榜</w:t>
      </w:r>
      <w:r>
        <w:rPr>
          <w:rFonts w:ascii="Times New Roman" w:hAnsi="Times New Roman" w:cs="Times New Roman" w:eastAsia="Times New Roman" w:hint="default"/>
        </w:rPr>
        <w:t>”</w:t>
      </w:r>
      <w:r>
        <w:rPr/>
        <w:t>，中国包装行业前十名企业</w:t>
      </w:r>
      <w:r>
        <w:rPr>
          <w:rFonts w:ascii="Times New Roman" w:hAnsi="Times New Roman" w:cs="Times New Roman" w:eastAsia="Times New Roman" w:hint="default"/>
        </w:rPr>
        <w:t>2014</w:t>
      </w:r>
      <w:r>
        <w:rPr/>
        <w:t>年度营业收入合计约</w:t>
      </w:r>
    </w:p>
    <w:p>
      <w:pPr>
        <w:pStyle w:val="BodyText"/>
        <w:spacing w:line="300" w:lineRule="auto" w:before="8"/>
        <w:ind w:right="0"/>
        <w:jc w:val="left"/>
      </w:pPr>
      <w:r>
        <w:rPr>
          <w:rFonts w:ascii="Times New Roman" w:hAnsi="Times New Roman" w:cs="Times New Roman" w:eastAsia="Times New Roman" w:hint="default"/>
        </w:rPr>
        <w:t>288</w:t>
      </w:r>
      <w:r>
        <w:rPr/>
        <w:t>亿元，占当年全国包装行业规模以上企业营业收入比例约</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年度前十名企业营业收入合计约</w:t>
      </w:r>
      <w:r>
        <w:rPr>
          <w:rFonts w:ascii="Times New Roman" w:hAnsi="Times New Roman" w:cs="Times New Roman" w:eastAsia="Times New Roman" w:hint="default"/>
        </w:rPr>
        <w:t>458</w:t>
      </w:r>
      <w:r>
        <w:rPr/>
        <w:t>亿元，占全国包</w:t>
      </w:r>
      <w:r>
        <w:rPr>
          <w:spacing w:val="-70"/>
        </w:rPr>
        <w:t> </w:t>
      </w:r>
      <w:r>
        <w:rPr/>
        <w:t>装行业规模以上企业营业收入比例约</w:t>
      </w:r>
      <w:r>
        <w:rPr>
          <w:rFonts w:ascii="Times New Roman" w:hAnsi="Times New Roman" w:cs="Times New Roman" w:eastAsia="Times New Roman" w:hint="default"/>
        </w:rPr>
        <w:t>5%</w:t>
      </w:r>
      <w:r>
        <w:rPr/>
        <w:t>，行业集中度显著提升。</w:t>
      </w:r>
    </w:p>
    <w:p>
      <w:pPr>
        <w:spacing w:after="0" w:line="30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12" w:right="0"/>
        <w:jc w:val="left"/>
      </w:pPr>
      <w:r>
        <w:rPr/>
        <w:t>但对比成熟市场，我国包装行业集中度依然非常低。根据中国包装网的信息，市场占有率方面，美国</w:t>
      </w:r>
      <w:r>
        <w:rPr>
          <w:rFonts w:ascii="Times New Roman" w:hAnsi="Times New Roman" w:cs="Times New Roman" w:eastAsia="Times New Roman" w:hint="default"/>
        </w:rPr>
        <w:t>top5&gt;70%</w:t>
      </w:r>
      <w:r>
        <w:rPr/>
        <w:t>，澳洲</w:t>
      </w:r>
    </w:p>
    <w:p>
      <w:pPr>
        <w:pStyle w:val="BodyText"/>
        <w:spacing w:line="240" w:lineRule="auto" w:before="63"/>
        <w:ind w:right="0"/>
        <w:jc w:val="both"/>
      </w:pP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w:t>
      </w:r>
    </w:p>
    <w:p>
      <w:pPr>
        <w:spacing w:line="240" w:lineRule="auto" w:before="9"/>
        <w:rPr>
          <w:rFonts w:ascii="宋体" w:hAnsi="宋体" w:cs="宋体" w:eastAsia="宋体" w:hint="default"/>
          <w:sz w:val="16"/>
          <w:szCs w:val="16"/>
        </w:rPr>
      </w:pPr>
    </w:p>
    <w:p>
      <w:pPr>
        <w:pStyle w:val="BodyText"/>
        <w:spacing w:line="316" w:lineRule="auto"/>
        <w:ind w:right="1132" w:firstLine="360"/>
        <w:jc w:val="both"/>
      </w:pPr>
      <w:r>
        <w:rPr>
          <w:spacing w:val="-2"/>
        </w:rPr>
        <w:t>近年来，伴随着上游造纸行业集中度的提升及下游客户需求的不断升级，下游客户对纸包装企业技术、资金、产能实力</w:t>
      </w:r>
      <w:r>
        <w:rPr/>
        <w:t> </w:t>
      </w:r>
      <w:r>
        <w:rPr>
          <w:spacing w:val="-2"/>
        </w:rPr>
        <w:t>及跨区域服务能力要求也不断提升，集团化的、在多地布局产能的纸质包装优势企业在获取市场资源方面优势明显，众多竞</w:t>
      </w:r>
      <w:r>
        <w:rPr>
          <w:spacing w:val="-65"/>
        </w:rPr>
        <w:t> </w:t>
      </w:r>
      <w:r>
        <w:rPr>
          <w:spacing w:val="-65"/>
        </w:rPr>
      </w:r>
      <w:r>
        <w:rPr>
          <w:spacing w:val="-2"/>
        </w:rPr>
        <w:t>争力较弱的中小纸质包装企业面临较大的经营压力，包装行业集中度呈现加速集中态势。此轮包装产业集中度加速提升过程</w:t>
      </w:r>
      <w:r>
        <w:rPr>
          <w:spacing w:val="-64"/>
        </w:rPr>
        <w:t> </w:t>
      </w:r>
      <w:r>
        <w:rPr>
          <w:spacing w:val="-64"/>
        </w:rPr>
      </w:r>
      <w:r>
        <w:rPr/>
        <w:t>将给具备综合性竞争优势的包装领先企业带来重大战略性和历史性机遇。</w:t>
      </w:r>
    </w:p>
    <w:p>
      <w:pPr>
        <w:pStyle w:val="BodyText"/>
        <w:spacing w:line="468" w:lineRule="exact" w:before="10"/>
        <w:ind w:left="512" w:right="0"/>
        <w:jc w:val="left"/>
      </w:pPr>
      <w:r>
        <w:rPr>
          <w:rFonts w:ascii="Times New Roman" w:hAnsi="Times New Roman" w:cs="Times New Roman" w:eastAsia="Times New Roman" w:hint="default"/>
        </w:rPr>
        <w:t>2</w:t>
      </w:r>
      <w:r>
        <w:rPr/>
        <w:t>、国内包装行业政策 </w:t>
      </w:r>
      <w:r>
        <w:rPr>
          <w:spacing w:val="-2"/>
        </w:rPr>
        <w:t>近年来，包装印刷产业呈现加快发展的态势，国家各部委、行业组织等颁发了《国民经济和社会发展第十三个五年规划</w:t>
      </w:r>
    </w:p>
    <w:p>
      <w:pPr>
        <w:pStyle w:val="BodyText"/>
        <w:spacing w:line="309" w:lineRule="auto" w:before="8"/>
        <w:ind w:right="1132"/>
        <w:jc w:val="both"/>
      </w:pPr>
      <w:r>
        <w:rPr>
          <w:spacing w:val="-2"/>
        </w:rPr>
        <w:t>纲要》《中国纸包装行业</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发展规划实施纲要》《关于加快我国包装产业转型发展的指导意见》《关于印发机电产品</w:t>
      </w:r>
      <w:r>
        <w:rPr>
          <w:spacing w:val="-46"/>
        </w:rPr>
        <w:t> </w:t>
      </w:r>
      <w:r>
        <w:rPr>
          <w:spacing w:val="-46"/>
        </w:rPr>
      </w:r>
      <w:r>
        <w:rPr>
          <w:spacing w:val="-2"/>
        </w:rPr>
        <w:t>包装节材代木工作方案的通知》《包装行业高新技术研发资金有关问题的通知》《当前优先发展的高技术产业化重点领域指</w:t>
      </w:r>
      <w:r>
        <w:rPr>
          <w:spacing w:val="-66"/>
        </w:rPr>
        <w:t> </w:t>
      </w:r>
      <w:r>
        <w:rPr>
          <w:spacing w:val="-66"/>
        </w:rPr>
      </w:r>
      <w:r>
        <w:rPr/>
        <w:t>南》等多个促进包装印刷产业发展的扶持政策。</w:t>
      </w:r>
    </w:p>
    <w:p>
      <w:pPr>
        <w:spacing w:line="240" w:lineRule="auto" w:before="10"/>
        <w:rPr>
          <w:rFonts w:ascii="宋体" w:hAnsi="宋体" w:cs="宋体" w:eastAsia="宋体" w:hint="default"/>
          <w:sz w:val="13"/>
          <w:szCs w:val="13"/>
        </w:rPr>
      </w:pPr>
    </w:p>
    <w:p>
      <w:pPr>
        <w:pStyle w:val="BodyText"/>
        <w:spacing w:line="300" w:lineRule="auto"/>
        <w:ind w:right="1129" w:firstLine="360"/>
        <w:jc w:val="both"/>
      </w:pPr>
      <w:r>
        <w:rPr>
          <w:spacing w:val="-2"/>
        </w:rPr>
        <w:t>其中，</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月，工业和信息化部、商务部联合发布的《关于加快我国包装产业转型发展的指导意见》（工信部联消</w:t>
      </w:r>
      <w:r>
        <w:rPr/>
        <w:t> 费</w:t>
      </w:r>
      <w:r>
        <w:rPr>
          <w:rFonts w:ascii="Times New Roman" w:hAnsi="Times New Roman" w:cs="Times New Roman" w:eastAsia="Times New Roman" w:hint="default"/>
        </w:rPr>
        <w:t>[2016]397</w:t>
      </w:r>
      <w:r>
        <w:rPr/>
        <w:t>号），对我国包装行业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期间产业规模、自主创新、两化融合、节能减排、军民融合及标准建设等发展</w:t>
      </w:r>
      <w:r>
        <w:rPr>
          <w:spacing w:val="-30"/>
        </w:rPr>
        <w:t> </w:t>
      </w:r>
      <w:r>
        <w:rPr>
          <w:spacing w:val="-30"/>
        </w:rPr>
      </w:r>
      <w:r>
        <w:rPr/>
        <w:t>目标作出了指导。特别在产业规模上，目标到</w:t>
      </w:r>
      <w:r>
        <w:rPr>
          <w:rFonts w:ascii="Times New Roman" w:hAnsi="Times New Roman" w:cs="Times New Roman" w:eastAsia="Times New Roman" w:hint="default"/>
        </w:rPr>
        <w:t>2020</w:t>
      </w:r>
      <w:r>
        <w:rPr/>
        <w:t>年，实现包装产业年主营业务收入达到</w:t>
      </w:r>
      <w:r>
        <w:rPr>
          <w:rFonts w:ascii="Times New Roman" w:hAnsi="Times New Roman" w:cs="Times New Roman" w:eastAsia="Times New Roman" w:hint="default"/>
        </w:rPr>
        <w:t>2.5</w:t>
      </w:r>
      <w:r>
        <w:rPr/>
        <w:t>万亿元，形成</w:t>
      </w:r>
      <w:r>
        <w:rPr>
          <w:rFonts w:ascii="Times New Roman" w:hAnsi="Times New Roman" w:cs="Times New Roman" w:eastAsia="Times New Roman" w:hint="default"/>
        </w:rPr>
        <w:t>15</w:t>
      </w:r>
      <w:r>
        <w:rPr/>
        <w:t>家以上年产值</w:t>
      </w:r>
      <w:r>
        <w:rPr>
          <w:spacing w:val="-57"/>
        </w:rPr>
        <w:t> </w:t>
      </w:r>
      <w:r>
        <w:rPr>
          <w:spacing w:val="-57"/>
        </w:rPr>
      </w:r>
      <w:r>
        <w:rPr>
          <w:spacing w:val="-2"/>
        </w:rPr>
        <w:t>超过</w:t>
      </w:r>
      <w:r>
        <w:rPr>
          <w:rFonts w:ascii="Times New Roman" w:hAnsi="Times New Roman" w:cs="Times New Roman" w:eastAsia="Times New Roman" w:hint="default"/>
          <w:spacing w:val="-2"/>
        </w:rPr>
        <w:t>50</w:t>
      </w:r>
      <w:r>
        <w:rPr>
          <w:spacing w:val="-2"/>
        </w:rPr>
        <w:t>亿元的企业或集团，上市公司和高新技术企业大幅增加；积极培育包装产业特色突出的新型工业化产业示范基地，形</w:t>
      </w:r>
      <w:r>
        <w:rPr>
          <w:spacing w:val="-61"/>
        </w:rPr>
        <w:t> </w:t>
      </w:r>
      <w:r>
        <w:rPr>
          <w:spacing w:val="-61"/>
        </w:rPr>
      </w:r>
      <w:r>
        <w:rPr/>
        <w:t>成一批具有较强影响力的知名品牌。</w:t>
      </w:r>
    </w:p>
    <w:p>
      <w:pPr>
        <w:spacing w:line="240" w:lineRule="auto" w:before="4"/>
        <w:rPr>
          <w:rFonts w:ascii="宋体" w:hAnsi="宋体" w:cs="宋体" w:eastAsia="宋体" w:hint="default"/>
          <w:sz w:val="14"/>
          <w:szCs w:val="14"/>
        </w:rPr>
      </w:pPr>
    </w:p>
    <w:p>
      <w:pPr>
        <w:pStyle w:val="BodyText"/>
        <w:spacing w:line="309" w:lineRule="auto"/>
        <w:ind w:right="1034" w:firstLine="360"/>
        <w:jc w:val="left"/>
      </w:pP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w:t>
      </w:r>
      <w:r>
        <w:rPr>
          <w:spacing w:val="-5"/>
        </w:rPr>
        <w:t>月，国家发展改革委、生态环境部联合发布《关于进一步加强塑料污染治理的意见》（发改环资〔</w:t>
      </w:r>
      <w:r>
        <w:rPr>
          <w:rFonts w:ascii="Times New Roman" w:hAnsi="Times New Roman" w:cs="Times New Roman" w:eastAsia="Times New Roman" w:hint="default"/>
          <w:spacing w:val="-5"/>
        </w:rPr>
        <w:t>2020</w:t>
      </w:r>
      <w:r>
        <w:rPr>
          <w:spacing w:val="-5"/>
        </w:rPr>
        <w:t>〕</w:t>
      </w:r>
      <w:r>
        <w:rPr>
          <w:rFonts w:ascii="Times New Roman" w:hAnsi="Times New Roman" w:cs="Times New Roman" w:eastAsia="Times New Roman" w:hint="default"/>
          <w:spacing w:val="-5"/>
        </w:rPr>
        <w:t>80</w:t>
      </w:r>
      <w:r>
        <w:rPr>
          <w:spacing w:val="-5"/>
        </w:rPr>
        <w:t>号），</w:t>
      </w:r>
      <w:r>
        <w:rPr/>
        <w:t> </w:t>
      </w:r>
      <w:r>
        <w:rPr>
          <w:spacing w:val="-2"/>
        </w:rPr>
        <w:t>该意见指出，禁止、限制使用快递塑料包装、不可降解塑料袋等塑料产品，推广使用环保布袋、纸袋等非塑制品和可降解购</w:t>
      </w:r>
      <w:r>
        <w:rPr>
          <w:spacing w:val="-69"/>
        </w:rPr>
        <w:t> </w:t>
      </w:r>
      <w:r>
        <w:rPr>
          <w:spacing w:val="-69"/>
        </w:rPr>
      </w:r>
      <w:r>
        <w:rPr>
          <w:spacing w:val="-2"/>
        </w:rPr>
        <w:t>物袋。该意见提出的目标是：到</w:t>
      </w:r>
      <w:r>
        <w:rPr>
          <w:rFonts w:ascii="Times New Roman" w:hAnsi="Times New Roman" w:cs="Times New Roman" w:eastAsia="Times New Roman" w:hint="default"/>
          <w:spacing w:val="-2"/>
        </w:rPr>
        <w:t>2020</w:t>
      </w:r>
      <w:r>
        <w:rPr>
          <w:spacing w:val="-2"/>
        </w:rPr>
        <w:t>年，率先在部分地区、部分领域禁止、限制部分塑料制品的生产、销售和使用。到</w:t>
      </w:r>
      <w:r>
        <w:rPr>
          <w:rFonts w:ascii="Times New Roman" w:hAnsi="Times New Roman" w:cs="Times New Roman" w:eastAsia="Times New Roman" w:hint="default"/>
          <w:spacing w:val="-2"/>
        </w:rPr>
        <w:t>2022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年，一次性塑料制品消费量明显减少，替代产品得到推广，塑料废弃物资源化能源化利用比例大幅提升；在塑料污染问题突</w:t>
      </w:r>
      <w:r>
        <w:rPr>
          <w:spacing w:val="-64"/>
        </w:rPr>
        <w:t> </w:t>
      </w:r>
      <w:r>
        <w:rPr>
          <w:spacing w:val="-64"/>
        </w:rPr>
      </w:r>
      <w:r>
        <w:rPr/>
        <w:t>出领域和电商、快递、外卖等新兴领域，形成一批可复制、可推广的塑料减量和绿色物流模式。到</w:t>
      </w:r>
      <w:r>
        <w:rPr>
          <w:rFonts w:ascii="Times New Roman" w:hAnsi="Times New Roman" w:cs="Times New Roman" w:eastAsia="Times New Roman" w:hint="default"/>
        </w:rPr>
        <w:t>2025</w:t>
      </w:r>
      <w:r>
        <w:rPr/>
        <w:t>年，塑料制品生产、 </w:t>
      </w:r>
      <w:r>
        <w:rPr>
          <w:spacing w:val="-2"/>
        </w:rPr>
        <w:t>流通、消费和回收处置等环节的管理制度基本建立，多元共治体系基本形成，替代产品开发应用水平进一步提升，重点城市</w:t>
      </w:r>
      <w:r>
        <w:rPr>
          <w:spacing w:val="-66"/>
        </w:rPr>
        <w:t> </w:t>
      </w:r>
      <w:r>
        <w:rPr>
          <w:spacing w:val="-66"/>
        </w:rPr>
      </w:r>
      <w:r>
        <w:rPr/>
        <w:t>塑料垃圾填埋量大幅降低，塑料污染得到有效控制。</w:t>
      </w:r>
    </w:p>
    <w:p>
      <w:pPr>
        <w:spacing w:line="240" w:lineRule="auto" w:before="10"/>
        <w:rPr>
          <w:rFonts w:ascii="宋体" w:hAnsi="宋体" w:cs="宋体" w:eastAsia="宋体" w:hint="default"/>
          <w:sz w:val="13"/>
          <w:szCs w:val="13"/>
        </w:rPr>
      </w:pPr>
    </w:p>
    <w:p>
      <w:pPr>
        <w:pStyle w:val="BodyText"/>
        <w:spacing w:line="316" w:lineRule="auto"/>
        <w:ind w:right="1130" w:firstLine="360"/>
        <w:jc w:val="both"/>
      </w:pPr>
      <w:r>
        <w:rPr>
          <w:spacing w:val="-2"/>
        </w:rPr>
        <w:t>由于纸质包装可再生利用，绿色环保，同时较为经济，该意见的发布，预计将进一步增加纸包装产业在整个包装产业中</w:t>
      </w:r>
      <w:r>
        <w:rPr/>
        <w:t> 的份额。</w:t>
      </w:r>
    </w:p>
    <w:p>
      <w:pPr>
        <w:spacing w:line="240" w:lineRule="auto" w:before="5"/>
        <w:rPr>
          <w:rFonts w:ascii="宋体" w:hAnsi="宋体" w:cs="宋体" w:eastAsia="宋体" w:hint="default"/>
          <w:sz w:val="13"/>
          <w:szCs w:val="13"/>
        </w:rPr>
      </w:pPr>
    </w:p>
    <w:p>
      <w:pPr>
        <w:pStyle w:val="BodyText"/>
        <w:spacing w:line="240" w:lineRule="auto"/>
        <w:ind w:left="512" w:right="0"/>
        <w:jc w:val="left"/>
      </w:pPr>
      <w:r>
        <w:rPr>
          <w:rFonts w:ascii="Times New Roman" w:hAnsi="Times New Roman" w:cs="Times New Roman" w:eastAsia="Times New Roman" w:hint="default"/>
        </w:rPr>
        <w:t>3</w:t>
      </w:r>
      <w:r>
        <w:rPr/>
        <w:t>、纸包装产业下游市场情况及机遇</w:t>
      </w:r>
    </w:p>
    <w:p>
      <w:pPr>
        <w:pStyle w:val="BodyText"/>
        <w:spacing w:line="450" w:lineRule="atLeast" w:before="18"/>
        <w:ind w:left="512" w:right="0"/>
        <w:jc w:val="left"/>
      </w:pPr>
      <w:r>
        <w:rPr/>
        <w:t>（注：本节中图表</w:t>
      </w:r>
      <w:r>
        <w:rPr>
          <w:rFonts w:ascii="Times New Roman" w:hAnsi="Times New Roman" w:cs="Times New Roman" w:eastAsia="Times New Roman" w:hint="default"/>
        </w:rPr>
        <w:t>1-12</w:t>
      </w:r>
      <w:r>
        <w:rPr/>
        <w:t>中数据来自于</w:t>
      </w:r>
      <w:r>
        <w:rPr>
          <w:rFonts w:ascii="Times New Roman" w:hAnsi="Times New Roman" w:cs="Times New Roman" w:eastAsia="Times New Roman" w:hint="default"/>
        </w:rPr>
        <w:t>wind</w:t>
      </w:r>
      <w:r>
        <w:rPr/>
        <w:t>或者有关上市公司年报以及其他公开信息。） </w:t>
      </w:r>
      <w:r>
        <w:rPr>
          <w:spacing w:val="-2"/>
        </w:rPr>
        <w:t>从下游应用角度看，纸包装在消费电子、智能终端、白酒、家具家居、家用电器、食品饮料、新能源汽车产业链等行业</w:t>
      </w:r>
    </w:p>
    <w:p>
      <w:pPr>
        <w:pStyle w:val="BodyText"/>
        <w:spacing w:line="240" w:lineRule="auto" w:before="76"/>
        <w:ind w:right="0"/>
        <w:jc w:val="both"/>
      </w:pPr>
      <w:r>
        <w:rPr/>
        <w:t>中应用广泛，下游行业的发展情况，直接影响整个纸包装的市场需求。</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5G</w:t>
      </w:r>
      <w:r>
        <w:rPr/>
        <w:t>商业化热潮带动消费电子行业蓬勃发展</w:t>
      </w:r>
    </w:p>
    <w:p>
      <w:pPr>
        <w:spacing w:line="240" w:lineRule="auto" w:before="9"/>
        <w:rPr>
          <w:rFonts w:ascii="宋体" w:hAnsi="宋体" w:cs="宋体" w:eastAsia="宋体" w:hint="default"/>
          <w:sz w:val="16"/>
          <w:szCs w:val="16"/>
        </w:rPr>
      </w:pPr>
    </w:p>
    <w:p>
      <w:pPr>
        <w:pStyle w:val="BodyText"/>
        <w:spacing w:line="300" w:lineRule="auto"/>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月工信部正式发放</w:t>
      </w:r>
      <w:r>
        <w:rPr>
          <w:rFonts w:ascii="Times New Roman" w:hAnsi="Times New Roman" w:cs="Times New Roman" w:eastAsia="Times New Roman" w:hint="default"/>
        </w:rPr>
        <w:t>5G</w:t>
      </w:r>
      <w:r>
        <w:rPr/>
        <w:t>商用牌照，标志着我国进入</w:t>
      </w:r>
      <w:r>
        <w:rPr>
          <w:rFonts w:ascii="Times New Roman" w:hAnsi="Times New Roman" w:cs="Times New Roman" w:eastAsia="Times New Roman" w:hint="default"/>
        </w:rPr>
        <w:t>5G</w:t>
      </w:r>
      <w:r>
        <w:rPr/>
        <w:t>时代，根据国际电信联盟发布的报告，</w:t>
      </w:r>
      <w:r>
        <w:rPr>
          <w:rFonts w:ascii="Times New Roman" w:hAnsi="Times New Roman" w:cs="Times New Roman" w:eastAsia="Times New Roman" w:hint="default"/>
        </w:rPr>
        <w:t>5G</w:t>
      </w:r>
      <w:r>
        <w:rPr/>
        <w:t>移动网络在诸多 关键性能上相比</w:t>
      </w:r>
      <w:r>
        <w:rPr>
          <w:rFonts w:ascii="Times New Roman" w:hAnsi="Times New Roman" w:cs="Times New Roman" w:eastAsia="Times New Roman" w:hint="default"/>
        </w:rPr>
        <w:t>4G</w:t>
      </w:r>
      <w:r>
        <w:rPr/>
        <w:t>均有大幅提升，伴随建设过程的加速推进，预计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5G</w:t>
      </w:r>
      <w:r>
        <w:rPr/>
        <w:t>产品普及速度将进一步加快，带动消费电子行</w:t>
      </w:r>
      <w:r>
        <w:rPr>
          <w:spacing w:val="-84"/>
        </w:rPr>
        <w:t> </w:t>
      </w:r>
      <w:r>
        <w:rPr>
          <w:spacing w:val="-84"/>
        </w:rPr>
      </w:r>
      <w:r>
        <w:rPr/>
        <w:t>业蓬勃发展，由此带来旺盛的包装需求。</w:t>
      </w:r>
    </w:p>
    <w:p>
      <w:pPr>
        <w:spacing w:line="240" w:lineRule="auto" w:before="4"/>
        <w:rPr>
          <w:rFonts w:ascii="宋体" w:hAnsi="宋体" w:cs="宋体" w:eastAsia="宋体" w:hint="default"/>
          <w:sz w:val="14"/>
          <w:szCs w:val="14"/>
        </w:rPr>
      </w:pPr>
    </w:p>
    <w:p>
      <w:pPr>
        <w:pStyle w:val="BodyText"/>
        <w:spacing w:line="300" w:lineRule="auto"/>
        <w:ind w:right="1131" w:firstLine="360"/>
        <w:jc w:val="both"/>
      </w:pPr>
      <w:r>
        <w:rPr>
          <w:spacing w:val="-2"/>
        </w:rPr>
        <w:t>移动智能终端业务：根据</w:t>
      </w:r>
      <w:r>
        <w:rPr>
          <w:rFonts w:ascii="Times New Roman" w:hAnsi="Times New Roman" w:cs="Times New Roman" w:eastAsia="Times New Roman" w:hint="default"/>
          <w:spacing w:val="-2"/>
        </w:rPr>
        <w:t>IDC</w:t>
      </w:r>
      <w:r>
        <w:rPr>
          <w:spacing w:val="-2"/>
        </w:rPr>
        <w:t>数据，受到换机周期拉长等因素影响，</w:t>
      </w:r>
      <w:r>
        <w:rPr>
          <w:rFonts w:ascii="Times New Roman" w:hAnsi="Times New Roman" w:cs="Times New Roman" w:eastAsia="Times New Roman" w:hint="default"/>
          <w:spacing w:val="-2"/>
        </w:rPr>
        <w:t>2019</w:t>
      </w:r>
      <w:r>
        <w:rPr>
          <w:spacing w:val="-2"/>
        </w:rPr>
        <w:t>年全球智能手机出货量预计约为</w:t>
      </w:r>
      <w:r>
        <w:rPr>
          <w:rFonts w:ascii="Times New Roman" w:hAnsi="Times New Roman" w:cs="Times New Roman" w:eastAsia="Times New Roman" w:hint="default"/>
          <w:spacing w:val="-2"/>
        </w:rPr>
        <w:t>13.95</w:t>
      </w:r>
      <w:r>
        <w:rPr>
          <w:spacing w:val="-2"/>
        </w:rPr>
        <w:t>亿部，同</w:t>
      </w:r>
      <w:r>
        <w:rPr/>
        <w:t> </w:t>
      </w:r>
      <w:r>
        <w:rPr>
          <w:spacing w:val="-1"/>
        </w:rPr>
        <w:t>比下降</w:t>
      </w:r>
      <w:r>
        <w:rPr>
          <w:rFonts w:ascii="Times New Roman" w:hAnsi="Times New Roman" w:cs="Times New Roman" w:eastAsia="Times New Roman" w:hint="default"/>
          <w:spacing w:val="-1"/>
        </w:rPr>
        <w:t>0.7%</w:t>
      </w:r>
      <w:r>
        <w:rPr>
          <w:spacing w:val="-1"/>
        </w:rPr>
        <w:t>，传统</w:t>
      </w:r>
      <w:r>
        <w:rPr>
          <w:rFonts w:ascii="Times New Roman" w:hAnsi="Times New Roman" w:cs="Times New Roman" w:eastAsia="Times New Roman" w:hint="default"/>
          <w:spacing w:val="-1"/>
        </w:rPr>
        <w:t>4G</w:t>
      </w:r>
      <w:r>
        <w:rPr>
          <w:spacing w:val="-1"/>
        </w:rPr>
        <w:t>手机出货量遭遇天花板；而随着</w:t>
      </w:r>
      <w:r>
        <w:rPr>
          <w:rFonts w:ascii="Times New Roman" w:hAnsi="Times New Roman" w:cs="Times New Roman" w:eastAsia="Times New Roman" w:hint="default"/>
          <w:spacing w:val="-1"/>
        </w:rPr>
        <w:t>5G</w:t>
      </w:r>
      <w:r>
        <w:rPr>
          <w:spacing w:val="-1"/>
        </w:rPr>
        <w:t>的全面商用以及国家政策的大力推动，未来</w:t>
      </w:r>
      <w:r>
        <w:rPr>
          <w:rFonts w:ascii="Times New Roman" w:hAnsi="Times New Roman" w:cs="Times New Roman" w:eastAsia="Times New Roman" w:hint="default"/>
          <w:spacing w:val="-1"/>
        </w:rPr>
        <w:t>5G</w:t>
      </w:r>
      <w:r>
        <w:rPr>
          <w:spacing w:val="-1"/>
        </w:rPr>
        <w:t>手机渗透率将持续提</w:t>
      </w:r>
      <w:r>
        <w:rPr>
          <w:spacing w:val="-79"/>
        </w:rPr>
        <w:t> </w:t>
      </w:r>
      <w:r>
        <w:rPr>
          <w:spacing w:val="-79"/>
        </w:rPr>
      </w:r>
      <w:r>
        <w:rPr>
          <w:spacing w:val="-1"/>
        </w:rPr>
        <w:t>升，推动新一轮换机周期出现，预计</w:t>
      </w:r>
      <w:r>
        <w:rPr>
          <w:rFonts w:ascii="Times New Roman" w:hAnsi="Times New Roman" w:cs="Times New Roman" w:eastAsia="Times New Roman" w:hint="default"/>
          <w:spacing w:val="-1"/>
        </w:rPr>
        <w:t>2020-2023</w:t>
      </w:r>
      <w:r>
        <w:rPr>
          <w:spacing w:val="-1"/>
        </w:rPr>
        <w:t>年全球智能手机出货量将恢复正增长区间，未来五年（</w:t>
      </w:r>
      <w:r>
        <w:rPr>
          <w:rFonts w:ascii="Times New Roman" w:hAnsi="Times New Roman" w:cs="Times New Roman" w:eastAsia="Times New Roman" w:hint="default"/>
          <w:spacing w:val="-1"/>
        </w:rPr>
        <w:t>2019-2023</w:t>
      </w:r>
      <w:r>
        <w:rPr>
          <w:spacing w:val="-1"/>
        </w:rPr>
        <w:t>）年均复合</w:t>
      </w:r>
      <w:r>
        <w:rPr>
          <w:spacing w:val="-60"/>
        </w:rPr>
        <w:t> </w:t>
      </w:r>
      <w:r>
        <w:rPr>
          <w:spacing w:val="-60"/>
        </w:rPr>
      </w:r>
      <w:r>
        <w:rPr/>
        <w:t>增速有望达近</w:t>
      </w:r>
      <w:r>
        <w:rPr>
          <w:rFonts w:ascii="Times New Roman" w:hAnsi="Times New Roman" w:cs="Times New Roman" w:eastAsia="Times New Roman" w:hint="default"/>
        </w:rPr>
        <w:t>2%</w:t>
      </w:r>
      <w:r>
        <w:rPr/>
        <w:t>，推动智能手机纸包装市场景气回暖。</w:t>
      </w:r>
    </w:p>
    <w:p>
      <w:pPr>
        <w:spacing w:line="240" w:lineRule="auto" w:before="12"/>
        <w:rPr>
          <w:rFonts w:ascii="宋体" w:hAnsi="宋体" w:cs="宋体" w:eastAsia="宋体" w:hint="default"/>
          <w:sz w:val="12"/>
          <w:szCs w:val="12"/>
        </w:rPr>
      </w:pPr>
    </w:p>
    <w:p>
      <w:pPr>
        <w:pStyle w:val="BodyText"/>
        <w:spacing w:line="240" w:lineRule="auto"/>
        <w:ind w:left="510" w:right="0"/>
        <w:jc w:val="left"/>
      </w:pPr>
      <w:r>
        <w:rPr/>
        <w:t>图表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2015Q1-2019Q3</w:t>
      </w:r>
      <w:r>
        <w:rPr/>
        <w:t>全球智能手机出货量</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4126" w:lineRule="exact"/>
        <w:ind w:left="152"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6032781" cy="262042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6032781" cy="2620422"/>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6"/>
        <w:rPr>
          <w:rFonts w:ascii="宋体" w:hAnsi="宋体" w:cs="宋体" w:eastAsia="宋体" w:hint="default"/>
          <w:sz w:val="18"/>
          <w:szCs w:val="18"/>
        </w:rPr>
      </w:pPr>
    </w:p>
    <w:p>
      <w:pPr>
        <w:pStyle w:val="BodyText"/>
        <w:spacing w:line="300" w:lineRule="auto" w:before="37"/>
        <w:ind w:right="1133" w:firstLine="360"/>
        <w:jc w:val="both"/>
      </w:pPr>
      <w:r>
        <w:rPr/>
        <w:t>全球智能手机出货量在</w:t>
      </w:r>
      <w:r>
        <w:rPr>
          <w:rFonts w:ascii="Times New Roman" w:hAnsi="Times New Roman" w:cs="Times New Roman" w:eastAsia="Times New Roman" w:hint="default"/>
        </w:rPr>
        <w:t>2016</w:t>
      </w:r>
      <w:r>
        <w:rPr/>
        <w:t>年后，出现负增长，</w:t>
      </w:r>
      <w:r>
        <w:rPr>
          <w:rFonts w:ascii="Times New Roman" w:hAnsi="Times New Roman" w:cs="Times New Roman" w:eastAsia="Times New Roman" w:hint="default"/>
        </w:rPr>
        <w:t>2019</w:t>
      </w:r>
      <w:r>
        <w:rPr/>
        <w:t>年第三季度，部分手机厂商发布</w:t>
      </w:r>
      <w:r>
        <w:rPr>
          <w:rFonts w:ascii="Times New Roman" w:hAnsi="Times New Roman" w:cs="Times New Roman" w:eastAsia="Times New Roman" w:hint="default"/>
        </w:rPr>
        <w:t>5G</w:t>
      </w:r>
      <w:r>
        <w:rPr/>
        <w:t>手机，</w:t>
      </w:r>
      <w:r>
        <w:rPr>
          <w:rFonts w:ascii="Times New Roman" w:hAnsi="Times New Roman" w:cs="Times New Roman" w:eastAsia="Times New Roman" w:hint="default"/>
        </w:rPr>
        <w:t>2019Q3</w:t>
      </w:r>
      <w:r>
        <w:rPr/>
        <w:t>全球手机出货量 较</w:t>
      </w:r>
      <w:r>
        <w:rPr>
          <w:rFonts w:ascii="Times New Roman" w:hAnsi="Times New Roman" w:cs="Times New Roman" w:eastAsia="Times New Roman" w:hint="default"/>
        </w:rPr>
        <w:t>2018Q3</w:t>
      </w:r>
      <w:r>
        <w:rPr/>
        <w:t>增长</w:t>
      </w:r>
      <w:r>
        <w:rPr>
          <w:rFonts w:ascii="Times New Roman" w:hAnsi="Times New Roman" w:cs="Times New Roman" w:eastAsia="Times New Roman" w:hint="default"/>
        </w:rPr>
        <w:t>0.87%</w:t>
      </w:r>
      <w:r>
        <w:rPr/>
        <w:t>，出现一定的翘尾效应。这也为全球</w:t>
      </w:r>
      <w:r>
        <w:rPr>
          <w:rFonts w:ascii="Times New Roman" w:hAnsi="Times New Roman" w:cs="Times New Roman" w:eastAsia="Times New Roman" w:hint="default"/>
        </w:rPr>
        <w:t>5G</w:t>
      </w:r>
      <w:r>
        <w:rPr/>
        <w:t>手机换机潮的到来打开了一个较好的局面。</w:t>
      </w:r>
    </w:p>
    <w:p>
      <w:pPr>
        <w:spacing w:line="240" w:lineRule="auto" w:before="12"/>
        <w:rPr>
          <w:rFonts w:ascii="宋体" w:hAnsi="宋体" w:cs="宋体" w:eastAsia="宋体" w:hint="default"/>
          <w:sz w:val="12"/>
          <w:szCs w:val="12"/>
        </w:rPr>
      </w:pPr>
    </w:p>
    <w:p>
      <w:pPr>
        <w:pStyle w:val="BodyText"/>
        <w:spacing w:line="300" w:lineRule="auto"/>
        <w:ind w:right="1132" w:firstLine="360"/>
        <w:jc w:val="both"/>
      </w:pPr>
      <w:r>
        <w:rPr>
          <w:spacing w:val="3"/>
        </w:rPr>
        <w:t>从具体的智能终端企业出货量来看，华为、小米等五家智能终端客户的智能手机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-2019</w:t>
      </w:r>
      <w:r>
        <w:rPr>
          <w:spacing w:val="3"/>
        </w:rPr>
        <w:t>年出货量复合增长率为</w:t>
      </w:r>
      <w:r>
        <w:rPr/>
        <w:t> </w:t>
      </w:r>
      <w:r>
        <w:rPr>
          <w:rFonts w:ascii="Times New Roman" w:hAnsi="Times New Roman" w:cs="Times New Roman" w:eastAsia="Times New Roman" w:hint="default"/>
        </w:rPr>
        <w:t>5.91%</w:t>
      </w:r>
      <w:r>
        <w:rPr/>
        <w:t>，是同期整体智能手机出货量复合增长率的</w:t>
      </w:r>
      <w:r>
        <w:rPr>
          <w:rFonts w:ascii="Times New Roman" w:hAnsi="Times New Roman" w:cs="Times New Roman" w:eastAsia="Times New Roman" w:hint="default"/>
        </w:rPr>
        <w:t>2.64</w:t>
      </w:r>
      <w:r>
        <w:rPr/>
        <w:t>倍，说明智能手机产业配套包装正加速向以公司客户为代表的头部企</w:t>
      </w:r>
      <w:r>
        <w:rPr>
          <w:spacing w:val="-68"/>
        </w:rPr>
        <w:t> </w:t>
      </w:r>
      <w:r>
        <w:rPr>
          <w:spacing w:val="-68"/>
        </w:rPr>
      </w:r>
      <w:r>
        <w:rPr/>
        <w:t>业集中。</w:t>
      </w:r>
    </w:p>
    <w:p>
      <w:pPr>
        <w:spacing w:line="240" w:lineRule="auto" w:before="4"/>
        <w:rPr>
          <w:rFonts w:ascii="宋体" w:hAnsi="宋体" w:cs="宋体" w:eastAsia="宋体" w:hint="default"/>
          <w:sz w:val="14"/>
          <w:szCs w:val="14"/>
        </w:rPr>
      </w:pPr>
    </w:p>
    <w:p>
      <w:pPr>
        <w:pStyle w:val="BodyText"/>
        <w:spacing w:line="316" w:lineRule="auto"/>
        <w:ind w:right="1132" w:firstLine="360"/>
        <w:jc w:val="both"/>
      </w:pPr>
      <w:r>
        <w:rPr>
          <w:spacing w:val="-2"/>
        </w:rPr>
        <w:t>公司所服务客户出货量的快速增长，智能手机产业向行业头部企业集中，预计对公司精品包装等产品的需求也将快速增</w:t>
      </w:r>
      <w:r>
        <w:rPr/>
        <w:t> 加。</w:t>
      </w:r>
    </w:p>
    <w:p>
      <w:pPr>
        <w:spacing w:line="240" w:lineRule="auto" w:before="5"/>
        <w:rPr>
          <w:rFonts w:ascii="宋体" w:hAnsi="宋体" w:cs="宋体" w:eastAsia="宋体" w:hint="default"/>
          <w:sz w:val="13"/>
          <w:szCs w:val="13"/>
        </w:rPr>
      </w:pPr>
    </w:p>
    <w:p>
      <w:pPr>
        <w:pStyle w:val="BodyText"/>
        <w:spacing w:line="300" w:lineRule="auto"/>
        <w:ind w:right="1128" w:firstLine="360"/>
        <w:jc w:val="both"/>
      </w:pPr>
      <w:r>
        <w:rPr/>
        <w:t>可穿戴设备、</w:t>
      </w:r>
      <w:r>
        <w:rPr>
          <w:rFonts w:ascii="Times New Roman" w:hAnsi="Times New Roman" w:cs="Times New Roman" w:eastAsia="Times New Roman" w:hint="default"/>
        </w:rPr>
        <w:t>TWS</w:t>
      </w:r>
      <w:r>
        <w:rPr/>
        <w:t>耳机等消费电子业务：随着</w:t>
      </w:r>
      <w:r>
        <w:rPr>
          <w:rFonts w:ascii="Times New Roman" w:hAnsi="Times New Roman" w:cs="Times New Roman" w:eastAsia="Times New Roman" w:hint="default"/>
        </w:rPr>
        <w:t>5G</w:t>
      </w:r>
      <w:r>
        <w:rPr/>
        <w:t>的推广，可佩戴智能设备有望迎来爆发，根据</w:t>
      </w:r>
      <w:r>
        <w:rPr>
          <w:rFonts w:ascii="Times New Roman" w:hAnsi="Times New Roman" w:cs="Times New Roman" w:eastAsia="Times New Roman" w:hint="default"/>
        </w:rPr>
        <w:t>IDC</w:t>
      </w:r>
      <w:r>
        <w:rPr/>
        <w:t>发布的《中国可穿 </w:t>
      </w:r>
      <w:r>
        <w:rPr>
          <w:spacing w:val="-2"/>
        </w:rPr>
        <w:t>戴设备市场季度跟踪报告》，</w:t>
      </w:r>
      <w:r>
        <w:rPr>
          <w:rFonts w:ascii="Times New Roman" w:hAnsi="Times New Roman" w:cs="Times New Roman" w:eastAsia="Times New Roman" w:hint="default"/>
          <w:spacing w:val="-2"/>
        </w:rPr>
        <w:t>2016</w:t>
      </w:r>
      <w:r>
        <w:rPr>
          <w:spacing w:val="-2"/>
        </w:rPr>
        <w:t>年以来中国的可穿戴设备出货量逐年增加，</w:t>
      </w:r>
      <w:r>
        <w:rPr>
          <w:rFonts w:ascii="Times New Roman" w:hAnsi="Times New Roman" w:cs="Times New Roman" w:eastAsia="Times New Roman" w:hint="default"/>
          <w:spacing w:val="-2"/>
        </w:rPr>
        <w:t>2019</w:t>
      </w:r>
      <w:r>
        <w:rPr>
          <w:spacing w:val="-2"/>
        </w:rPr>
        <w:t>年前两个季度的出货量同比增速均保持在</w:t>
      </w:r>
      <w:r>
        <w:rPr>
          <w:spacing w:val="-59"/>
        </w:rPr>
        <w:t> </w:t>
      </w:r>
      <w:r>
        <w:rPr>
          <w:spacing w:val="-59"/>
        </w:rPr>
      </w:r>
      <w:r>
        <w:rPr>
          <w:spacing w:val="-1"/>
        </w:rPr>
        <w:t>了</w:t>
      </w:r>
      <w:r>
        <w:rPr>
          <w:rFonts w:ascii="Times New Roman" w:hAnsi="Times New Roman" w:cs="Times New Roman" w:eastAsia="Times New Roman" w:hint="default"/>
          <w:spacing w:val="-1"/>
        </w:rPr>
        <w:t>30%</w:t>
      </w:r>
      <w:r>
        <w:rPr>
          <w:spacing w:val="-1"/>
        </w:rPr>
        <w:t>以上的水平。</w:t>
      </w:r>
      <w:r>
        <w:rPr>
          <w:rFonts w:ascii="Times New Roman" w:hAnsi="Times New Roman" w:cs="Times New Roman" w:eastAsia="Times New Roman" w:hint="default"/>
          <w:spacing w:val="-1"/>
        </w:rPr>
        <w:t>2019</w:t>
      </w:r>
      <w:r>
        <w:rPr>
          <w:spacing w:val="-1"/>
        </w:rPr>
        <w:t>年第二季度中国可穿戴设备出货量为</w:t>
      </w:r>
      <w:r>
        <w:rPr>
          <w:rFonts w:ascii="Times New Roman" w:hAnsi="Times New Roman" w:cs="Times New Roman" w:eastAsia="Times New Roman" w:hint="default"/>
          <w:spacing w:val="-1"/>
        </w:rPr>
        <w:t>2,307</w:t>
      </w:r>
      <w:r>
        <w:rPr>
          <w:spacing w:val="-1"/>
        </w:rPr>
        <w:t>万台，同比增长</w:t>
      </w:r>
      <w:r>
        <w:rPr>
          <w:rFonts w:ascii="Times New Roman" w:hAnsi="Times New Roman" w:cs="Times New Roman" w:eastAsia="Times New Roman" w:hint="default"/>
          <w:spacing w:val="-1"/>
        </w:rPr>
        <w:t>34.3%</w:t>
      </w:r>
      <w:r>
        <w:rPr>
          <w:spacing w:val="-1"/>
        </w:rPr>
        <w:t>；其中，基础可穿戴设备（不支持</w:t>
      </w:r>
      <w:r>
        <w:rPr>
          <w:spacing w:val="-60"/>
        </w:rPr>
        <w:t> </w:t>
      </w:r>
      <w:r>
        <w:rPr>
          <w:spacing w:val="-60"/>
        </w:rPr>
      </w:r>
      <w:r>
        <w:rPr>
          <w:spacing w:val="-2"/>
        </w:rPr>
        <w:t>第三方应用的可穿戴设备）出货量为</w:t>
      </w:r>
      <w:r>
        <w:rPr>
          <w:rFonts w:ascii="Times New Roman" w:hAnsi="Times New Roman" w:cs="Times New Roman" w:eastAsia="Times New Roman" w:hint="default"/>
          <w:spacing w:val="-2"/>
        </w:rPr>
        <w:t>1,846</w:t>
      </w:r>
      <w:r>
        <w:rPr>
          <w:spacing w:val="-2"/>
        </w:rPr>
        <w:t>万台，同比增长</w:t>
      </w:r>
      <w:r>
        <w:rPr>
          <w:rFonts w:ascii="Times New Roman" w:hAnsi="Times New Roman" w:cs="Times New Roman" w:eastAsia="Times New Roman" w:hint="default"/>
          <w:spacing w:val="-2"/>
        </w:rPr>
        <w:t>31.9%</w:t>
      </w:r>
      <w:r>
        <w:rPr>
          <w:spacing w:val="-2"/>
        </w:rPr>
        <w:t>，智能可穿戴设备出货量为</w:t>
      </w:r>
      <w:r>
        <w:rPr>
          <w:rFonts w:ascii="Times New Roman" w:hAnsi="Times New Roman" w:cs="Times New Roman" w:eastAsia="Times New Roman" w:hint="default"/>
          <w:spacing w:val="-2"/>
        </w:rPr>
        <w:t>461</w:t>
      </w:r>
      <w:r>
        <w:rPr>
          <w:spacing w:val="-2"/>
        </w:rPr>
        <w:t>万台，同比增长</w:t>
      </w:r>
      <w:r>
        <w:rPr>
          <w:rFonts w:ascii="Times New Roman" w:hAnsi="Times New Roman" w:cs="Times New Roman" w:eastAsia="Times New Roman" w:hint="default"/>
          <w:spacing w:val="-2"/>
        </w:rPr>
        <w:t>45.0%</w:t>
      </w:r>
      <w:r>
        <w:rPr>
          <w:spacing w:val="-2"/>
        </w:rPr>
        <w:t>。可穿</w:t>
      </w:r>
      <w:r>
        <w:rPr>
          <w:spacing w:val="-46"/>
        </w:rPr>
        <w:t> </w:t>
      </w:r>
      <w:r>
        <w:rPr>
          <w:spacing w:val="-46"/>
        </w:rPr>
      </w:r>
      <w:r>
        <w:rPr/>
        <w:t>戴设备对更高性能的传输网络有较大的依赖，因此，</w:t>
      </w:r>
      <w:r>
        <w:rPr>
          <w:rFonts w:ascii="Times New Roman" w:hAnsi="Times New Roman" w:cs="Times New Roman" w:eastAsia="Times New Roman" w:hint="default"/>
        </w:rPr>
        <w:t>5G</w:t>
      </w:r>
      <w:r>
        <w:rPr/>
        <w:t>的全面商用将推动可穿戴设备行业规模进一步扩大，进而推动可穿</w:t>
      </w:r>
      <w:r>
        <w:rPr>
          <w:spacing w:val="-51"/>
        </w:rPr>
        <w:t> </w:t>
      </w:r>
      <w:r>
        <w:rPr>
          <w:spacing w:val="-51"/>
        </w:rPr>
      </w:r>
      <w:r>
        <w:rPr/>
        <w:t>戴设备纸包装市场的业务爆发。</w:t>
      </w:r>
    </w:p>
    <w:p>
      <w:pPr>
        <w:spacing w:line="240" w:lineRule="auto" w:before="4"/>
        <w:rPr>
          <w:rFonts w:ascii="宋体" w:hAnsi="宋体" w:cs="宋体" w:eastAsia="宋体" w:hint="default"/>
          <w:sz w:val="14"/>
          <w:szCs w:val="14"/>
        </w:rPr>
      </w:pPr>
    </w:p>
    <w:p>
      <w:pPr>
        <w:pStyle w:val="BodyText"/>
        <w:spacing w:line="300" w:lineRule="auto"/>
        <w:ind w:right="1133" w:firstLine="360"/>
        <w:jc w:val="both"/>
      </w:pPr>
      <w:r>
        <w:rPr>
          <w:spacing w:val="-1"/>
        </w:rPr>
        <w:t>据</w:t>
      </w:r>
      <w:r>
        <w:rPr>
          <w:rFonts w:ascii="Times New Roman" w:hAnsi="Times New Roman" w:cs="Times New Roman" w:eastAsia="Times New Roman" w:hint="default"/>
          <w:spacing w:val="-1"/>
        </w:rPr>
        <w:t>Counterpoint</w:t>
      </w:r>
      <w:r>
        <w:rPr>
          <w:spacing w:val="-1"/>
        </w:rPr>
        <w:t>研究数据，</w:t>
      </w:r>
      <w:r>
        <w:rPr>
          <w:rFonts w:ascii="Times New Roman" w:hAnsi="Times New Roman" w:cs="Times New Roman" w:eastAsia="Times New Roman" w:hint="default"/>
          <w:spacing w:val="-1"/>
        </w:rPr>
        <w:t>2016</w:t>
      </w:r>
      <w:r>
        <w:rPr>
          <w:spacing w:val="-1"/>
        </w:rPr>
        <w:t>年全球</w:t>
      </w:r>
      <w:r>
        <w:rPr>
          <w:rFonts w:ascii="Times New Roman" w:hAnsi="Times New Roman" w:cs="Times New Roman" w:eastAsia="Times New Roman" w:hint="default"/>
          <w:spacing w:val="-1"/>
        </w:rPr>
        <w:t>TWS</w:t>
      </w:r>
      <w:r>
        <w:rPr>
          <w:spacing w:val="-1"/>
        </w:rPr>
        <w:t>耳机销售</w:t>
      </w:r>
      <w:r>
        <w:rPr>
          <w:rFonts w:ascii="Times New Roman" w:hAnsi="Times New Roman" w:cs="Times New Roman" w:eastAsia="Times New Roman" w:hint="default"/>
          <w:spacing w:val="-1"/>
        </w:rPr>
        <w:t>918</w:t>
      </w:r>
      <w:r>
        <w:rPr>
          <w:spacing w:val="-1"/>
        </w:rPr>
        <w:t>万副，</w:t>
      </w:r>
      <w:r>
        <w:rPr>
          <w:rFonts w:ascii="Times New Roman" w:hAnsi="Times New Roman" w:cs="Times New Roman" w:eastAsia="Times New Roman" w:hint="default"/>
          <w:spacing w:val="-1"/>
        </w:rPr>
        <w:t>2019</w:t>
      </w:r>
      <w:r>
        <w:rPr>
          <w:spacing w:val="-1"/>
        </w:rPr>
        <w:t>年销售</w:t>
      </w:r>
      <w:r>
        <w:rPr>
          <w:rFonts w:ascii="Times New Roman" w:hAnsi="Times New Roman" w:cs="Times New Roman" w:eastAsia="Times New Roman" w:hint="default"/>
          <w:spacing w:val="-1"/>
        </w:rPr>
        <w:t>1.2</w:t>
      </w:r>
      <w:r>
        <w:rPr>
          <w:spacing w:val="-1"/>
        </w:rPr>
        <w:t>亿副，年复合增速</w:t>
      </w:r>
      <w:r>
        <w:rPr>
          <w:rFonts w:ascii="Times New Roman" w:hAnsi="Times New Roman" w:cs="Times New Roman" w:eastAsia="Times New Roman" w:hint="default"/>
          <w:spacing w:val="-1"/>
        </w:rPr>
        <w:t>136%</w:t>
      </w:r>
      <w:r>
        <w:rPr>
          <w:spacing w:val="-1"/>
        </w:rPr>
        <w:t>。预计</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TWS</w:t>
      </w:r>
      <w:r>
        <w:rPr>
          <w:rFonts w:ascii="Times New Roman" w:hAnsi="Times New Roman" w:cs="Times New Roman" w:eastAsia="Times New Roman" w:hint="default"/>
          <w:w w:val="99"/>
        </w:rPr>
        <w:t> </w:t>
      </w:r>
      <w:r>
        <w:rPr>
          <w:spacing w:val="-2"/>
        </w:rPr>
        <w:t>耳机出货</w:t>
      </w:r>
      <w:r>
        <w:rPr>
          <w:rFonts w:ascii="Times New Roman" w:hAnsi="Times New Roman" w:cs="Times New Roman" w:eastAsia="Times New Roman" w:hint="default"/>
          <w:spacing w:val="-2"/>
        </w:rPr>
        <w:t>2.3</w:t>
      </w:r>
      <w:r>
        <w:rPr>
          <w:spacing w:val="-2"/>
        </w:rPr>
        <w:t>亿副，同比增长</w:t>
      </w:r>
      <w:r>
        <w:rPr>
          <w:rFonts w:ascii="Times New Roman" w:hAnsi="Times New Roman" w:cs="Times New Roman" w:eastAsia="Times New Roman" w:hint="default"/>
          <w:spacing w:val="-2"/>
        </w:rPr>
        <w:t>92%</w:t>
      </w:r>
      <w:r>
        <w:rPr>
          <w:spacing w:val="-2"/>
        </w:rPr>
        <w:t>；预计</w:t>
      </w:r>
      <w:r>
        <w:rPr>
          <w:rFonts w:ascii="Times New Roman" w:hAnsi="Times New Roman" w:cs="Times New Roman" w:eastAsia="Times New Roman" w:hint="default"/>
          <w:spacing w:val="-2"/>
        </w:rPr>
        <w:t>2022</w:t>
      </w:r>
      <w:r>
        <w:rPr>
          <w:spacing w:val="-2"/>
        </w:rPr>
        <w:t>年有望出货</w:t>
      </w:r>
      <w:r>
        <w:rPr>
          <w:rFonts w:ascii="Times New Roman" w:hAnsi="Times New Roman" w:cs="Times New Roman" w:eastAsia="Times New Roman" w:hint="default"/>
          <w:spacing w:val="-2"/>
        </w:rPr>
        <w:t>7</w:t>
      </w:r>
      <w:r>
        <w:rPr>
          <w:spacing w:val="-2"/>
        </w:rPr>
        <w:t>亿副，未来</w:t>
      </w:r>
      <w:r>
        <w:rPr>
          <w:rFonts w:ascii="Times New Roman" w:hAnsi="Times New Roman" w:cs="Times New Roman" w:eastAsia="Times New Roman" w:hint="default"/>
          <w:spacing w:val="-2"/>
        </w:rPr>
        <w:t>3</w:t>
      </w:r>
      <w:r>
        <w:rPr>
          <w:spacing w:val="-2"/>
        </w:rPr>
        <w:t>年复合增速高达</w:t>
      </w:r>
      <w:r>
        <w:rPr>
          <w:rFonts w:ascii="Times New Roman" w:hAnsi="Times New Roman" w:cs="Times New Roman" w:eastAsia="Times New Roman" w:hint="default"/>
          <w:spacing w:val="-2"/>
        </w:rPr>
        <w:t>80%</w:t>
      </w:r>
      <w:r>
        <w:rPr>
          <w:spacing w:val="-2"/>
        </w:rPr>
        <w:t>。长期来看，全球每年新增手机销</w:t>
      </w:r>
      <w:r>
        <w:rPr>
          <w:spacing w:val="-49"/>
        </w:rPr>
        <w:t> </w:t>
      </w:r>
      <w:r>
        <w:rPr>
          <w:spacing w:val="-49"/>
        </w:rPr>
      </w:r>
      <w:r>
        <w:rPr/>
        <w:t>量约</w:t>
      </w:r>
      <w:r>
        <w:rPr>
          <w:rFonts w:ascii="Times New Roman" w:hAnsi="Times New Roman" w:cs="Times New Roman" w:eastAsia="Times New Roman" w:hint="default"/>
        </w:rPr>
        <w:t>14</w:t>
      </w:r>
      <w:r>
        <w:rPr/>
        <w:t>亿部，且耳机具有巨大存量市场，</w:t>
      </w:r>
      <w:r>
        <w:rPr>
          <w:rFonts w:ascii="Times New Roman" w:hAnsi="Times New Roman" w:cs="Times New Roman" w:eastAsia="Times New Roman" w:hint="default"/>
        </w:rPr>
        <w:t>TWS</w:t>
      </w:r>
      <w:r>
        <w:rPr/>
        <w:t>耳机替代空间大。</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spacing w:val="-1"/>
        </w:rPr>
        <w:t>在可穿戴设备、</w:t>
      </w:r>
      <w:r>
        <w:rPr>
          <w:rFonts w:ascii="Times New Roman" w:hAnsi="Times New Roman" w:cs="Times New Roman" w:eastAsia="Times New Roman" w:hint="default"/>
          <w:spacing w:val="-1"/>
        </w:rPr>
        <w:t>TWS</w:t>
      </w:r>
      <w:r>
        <w:rPr>
          <w:spacing w:val="-1"/>
        </w:rPr>
        <w:t>耳机等消费电子领域，公司主要为前述智能终端客户及</w:t>
      </w:r>
      <w:r>
        <w:rPr>
          <w:rFonts w:ascii="Times New Roman" w:hAnsi="Times New Roman" w:cs="Times New Roman" w:eastAsia="Times New Roman" w:hint="default"/>
          <w:spacing w:val="-1"/>
        </w:rPr>
        <w:t>Harman</w:t>
      </w:r>
      <w:r>
        <w:rPr>
          <w:spacing w:val="-1"/>
        </w:rPr>
        <w:t>、</w:t>
      </w:r>
      <w:r>
        <w:rPr>
          <w:rFonts w:ascii="Times New Roman" w:hAnsi="Times New Roman" w:cs="Times New Roman" w:eastAsia="Times New Roman" w:hint="default"/>
          <w:spacing w:val="-1"/>
        </w:rPr>
        <w:t>Sonos</w:t>
      </w:r>
      <w:r>
        <w:rPr>
          <w:spacing w:val="-1"/>
        </w:rPr>
        <w:t>、</w:t>
      </w:r>
      <w:r>
        <w:rPr>
          <w:rFonts w:ascii="Times New Roman" w:hAnsi="Times New Roman" w:cs="Times New Roman" w:eastAsia="Times New Roman" w:hint="default"/>
          <w:spacing w:val="-1"/>
        </w:rPr>
        <w:t>Bose</w:t>
      </w:r>
      <w:r>
        <w:rPr>
          <w:spacing w:val="-1"/>
        </w:rPr>
        <w:t>等多家世界领先的客</w:t>
      </w:r>
      <w:r>
        <w:rPr/>
        <w:t> 户提供配套包装服务。随着这些客户业务的爆发式增长，预计公司将有望受益。</w:t>
      </w:r>
    </w:p>
    <w:p>
      <w:pPr>
        <w:spacing w:line="240" w:lineRule="auto" w:before="4"/>
        <w:rPr>
          <w:rFonts w:ascii="宋体" w:hAnsi="宋体" w:cs="宋体" w:eastAsia="宋体" w:hint="default"/>
          <w:sz w:val="14"/>
          <w:szCs w:val="14"/>
        </w:rPr>
      </w:pPr>
    </w:p>
    <w:p>
      <w:pPr>
        <w:pStyle w:val="BodyText"/>
        <w:spacing w:line="240" w:lineRule="auto"/>
        <w:ind w:left="510" w:right="0"/>
        <w:jc w:val="left"/>
      </w:pPr>
      <w:r>
        <w:rPr/>
        <w:t>图表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2018.05-2019.11</w:t>
      </w:r>
      <w:r>
        <w:rPr/>
        <w:t>中国可穿戴智能设备收入</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4194" w:lineRule="exact"/>
        <w:ind w:left="152"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6071837" cy="266338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6071837" cy="2663380"/>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8"/>
        <w:rPr>
          <w:rFonts w:ascii="宋体" w:hAnsi="宋体" w:cs="宋体" w:eastAsia="宋体" w:hint="default"/>
          <w:sz w:val="7"/>
          <w:szCs w:val="7"/>
        </w:rPr>
      </w:pPr>
    </w:p>
    <w:p>
      <w:pPr>
        <w:pStyle w:val="BodyText"/>
        <w:spacing w:line="307" w:lineRule="auto" w:before="37"/>
        <w:ind w:right="1123" w:firstLine="360"/>
        <w:jc w:val="both"/>
      </w:pPr>
      <w:r>
        <w:rPr/>
        <w:t>电子计算机业务：全国电子计算机整机累计销量在经历</w:t>
      </w:r>
      <w:r>
        <w:rPr>
          <w:rFonts w:ascii="Times New Roman" w:hAnsi="Times New Roman" w:cs="Times New Roman" w:eastAsia="Times New Roman" w:hint="default"/>
        </w:rPr>
        <w:t>2018</w:t>
      </w:r>
      <w:r>
        <w:rPr/>
        <w:t>年的下降</w:t>
      </w:r>
      <w:r>
        <w:rPr>
          <w:rFonts w:ascii="Times New Roman" w:hAnsi="Times New Roman" w:cs="Times New Roman" w:eastAsia="Times New Roman" w:hint="default"/>
        </w:rPr>
        <w:t>3.43%</w:t>
      </w:r>
      <w:r>
        <w:rPr/>
        <w:t>后，在</w:t>
      </w:r>
      <w:r>
        <w:rPr>
          <w:rFonts w:ascii="Times New Roman" w:hAnsi="Times New Roman" w:cs="Times New Roman" w:eastAsia="Times New Roman" w:hint="default"/>
        </w:rPr>
        <w:t>2019</w:t>
      </w:r>
      <w:r>
        <w:rPr/>
        <w:t>年成功扭转下跌趋势。</w:t>
      </w:r>
      <w:r>
        <w:rPr>
          <w:rFonts w:ascii="Times New Roman" w:hAnsi="Times New Roman" w:cs="Times New Roman" w:eastAsia="Times New Roman" w:hint="default"/>
        </w:rPr>
        <w:t>2019</w:t>
      </w:r>
      <w:r>
        <w:rPr/>
        <w:t>年， 全国电子计算机整机累计销量</w:t>
      </w:r>
      <w:r>
        <w:rPr>
          <w:rFonts w:ascii="Times New Roman" w:hAnsi="Times New Roman" w:cs="Times New Roman" w:eastAsia="Times New Roman" w:hint="default"/>
        </w:rPr>
        <w:t>3.55</w:t>
      </w:r>
      <w:r>
        <w:rPr/>
        <w:t>亿台，同比增长</w:t>
      </w:r>
      <w:r>
        <w:rPr>
          <w:rFonts w:ascii="Times New Roman" w:hAnsi="Times New Roman" w:cs="Times New Roman" w:eastAsia="Times New Roman" w:hint="default"/>
        </w:rPr>
        <w:t>2.02%</w:t>
      </w:r>
      <w:r>
        <w:rPr/>
        <w:t>。整机销量的提升与外部贸易环境及换新周期有关。在外部贸易环</w:t>
      </w:r>
      <w:r>
        <w:rPr>
          <w:spacing w:val="-67"/>
        </w:rPr>
        <w:t> </w:t>
      </w:r>
      <w:r>
        <w:rPr>
          <w:spacing w:val="-67"/>
        </w:rPr>
      </w:r>
      <w:r>
        <w:rPr>
          <w:spacing w:val="-2"/>
        </w:rPr>
        <w:t>境复杂多变的情况下，国产化、自主可控等政策的落地将会加速推进，未来以纯自主可控为代表的整机产销量的提升也有望</w:t>
      </w:r>
      <w:r>
        <w:rPr>
          <w:spacing w:val="-62"/>
        </w:rPr>
        <w:t> </w:t>
      </w:r>
      <w:r>
        <w:rPr>
          <w:spacing w:val="-62"/>
        </w:rPr>
      </w:r>
      <w:r>
        <w:rPr/>
        <w:t>逐步带动市场整体增长。</w:t>
      </w:r>
    </w:p>
    <w:p>
      <w:pPr>
        <w:spacing w:line="240" w:lineRule="auto" w:before="12"/>
        <w:rPr>
          <w:rFonts w:ascii="宋体" w:hAnsi="宋体" w:cs="宋体" w:eastAsia="宋体" w:hint="default"/>
          <w:sz w:val="13"/>
          <w:szCs w:val="13"/>
        </w:rPr>
      </w:pPr>
    </w:p>
    <w:p>
      <w:pPr>
        <w:pStyle w:val="BodyText"/>
        <w:spacing w:line="300" w:lineRule="auto"/>
        <w:ind w:right="0" w:firstLine="360"/>
        <w:jc w:val="left"/>
      </w:pPr>
      <w:r>
        <w:rPr/>
        <w:t>同时，联想等电子计算机知名企业表示将在</w:t>
      </w:r>
      <w:r>
        <w:rPr>
          <w:rFonts w:ascii="Times New Roman" w:hAnsi="Times New Roman" w:cs="Times New Roman" w:eastAsia="Times New Roman" w:hint="default"/>
        </w:rPr>
        <w:t>2020</w:t>
      </w:r>
      <w:r>
        <w:rPr/>
        <w:t>年一季度推出</w:t>
      </w:r>
      <w:r>
        <w:rPr>
          <w:rFonts w:ascii="Times New Roman" w:hAnsi="Times New Roman" w:cs="Times New Roman" w:eastAsia="Times New Roman" w:hint="default"/>
        </w:rPr>
        <w:t>5G</w:t>
      </w:r>
      <w:r>
        <w:rPr/>
        <w:t>电脑，叠加上在线办公的逐渐兴起，将共同推动电子 计算机换新周期的到来。</w:t>
      </w:r>
    </w:p>
    <w:p>
      <w:pPr>
        <w:spacing w:line="240" w:lineRule="auto" w:before="4"/>
        <w:rPr>
          <w:rFonts w:ascii="宋体" w:hAnsi="宋体" w:cs="宋体" w:eastAsia="宋体" w:hint="default"/>
          <w:sz w:val="14"/>
          <w:szCs w:val="14"/>
        </w:rPr>
      </w:pPr>
    </w:p>
    <w:p>
      <w:pPr>
        <w:pStyle w:val="BodyText"/>
        <w:spacing w:line="316" w:lineRule="auto"/>
        <w:ind w:right="1126" w:firstLine="360"/>
        <w:jc w:val="left"/>
      </w:pPr>
      <w:r>
        <w:rPr>
          <w:spacing w:val="-2"/>
        </w:rPr>
        <w:t>全球电子计算机整机主要头部厂商均为公司客户，电子计算机整机销量的增长及换新周期的到来，预计将带动公司包装</w:t>
      </w:r>
      <w:r>
        <w:rPr/>
        <w:t> 业务的增长。</w:t>
      </w:r>
    </w:p>
    <w:p>
      <w:pPr>
        <w:spacing w:line="240" w:lineRule="auto" w:before="5"/>
        <w:rPr>
          <w:rFonts w:ascii="宋体" w:hAnsi="宋体" w:cs="宋体" w:eastAsia="宋体" w:hint="default"/>
          <w:sz w:val="13"/>
          <w:szCs w:val="13"/>
        </w:rPr>
      </w:pPr>
    </w:p>
    <w:p>
      <w:pPr>
        <w:pStyle w:val="BodyText"/>
        <w:spacing w:line="240" w:lineRule="auto"/>
        <w:ind w:left="510" w:right="0"/>
        <w:jc w:val="left"/>
      </w:pPr>
      <w:r>
        <w:rPr/>
        <w:t>图表</w:t>
      </w:r>
      <w:r>
        <w:rPr>
          <w:rFonts w:ascii="Times New Roman" w:hAnsi="Times New Roman" w:cs="Times New Roman" w:eastAsia="Times New Roman" w:hint="default"/>
        </w:rPr>
        <w:t>3:2016-2019</w:t>
      </w:r>
      <w:r>
        <w:rPr/>
        <w:t>中国电子计算机整机销量</w:t>
      </w:r>
    </w:p>
    <w:p>
      <w:pPr>
        <w:spacing w:line="240" w:lineRule="auto" w:before="2"/>
        <w:rPr>
          <w:rFonts w:ascii="宋体" w:hAnsi="宋体" w:cs="宋体" w:eastAsia="宋体" w:hint="default"/>
          <w:sz w:val="9"/>
          <w:szCs w:val="9"/>
        </w:rPr>
      </w:pPr>
    </w:p>
    <w:p>
      <w:pPr>
        <w:spacing w:line="4938" w:lineRule="exact"/>
        <w:ind w:left="152"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6069268" cy="313591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6069268" cy="3135915"/>
                    </a:xfrm>
                    <a:prstGeom prst="rect">
                      <a:avLst/>
                    </a:prstGeom>
                  </pic:spPr>
                </pic:pic>
              </a:graphicData>
            </a:graphic>
          </wp:inline>
        </w:drawing>
      </w:r>
      <w:r>
        <w:rPr>
          <w:rFonts w:ascii="宋体" w:hAnsi="宋体" w:cs="宋体" w:eastAsia="宋体" w:hint="default"/>
          <w:position w:val="-98"/>
          <w:sz w:val="20"/>
          <w:szCs w:val="20"/>
        </w:rPr>
      </w:r>
    </w:p>
    <w:p>
      <w:pPr>
        <w:pStyle w:val="BodyText"/>
        <w:spacing w:line="316" w:lineRule="auto" w:before="76"/>
        <w:ind w:right="1034" w:firstLine="360"/>
        <w:jc w:val="left"/>
      </w:pPr>
      <w:r>
        <w:rPr/>
        <w:t>消费电子、智能终端等消费电子行业企业对精品盒（彩盒）、瓦楞包装、标签等的需求量较大。公司深耕瓦楞纸包装， </w:t>
      </w:r>
      <w:r>
        <w:rPr>
          <w:spacing w:val="-2"/>
        </w:rPr>
        <w:t>并在精品包装方面取得厚积薄发的成绩，不断积累对大客户的服务经验、研发经验、设计经验、生产经验等，在纸包装行业</w:t>
      </w:r>
      <w:r>
        <w:rPr>
          <w:spacing w:val="-69"/>
        </w:rPr>
        <w:t> </w:t>
      </w:r>
      <w:r>
        <w:rPr>
          <w:spacing w:val="-69"/>
        </w:rPr>
      </w:r>
      <w:r>
        <w:rPr/>
        <w:t>已然构筑了较强的业务和技术护城河。</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4" w:lineRule="auto" w:before="37"/>
        <w:ind w:right="1130" w:firstLine="360"/>
        <w:jc w:val="both"/>
      </w:pPr>
      <w:r>
        <w:rPr>
          <w:rFonts w:ascii="Times New Roman" w:hAnsi="Times New Roman" w:cs="Times New Roman" w:eastAsia="Times New Roman" w:hint="default"/>
        </w:rPr>
        <w:t>5G</w:t>
      </w:r>
      <w:r>
        <w:rPr/>
        <w:t>商业化热潮将带动消费电子行业再一次蓬勃发展，在移动智能终端及可穿戴设备领域，公司已与多家世界级行业龙 </w:t>
      </w:r>
      <w:r>
        <w:rPr>
          <w:spacing w:val="-2"/>
        </w:rPr>
        <w:t>头及众多行业细分龙头企业建立稳定向上的合作关系，得到了众多客户的广泛认可，近年来公司在消费电子、智能终端领域</w:t>
      </w:r>
      <w:r>
        <w:rPr>
          <w:spacing w:val="-62"/>
        </w:rPr>
        <w:t> </w:t>
      </w:r>
      <w:r>
        <w:rPr>
          <w:spacing w:val="-62"/>
        </w:rPr>
      </w:r>
      <w:r>
        <w:rPr>
          <w:spacing w:val="-2"/>
        </w:rPr>
        <w:t>的知名品牌客户数量稳步攀升，整体销售额也持续增加。</w:t>
      </w:r>
      <w:r>
        <w:rPr>
          <w:rFonts w:ascii="Times New Roman" w:hAnsi="Times New Roman" w:cs="Times New Roman" w:eastAsia="Times New Roman" w:hint="default"/>
          <w:spacing w:val="-2"/>
        </w:rPr>
        <w:t>2019</w:t>
      </w:r>
      <w:r>
        <w:rPr>
          <w:spacing w:val="-2"/>
        </w:rPr>
        <w:t>年，公司为消费电子、通讯设备等客户提供包装服务实现的销</w:t>
      </w:r>
      <w:r>
        <w:rPr>
          <w:spacing w:val="-65"/>
        </w:rPr>
        <w:t> </w:t>
      </w:r>
      <w:r>
        <w:rPr>
          <w:spacing w:val="-65"/>
        </w:rPr>
      </w:r>
      <w:r>
        <w:rPr>
          <w:spacing w:val="-1"/>
        </w:rPr>
        <w:t>售收入占整体销售收入的比例约为</w:t>
      </w:r>
      <w:r>
        <w:rPr>
          <w:rFonts w:ascii="Times New Roman" w:hAnsi="Times New Roman" w:cs="Times New Roman" w:eastAsia="Times New Roman" w:hint="default"/>
          <w:spacing w:val="-1"/>
        </w:rPr>
        <w:t>60%</w:t>
      </w:r>
      <w:r>
        <w:rPr>
          <w:spacing w:val="-1"/>
        </w:rPr>
        <w:t>，该领域客户业务占比较大，因此，预计消费电子、智能终端行业的新一轮蓬勃发展</w:t>
      </w:r>
      <w:r>
        <w:rPr/>
        <w:t> 将有力助推公司业绩的提升。</w:t>
      </w:r>
    </w:p>
    <w:p>
      <w:pPr>
        <w:pStyle w:val="BodyText"/>
        <w:spacing w:line="468" w:lineRule="exact" w:before="19"/>
        <w:ind w:left="512" w:right="0"/>
        <w:jc w:val="left"/>
      </w:pPr>
      <w:r>
        <w:rPr/>
        <w:t>（</w:t>
      </w:r>
      <w:r>
        <w:rPr>
          <w:rFonts w:ascii="Times New Roman" w:hAnsi="Times New Roman" w:cs="Times New Roman" w:eastAsia="Times New Roman" w:hint="default"/>
        </w:rPr>
        <w:t>2</w:t>
      </w:r>
      <w:r>
        <w:rPr/>
        <w:t>）消费升级带动食品、饮料行业回暖 </w:t>
      </w:r>
      <w:r>
        <w:rPr>
          <w:spacing w:val="-2"/>
        </w:rPr>
        <w:t>随着中国居民可支配收入的攀升和数字化带来的消费推动力，中国正迎来一个消费全面升级的新时代。根据国家统计局</w:t>
      </w:r>
    </w:p>
    <w:p>
      <w:pPr>
        <w:pStyle w:val="BodyText"/>
        <w:spacing w:line="300" w:lineRule="auto" w:before="8"/>
        <w:ind w:right="1124"/>
        <w:jc w:val="left"/>
      </w:pPr>
      <w:r>
        <w:rPr/>
        <w:t>数据，</w:t>
      </w:r>
      <w:r>
        <w:rPr>
          <w:rFonts w:ascii="Times New Roman" w:hAnsi="Times New Roman" w:cs="Times New Roman" w:eastAsia="Times New Roman" w:hint="default"/>
        </w:rPr>
        <w:t>2019</w:t>
      </w:r>
      <w:r>
        <w:rPr/>
        <w:t>年，全国食品、酒、饮料和精制茶制造企业合计实现营业收入</w:t>
      </w:r>
      <w:r>
        <w:rPr>
          <w:rFonts w:ascii="Times New Roman" w:hAnsi="Times New Roman" w:cs="Times New Roman" w:eastAsia="Times New Roman" w:hint="default"/>
        </w:rPr>
        <w:t>34,376.8</w:t>
      </w:r>
      <w:r>
        <w:rPr/>
        <w:t>亿元，同比实现增长，扭转了</w:t>
      </w:r>
      <w:r>
        <w:rPr>
          <w:rFonts w:ascii="Times New Roman" w:hAnsi="Times New Roman" w:cs="Times New Roman" w:eastAsia="Times New Roman" w:hint="default"/>
        </w:rPr>
        <w:t>2018</w:t>
      </w:r>
      <w:r>
        <w:rPr/>
        <w:t>年下跌 的趋势。</w:t>
      </w:r>
    </w:p>
    <w:p>
      <w:pPr>
        <w:spacing w:line="240" w:lineRule="auto" w:before="4"/>
        <w:rPr>
          <w:rFonts w:ascii="宋体" w:hAnsi="宋体" w:cs="宋体" w:eastAsia="宋体" w:hint="default"/>
          <w:sz w:val="14"/>
          <w:szCs w:val="14"/>
        </w:rPr>
      </w:pPr>
    </w:p>
    <w:p>
      <w:pPr>
        <w:pStyle w:val="BodyText"/>
        <w:spacing w:line="240" w:lineRule="auto"/>
        <w:ind w:left="510" w:right="0"/>
        <w:jc w:val="left"/>
      </w:pPr>
      <w:r>
        <w:rPr/>
        <w:t>图表</w:t>
      </w:r>
      <w:r>
        <w:rPr>
          <w:rFonts w:ascii="Times New Roman" w:hAnsi="Times New Roman" w:cs="Times New Roman" w:eastAsia="Times New Roman" w:hint="default"/>
        </w:rPr>
        <w:t>4</w:t>
      </w:r>
      <w:r>
        <w:rPr/>
        <w:t>：中国食品制造企业营业收入（亿元）</w:t>
      </w:r>
    </w:p>
    <w:p>
      <w:pPr>
        <w:spacing w:line="240" w:lineRule="auto" w:before="3"/>
        <w:rPr>
          <w:rFonts w:ascii="宋体" w:hAnsi="宋体" w:cs="宋体" w:eastAsia="宋体" w:hint="default"/>
          <w:sz w:val="12"/>
          <w:szCs w:val="12"/>
        </w:rPr>
      </w:pPr>
    </w:p>
    <w:p>
      <w:pPr>
        <w:spacing w:line="4532" w:lineRule="exact"/>
        <w:ind w:left="152"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6038839" cy="2878169"/>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6038839" cy="2878169"/>
                    </a:xfrm>
                    <a:prstGeom prst="rect">
                      <a:avLst/>
                    </a:prstGeom>
                  </pic:spPr>
                </pic:pic>
              </a:graphicData>
            </a:graphic>
          </wp:inline>
        </w:drawing>
      </w:r>
      <w:r>
        <w:rPr>
          <w:rFonts w:ascii="宋体" w:hAnsi="宋体" w:cs="宋体" w:eastAsia="宋体" w:hint="default"/>
          <w:position w:val="-90"/>
          <w:sz w:val="20"/>
          <w:szCs w:val="20"/>
        </w:rPr>
      </w:r>
    </w:p>
    <w:p>
      <w:pPr>
        <w:pStyle w:val="BodyText"/>
        <w:spacing w:line="240" w:lineRule="auto" w:before="129"/>
        <w:ind w:left="510" w:right="0"/>
        <w:jc w:val="left"/>
      </w:pPr>
      <w:r>
        <w:rPr/>
        <w:t>图表</w:t>
      </w:r>
      <w:r>
        <w:rPr>
          <w:rFonts w:ascii="Times New Roman" w:hAnsi="Times New Roman" w:cs="Times New Roman" w:eastAsia="Times New Roman" w:hint="default"/>
        </w:rPr>
        <w:t>5</w:t>
      </w:r>
      <w:r>
        <w:rPr/>
        <w:t>：酒、饮料和精制茶制造业营业收入</w:t>
      </w:r>
    </w:p>
    <w:p>
      <w:pPr>
        <w:spacing w:line="240" w:lineRule="auto" w:before="2"/>
        <w:rPr>
          <w:rFonts w:ascii="宋体" w:hAnsi="宋体" w:cs="宋体" w:eastAsia="宋体" w:hint="default"/>
          <w:sz w:val="13"/>
          <w:szCs w:val="13"/>
        </w:rPr>
      </w:pPr>
    </w:p>
    <w:p>
      <w:pPr>
        <w:spacing w:line="4532" w:lineRule="exact"/>
        <w:ind w:left="152"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6067656" cy="2878169"/>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6067656" cy="2878169"/>
                    </a:xfrm>
                    <a:prstGeom prst="rect">
                      <a:avLst/>
                    </a:prstGeom>
                  </pic:spPr>
                </pic:pic>
              </a:graphicData>
            </a:graphic>
          </wp:inline>
        </w:drawing>
      </w:r>
      <w:r>
        <w:rPr>
          <w:rFonts w:ascii="宋体" w:hAnsi="宋体" w:cs="宋体" w:eastAsia="宋体" w:hint="default"/>
          <w:position w:val="-90"/>
          <w:sz w:val="20"/>
          <w:szCs w:val="20"/>
        </w:rPr>
      </w:r>
    </w:p>
    <w:p>
      <w:pPr>
        <w:pStyle w:val="BodyText"/>
        <w:spacing w:line="240" w:lineRule="auto" w:before="120"/>
        <w:ind w:left="512" w:right="0"/>
        <w:jc w:val="left"/>
      </w:pPr>
      <w:r>
        <w:rPr/>
        <w:t>食品、饮料行业对瓦楞包装、彩盒、智能包装需求非常旺盛，公司在食品、饮料行业积累并不断拓展了包括泸州老窖、</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26"/>
        <w:jc w:val="left"/>
      </w:pPr>
      <w:r>
        <w:rPr/>
        <w:t>洋河、剑南春、习酒、华润怡宝、旺旺、伊利、蒙牛乳业、晨光乳业、绿雪生物（卡士酸奶）、</w:t>
      </w:r>
      <w:r>
        <w:rPr>
          <w:rFonts w:ascii="Times New Roman" w:hAnsi="Times New Roman" w:cs="Times New Roman" w:eastAsia="Times New Roman" w:hint="default"/>
        </w:rPr>
        <w:t>Amway</w:t>
      </w:r>
      <w:r>
        <w:rPr/>
        <w:t>在内的众多行业龙</w:t>
      </w:r>
      <w:r>
        <w:rPr>
          <w:spacing w:val="-47"/>
        </w:rPr>
        <w:t> </w:t>
      </w:r>
      <w:r>
        <w:rPr>
          <w:spacing w:val="-47"/>
        </w:rPr>
      </w:r>
      <w:r>
        <w:rPr/>
        <w:t>头企业客户。</w:t>
      </w:r>
    </w:p>
    <w:p>
      <w:pPr>
        <w:spacing w:line="240" w:lineRule="auto" w:before="4"/>
        <w:rPr>
          <w:rFonts w:ascii="宋体" w:hAnsi="宋体" w:cs="宋体" w:eastAsia="宋体" w:hint="default"/>
          <w:sz w:val="14"/>
          <w:szCs w:val="14"/>
        </w:rPr>
      </w:pPr>
    </w:p>
    <w:p>
      <w:pPr>
        <w:pStyle w:val="BodyText"/>
        <w:spacing w:line="316" w:lineRule="auto"/>
        <w:ind w:right="1132" w:firstLine="360"/>
        <w:jc w:val="both"/>
      </w:pPr>
      <w:r>
        <w:rPr>
          <w:spacing w:val="-2"/>
        </w:rPr>
        <w:t>国内居民消费升级带来食品、饮料行业回暖，不仅恢复了对原有包装的需求，同时创造了更多具有展示功能，提升产品</w:t>
      </w:r>
      <w:r>
        <w:rPr/>
        <w:t> </w:t>
      </w:r>
      <w:r>
        <w:rPr>
          <w:spacing w:val="-2"/>
        </w:rPr>
        <w:t>形象及具备防伪溯源功能的新的包装需求，中小包装企业在新业务的竞争中受到技术储备、资金实力、人才等短板限制，面</w:t>
      </w:r>
      <w:r>
        <w:rPr>
          <w:spacing w:val="-66"/>
        </w:rPr>
        <w:t> </w:t>
      </w:r>
      <w:r>
        <w:rPr>
          <w:spacing w:val="-66"/>
        </w:rPr>
      </w:r>
      <w:r>
        <w:rPr/>
        <w:t>临更大的竞争压力，而具备竞争优势的领先企业获得了更多的新的占领市场份额的机遇。</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比如白酒行业，近年来，伴随酒盒的渠道展示功能性增强和防伪要求提高，酒包装市场化程度越来越高；同时，随着各</w:t>
      </w:r>
      <w:r>
        <w:rPr/>
        <w:t> </w:t>
      </w:r>
      <w:r>
        <w:rPr>
          <w:spacing w:val="-2"/>
        </w:rPr>
        <w:t>大白酒品牌终端渠道份额竞争加剧，酒包的展示功能及营销价值逐渐凸显；此外，中高端酒的防伪需求日益升级，加大了对</w:t>
      </w:r>
      <w:r>
        <w:rPr>
          <w:spacing w:val="-65"/>
        </w:rPr>
        <w:t> </w:t>
      </w:r>
      <w:r>
        <w:rPr>
          <w:spacing w:val="-65"/>
        </w:rPr>
      </w:r>
      <w:r>
        <w:rPr>
          <w:spacing w:val="-2"/>
        </w:rPr>
        <w:t>酒包企业研发设计能力的要求。因此，随着白酒产业链条各业务线分工的逐步精细化，行业领先的、专业的纸包装企业将得</w:t>
      </w:r>
      <w:r>
        <w:rPr>
          <w:spacing w:val="-65"/>
        </w:rPr>
        <w:t> </w:t>
      </w:r>
      <w:r>
        <w:rPr>
          <w:spacing w:val="-65"/>
        </w:rPr>
      </w:r>
      <w:r>
        <w:rPr>
          <w:spacing w:val="-2"/>
        </w:rPr>
        <w:t>到品牌酒类厂商的青睐。白酒市场的回暖及供应链的市场化将打造全新的纸质酒包装市场，为纸包装企业尤其是行业内领先</w:t>
      </w:r>
      <w:r>
        <w:rPr>
          <w:spacing w:val="-64"/>
        </w:rPr>
        <w:t> </w:t>
      </w:r>
      <w:r>
        <w:rPr>
          <w:spacing w:val="-64"/>
        </w:rPr>
      </w:r>
      <w:r>
        <w:rPr/>
        <w:t>企业带来重要市场机遇。</w:t>
      </w:r>
    </w:p>
    <w:p>
      <w:pPr>
        <w:spacing w:line="240" w:lineRule="auto" w:before="5"/>
        <w:rPr>
          <w:rFonts w:ascii="宋体" w:hAnsi="宋体" w:cs="宋体" w:eastAsia="宋体" w:hint="default"/>
          <w:sz w:val="13"/>
          <w:szCs w:val="13"/>
        </w:rPr>
      </w:pPr>
    </w:p>
    <w:p>
      <w:pPr>
        <w:pStyle w:val="BodyText"/>
        <w:spacing w:line="240" w:lineRule="auto"/>
        <w:ind w:left="510" w:right="0"/>
        <w:jc w:val="left"/>
      </w:pPr>
      <w:r>
        <w:rPr/>
        <w:t>图表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2015-2019</w:t>
      </w:r>
      <w:r>
        <w:rPr/>
        <w:t>中国白酒产量</w:t>
      </w:r>
    </w:p>
    <w:p>
      <w:pPr>
        <w:spacing w:line="240" w:lineRule="auto" w:before="10"/>
        <w:rPr>
          <w:rFonts w:ascii="宋体" w:hAnsi="宋体" w:cs="宋体" w:eastAsia="宋体" w:hint="default"/>
          <w:sz w:val="8"/>
          <w:szCs w:val="8"/>
        </w:rPr>
      </w:pPr>
    </w:p>
    <w:p>
      <w:pPr>
        <w:spacing w:line="4329" w:lineRule="exact"/>
        <w:ind w:left="15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6059423" cy="2749296"/>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2" cstate="print"/>
                    <a:stretch>
                      <a:fillRect/>
                    </a:stretch>
                  </pic:blipFill>
                  <pic:spPr>
                    <a:xfrm>
                      <a:off x="0" y="0"/>
                      <a:ext cx="6059423" cy="2749296"/>
                    </a:xfrm>
                    <a:prstGeom prst="rect">
                      <a:avLst/>
                    </a:prstGeom>
                  </pic:spPr>
                </pic:pic>
              </a:graphicData>
            </a:graphic>
          </wp:inline>
        </w:drawing>
      </w:r>
      <w:r>
        <w:rPr>
          <w:rFonts w:ascii="宋体" w:hAnsi="宋体" w:cs="宋体" w:eastAsia="宋体" w:hint="default"/>
          <w:position w:val="-86"/>
          <w:sz w:val="20"/>
          <w:szCs w:val="20"/>
        </w:rPr>
      </w:r>
    </w:p>
    <w:p>
      <w:pPr>
        <w:pStyle w:val="BodyText"/>
        <w:spacing w:line="300" w:lineRule="auto" w:before="66"/>
        <w:ind w:right="1130" w:firstLine="360"/>
        <w:jc w:val="both"/>
      </w:pPr>
      <w:r>
        <w:rPr>
          <w:spacing w:val="-2"/>
        </w:rPr>
        <w:t>虽然全国白酒产量近年来有所下滑，但领先的白酒企业近年来发展较好。</w:t>
      </w:r>
      <w:r>
        <w:rPr>
          <w:rFonts w:ascii="Times New Roman" w:hAnsi="Times New Roman" w:cs="Times New Roman" w:eastAsia="Times New Roman" w:hint="default"/>
          <w:spacing w:val="-2"/>
        </w:rPr>
        <w:t>2018</w:t>
      </w:r>
      <w:r>
        <w:rPr>
          <w:spacing w:val="-2"/>
        </w:rPr>
        <w:t>年全国规模以上白酒企业完成酿酒总产量</w:t>
      </w:r>
      <w:r>
        <w:rPr/>
        <w:t> </w:t>
      </w:r>
      <w:r>
        <w:rPr>
          <w:rFonts w:ascii="Times New Roman" w:hAnsi="Times New Roman" w:cs="Times New Roman" w:eastAsia="Times New Roman" w:hint="default"/>
        </w:rPr>
        <w:t>871.2</w:t>
      </w:r>
      <w:r>
        <w:rPr/>
        <w:t>万千升，同比增长</w:t>
      </w:r>
      <w:r>
        <w:rPr>
          <w:rFonts w:ascii="Times New Roman" w:hAnsi="Times New Roman" w:cs="Times New Roman" w:eastAsia="Times New Roman" w:hint="default"/>
        </w:rPr>
        <w:t>3.14%</w:t>
      </w:r>
      <w:r>
        <w:rPr/>
        <w:t>。累计完成销售额收入</w:t>
      </w:r>
      <w:r>
        <w:rPr>
          <w:rFonts w:ascii="Times New Roman" w:hAnsi="Times New Roman" w:cs="Times New Roman" w:eastAsia="Times New Roman" w:hint="default"/>
        </w:rPr>
        <w:t>5,363.83</w:t>
      </w:r>
      <w:r>
        <w:rPr/>
        <w:t>亿元，同比增长</w:t>
      </w:r>
      <w:r>
        <w:rPr>
          <w:rFonts w:ascii="Times New Roman" w:hAnsi="Times New Roman" w:cs="Times New Roman" w:eastAsia="Times New Roman" w:hint="default"/>
        </w:rPr>
        <w:t>12.88%</w:t>
      </w:r>
      <w:r>
        <w:rPr/>
        <w:t>。累计实现利润总额</w:t>
      </w:r>
      <w:r>
        <w:rPr>
          <w:rFonts w:ascii="Times New Roman" w:hAnsi="Times New Roman" w:cs="Times New Roman" w:eastAsia="Times New Roman" w:hint="default"/>
        </w:rPr>
        <w:t>1250.5</w:t>
      </w:r>
      <w:r>
        <w:rPr/>
        <w:t>亿元，同比</w:t>
      </w:r>
      <w:r>
        <w:rPr>
          <w:spacing w:val="-50"/>
        </w:rPr>
        <w:t> </w:t>
      </w:r>
      <w:r>
        <w:rPr>
          <w:spacing w:val="-50"/>
        </w:rPr>
      </w:r>
      <w:r>
        <w:rPr/>
        <w:t>增长</w:t>
      </w:r>
      <w:r>
        <w:rPr>
          <w:rFonts w:ascii="Times New Roman" w:hAnsi="Times New Roman" w:cs="Times New Roman" w:eastAsia="Times New Roman" w:hint="default"/>
        </w:rPr>
        <w:t>29.98%</w:t>
      </w:r>
      <w:r>
        <w:rPr/>
        <w:t>。</w:t>
      </w:r>
    </w:p>
    <w:p>
      <w:pPr>
        <w:spacing w:line="240" w:lineRule="auto" w:before="12"/>
        <w:rPr>
          <w:rFonts w:ascii="宋体" w:hAnsi="宋体" w:cs="宋体" w:eastAsia="宋体" w:hint="default"/>
          <w:sz w:val="12"/>
          <w:szCs w:val="12"/>
        </w:rPr>
      </w:pPr>
    </w:p>
    <w:p>
      <w:pPr>
        <w:pStyle w:val="BodyText"/>
        <w:spacing w:line="240" w:lineRule="auto"/>
        <w:ind w:left="512" w:right="0"/>
        <w:jc w:val="left"/>
      </w:pPr>
      <w:r>
        <w:rPr/>
        <w:t>公司主要为多家知名白酒企业提供包装服务</w:t>
      </w:r>
      <w:r>
        <w:rPr>
          <w:spacing w:val="-87"/>
        </w:rPr>
        <w:t>，</w:t>
      </w:r>
      <w:r>
        <w:rPr/>
        <w:t>随着这些客户收入的持续增长</w:t>
      </w:r>
      <w:r>
        <w:rPr>
          <w:spacing w:val="-87"/>
        </w:rPr>
        <w:t>，</w:t>
      </w:r>
      <w:r>
        <w:rPr/>
        <w:t>为公司业务的持续增长奠定了良好的基础。</w:t>
      </w:r>
    </w:p>
    <w:p>
      <w:pPr>
        <w:pStyle w:val="BodyText"/>
        <w:spacing w:line="470" w:lineRule="atLeast" w:before="11"/>
        <w:ind w:left="512" w:right="0"/>
        <w:jc w:val="left"/>
      </w:pPr>
      <w:r>
        <w:rPr/>
        <w:t>（</w:t>
      </w:r>
      <w:r>
        <w:rPr>
          <w:rFonts w:ascii="Times New Roman" w:hAnsi="Times New Roman" w:cs="Times New Roman" w:eastAsia="Times New Roman" w:hint="default"/>
        </w:rPr>
        <w:t>3</w:t>
      </w:r>
      <w:r>
        <w:rPr/>
        <w:t>）稳健增长的家具家居、家用电器行业 </w:t>
      </w:r>
      <w:r>
        <w:rPr>
          <w:spacing w:val="-2"/>
        </w:rPr>
        <w:t>根据国家统计局数据，中国家具行业主营业务收入从</w:t>
      </w:r>
      <w:r>
        <w:rPr>
          <w:rFonts w:ascii="Times New Roman" w:hAnsi="Times New Roman" w:cs="Times New Roman" w:eastAsia="Times New Roman" w:hint="default"/>
          <w:spacing w:val="-2"/>
        </w:rPr>
        <w:t>2011</w:t>
      </w:r>
      <w:r>
        <w:rPr>
          <w:spacing w:val="-2"/>
        </w:rPr>
        <w:t>年的</w:t>
      </w:r>
      <w:r>
        <w:rPr>
          <w:rFonts w:ascii="Times New Roman" w:hAnsi="Times New Roman" w:cs="Times New Roman" w:eastAsia="Times New Roman" w:hint="default"/>
          <w:spacing w:val="-2"/>
        </w:rPr>
        <w:t>4,946.76</w:t>
      </w:r>
      <w:r>
        <w:rPr>
          <w:spacing w:val="-2"/>
        </w:rPr>
        <w:t>亿元增长至</w:t>
      </w:r>
      <w:r>
        <w:rPr>
          <w:rFonts w:ascii="Times New Roman" w:hAnsi="Times New Roman" w:cs="Times New Roman" w:eastAsia="Times New Roman" w:hint="default"/>
          <w:spacing w:val="-2"/>
        </w:rPr>
        <w:t>2017</w:t>
      </w:r>
      <w:r>
        <w:rPr>
          <w:spacing w:val="-2"/>
        </w:rPr>
        <w:t>年的</w:t>
      </w:r>
      <w:r>
        <w:rPr>
          <w:rFonts w:ascii="Times New Roman" w:hAnsi="Times New Roman" w:cs="Times New Roman" w:eastAsia="Times New Roman" w:hint="default"/>
          <w:spacing w:val="-2"/>
        </w:rPr>
        <w:t>8,787.88</w:t>
      </w:r>
      <w:r>
        <w:rPr>
          <w:spacing w:val="-2"/>
        </w:rPr>
        <w:t>亿元，年均复合增长</w:t>
      </w:r>
    </w:p>
    <w:p>
      <w:pPr>
        <w:pStyle w:val="BodyText"/>
        <w:spacing w:line="309" w:lineRule="auto" w:before="63"/>
        <w:ind w:right="0"/>
        <w:jc w:val="left"/>
      </w:pPr>
      <w:r>
        <w:rPr/>
        <w:t>率达</w:t>
      </w:r>
      <w:r>
        <w:rPr>
          <w:rFonts w:ascii="Times New Roman" w:hAnsi="Times New Roman" w:cs="Times New Roman" w:eastAsia="Times New Roman" w:hint="default"/>
        </w:rPr>
        <w:t>10.05%</w:t>
      </w:r>
      <w:r>
        <w:rPr/>
        <w:t>。中国家具协会制定的《中国家具制造行业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发展规划》指出，</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期间，家具行业要主动适应经济 </w:t>
      </w:r>
      <w:r>
        <w:rPr>
          <w:spacing w:val="-4"/>
        </w:rPr>
        <w:t>新常态，加快转变发展方式，保持行业稳定发展，加强家具产业集群建设工作，推动现有产业聚集区向产业集群的转型升级，</w:t>
      </w:r>
      <w:r>
        <w:rPr>
          <w:spacing w:val="-46"/>
        </w:rPr>
        <w:t> </w:t>
      </w:r>
      <w:r>
        <w:rPr>
          <w:spacing w:val="-46"/>
        </w:rPr>
      </w:r>
      <w:r>
        <w:rPr/>
        <w:t>进一步促进家具产业集群在数量和质量上的提升。</w:t>
      </w:r>
    </w:p>
    <w:p>
      <w:pPr>
        <w:spacing w:line="240" w:lineRule="auto" w:before="10"/>
        <w:rPr>
          <w:rFonts w:ascii="宋体" w:hAnsi="宋体" w:cs="宋体" w:eastAsia="宋体" w:hint="default"/>
          <w:sz w:val="13"/>
          <w:szCs w:val="13"/>
        </w:rPr>
      </w:pPr>
    </w:p>
    <w:p>
      <w:pPr>
        <w:pStyle w:val="BodyText"/>
        <w:spacing w:line="300" w:lineRule="auto"/>
        <w:ind w:right="1130" w:firstLine="360"/>
        <w:jc w:val="both"/>
      </w:pPr>
      <w:r>
        <w:rPr>
          <w:spacing w:val="-1"/>
        </w:rPr>
        <w:t>根据中国家电协会数据，</w:t>
      </w:r>
      <w:r>
        <w:rPr>
          <w:rFonts w:ascii="Times New Roman" w:hAnsi="Times New Roman" w:cs="Times New Roman" w:eastAsia="Times New Roman" w:hint="default"/>
          <w:spacing w:val="-1"/>
        </w:rPr>
        <w:t>2018</w:t>
      </w:r>
      <w:r>
        <w:rPr>
          <w:spacing w:val="-1"/>
        </w:rPr>
        <w:t>年中国家电市场零售规模为</w:t>
      </w:r>
      <w:r>
        <w:rPr>
          <w:rFonts w:ascii="Times New Roman" w:hAnsi="Times New Roman" w:cs="Times New Roman" w:eastAsia="Times New Roman" w:hint="default"/>
          <w:spacing w:val="-1"/>
        </w:rPr>
        <w:t>8,204</w:t>
      </w:r>
      <w:r>
        <w:rPr>
          <w:spacing w:val="-1"/>
        </w:rPr>
        <w:t>亿元，同比增长了</w:t>
      </w:r>
      <w:r>
        <w:rPr>
          <w:rFonts w:ascii="Times New Roman" w:hAnsi="Times New Roman" w:cs="Times New Roman" w:eastAsia="Times New Roman" w:hint="default"/>
          <w:spacing w:val="-1"/>
        </w:rPr>
        <w:t>1%</w:t>
      </w:r>
      <w:r>
        <w:rPr>
          <w:spacing w:val="-1"/>
        </w:rPr>
        <w:t>，其中空调销售规模</w:t>
      </w:r>
      <w:r>
        <w:rPr>
          <w:rFonts w:ascii="Times New Roman" w:hAnsi="Times New Roman" w:cs="Times New Roman" w:eastAsia="Times New Roman" w:hint="default"/>
          <w:spacing w:val="-1"/>
        </w:rPr>
        <w:t>1,980</w:t>
      </w:r>
      <w:r>
        <w:rPr>
          <w:spacing w:val="-1"/>
        </w:rPr>
        <w:t>亿元，增</w:t>
      </w:r>
      <w:r>
        <w:rPr/>
        <w:t> 速</w:t>
      </w:r>
      <w:r>
        <w:rPr>
          <w:rFonts w:ascii="Times New Roman" w:hAnsi="Times New Roman" w:cs="Times New Roman" w:eastAsia="Times New Roman" w:hint="default"/>
        </w:rPr>
        <w:t>4.5%</w:t>
      </w:r>
      <w:r>
        <w:rPr/>
        <w:t>；洗衣机销售规模</w:t>
      </w:r>
      <w:r>
        <w:rPr>
          <w:rFonts w:ascii="Times New Roman" w:hAnsi="Times New Roman" w:cs="Times New Roman" w:eastAsia="Times New Roman" w:hint="default"/>
        </w:rPr>
        <w:t>707</w:t>
      </w:r>
      <w:r>
        <w:rPr/>
        <w:t>亿元，同比增长</w:t>
      </w:r>
      <w:r>
        <w:rPr>
          <w:rFonts w:ascii="Times New Roman" w:hAnsi="Times New Roman" w:cs="Times New Roman" w:eastAsia="Times New Roman" w:hint="default"/>
        </w:rPr>
        <w:t>3.1%</w:t>
      </w:r>
      <w:r>
        <w:rPr/>
        <w:t>；冰箱销售规模</w:t>
      </w:r>
      <w:r>
        <w:rPr>
          <w:rFonts w:ascii="Times New Roman" w:hAnsi="Times New Roman" w:cs="Times New Roman" w:eastAsia="Times New Roman" w:hint="default"/>
        </w:rPr>
        <w:t>969</w:t>
      </w:r>
      <w:r>
        <w:rPr/>
        <w:t>亿元，同比增长</w:t>
      </w:r>
      <w:r>
        <w:rPr>
          <w:rFonts w:ascii="Times New Roman" w:hAnsi="Times New Roman" w:cs="Times New Roman" w:eastAsia="Times New Roman" w:hint="default"/>
        </w:rPr>
        <w:t>3.4%</w:t>
      </w:r>
      <w:r>
        <w:rPr/>
        <w:t>；家电家居行业处于较为稳定的</w:t>
      </w:r>
      <w:r>
        <w:rPr>
          <w:spacing w:val="-63"/>
        </w:rPr>
        <w:t> </w:t>
      </w:r>
      <w:r>
        <w:rPr>
          <w:spacing w:val="-63"/>
        </w:rPr>
      </w:r>
      <w:r>
        <w:rPr/>
        <w:t>发展阶段。</w:t>
      </w:r>
    </w:p>
    <w:p>
      <w:pPr>
        <w:spacing w:line="240" w:lineRule="auto" w:before="4"/>
        <w:rPr>
          <w:rFonts w:ascii="宋体" w:hAnsi="宋体" w:cs="宋体" w:eastAsia="宋体" w:hint="default"/>
          <w:sz w:val="14"/>
          <w:szCs w:val="14"/>
        </w:rPr>
      </w:pPr>
    </w:p>
    <w:p>
      <w:pPr>
        <w:pStyle w:val="BodyText"/>
        <w:spacing w:line="309" w:lineRule="auto"/>
        <w:ind w:right="1130" w:firstLine="360"/>
        <w:jc w:val="both"/>
      </w:pPr>
      <w:r>
        <w:rPr>
          <w:spacing w:val="-2"/>
        </w:rPr>
        <w:t>家具家居、家用电器行业对瓦楞包装、彩盒具有较大的需求，如各类家具、空调、电视、冰箱、洗衣机等。国内家具家</w:t>
      </w:r>
      <w:r>
        <w:rPr/>
        <w:t> 居、家用电器行业发展稳健，对纸包装的需求持续稳定，未来随着</w:t>
      </w:r>
      <w:r>
        <w:rPr>
          <w:rFonts w:ascii="Times New Roman" w:hAnsi="Times New Roman" w:cs="Times New Roman" w:eastAsia="Times New Roman" w:hint="default"/>
        </w:rPr>
        <w:t>5G</w:t>
      </w:r>
      <w:r>
        <w:rPr/>
        <w:t>的全面推广，智能家居有望带来消费增量，促进纸包</w:t>
      </w:r>
      <w:r>
        <w:rPr>
          <w:spacing w:val="-51"/>
        </w:rPr>
        <w:t> </w:t>
      </w:r>
      <w:r>
        <w:rPr>
          <w:spacing w:val="-51"/>
        </w:rPr>
      </w:r>
      <w:r>
        <w:rPr/>
        <w:t>装产业的发展。</w:t>
      </w:r>
    </w:p>
    <w:p>
      <w:pPr>
        <w:spacing w:after="0" w:line="309"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10" w:right="0"/>
        <w:jc w:val="left"/>
      </w:pPr>
      <w:r>
        <w:rPr/>
        <w:t>图表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2015-2019</w:t>
      </w:r>
      <w:r>
        <w:rPr/>
        <w:t>中国空调销量</w:t>
      </w:r>
    </w:p>
    <w:p>
      <w:pPr>
        <w:spacing w:line="240" w:lineRule="auto" w:before="10"/>
        <w:rPr>
          <w:rFonts w:ascii="宋体" w:hAnsi="宋体" w:cs="宋体" w:eastAsia="宋体" w:hint="default"/>
          <w:sz w:val="8"/>
          <w:szCs w:val="8"/>
        </w:rPr>
      </w:pPr>
    </w:p>
    <w:p>
      <w:pPr>
        <w:spacing w:line="4329" w:lineRule="exact"/>
        <w:ind w:left="15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6059423" cy="2749296"/>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6059423" cy="2749296"/>
                    </a:xfrm>
                    <a:prstGeom prst="rect">
                      <a:avLst/>
                    </a:prstGeom>
                  </pic:spPr>
                </pic:pic>
              </a:graphicData>
            </a:graphic>
          </wp:inline>
        </w:drawing>
      </w:r>
      <w:r>
        <w:rPr>
          <w:rFonts w:ascii="宋体" w:hAnsi="宋体" w:cs="宋体" w:eastAsia="宋体" w:hint="default"/>
          <w:position w:val="-86"/>
          <w:sz w:val="20"/>
          <w:szCs w:val="20"/>
        </w:rPr>
      </w:r>
    </w:p>
    <w:p>
      <w:pPr>
        <w:pStyle w:val="BodyText"/>
        <w:spacing w:line="240" w:lineRule="auto" w:before="66"/>
        <w:ind w:left="510" w:right="0"/>
        <w:jc w:val="left"/>
      </w:pPr>
      <w:r>
        <w:rPr/>
        <w:t>图表</w:t>
      </w:r>
      <w:r>
        <w:rPr>
          <w:rFonts w:ascii="Times New Roman" w:hAnsi="Times New Roman" w:cs="Times New Roman" w:eastAsia="Times New Roman" w:hint="default"/>
        </w:rPr>
        <w:t>8:2015-2019</w:t>
      </w:r>
      <w:r>
        <w:rPr/>
        <w:t>中国彩色电视机销量</w:t>
      </w:r>
    </w:p>
    <w:p>
      <w:pPr>
        <w:spacing w:line="240" w:lineRule="auto" w:before="10"/>
        <w:rPr>
          <w:rFonts w:ascii="宋体" w:hAnsi="宋体" w:cs="宋体" w:eastAsia="宋体" w:hint="default"/>
          <w:sz w:val="8"/>
          <w:szCs w:val="8"/>
        </w:rPr>
      </w:pPr>
    </w:p>
    <w:p>
      <w:pPr>
        <w:spacing w:line="4329" w:lineRule="exact"/>
        <w:ind w:left="15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6105144" cy="2749296"/>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4" cstate="print"/>
                    <a:stretch>
                      <a:fillRect/>
                    </a:stretch>
                  </pic:blipFill>
                  <pic:spPr>
                    <a:xfrm>
                      <a:off x="0" y="0"/>
                      <a:ext cx="6105144" cy="2749296"/>
                    </a:xfrm>
                    <a:prstGeom prst="rect">
                      <a:avLst/>
                    </a:prstGeom>
                  </pic:spPr>
                </pic:pic>
              </a:graphicData>
            </a:graphic>
          </wp:inline>
        </w:drawing>
      </w:r>
      <w:r>
        <w:rPr>
          <w:rFonts w:ascii="宋体" w:hAnsi="宋体" w:cs="宋体" w:eastAsia="宋体" w:hint="default"/>
          <w:position w:val="-86"/>
          <w:sz w:val="20"/>
          <w:szCs w:val="20"/>
        </w:rPr>
      </w:r>
    </w:p>
    <w:p>
      <w:pPr>
        <w:pStyle w:val="BodyText"/>
        <w:spacing w:line="240" w:lineRule="auto" w:before="68"/>
        <w:ind w:left="510" w:right="0"/>
        <w:jc w:val="left"/>
      </w:pPr>
      <w:r>
        <w:rPr/>
        <w:t>图表</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2015-2019</w:t>
      </w:r>
      <w:r>
        <w:rPr/>
        <w:t>中国冰箱销量</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26" w:lineRule="exact"/>
        <w:ind w:left="152"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6015473" cy="2620422"/>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5" cstate="print"/>
                    <a:stretch>
                      <a:fillRect/>
                    </a:stretch>
                  </pic:blipFill>
                  <pic:spPr>
                    <a:xfrm>
                      <a:off x="0" y="0"/>
                      <a:ext cx="6015473" cy="2620422"/>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4"/>
        <w:rPr>
          <w:rFonts w:ascii="宋体" w:hAnsi="宋体" w:cs="宋体" w:eastAsia="宋体" w:hint="default"/>
          <w:sz w:val="11"/>
          <w:szCs w:val="11"/>
        </w:rPr>
      </w:pPr>
    </w:p>
    <w:p>
      <w:pPr>
        <w:pStyle w:val="BodyText"/>
        <w:spacing w:line="240" w:lineRule="auto" w:before="37"/>
        <w:ind w:left="510" w:right="0"/>
        <w:jc w:val="left"/>
      </w:pPr>
      <w:r>
        <w:rPr/>
        <w:t>图表</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2015-2019</w:t>
      </w:r>
      <w:r>
        <w:rPr/>
        <w:t>中国洗衣机销量</w:t>
      </w:r>
    </w:p>
    <w:p>
      <w:pPr>
        <w:spacing w:line="240" w:lineRule="auto" w:before="8"/>
        <w:rPr>
          <w:rFonts w:ascii="宋体" w:hAnsi="宋体" w:cs="宋体" w:eastAsia="宋体" w:hint="default"/>
          <w:sz w:val="16"/>
          <w:szCs w:val="16"/>
        </w:rPr>
      </w:pPr>
    </w:p>
    <w:p>
      <w:pPr>
        <w:spacing w:line="3788" w:lineRule="exact"/>
        <w:ind w:left="152"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6023174" cy="2405633"/>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6" cstate="print"/>
                    <a:stretch>
                      <a:fillRect/>
                    </a:stretch>
                  </pic:blipFill>
                  <pic:spPr>
                    <a:xfrm>
                      <a:off x="0" y="0"/>
                      <a:ext cx="6023174" cy="2405633"/>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9"/>
        <w:rPr>
          <w:rFonts w:ascii="宋体" w:hAnsi="宋体" w:cs="宋体" w:eastAsia="宋体" w:hint="default"/>
          <w:sz w:val="14"/>
          <w:szCs w:val="14"/>
        </w:rPr>
      </w:pPr>
    </w:p>
    <w:p>
      <w:pPr>
        <w:pStyle w:val="BodyText"/>
        <w:spacing w:line="300" w:lineRule="auto"/>
        <w:ind w:right="1039"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-2018</w:t>
      </w:r>
      <w:r>
        <w:rPr>
          <w:spacing w:val="-3"/>
        </w:rPr>
        <w:t>年，美的、海尔、长虹、海信等重点家用电器客户营业收入从</w:t>
      </w:r>
      <w:r>
        <w:rPr>
          <w:rFonts w:ascii="Times New Roman" w:hAnsi="Times New Roman" w:cs="Times New Roman" w:eastAsia="Times New Roman" w:hint="default"/>
          <w:spacing w:val="-3"/>
        </w:rPr>
        <w:t>2399</w:t>
      </w:r>
      <w:r>
        <w:rPr>
          <w:spacing w:val="-3"/>
        </w:rPr>
        <w:t>亿元增长到</w:t>
      </w:r>
      <w:r>
        <w:rPr>
          <w:rFonts w:ascii="Times New Roman" w:hAnsi="Times New Roman" w:cs="Times New Roman" w:eastAsia="Times New Roman" w:hint="default"/>
          <w:spacing w:val="-3"/>
        </w:rPr>
        <w:t>4062</w:t>
      </w:r>
      <w:r>
        <w:rPr>
          <w:spacing w:val="-3"/>
        </w:rPr>
        <w:t>亿元，复合增长达</w:t>
      </w:r>
      <w:r>
        <w:rPr>
          <w:rFonts w:ascii="Times New Roman" w:hAnsi="Times New Roman" w:cs="Times New Roman" w:eastAsia="Times New Roman" w:hint="default"/>
          <w:spacing w:val="-3"/>
        </w:rPr>
        <w:t>19.2%</w:t>
      </w:r>
      <w:r>
        <w:rPr>
          <w:spacing w:val="-3"/>
        </w:rPr>
        <w:t>，</w:t>
      </w:r>
      <w:r>
        <w:rPr/>
        <w:t> 特别是</w:t>
      </w:r>
      <w:r>
        <w:rPr>
          <w:rFonts w:ascii="Times New Roman" w:hAnsi="Times New Roman" w:cs="Times New Roman" w:eastAsia="Times New Roman" w:hint="default"/>
        </w:rPr>
        <w:t>2016-2018</w:t>
      </w:r>
      <w:r>
        <w:rPr/>
        <w:t>年，复合增长达到</w:t>
      </w:r>
      <w:r>
        <w:rPr>
          <w:rFonts w:ascii="Times New Roman" w:hAnsi="Times New Roman" w:cs="Times New Roman" w:eastAsia="Times New Roman" w:hint="default"/>
        </w:rPr>
        <w:t>23.30%</w:t>
      </w:r>
      <w:r>
        <w:rPr/>
        <w:t>。公司重点客户收入的快速增长，为公司带来了持续增加的包装需求机会。</w:t>
      </w:r>
    </w:p>
    <w:p>
      <w:pPr>
        <w:spacing w:line="240" w:lineRule="auto" w:before="12"/>
        <w:rPr>
          <w:rFonts w:ascii="宋体" w:hAnsi="宋体" w:cs="宋体" w:eastAsia="宋体" w:hint="default"/>
          <w:sz w:val="12"/>
          <w:szCs w:val="12"/>
        </w:rPr>
      </w:pPr>
    </w:p>
    <w:p>
      <w:pPr>
        <w:pStyle w:val="BodyText"/>
        <w:spacing w:line="240" w:lineRule="auto"/>
        <w:ind w:left="512" w:right="0"/>
        <w:jc w:val="left"/>
      </w:pPr>
      <w:r>
        <w:rPr/>
        <w:t>家具家居客户对纸包装产品需求量非常大。</w:t>
      </w:r>
      <w:r>
        <w:rPr>
          <w:rFonts w:ascii="Times New Roman" w:hAnsi="Times New Roman" w:cs="Times New Roman" w:eastAsia="Times New Roman" w:hint="default"/>
        </w:rPr>
        <w:t>2018</w:t>
      </w:r>
      <w:r>
        <w:rPr/>
        <w:t>年，公司家具家居前</w:t>
      </w:r>
      <w:r>
        <w:rPr>
          <w:rFonts w:ascii="Times New Roman" w:hAnsi="Times New Roman" w:cs="Times New Roman" w:eastAsia="Times New Roman" w:hint="default"/>
        </w:rPr>
        <w:t>2</w:t>
      </w:r>
      <w:r>
        <w:rPr/>
        <w:t>名客户</w:t>
      </w:r>
      <w:r>
        <w:rPr>
          <w:rFonts w:ascii="Times New Roman" w:hAnsi="Times New Roman" w:cs="Times New Roman" w:eastAsia="Times New Roman" w:hint="default"/>
        </w:rPr>
        <w:t>IKEA</w:t>
      </w:r>
      <w:r>
        <w:rPr/>
        <w:t>、</w:t>
      </w:r>
      <w:r>
        <w:rPr>
          <w:rFonts w:ascii="Times New Roman" w:hAnsi="Times New Roman" w:cs="Times New Roman" w:eastAsia="Times New Roman" w:hint="default"/>
        </w:rPr>
        <w:t>HomeDepot</w:t>
      </w:r>
      <w:r>
        <w:rPr/>
        <w:t>收入规模达</w:t>
      </w:r>
      <w:r>
        <w:rPr>
          <w:rFonts w:ascii="Times New Roman" w:hAnsi="Times New Roman" w:cs="Times New Roman" w:eastAsia="Times New Roman" w:hint="default"/>
        </w:rPr>
        <w:t>1531</w:t>
      </w:r>
      <w:r>
        <w:rPr/>
        <w:t>亿美元</w:t>
      </w:r>
    </w:p>
    <w:p>
      <w:pPr>
        <w:pStyle w:val="BodyText"/>
        <w:spacing w:line="240" w:lineRule="auto" w:before="63"/>
        <w:ind w:right="0"/>
        <w:jc w:val="left"/>
      </w:pPr>
      <w:r>
        <w:rPr>
          <w:spacing w:val="-3"/>
        </w:rPr>
        <w:t>（约合</w:t>
      </w:r>
      <w:r>
        <w:rPr>
          <w:rFonts w:ascii="Times New Roman" w:hAnsi="Times New Roman" w:cs="Times New Roman" w:eastAsia="Times New Roman" w:hint="default"/>
          <w:spacing w:val="-3"/>
        </w:rPr>
        <w:t>1.16</w:t>
      </w:r>
      <w:r>
        <w:rPr>
          <w:spacing w:val="-3"/>
        </w:rPr>
        <w:t>万亿人民币），较</w:t>
      </w:r>
      <w:r>
        <w:rPr>
          <w:rFonts w:ascii="Times New Roman" w:hAnsi="Times New Roman" w:cs="Times New Roman" w:eastAsia="Times New Roman" w:hint="default"/>
          <w:spacing w:val="-3"/>
        </w:rPr>
        <w:t>2017</w:t>
      </w:r>
      <w:r>
        <w:rPr>
          <w:spacing w:val="-3"/>
        </w:rPr>
        <w:t>年增长</w:t>
      </w:r>
      <w:r>
        <w:rPr>
          <w:rFonts w:ascii="Times New Roman" w:hAnsi="Times New Roman" w:cs="Times New Roman" w:eastAsia="Times New Roman" w:hint="default"/>
          <w:spacing w:val="-3"/>
        </w:rPr>
        <w:t>9.07%</w:t>
      </w:r>
      <w:r>
        <w:rPr>
          <w:spacing w:val="-3"/>
        </w:rPr>
        <w:t>。公司家具家居前</w:t>
      </w:r>
      <w:r>
        <w:rPr>
          <w:rFonts w:ascii="Times New Roman" w:hAnsi="Times New Roman" w:cs="Times New Roman" w:eastAsia="Times New Roman" w:hint="default"/>
          <w:spacing w:val="-3"/>
        </w:rPr>
        <w:t>2</w:t>
      </w:r>
      <w:r>
        <w:rPr>
          <w:spacing w:val="-3"/>
        </w:rPr>
        <w:t>名客户目前已有万亿级销售规模，且处于持续增长的阶段，</w:t>
      </w:r>
    </w:p>
    <w:p>
      <w:pPr>
        <w:pStyle w:val="BodyText"/>
        <w:spacing w:line="240" w:lineRule="auto" w:before="63"/>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-2018</w:t>
      </w:r>
      <w:r>
        <w:rPr/>
        <w:t>年，前述客户收入复合增长率为</w:t>
      </w:r>
      <w:r>
        <w:rPr>
          <w:rFonts w:ascii="Times New Roman" w:hAnsi="Times New Roman" w:cs="Times New Roman" w:eastAsia="Times New Roman" w:hint="default"/>
        </w:rPr>
        <w:t>7.41%</w:t>
      </w:r>
      <w:r>
        <w:rPr/>
        <w:t>。公司已为前述2家企业提供配套包装服务，合作关系不断深化。</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t>（</w:t>
      </w:r>
      <w:r>
        <w:rPr>
          <w:rFonts w:ascii="Times New Roman" w:hAnsi="Times New Roman" w:cs="Times New Roman" w:eastAsia="Times New Roman" w:hint="default"/>
        </w:rPr>
        <w:t>4</w:t>
      </w:r>
      <w:r>
        <w:rPr/>
        <w:t>）快速增长的新能源汽车行业</w:t>
      </w:r>
    </w:p>
    <w:p>
      <w:pPr>
        <w:spacing w:line="240" w:lineRule="auto" w:before="9"/>
        <w:rPr>
          <w:rFonts w:ascii="宋体" w:hAnsi="宋体" w:cs="宋体" w:eastAsia="宋体" w:hint="default"/>
          <w:sz w:val="16"/>
          <w:szCs w:val="16"/>
        </w:rPr>
      </w:pPr>
    </w:p>
    <w:p>
      <w:pPr>
        <w:pStyle w:val="BodyText"/>
        <w:spacing w:line="300" w:lineRule="auto"/>
        <w:ind w:right="1130"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月，工信部发布《新能源汽车产业发展规划（</w:t>
      </w:r>
      <w:r>
        <w:rPr>
          <w:rFonts w:ascii="Times New Roman" w:hAnsi="Times New Roman" w:cs="Times New Roman" w:eastAsia="Times New Roman" w:hint="default"/>
          <w:spacing w:val="-1"/>
        </w:rPr>
        <w:t>2021-2035</w:t>
      </w:r>
      <w:r>
        <w:rPr>
          <w:spacing w:val="-1"/>
        </w:rPr>
        <w:t>）》征求意见稿，意见稿明确到</w:t>
      </w:r>
      <w:r>
        <w:rPr>
          <w:rFonts w:ascii="Times New Roman" w:hAnsi="Times New Roman" w:cs="Times New Roman" w:eastAsia="Times New Roman" w:hint="default"/>
          <w:spacing w:val="-1"/>
        </w:rPr>
        <w:t>2025</w:t>
      </w:r>
      <w:r>
        <w:rPr>
          <w:spacing w:val="-1"/>
        </w:rPr>
        <w:t>年，新能源汽车</w:t>
      </w:r>
      <w:r>
        <w:rPr/>
        <w:t> 新车销量占比达</w:t>
      </w:r>
      <w:r>
        <w:rPr>
          <w:rFonts w:ascii="Times New Roman" w:hAnsi="Times New Roman" w:cs="Times New Roman" w:eastAsia="Times New Roman" w:hint="default"/>
        </w:rPr>
        <w:t>25%</w:t>
      </w:r>
      <w:r>
        <w:rPr/>
        <w:t>左右。</w:t>
      </w:r>
      <w:r>
        <w:rPr>
          <w:rFonts w:ascii="Times New Roman" w:hAnsi="Times New Roman" w:cs="Times New Roman" w:eastAsia="Times New Roman" w:hint="default"/>
        </w:rPr>
        <w:t>2019</w:t>
      </w:r>
      <w:r>
        <w:rPr/>
        <w:t>年，新能源汽车渗透率为</w:t>
      </w:r>
      <w:r>
        <w:rPr>
          <w:rFonts w:ascii="Times New Roman" w:hAnsi="Times New Roman" w:cs="Times New Roman" w:eastAsia="Times New Roman" w:hint="default"/>
        </w:rPr>
        <w:t>4.68%</w:t>
      </w:r>
      <w:r>
        <w:rPr/>
        <w:t>。假设国内汽车销量保持稳定，则到</w:t>
      </w:r>
      <w:r>
        <w:rPr>
          <w:rFonts w:ascii="Times New Roman" w:hAnsi="Times New Roman" w:cs="Times New Roman" w:eastAsia="Times New Roman" w:hint="default"/>
        </w:rPr>
        <w:t>2025</w:t>
      </w:r>
      <w:r>
        <w:rPr/>
        <w:t>年，我国新能源汽</w:t>
      </w:r>
      <w:r>
        <w:rPr>
          <w:spacing w:val="-84"/>
        </w:rPr>
        <w:t> </w:t>
      </w:r>
      <w:r>
        <w:rPr/>
        <w:t>车销量将达到</w:t>
      </w:r>
      <w:r>
        <w:rPr>
          <w:rFonts w:ascii="Times New Roman" w:hAnsi="Times New Roman" w:cs="Times New Roman" w:eastAsia="Times New Roman" w:hint="default"/>
        </w:rPr>
        <w:t>643.86</w:t>
      </w:r>
      <w:r>
        <w:rPr/>
        <w:t>万辆，年复合增长率为</w:t>
      </w:r>
      <w:r>
        <w:rPr>
          <w:rFonts w:ascii="Times New Roman" w:hAnsi="Times New Roman" w:cs="Times New Roman" w:eastAsia="Times New Roman" w:hint="default"/>
        </w:rPr>
        <w:t>32.2%</w:t>
      </w:r>
      <w:r>
        <w:rPr/>
        <w:t>。</w:t>
      </w:r>
    </w:p>
    <w:p>
      <w:pPr>
        <w:pStyle w:val="BodyText"/>
        <w:spacing w:line="357" w:lineRule="auto" w:before="53"/>
        <w:ind w:left="510" w:right="3511" w:firstLine="62"/>
        <w:jc w:val="left"/>
      </w:pPr>
      <w:r>
        <w:rPr/>
        <w:t>新能源汽车产业发展已进入高速发展期，必然带动相关产业链企业进入景气发展周期。 图表</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2015-2019</w:t>
      </w:r>
      <w:r>
        <w:rPr/>
        <w:t>中国汽车销量及新能源汽车销量占汽车销量情况</w:t>
      </w:r>
    </w:p>
    <w:p>
      <w:pPr>
        <w:spacing w:after="0" w:line="357"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4437" w:lineRule="exact"/>
        <w:ind w:left="152"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6042265" cy="2817495"/>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8" cstate="print"/>
                    <a:stretch>
                      <a:fillRect/>
                    </a:stretch>
                  </pic:blipFill>
                  <pic:spPr>
                    <a:xfrm>
                      <a:off x="0" y="0"/>
                      <a:ext cx="6042265" cy="281749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9"/>
        <w:rPr>
          <w:rFonts w:ascii="宋体" w:hAnsi="宋体" w:cs="宋体" w:eastAsia="宋体" w:hint="default"/>
          <w:sz w:val="10"/>
          <w:szCs w:val="10"/>
        </w:rPr>
      </w:pPr>
    </w:p>
    <w:p>
      <w:pPr>
        <w:pStyle w:val="BodyText"/>
        <w:spacing w:line="240" w:lineRule="auto" w:before="37"/>
        <w:ind w:left="510" w:right="0"/>
        <w:jc w:val="left"/>
      </w:pPr>
      <w:r>
        <w:rPr/>
        <w:t>图表</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2015-2019</w:t>
      </w:r>
      <w:r>
        <w:rPr/>
        <w:t>中国新能源汽车销量</w:t>
      </w:r>
    </w:p>
    <w:p>
      <w:pPr>
        <w:spacing w:line="240" w:lineRule="auto" w:before="11"/>
        <w:rPr>
          <w:rFonts w:ascii="宋体" w:hAnsi="宋体" w:cs="宋体" w:eastAsia="宋体" w:hint="default"/>
          <w:sz w:val="16"/>
          <w:szCs w:val="16"/>
        </w:rPr>
      </w:pPr>
    </w:p>
    <w:p>
      <w:pPr>
        <w:spacing w:line="4118" w:lineRule="exact"/>
        <w:ind w:left="152"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6056375" cy="2615183"/>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9" cstate="print"/>
                    <a:stretch>
                      <a:fillRect/>
                    </a:stretch>
                  </pic:blipFill>
                  <pic:spPr>
                    <a:xfrm>
                      <a:off x="0" y="0"/>
                      <a:ext cx="6056375" cy="2615183"/>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2"/>
        <w:rPr>
          <w:rFonts w:ascii="宋体" w:hAnsi="宋体" w:cs="宋体" w:eastAsia="宋体" w:hint="default"/>
          <w:sz w:val="13"/>
          <w:szCs w:val="13"/>
        </w:rPr>
      </w:pPr>
    </w:p>
    <w:p>
      <w:pPr>
        <w:pStyle w:val="BodyText"/>
        <w:spacing w:line="240" w:lineRule="auto"/>
        <w:ind w:left="512" w:right="0"/>
        <w:jc w:val="left"/>
      </w:pPr>
      <w:r>
        <w:rPr/>
        <w:t>（二）工业大麻产业行业发展趋势及机遇</w:t>
      </w:r>
    </w:p>
    <w:p>
      <w:pPr>
        <w:pStyle w:val="BodyText"/>
        <w:spacing w:line="470" w:lineRule="atLeast" w:before="11"/>
        <w:ind w:left="512" w:right="0"/>
        <w:jc w:val="left"/>
      </w:pPr>
      <w:r>
        <w:rPr>
          <w:rFonts w:ascii="Times New Roman" w:hAnsi="Times New Roman" w:cs="Times New Roman" w:eastAsia="Times New Roman" w:hint="default"/>
        </w:rPr>
        <w:t>1</w:t>
      </w:r>
      <w:r>
        <w:rPr/>
        <w:t>、工业大麻产业市场增长快，未来空间广阔 工业大麻是指四氢大麻酚（</w:t>
      </w:r>
      <w:r>
        <w:rPr>
          <w:rFonts w:ascii="Times New Roman" w:hAnsi="Times New Roman" w:cs="Times New Roman" w:eastAsia="Times New Roman" w:hint="default"/>
        </w:rPr>
        <w:t>THC</w:t>
      </w:r>
      <w:r>
        <w:rPr/>
        <w:t>）含量低于</w:t>
      </w:r>
      <w:r>
        <w:rPr>
          <w:rFonts w:ascii="Times New Roman" w:hAnsi="Times New Roman" w:cs="Times New Roman" w:eastAsia="Times New Roman" w:hint="default"/>
        </w:rPr>
        <w:t>0.3%</w:t>
      </w:r>
      <w:r>
        <w:rPr/>
        <w:t>（干物质重量百分比）的大麻品种，是大麻科大麻属一年生草本植物</w:t>
      </w:r>
    </w:p>
    <w:p>
      <w:pPr>
        <w:pStyle w:val="BodyText"/>
        <w:spacing w:line="240" w:lineRule="auto" w:before="63"/>
        <w:ind w:left="512" w:right="0" w:hanging="360"/>
        <w:jc w:val="left"/>
      </w:pPr>
      <w:r>
        <w:rPr/>
        <w:t>品种，这些工业大麻</w:t>
      </w:r>
      <w:r>
        <w:rPr>
          <w:rFonts w:ascii="Times New Roman" w:hAnsi="Times New Roman" w:cs="Times New Roman" w:eastAsia="Times New Roman" w:hint="default"/>
        </w:rPr>
        <w:t>(THC</w:t>
      </w:r>
      <w:r>
        <w:rPr/>
        <w:t>含量</w:t>
      </w:r>
      <w:r>
        <w:rPr>
          <w:rFonts w:ascii="Times New Roman" w:hAnsi="Times New Roman" w:cs="Times New Roman" w:eastAsia="Times New Roman" w:hint="default"/>
        </w:rPr>
        <w:t>&lt;0.3%)</w:t>
      </w:r>
      <w:r>
        <w:rPr/>
        <w:t>被认为不具备毒品利用价值。目前全球工业大麻的主要消费市场集中在北美和欧洲。</w:t>
      </w:r>
    </w:p>
    <w:p>
      <w:pPr>
        <w:spacing w:line="240" w:lineRule="auto" w:before="9"/>
        <w:rPr>
          <w:rFonts w:ascii="宋体" w:hAnsi="宋体" w:cs="宋体" w:eastAsia="宋体" w:hint="default"/>
          <w:sz w:val="16"/>
          <w:szCs w:val="16"/>
        </w:rPr>
      </w:pPr>
    </w:p>
    <w:p>
      <w:pPr>
        <w:pStyle w:val="BodyText"/>
        <w:spacing w:line="300" w:lineRule="auto"/>
        <w:ind w:right="1133" w:firstLine="360"/>
        <w:jc w:val="both"/>
      </w:pPr>
      <w:r>
        <w:rPr/>
        <w:t>工业大麻萃取物大麻二酚（</w:t>
      </w:r>
      <w:r>
        <w:rPr>
          <w:rFonts w:ascii="Times New Roman" w:hAnsi="Times New Roman" w:cs="Times New Roman" w:eastAsia="Times New Roman" w:hint="default"/>
        </w:rPr>
        <w:t>CBD</w:t>
      </w:r>
      <w:r>
        <w:rPr/>
        <w:t>）具备抗痉挛、抗焦虑、抗炎等药理作用，有较强的医疗</w:t>
      </w:r>
      <w:r>
        <w:rPr>
          <w:rFonts w:ascii="Times New Roman" w:hAnsi="Times New Roman" w:cs="Times New Roman" w:eastAsia="Times New Roman" w:hint="default"/>
        </w:rPr>
        <w:t>/</w:t>
      </w:r>
      <w:r>
        <w:rPr/>
        <w:t>日常使用价值。工业大麻下 </w:t>
      </w:r>
      <w:r>
        <w:rPr>
          <w:spacing w:val="-4"/>
        </w:rPr>
        <w:t>游应用空间广阔，随着提取工艺的不断进步以及产品益处被进一步论证，工业大麻需求方兴未艾。根据 </w:t>
      </w:r>
      <w:r>
        <w:rPr>
          <w:rFonts w:ascii="Times New Roman" w:hAnsi="Times New Roman" w:cs="Times New Roman" w:eastAsia="Times New Roman" w:hint="default"/>
        </w:rPr>
        <w:t>Bright Field Group</w:t>
      </w:r>
      <w:r>
        <w:rPr>
          <w:rFonts w:ascii="Times New Roman" w:hAnsi="Times New Roman" w:cs="Times New Roman" w:eastAsia="Times New Roman" w:hint="default"/>
          <w:spacing w:val="18"/>
        </w:rPr>
        <w:t> </w:t>
      </w:r>
      <w:r>
        <w:rPr/>
        <w:t>预</w:t>
      </w:r>
      <w:r>
        <w:rPr>
          <w:w w:val="99"/>
        </w:rPr>
        <w:t> </w:t>
      </w:r>
      <w:r>
        <w:rPr/>
        <w:t>计，全球大麻二酚（</w:t>
      </w:r>
      <w:r>
        <w:rPr>
          <w:rFonts w:ascii="Times New Roman" w:hAnsi="Times New Roman" w:cs="Times New Roman" w:eastAsia="Times New Roman" w:hint="default"/>
        </w:rPr>
        <w:t>CBD</w:t>
      </w:r>
      <w:r>
        <w:rPr/>
        <w:t>）产业价值到 </w:t>
      </w:r>
      <w:r>
        <w:rPr>
          <w:rFonts w:ascii="Times New Roman" w:hAnsi="Times New Roman" w:cs="Times New Roman" w:eastAsia="Times New Roman" w:hint="default"/>
        </w:rPr>
        <w:t>2021 </w:t>
      </w:r>
      <w:r>
        <w:rPr/>
        <w:t>年将达到 </w:t>
      </w:r>
      <w:r>
        <w:rPr>
          <w:rFonts w:ascii="Times New Roman" w:hAnsi="Times New Roman" w:cs="Times New Roman" w:eastAsia="Times New Roman" w:hint="default"/>
        </w:rPr>
        <w:t>181</w:t>
      </w:r>
      <w:r>
        <w:rPr>
          <w:rFonts w:ascii="Times New Roman" w:hAnsi="Times New Roman" w:cs="Times New Roman" w:eastAsia="Times New Roman" w:hint="default"/>
          <w:spacing w:val="11"/>
        </w:rPr>
        <w:t> </w:t>
      </w:r>
      <w:r>
        <w:rPr/>
        <w:t>亿美元。</w:t>
      </w:r>
    </w:p>
    <w:p>
      <w:pPr>
        <w:spacing w:line="240" w:lineRule="auto" w:before="12"/>
        <w:rPr>
          <w:rFonts w:ascii="宋体" w:hAnsi="宋体" w:cs="宋体" w:eastAsia="宋体" w:hint="default"/>
          <w:sz w:val="12"/>
          <w:szCs w:val="12"/>
        </w:rPr>
      </w:pPr>
    </w:p>
    <w:p>
      <w:pPr>
        <w:pStyle w:val="BodyText"/>
        <w:spacing w:line="300" w:lineRule="auto"/>
        <w:ind w:right="1128" w:firstLine="360"/>
        <w:jc w:val="both"/>
      </w:pPr>
      <w:r>
        <w:rPr/>
        <w:t>据网上公开的江南大学硕士学位论文《工业大麻籽蛋白的制备与功能特性研究》内容显示，大麻籽蛋白质的</w:t>
      </w:r>
      <w:r>
        <w:rPr>
          <w:rFonts w:ascii="Times New Roman" w:hAnsi="Times New Roman" w:cs="Times New Roman" w:eastAsia="Times New Roman" w:hint="default"/>
        </w:rPr>
        <w:t>60-70%</w:t>
      </w:r>
      <w:r>
        <w:rPr/>
        <w:t>是 </w:t>
      </w:r>
      <w:r>
        <w:rPr>
          <w:spacing w:val="-2"/>
        </w:rPr>
        <w:t>麻仁球蛋白和麻仁清蛋白，麻仁球蛋白是所有蛋白质类型最容易被消化的一种，而且麻仁蛋白含有</w:t>
      </w:r>
      <w:r>
        <w:rPr>
          <w:rFonts w:ascii="Times New Roman" w:hAnsi="Times New Roman" w:cs="Times New Roman" w:eastAsia="Times New Roman" w:hint="default"/>
          <w:spacing w:val="-2"/>
        </w:rPr>
        <w:t>18</w:t>
      </w:r>
      <w:r>
        <w:rPr>
          <w:spacing w:val="-2"/>
        </w:rPr>
        <w:t>种氨基酸，其中人体必</w:t>
      </w:r>
      <w:r>
        <w:rPr>
          <w:spacing w:val="-62"/>
        </w:rPr>
        <w:t> </w:t>
      </w:r>
      <w:r>
        <w:rPr>
          <w:spacing w:val="-62"/>
        </w:rPr>
      </w:r>
      <w:r>
        <w:rPr/>
        <w:t>需的</w:t>
      </w:r>
      <w:r>
        <w:rPr>
          <w:rFonts w:ascii="Times New Roman" w:hAnsi="Times New Roman" w:cs="Times New Roman" w:eastAsia="Times New Roman" w:hint="default"/>
        </w:rPr>
        <w:t>8</w:t>
      </w:r>
      <w:r>
        <w:rPr/>
        <w:t>种氨基酸全部含有，且含量较高，组成比例合理、均衡，属于</w:t>
      </w:r>
      <w:r>
        <w:rPr>
          <w:rFonts w:ascii="Times New Roman" w:hAnsi="Times New Roman" w:cs="Times New Roman" w:eastAsia="Times New Roman" w:hint="default"/>
        </w:rPr>
        <w:t>“</w:t>
      </w:r>
      <w:r>
        <w:rPr/>
        <w:t>优质完全蛋白</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2"/>
          <w:szCs w:val="12"/>
        </w:rPr>
      </w:pPr>
    </w:p>
    <w:p>
      <w:pPr>
        <w:pStyle w:val="BodyText"/>
        <w:spacing w:line="240" w:lineRule="auto"/>
        <w:ind w:left="512" w:right="0"/>
        <w:jc w:val="left"/>
        <w:rPr>
          <w:rFonts w:ascii="Times New Roman" w:hAnsi="Times New Roman" w:cs="Times New Roman" w:eastAsia="Times New Roman" w:hint="default"/>
        </w:rPr>
      </w:pPr>
      <w:r>
        <w:rPr/>
        <w:t>据</w:t>
      </w:r>
      <w:r>
        <w:rPr>
          <w:rFonts w:ascii="Times New Roman" w:hAnsi="Times New Roman" w:cs="Times New Roman" w:eastAsia="Times New Roman" w:hint="default"/>
        </w:rPr>
        <w:t>New Frontier Data</w:t>
      </w:r>
      <w:r>
        <w:rPr>
          <w:rFonts w:ascii="Times New Roman" w:hAnsi="Times New Roman" w:cs="Times New Roman" w:eastAsia="Times New Roman" w:hint="default"/>
          <w:spacing w:val="13"/>
        </w:rPr>
        <w:t> </w:t>
      </w:r>
      <w:r>
        <w:rPr>
          <w:spacing w:val="-4"/>
        </w:rPr>
        <w:t>估计，</w:t>
      </w:r>
      <w:r>
        <w:rPr>
          <w:rFonts w:ascii="Times New Roman" w:hAnsi="Times New Roman" w:cs="Times New Roman" w:eastAsia="Times New Roman" w:hint="default"/>
          <w:spacing w:val="-4"/>
        </w:rPr>
        <w:t>2017</w:t>
      </w:r>
      <w:r>
        <w:rPr>
          <w:spacing w:val="-4"/>
        </w:rPr>
        <w:t>年全球工业大麻产品销售额约为</w:t>
      </w:r>
      <w:r>
        <w:rPr>
          <w:rFonts w:ascii="Times New Roman" w:hAnsi="Times New Roman" w:cs="Times New Roman" w:eastAsia="Times New Roman" w:hint="default"/>
          <w:spacing w:val="-4"/>
        </w:rPr>
        <w:t>210</w:t>
      </w:r>
      <w:r>
        <w:rPr>
          <w:spacing w:val="-4"/>
        </w:rPr>
        <w:t>亿美元，预计在</w:t>
      </w:r>
      <w:r>
        <w:rPr>
          <w:rFonts w:ascii="Times New Roman" w:hAnsi="Times New Roman" w:cs="Times New Roman" w:eastAsia="Times New Roman" w:hint="default"/>
          <w:spacing w:val="-4"/>
        </w:rPr>
        <w:t>2020</w:t>
      </w:r>
      <w:r>
        <w:rPr>
          <w:spacing w:val="-4"/>
        </w:rPr>
        <w:t>年将达到</w:t>
      </w:r>
      <w:r>
        <w:rPr>
          <w:rFonts w:ascii="Times New Roman" w:hAnsi="Times New Roman" w:cs="Times New Roman" w:eastAsia="Times New Roman" w:hint="default"/>
          <w:spacing w:val="-4"/>
        </w:rPr>
        <w:t>390</w:t>
      </w:r>
      <w:r>
        <w:rPr>
          <w:spacing w:val="-4"/>
        </w:rPr>
        <w:t>亿美元，对应</w:t>
      </w:r>
      <w:r>
        <w:rPr>
          <w:rFonts w:ascii="Times New Roman" w:hAnsi="Times New Roman" w:cs="Times New Roman" w:eastAsia="Times New Roman" w:hint="default"/>
          <w:spacing w:val="-4"/>
        </w:rPr>
        <w:t>CAGR</w:t>
      </w:r>
    </w:p>
    <w:p>
      <w:pPr>
        <w:spacing w:after="0" w:line="240" w:lineRule="auto"/>
        <w:jc w:val="left"/>
        <w:rPr>
          <w:rFonts w:ascii="Times New Roman" w:hAnsi="Times New Roman" w:cs="Times New Roman" w:eastAsia="Times New Roman" w:hint="default"/>
        </w:rPr>
        <w:sectPr>
          <w:footerReference w:type="default" r:id="rId27"/>
          <w:pgSz w:w="11910" w:h="16840"/>
          <w:pgMar w:footer="982" w:header="753" w:top="1060" w:bottom="1180" w:left="980" w:right="0"/>
          <w:pgNumType w:start="50"/>
        </w:sectPr>
      </w:pPr>
    </w:p>
    <w:p>
      <w:pPr>
        <w:spacing w:line="240" w:lineRule="auto" w:before="10"/>
        <w:rPr>
          <w:rFonts w:ascii="Times New Roman" w:hAnsi="Times New Roman" w:cs="Times New Roman" w:eastAsia="Times New Roman" w:hint="default"/>
          <w:sz w:val="29"/>
          <w:szCs w:val="29"/>
        </w:rPr>
      </w:pPr>
    </w:p>
    <w:p>
      <w:pPr>
        <w:pStyle w:val="BodyText"/>
        <w:spacing w:line="240" w:lineRule="auto" w:before="37"/>
        <w:ind w:right="0"/>
        <w:jc w:val="both"/>
      </w:pPr>
      <w:r>
        <w:rPr/>
        <w:t>为</w:t>
      </w:r>
      <w:r>
        <w:rPr>
          <w:rFonts w:ascii="Times New Roman" w:hAnsi="Times New Roman" w:cs="Times New Roman" w:eastAsia="Times New Roman" w:hint="default"/>
        </w:rPr>
        <w:t>23%</w:t>
      </w:r>
      <w:r>
        <w:rPr/>
        <w:t>。</w:t>
      </w:r>
    </w:p>
    <w:p>
      <w:pPr>
        <w:spacing w:line="240" w:lineRule="auto" w:before="9"/>
        <w:rPr>
          <w:rFonts w:ascii="宋体" w:hAnsi="宋体" w:cs="宋体" w:eastAsia="宋体" w:hint="default"/>
          <w:sz w:val="16"/>
          <w:szCs w:val="16"/>
        </w:rPr>
      </w:pPr>
    </w:p>
    <w:p>
      <w:pPr>
        <w:pStyle w:val="BodyText"/>
        <w:spacing w:line="451" w:lineRule="auto"/>
        <w:ind w:left="512" w:right="7784"/>
        <w:jc w:val="left"/>
      </w:pPr>
      <w:r>
        <w:rPr>
          <w:rFonts w:ascii="Times New Roman" w:hAnsi="Times New Roman" w:cs="Times New Roman" w:eastAsia="Times New Roman" w:hint="default"/>
        </w:rPr>
        <w:t>2</w:t>
      </w:r>
      <w:r>
        <w:rPr/>
        <w:t>、工业大麻产业发展政策及机遇 各国工业大麻相关政策：</w:t>
      </w:r>
    </w:p>
    <w:p>
      <w:pPr>
        <w:pStyle w:val="BodyText"/>
        <w:spacing w:line="300" w:lineRule="auto" w:before="74"/>
        <w:ind w:right="1043" w:firstLine="360"/>
        <w:jc w:val="both"/>
      </w:pPr>
      <w:r>
        <w:rPr>
          <w:spacing w:val="-7"/>
          <w:w w:val="99"/>
        </w:rPr>
        <w:t>加拿大：</w:t>
      </w:r>
      <w:r>
        <w:rPr>
          <w:rFonts w:ascii="Times New Roman" w:hAnsi="Times New Roman" w:cs="Times New Roman" w:eastAsia="Times New Roman" w:hint="default"/>
          <w:spacing w:val="-7"/>
          <w:w w:val="99"/>
        </w:rPr>
        <w:t>2001</w:t>
      </w:r>
      <w:r>
        <w:rPr>
          <w:spacing w:val="-7"/>
          <w:w w:val="99"/>
        </w:rPr>
        <w:t>年实现全国一流大麻合法化，</w:t>
      </w:r>
      <w:r>
        <w:rPr>
          <w:rFonts w:ascii="Times New Roman" w:hAnsi="Times New Roman" w:cs="Times New Roman" w:eastAsia="Times New Roman" w:hint="default"/>
          <w:spacing w:val="-7"/>
          <w:w w:val="99"/>
        </w:rPr>
        <w:t>2018</w:t>
      </w:r>
      <w:r>
        <w:rPr>
          <w:spacing w:val="-7"/>
          <w:w w:val="99"/>
        </w:rPr>
        <w:t>年</w:t>
      </w:r>
      <w:r>
        <w:rPr>
          <w:rFonts w:ascii="Times New Roman" w:hAnsi="Times New Roman" w:cs="Times New Roman" w:eastAsia="Times New Roman" w:hint="default"/>
          <w:spacing w:val="-7"/>
          <w:w w:val="99"/>
        </w:rPr>
        <w:t>6</w:t>
      </w:r>
      <w:r>
        <w:rPr>
          <w:spacing w:val="-7"/>
          <w:w w:val="99"/>
        </w:rPr>
        <w:t>月，加拿大参议院通过加拿大联邦大麻法案（</w:t>
      </w:r>
      <w:r>
        <w:rPr>
          <w:rFonts w:ascii="Times New Roman" w:hAnsi="Times New Roman" w:cs="Times New Roman" w:eastAsia="Times New Roman" w:hint="default"/>
          <w:spacing w:val="-7"/>
          <w:w w:val="99"/>
        </w:rPr>
        <w:t>the</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federal</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Cannabis</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16"/>
          <w:w w:val="99"/>
        </w:rPr>
        <w:t>Act</w:t>
      </w:r>
      <w:r>
        <w:rPr>
          <w:spacing w:val="-16"/>
          <w:w w:val="99"/>
        </w:rPr>
        <w:t>）；</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月，加拿大联邦大麻法案（</w:t>
      </w:r>
      <w:r>
        <w:rPr>
          <w:rFonts w:ascii="Times New Roman" w:hAnsi="Times New Roman" w:cs="Times New Roman" w:eastAsia="Times New Roman" w:hint="default"/>
        </w:rPr>
        <w:t>the federal Cannabis</w:t>
      </w:r>
      <w:r>
        <w:rPr>
          <w:rFonts w:ascii="Times New Roman" w:hAnsi="Times New Roman" w:cs="Times New Roman" w:eastAsia="Times New Roman" w:hint="default"/>
          <w:spacing w:val="-8"/>
        </w:rPr>
        <w:t> </w:t>
      </w:r>
      <w:r>
        <w:rPr>
          <w:rFonts w:ascii="Times New Roman" w:hAnsi="Times New Roman" w:cs="Times New Roman" w:eastAsia="Times New Roman" w:hint="default"/>
        </w:rPr>
        <w:t>Act</w:t>
      </w:r>
      <w:r>
        <w:rPr/>
        <w:t>）生效，允许大麻及其衍生品的种植、加工和销售。</w:t>
      </w:r>
    </w:p>
    <w:p>
      <w:pPr>
        <w:spacing w:line="240" w:lineRule="auto" w:before="12"/>
        <w:rPr>
          <w:rFonts w:ascii="宋体" w:hAnsi="宋体" w:cs="宋体" w:eastAsia="宋体" w:hint="default"/>
          <w:sz w:val="12"/>
          <w:szCs w:val="12"/>
        </w:rPr>
      </w:pPr>
    </w:p>
    <w:p>
      <w:pPr>
        <w:pStyle w:val="BodyText"/>
        <w:spacing w:line="309" w:lineRule="auto"/>
        <w:ind w:right="1132" w:firstLine="360"/>
        <w:jc w:val="both"/>
      </w:pPr>
      <w:r>
        <w:rPr>
          <w:spacing w:val="-2"/>
        </w:rPr>
        <w:t>美国：</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月，美国通过农业法案，工业大麻在美国联邦层面正式合法；</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月，美国颁布《临时工业大麻生</w:t>
      </w:r>
      <w:r>
        <w:rPr/>
        <w:t> </w:t>
      </w:r>
      <w:r>
        <w:rPr>
          <w:spacing w:val="-2"/>
        </w:rPr>
        <w:t>产法规》，规范农民生产工业大麻的大麻素含量标准以及检测要求，并提出只有在美国禁毒局注册过的实验室才有资格进行</w:t>
      </w:r>
      <w:r>
        <w:rPr>
          <w:spacing w:val="-65"/>
        </w:rPr>
        <w:t> </w:t>
      </w:r>
      <w:r>
        <w:rPr>
          <w:spacing w:val="-65"/>
        </w:rPr>
      </w:r>
      <w:r>
        <w:rPr/>
        <w:t>工业大麻种植物的</w:t>
      </w:r>
      <w:r>
        <w:rPr>
          <w:rFonts w:ascii="Times New Roman" w:hAnsi="Times New Roman" w:cs="Times New Roman" w:eastAsia="Times New Roman" w:hint="default"/>
        </w:rPr>
        <w:t>THC</w:t>
      </w:r>
      <w:r>
        <w:rPr/>
        <w:t>成分检测。</w:t>
      </w:r>
    </w:p>
    <w:p>
      <w:pPr>
        <w:pStyle w:val="BodyText"/>
        <w:spacing w:line="240" w:lineRule="auto" w:before="161"/>
        <w:ind w:left="512" w:right="0"/>
        <w:jc w:val="left"/>
      </w:pPr>
      <w:r>
        <w:rPr/>
        <w:t>泰国：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月，泰国公共卫生部宣布将工业大麻种子和其提取的油从管制物质清单中剔除。</w:t>
      </w:r>
    </w:p>
    <w:p>
      <w:pPr>
        <w:pStyle w:val="BodyText"/>
        <w:spacing w:line="460" w:lineRule="atLeast" w:before="8"/>
        <w:ind w:left="512" w:right="0"/>
        <w:jc w:val="left"/>
      </w:pPr>
      <w:r>
        <w:rPr/>
        <w:t>巴西：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月，巴西国家卫生监督局宣布医疗大麻合法化，批准在全国各大药房出售医用大麻的法规。 </w:t>
      </w:r>
      <w:r>
        <w:rPr>
          <w:spacing w:val="-2"/>
        </w:rPr>
        <w:t>中国：云南省是国内第一个将工业大麻的种植加工合法管理的省份，</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月，为了加强对工业大麻种植和加工的监</w:t>
      </w:r>
    </w:p>
    <w:p>
      <w:pPr>
        <w:pStyle w:val="BodyText"/>
        <w:spacing w:line="309" w:lineRule="auto" w:before="63"/>
        <w:ind w:right="1133"/>
        <w:jc w:val="both"/>
      </w:pPr>
      <w:r>
        <w:rPr>
          <w:spacing w:val="-2"/>
        </w:rPr>
        <w:t>督管理，根据《云南省禁毒条例》的授权，云南省人民政府颁布《云南省工业大麻种植加工许可规定》（云南省人民政府令</w:t>
      </w:r>
      <w:r>
        <w:rPr>
          <w:spacing w:val="-69"/>
        </w:rPr>
        <w:t> </w:t>
      </w:r>
      <w:r>
        <w:rPr>
          <w:spacing w:val="-69"/>
        </w:rPr>
      </w:r>
      <w:r>
        <w:rPr/>
        <w:t>第</w:t>
      </w:r>
      <w:r>
        <w:rPr>
          <w:rFonts w:ascii="Times New Roman" w:hAnsi="Times New Roman" w:cs="Times New Roman" w:eastAsia="Times New Roman" w:hint="default"/>
        </w:rPr>
        <w:t>156</w:t>
      </w:r>
      <w:r>
        <w:rPr/>
        <w:t>号），该规定自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w:t>
      </w:r>
      <w:r>
        <w:rPr>
          <w:rFonts w:ascii="Times New Roman" w:hAnsi="Times New Roman" w:cs="Times New Roman" w:eastAsia="Times New Roman" w:hint="default"/>
        </w:rPr>
        <w:t>2017</w:t>
      </w:r>
      <w:r>
        <w:rPr/>
        <w:t>年黑龙江省重新制定并实行《黑龙江省禁毒条例》，其中允许种植工业大 麻，对工业大麻的种植、加工、销售进行管理。</w:t>
      </w:r>
    </w:p>
    <w:p>
      <w:pPr>
        <w:spacing w:line="240" w:lineRule="auto" w:before="10"/>
        <w:rPr>
          <w:rFonts w:ascii="宋体" w:hAnsi="宋体" w:cs="宋体" w:eastAsia="宋体" w:hint="default"/>
          <w:sz w:val="13"/>
          <w:szCs w:val="13"/>
        </w:rPr>
      </w:pPr>
    </w:p>
    <w:p>
      <w:pPr>
        <w:pStyle w:val="BodyText"/>
        <w:spacing w:line="300" w:lineRule="auto"/>
        <w:ind w:right="1133" w:firstLine="360"/>
        <w:jc w:val="both"/>
      </w:pPr>
      <w:r>
        <w:rPr/>
        <w:t>不管是国内还是国外，政策的放开程度直接影响工业大麻产业的规模。根据市场公开信息：</w:t>
      </w:r>
      <w:r>
        <w:rPr>
          <w:rFonts w:ascii="Times New Roman" w:hAnsi="Times New Roman" w:cs="Times New Roman" w:eastAsia="Times New Roman" w:hint="default"/>
        </w:rPr>
        <w:t>Ackrell</w:t>
      </w:r>
      <w:r>
        <w:rPr>
          <w:rFonts w:ascii="Times New Roman" w:hAnsi="Times New Roman" w:cs="Times New Roman" w:eastAsia="Times New Roman" w:hint="default"/>
          <w:spacing w:val="38"/>
        </w:rPr>
        <w:t> </w:t>
      </w:r>
      <w:r>
        <w:rPr/>
        <w:t>预计美国国内的合 法化进程将推动市场规模的不断扩张，假设美国批准</w:t>
      </w:r>
      <w:r>
        <w:rPr>
          <w:rFonts w:ascii="Times New Roman" w:hAnsi="Times New Roman" w:cs="Times New Roman" w:eastAsia="Times New Roman" w:hint="default"/>
        </w:rPr>
        <w:t>CBD</w:t>
      </w:r>
      <w:r>
        <w:rPr/>
        <w:t>药物，则美国工业大麻市场规模有望达到</w:t>
      </w:r>
      <w:r>
        <w:rPr>
          <w:rFonts w:ascii="Times New Roman" w:hAnsi="Times New Roman" w:cs="Times New Roman" w:eastAsia="Times New Roman" w:hint="default"/>
        </w:rPr>
        <w:t>500</w:t>
      </w:r>
      <w:r>
        <w:rPr/>
        <w:t>亿美元，假设美国全 面放开，则美国的市场规模有望超过</w:t>
      </w:r>
      <w:r>
        <w:rPr>
          <w:rFonts w:ascii="Times New Roman" w:hAnsi="Times New Roman" w:cs="Times New Roman" w:eastAsia="Times New Roman" w:hint="default"/>
        </w:rPr>
        <w:t>1100</w:t>
      </w:r>
      <w:r>
        <w:rPr/>
        <w:t>亿美元。</w:t>
      </w:r>
    </w:p>
    <w:p>
      <w:pPr>
        <w:spacing w:line="240" w:lineRule="auto" w:before="12"/>
        <w:rPr>
          <w:rFonts w:ascii="宋体" w:hAnsi="宋体" w:cs="宋体" w:eastAsia="宋体" w:hint="default"/>
          <w:sz w:val="12"/>
          <w:szCs w:val="12"/>
        </w:rPr>
      </w:pPr>
    </w:p>
    <w:p>
      <w:pPr>
        <w:pStyle w:val="BodyText"/>
        <w:spacing w:line="316" w:lineRule="auto"/>
        <w:ind w:right="1132" w:firstLine="360"/>
        <w:jc w:val="both"/>
      </w:pPr>
      <w:r>
        <w:rPr>
          <w:spacing w:val="-2"/>
        </w:rPr>
        <w:t>公司目前正积极推动工业大麻的种植及加工场地的落实工作，将有望受益工业大麻产业政策逐渐放开的政策红利，为人</w:t>
      </w:r>
      <w:r>
        <w:rPr/>
        <w:t> 类的健康贡献力量。</w:t>
      </w:r>
    </w:p>
    <w:p>
      <w:pPr>
        <w:spacing w:line="240" w:lineRule="auto" w:before="5"/>
        <w:rPr>
          <w:rFonts w:ascii="宋体" w:hAnsi="宋体" w:cs="宋体" w:eastAsia="宋体" w:hint="default"/>
          <w:sz w:val="13"/>
          <w:szCs w:val="13"/>
        </w:rPr>
      </w:pPr>
    </w:p>
    <w:p>
      <w:pPr>
        <w:pStyle w:val="BodyText"/>
        <w:spacing w:line="240" w:lineRule="auto"/>
        <w:ind w:left="512" w:right="0"/>
        <w:jc w:val="left"/>
      </w:pPr>
      <w:r>
        <w:rPr/>
        <w:t>（三）人造肉产业行业发展趋势及机遇</w:t>
      </w:r>
    </w:p>
    <w:p>
      <w:pPr>
        <w:spacing w:line="240" w:lineRule="auto" w:before="10"/>
        <w:rPr>
          <w:rFonts w:ascii="宋体" w:hAnsi="宋体" w:cs="宋体" w:eastAsia="宋体" w:hint="default"/>
          <w:sz w:val="17"/>
          <w:szCs w:val="17"/>
        </w:rPr>
      </w:pPr>
    </w:p>
    <w:p>
      <w:pPr>
        <w:pStyle w:val="BodyText"/>
        <w:spacing w:line="316" w:lineRule="auto"/>
        <w:ind w:right="1130" w:firstLine="360"/>
        <w:jc w:val="both"/>
      </w:pPr>
      <w:r>
        <w:rPr/>
        <w:t>据公开信息，人造肉可以分为植物肉和培养肉两大类。</w:t>
      </w:r>
      <w:r>
        <w:rPr>
          <w:spacing w:val="-5"/>
        </w:rPr>
        <w:t> </w:t>
      </w:r>
      <w:r>
        <w:rPr/>
        <w:t>植物肉是以植物蛋白、氨基酸和脂肪为基础，添加由酵母合成</w:t>
      </w:r>
      <w:r>
        <w:rPr/>
        <w:t> </w:t>
      </w:r>
      <w:r>
        <w:rPr>
          <w:spacing w:val="-2"/>
        </w:rPr>
        <w:t>的植物性血红蛋白而制成的人造肉。培养肉是从动物体内分离、提取出少量干细胞，在营养液中进行培养，最终生长分化成</w:t>
      </w:r>
      <w:r>
        <w:rPr>
          <w:spacing w:val="-65"/>
        </w:rPr>
        <w:t> </w:t>
      </w:r>
      <w:r>
        <w:rPr>
          <w:spacing w:val="-65"/>
        </w:rPr>
      </w:r>
      <w:r>
        <w:rPr/>
        <w:t>为的人造肉。目前市场相对成熟的是植物肉。</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植物人造肉以工业大麻麻籽、豌豆、大豆等植物为原料，从中分离出植物蛋白和纤维，再以加热、压力变化和冷冻等方</w:t>
      </w:r>
      <w:r>
        <w:rPr/>
        <w:t> </w:t>
      </w:r>
      <w:r>
        <w:rPr>
          <w:spacing w:val="-2"/>
        </w:rPr>
        <w:t>式，将蛋白质编织成纤维状结构，最后加入水、脂类、香精、色素、微量矿物质和维生素等配料做成具有普通动物肉味道且</w:t>
      </w:r>
      <w:r>
        <w:rPr>
          <w:spacing w:val="-68"/>
        </w:rPr>
        <w:t> </w:t>
      </w:r>
      <w:r>
        <w:rPr>
          <w:spacing w:val="-68"/>
        </w:rPr>
      </w:r>
      <w:r>
        <w:rPr/>
        <w:t>在营养价值方面超过普通动物肉的素肉。</w:t>
      </w:r>
    </w:p>
    <w:p>
      <w:pPr>
        <w:spacing w:line="240" w:lineRule="auto" w:before="5"/>
        <w:rPr>
          <w:rFonts w:ascii="宋体" w:hAnsi="宋体" w:cs="宋体" w:eastAsia="宋体" w:hint="default"/>
          <w:sz w:val="13"/>
          <w:szCs w:val="13"/>
        </w:rPr>
      </w:pPr>
    </w:p>
    <w:p>
      <w:pPr>
        <w:pStyle w:val="BodyText"/>
        <w:spacing w:line="300" w:lineRule="auto"/>
        <w:ind w:right="1133" w:firstLine="360"/>
        <w:jc w:val="both"/>
      </w:pPr>
      <w:r>
        <w:rPr/>
        <w:t>根据 </w:t>
      </w:r>
      <w:r>
        <w:rPr>
          <w:rFonts w:ascii="Times New Roman" w:hAnsi="Times New Roman" w:cs="Times New Roman" w:eastAsia="Times New Roman" w:hint="default"/>
        </w:rPr>
        <w:t>MarketsandMarkets</w:t>
      </w:r>
      <w:r>
        <w:rPr/>
        <w:t>研究报告，</w:t>
      </w:r>
      <w:r>
        <w:rPr>
          <w:rFonts w:ascii="Times New Roman" w:hAnsi="Times New Roman" w:cs="Times New Roman" w:eastAsia="Times New Roman" w:hint="default"/>
        </w:rPr>
        <w:t>2019</w:t>
      </w:r>
      <w:r>
        <w:rPr/>
        <w:t>年全球植物性人造肉的市场规模约为 </w:t>
      </w:r>
      <w:r>
        <w:rPr>
          <w:rFonts w:ascii="Times New Roman" w:hAnsi="Times New Roman" w:cs="Times New Roman" w:eastAsia="Times New Roman" w:hint="default"/>
        </w:rPr>
        <w:t>121 </w:t>
      </w:r>
      <w:r>
        <w:rPr>
          <w:spacing w:val="-4"/>
        </w:rPr>
        <w:t>亿美元，预计每年将以</w:t>
      </w:r>
      <w:r>
        <w:rPr>
          <w:spacing w:val="-65"/>
        </w:rPr>
        <w:t> </w:t>
      </w:r>
      <w:r>
        <w:rPr>
          <w:rFonts w:ascii="Times New Roman" w:hAnsi="Times New Roman" w:cs="Times New Roman" w:eastAsia="Times New Roman" w:hint="default"/>
        </w:rPr>
        <w:t>15%</w:t>
      </w:r>
      <w:r>
        <w:rPr/>
        <w:t>的复合增 长率增长，到 </w:t>
      </w:r>
      <w:r>
        <w:rPr>
          <w:rFonts w:ascii="Times New Roman" w:hAnsi="Times New Roman" w:cs="Times New Roman" w:eastAsia="Times New Roman" w:hint="default"/>
        </w:rPr>
        <w:t>2025 </w:t>
      </w:r>
      <w:r>
        <w:rPr/>
        <w:t>年将达到 </w:t>
      </w:r>
      <w:r>
        <w:rPr>
          <w:rFonts w:ascii="Times New Roman" w:hAnsi="Times New Roman" w:cs="Times New Roman" w:eastAsia="Times New Roman" w:hint="default"/>
        </w:rPr>
        <w:t>279</w:t>
      </w:r>
      <w:r>
        <w:rPr>
          <w:rFonts w:ascii="Times New Roman" w:hAnsi="Times New Roman" w:cs="Times New Roman" w:eastAsia="Times New Roman" w:hint="default"/>
          <w:spacing w:val="18"/>
        </w:rPr>
        <w:t> </w:t>
      </w:r>
      <w:r>
        <w:rPr/>
        <w:t>亿美元。</w:t>
      </w:r>
    </w:p>
    <w:p>
      <w:pPr>
        <w:spacing w:line="240" w:lineRule="auto" w:before="12"/>
        <w:rPr>
          <w:rFonts w:ascii="宋体" w:hAnsi="宋体" w:cs="宋体" w:eastAsia="宋体" w:hint="default"/>
          <w:sz w:val="12"/>
          <w:szCs w:val="12"/>
        </w:rPr>
      </w:pPr>
    </w:p>
    <w:p>
      <w:pPr>
        <w:pStyle w:val="BodyText"/>
        <w:spacing w:line="240" w:lineRule="auto"/>
        <w:ind w:left="512" w:right="0"/>
        <w:jc w:val="left"/>
        <w:rPr>
          <w:rFonts w:ascii="Times New Roman" w:hAnsi="Times New Roman" w:cs="Times New Roman" w:eastAsia="Times New Roman" w:hint="default"/>
        </w:rPr>
      </w:pPr>
      <w:r>
        <w:rPr/>
        <w:t>根据 </w:t>
      </w:r>
      <w:r>
        <w:rPr>
          <w:rFonts w:ascii="Times New Roman" w:hAnsi="Times New Roman" w:cs="Times New Roman" w:eastAsia="Times New Roman" w:hint="default"/>
        </w:rPr>
        <w:t>OECD </w:t>
      </w:r>
      <w:r>
        <w:rPr/>
        <w:t>的数据， </w:t>
      </w:r>
      <w:r>
        <w:rPr>
          <w:rFonts w:ascii="Times New Roman" w:hAnsi="Times New Roman" w:cs="Times New Roman" w:eastAsia="Times New Roman" w:hint="default"/>
        </w:rPr>
        <w:t>2018 </w:t>
      </w:r>
      <w:r>
        <w:rPr/>
        <w:t>年中国肉类消费量达到 </w:t>
      </w:r>
      <w:r>
        <w:rPr>
          <w:rFonts w:ascii="Times New Roman" w:hAnsi="Times New Roman" w:cs="Times New Roman" w:eastAsia="Times New Roman" w:hint="default"/>
        </w:rPr>
        <w:t>8829.6</w:t>
      </w:r>
      <w:r>
        <w:rPr/>
        <w:t>万吨，欧盟与美国肉类消费量分别为 </w:t>
      </w:r>
      <w:r>
        <w:rPr>
          <w:rFonts w:ascii="Times New Roman" w:hAnsi="Times New Roman" w:cs="Times New Roman" w:eastAsia="Times New Roman" w:hint="default"/>
        </w:rPr>
        <w:t>4426.7  </w:t>
      </w:r>
      <w:r>
        <w:rPr/>
        <w:t>万吨和</w:t>
      </w:r>
      <w:r>
        <w:rPr>
          <w:spacing w:val="-7"/>
        </w:rPr>
        <w:t> </w:t>
      </w:r>
      <w:r>
        <w:rPr>
          <w:rFonts w:ascii="Times New Roman" w:hAnsi="Times New Roman" w:cs="Times New Roman" w:eastAsia="Times New Roman" w:hint="default"/>
        </w:rPr>
        <w:t>4134.9</w:t>
      </w:r>
    </w:p>
    <w:p>
      <w:pPr>
        <w:pStyle w:val="BodyText"/>
        <w:spacing w:line="240" w:lineRule="auto" w:before="63"/>
        <w:ind w:right="0"/>
        <w:jc w:val="both"/>
      </w:pPr>
      <w:r>
        <w:rPr/>
        <w:t>万吨。目前美国人均年肉类消费量为 </w:t>
      </w:r>
      <w:r>
        <w:rPr>
          <w:rFonts w:ascii="Times New Roman" w:hAnsi="Times New Roman" w:cs="Times New Roman" w:eastAsia="Times New Roman" w:hint="default"/>
        </w:rPr>
        <w:t>100</w:t>
      </w:r>
      <w:r>
        <w:rPr>
          <w:rFonts w:ascii="Times New Roman" w:hAnsi="Times New Roman" w:cs="Times New Roman" w:eastAsia="Times New Roman" w:hint="default"/>
          <w:spacing w:val="40"/>
        </w:rPr>
        <w:t> </w:t>
      </w:r>
      <w:r>
        <w:rPr/>
        <w:t>千克左右，而中国仅为美国的一半左右。因此，未来中国的肉类消费量将进一步</w:t>
      </w:r>
    </w:p>
    <w:p>
      <w:pPr>
        <w:pStyle w:val="BodyText"/>
        <w:spacing w:line="240" w:lineRule="auto" w:before="63"/>
        <w:ind w:right="0"/>
        <w:jc w:val="both"/>
      </w:pPr>
      <w:r>
        <w:rPr/>
        <w:t>增加，预计 </w:t>
      </w:r>
      <w:r>
        <w:rPr>
          <w:rFonts w:ascii="Times New Roman" w:hAnsi="Times New Roman" w:cs="Times New Roman" w:eastAsia="Times New Roman" w:hint="default"/>
        </w:rPr>
        <w:t>2030 </w:t>
      </w:r>
      <w:r>
        <w:rPr/>
        <w:t>年中国肉类产品的供给缺口将达到 </w:t>
      </w:r>
      <w:r>
        <w:rPr>
          <w:rFonts w:ascii="Times New Roman" w:hAnsi="Times New Roman" w:cs="Times New Roman" w:eastAsia="Times New Roman" w:hint="default"/>
        </w:rPr>
        <w:t>3800</w:t>
      </w:r>
      <w:r>
        <w:rPr>
          <w:rFonts w:ascii="Times New Roman" w:hAnsi="Times New Roman" w:cs="Times New Roman" w:eastAsia="Times New Roman" w:hint="default"/>
          <w:spacing w:val="14"/>
        </w:rPr>
        <w:t> </w:t>
      </w:r>
      <w:r>
        <w:rPr/>
        <w:t>万吨以上。</w:t>
      </w:r>
    </w:p>
    <w:p>
      <w:pPr>
        <w:spacing w:line="240" w:lineRule="auto" w:before="9"/>
        <w:rPr>
          <w:rFonts w:ascii="宋体" w:hAnsi="宋体" w:cs="宋体" w:eastAsia="宋体" w:hint="default"/>
          <w:sz w:val="16"/>
          <w:szCs w:val="16"/>
        </w:rPr>
      </w:pPr>
    </w:p>
    <w:p>
      <w:pPr>
        <w:pStyle w:val="BodyText"/>
        <w:spacing w:line="309" w:lineRule="auto"/>
        <w:ind w:right="1130" w:firstLine="360"/>
        <w:jc w:val="both"/>
      </w:pPr>
      <w:r>
        <w:rPr>
          <w:spacing w:val="-2"/>
        </w:rPr>
        <w:t>据公开报道，在素食主义与环保、动物保护和健康等理念的影响下，预计植物蛋白人造肉产业未来发展前景广阔。公司</w:t>
      </w:r>
      <w:r>
        <w:rPr/>
        <w:t>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月与江南大学签署《技术合作协议》，快速切入人造肉产业领域，并在较短的时间内研发出来多款人造肉产品，</w:t>
      </w:r>
      <w:r>
        <w:rPr>
          <w:spacing w:val="-85"/>
        </w:rPr>
        <w:t> </w:t>
      </w:r>
      <w:r>
        <w:rPr>
          <w:spacing w:val="-85"/>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月，公司在无锡举办</w:t>
      </w:r>
      <w:r>
        <w:rPr>
          <w:rFonts w:ascii="Times New Roman" w:hAnsi="Times New Roman" w:cs="Times New Roman" w:eastAsia="Times New Roman" w:hint="default"/>
        </w:rPr>
        <w:t>“</w:t>
      </w:r>
      <w:r>
        <w:rPr/>
        <w:t>新产品</w:t>
      </w:r>
      <w:r>
        <w:rPr>
          <w:rFonts w:ascii="Times New Roman" w:hAnsi="Times New Roman" w:cs="Times New Roman" w:eastAsia="Times New Roman" w:hint="default"/>
        </w:rPr>
        <w:t>•</w:t>
      </w:r>
      <w:r>
        <w:rPr/>
        <w:t>新经济</w:t>
      </w:r>
      <w:r>
        <w:rPr>
          <w:rFonts w:ascii="Times New Roman" w:hAnsi="Times New Roman" w:cs="Times New Roman" w:eastAsia="Times New Roman" w:hint="default"/>
        </w:rPr>
        <w:t>—</w:t>
      </w:r>
      <w:r>
        <w:rPr/>
        <w:t>植物蛋白食品发展趋势主题论坛暨美盈森新产品品鉴会</w:t>
      </w:r>
      <w:r>
        <w:rPr>
          <w:rFonts w:ascii="Times New Roman" w:hAnsi="Times New Roman" w:cs="Times New Roman" w:eastAsia="Times New Roman" w:hint="default"/>
        </w:rPr>
        <w:t>”</w:t>
      </w:r>
      <w:r>
        <w:rPr/>
        <w:t>，品鉴会邀请了多</w:t>
      </w:r>
      <w:r>
        <w:rPr>
          <w:spacing w:val="-57"/>
        </w:rPr>
        <w:t> </w:t>
      </w:r>
      <w:r>
        <w:rPr>
          <w:spacing w:val="-57"/>
        </w:rPr>
      </w:r>
      <w:r>
        <w:rPr>
          <w:spacing w:val="-2"/>
        </w:rPr>
        <w:t>位食品行业协会领导、行业专家出席，参会嘉宾对公司人造肉产品给予了充分的肯定。随着公司人造肉产品在口感上不断提</w:t>
      </w:r>
      <w:r>
        <w:rPr>
          <w:spacing w:val="-62"/>
        </w:rPr>
        <w:t> </w:t>
      </w:r>
      <w:r>
        <w:rPr>
          <w:spacing w:val="-62"/>
        </w:rPr>
      </w:r>
      <w:r>
        <w:rPr/>
        <w:t>升，产业化后单位成本的不断下降，公司有信心让更多的人享受到人造肉的健康与美味。</w:t>
      </w:r>
    </w:p>
    <w:p>
      <w:pPr>
        <w:spacing w:after="0" w:line="309"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12" w:right="0"/>
        <w:jc w:val="left"/>
      </w:pPr>
      <w:r>
        <w:rPr/>
        <w:t>（四）公司发展战略</w:t>
      </w:r>
    </w:p>
    <w:p>
      <w:pPr>
        <w:pStyle w:val="BodyText"/>
        <w:spacing w:line="450" w:lineRule="atLeast" w:before="31"/>
        <w:ind w:left="512" w:right="1126"/>
        <w:jc w:val="left"/>
      </w:pPr>
      <w:r>
        <w:rPr>
          <w:rFonts w:ascii="Times New Roman" w:hAnsi="Times New Roman" w:cs="Times New Roman" w:eastAsia="Times New Roman" w:hint="default"/>
        </w:rPr>
        <w:t>1</w:t>
      </w:r>
      <w:r>
        <w:rPr/>
        <w:t>、愿景 </w:t>
      </w:r>
      <w:r>
        <w:rPr>
          <w:spacing w:val="-2"/>
        </w:rPr>
        <w:t>公司愿景是一切为了美好生活，坚持绿色包装、智能制造、科技创新、环保节能、可持续发展理念，致力于瓦楞包装产</w:t>
      </w:r>
    </w:p>
    <w:p>
      <w:pPr>
        <w:pStyle w:val="BodyText"/>
        <w:spacing w:line="316" w:lineRule="auto" w:before="76"/>
        <w:ind w:right="1034"/>
        <w:jc w:val="left"/>
      </w:pPr>
      <w:r>
        <w:rPr>
          <w:spacing w:val="-2"/>
        </w:rPr>
        <w:t>品、精品包装产品（彩盒、礼品盒等）、智能包装产品、重型包装产品等的研发、生产和销售，帮助客户促进产品销售，提</w:t>
      </w:r>
      <w:r>
        <w:rPr>
          <w:spacing w:val="-65"/>
        </w:rPr>
        <w:t> </w:t>
      </w:r>
      <w:r>
        <w:rPr>
          <w:spacing w:val="-65"/>
        </w:rPr>
      </w:r>
      <w:r>
        <w:rPr/>
        <w:t>升客户产品品牌美誉度，降低客户综合包装成本，通过包装实现产品溯源和防伪，引领国内包装产业整体水平的持续提升， </w:t>
      </w:r>
      <w:r>
        <w:rPr>
          <w:spacing w:val="-2"/>
        </w:rPr>
        <w:t>为中国经济高质量增长做出应有的贡献，并把握经济发展质量提升、消费升级等带来的发展机遇，持之以恒、逐步有序的发</w:t>
      </w:r>
      <w:r>
        <w:rPr>
          <w:spacing w:val="-65"/>
        </w:rPr>
        <w:t> </w:t>
      </w:r>
      <w:r>
        <w:rPr>
          <w:spacing w:val="-65"/>
        </w:rPr>
      </w:r>
      <w:r>
        <w:rPr/>
        <w:t>展包括工业大麻产业、人造肉产业、创意健康纸家具产业等在内的大健康业务，助力美好生活。</w:t>
      </w:r>
    </w:p>
    <w:p>
      <w:pPr>
        <w:pStyle w:val="BodyText"/>
        <w:spacing w:line="468" w:lineRule="exact" w:before="10"/>
        <w:ind w:left="512" w:right="1126"/>
        <w:jc w:val="left"/>
      </w:pPr>
      <w:r>
        <w:rPr>
          <w:rFonts w:ascii="Times New Roman" w:hAnsi="Times New Roman" w:cs="Times New Roman" w:eastAsia="Times New Roman" w:hint="default"/>
        </w:rPr>
        <w:t>2</w:t>
      </w:r>
      <w:r>
        <w:rPr/>
        <w:t>、发展战略 </w:t>
      </w:r>
      <w:r>
        <w:rPr>
          <w:spacing w:val="-2"/>
        </w:rPr>
        <w:t>在包装领域，不断培养和引进能贡献突出业绩的人才，持续强化公司在技术创新、高端制造、市场开发、精细管理等方</w:t>
      </w:r>
    </w:p>
    <w:p>
      <w:pPr>
        <w:pStyle w:val="BodyText"/>
        <w:spacing w:line="240" w:lineRule="auto" w:before="8"/>
        <w:ind w:right="0"/>
        <w:jc w:val="left"/>
      </w:pPr>
      <w:r>
        <w:rPr/>
        <w:t>面的竞争优势，系统打造美盈森可持续的竞争优势和盈利能力，进一步巩固并持续提升公司行业地位和综合竞争能力。</w:t>
      </w:r>
    </w:p>
    <w:p>
      <w:pPr>
        <w:spacing w:line="240" w:lineRule="auto" w:before="10"/>
        <w:rPr>
          <w:rFonts w:ascii="宋体" w:hAnsi="宋体" w:cs="宋体" w:eastAsia="宋体" w:hint="default"/>
          <w:sz w:val="17"/>
          <w:szCs w:val="17"/>
        </w:rPr>
      </w:pPr>
    </w:p>
    <w:p>
      <w:pPr>
        <w:pStyle w:val="BodyText"/>
        <w:spacing w:line="316" w:lineRule="auto"/>
        <w:ind w:right="1132" w:firstLine="360"/>
        <w:jc w:val="both"/>
      </w:pPr>
      <w:r>
        <w:rPr>
          <w:spacing w:val="-2"/>
        </w:rPr>
        <w:t>在新产业发展领域，有序推进公司新产业发展，通过自身投资、外部合作等多种方式，推动工业大麻、人造肉项目逐步</w:t>
      </w:r>
      <w:r>
        <w:rPr/>
        <w:t> 取得经营成果，争取尽快形成新的利润增长点，成为公司的第二主业，取得突出的行业地位。</w:t>
      </w:r>
    </w:p>
    <w:p>
      <w:pPr>
        <w:spacing w:line="240" w:lineRule="auto" w:before="5"/>
        <w:rPr>
          <w:rFonts w:ascii="宋体" w:hAnsi="宋体" w:cs="宋体" w:eastAsia="宋体" w:hint="default"/>
          <w:sz w:val="13"/>
          <w:szCs w:val="13"/>
        </w:rPr>
      </w:pPr>
    </w:p>
    <w:p>
      <w:pPr>
        <w:pStyle w:val="BodyText"/>
        <w:spacing w:line="316" w:lineRule="auto"/>
        <w:ind w:right="1135" w:firstLine="360"/>
        <w:jc w:val="both"/>
      </w:pPr>
      <w:r>
        <w:rPr>
          <w:spacing w:val="-2"/>
        </w:rPr>
        <w:t>公司秉持实现客户、股东、员工、供应商、政府、社会长期信赖、多方共赢的初心，在集团党委、董事会的领导下，公</w:t>
      </w:r>
      <w:r>
        <w:rPr/>
        <w:t> 司制定了包装产业发展规划：</w:t>
      </w:r>
    </w:p>
    <w:p>
      <w:pPr>
        <w:pStyle w:val="BodyText"/>
        <w:spacing w:line="468" w:lineRule="exact" w:before="10"/>
        <w:ind w:left="512" w:right="0"/>
        <w:jc w:val="left"/>
      </w:pPr>
      <w:r>
        <w:rPr/>
        <w:t>在客户发展规划方面： 未来三年公司拟重点加强与消费电子、</w:t>
      </w:r>
      <w:r>
        <w:rPr>
          <w:rFonts w:ascii="Times New Roman" w:hAnsi="Times New Roman" w:cs="Times New Roman" w:eastAsia="Times New Roman" w:hint="default"/>
        </w:rPr>
        <w:t>5G</w:t>
      </w:r>
      <w:r>
        <w:rPr/>
        <w:t>通讯、白酒、家具家居、家用电器、食品饮料保健品以及新能源汽车等领域</w:t>
      </w:r>
    </w:p>
    <w:p>
      <w:pPr>
        <w:pStyle w:val="BodyText"/>
        <w:spacing w:line="240" w:lineRule="auto" w:before="8"/>
        <w:ind w:right="0"/>
        <w:jc w:val="left"/>
      </w:pPr>
      <w:r>
        <w:rPr/>
        <w:t>客户合作，持续提升客户服务质量，持续增加客户合作深度，持续扩大包装业务规模。</w:t>
      </w:r>
    </w:p>
    <w:p>
      <w:pPr>
        <w:spacing w:line="240" w:lineRule="auto" w:before="10"/>
        <w:rPr>
          <w:rFonts w:ascii="宋体" w:hAnsi="宋体" w:cs="宋体" w:eastAsia="宋体" w:hint="default"/>
          <w:sz w:val="17"/>
          <w:szCs w:val="17"/>
        </w:rPr>
      </w:pPr>
    </w:p>
    <w:p>
      <w:pPr>
        <w:pStyle w:val="BodyText"/>
        <w:spacing w:line="300" w:lineRule="auto"/>
        <w:ind w:right="1133" w:firstLine="360"/>
        <w:jc w:val="both"/>
      </w:pPr>
      <w:r>
        <w:rPr>
          <w:spacing w:val="-2"/>
        </w:rPr>
        <w:t>对于核心大客户，公司进一步强化专属车间服务机制，增强</w:t>
      </w:r>
      <w:r>
        <w:rPr>
          <w:rFonts w:ascii="Times New Roman" w:hAnsi="Times New Roman" w:cs="Times New Roman" w:eastAsia="Times New Roman" w:hint="default"/>
          <w:spacing w:val="-2"/>
        </w:rPr>
        <w:t>“</w:t>
      </w:r>
      <w:r>
        <w:rPr>
          <w:spacing w:val="-2"/>
        </w:rPr>
        <w:t>商务</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品质</w:t>
      </w:r>
      <w:r>
        <w:rPr>
          <w:rFonts w:ascii="Times New Roman" w:hAnsi="Times New Roman" w:cs="Times New Roman" w:eastAsia="Times New Roman" w:hint="default"/>
          <w:spacing w:val="-2"/>
        </w:rPr>
        <w:t>”</w:t>
      </w:r>
      <w:r>
        <w:rPr>
          <w:spacing w:val="-2"/>
        </w:rPr>
        <w:t>项目人员协助，及时获取客户需求，即时</w:t>
      </w:r>
      <w:r>
        <w:rPr/>
        <w:t> 完成服务响应，持续提升服务效率和价值创造。</w:t>
      </w:r>
    </w:p>
    <w:p>
      <w:pPr>
        <w:spacing w:line="240" w:lineRule="auto" w:before="4"/>
        <w:rPr>
          <w:rFonts w:ascii="宋体" w:hAnsi="宋体" w:cs="宋体" w:eastAsia="宋体" w:hint="default"/>
          <w:sz w:val="14"/>
          <w:szCs w:val="14"/>
        </w:rPr>
      </w:pPr>
    </w:p>
    <w:p>
      <w:pPr>
        <w:pStyle w:val="BodyText"/>
        <w:spacing w:line="309" w:lineRule="auto"/>
        <w:ind w:right="1135" w:firstLine="360"/>
        <w:jc w:val="both"/>
      </w:pPr>
      <w:r>
        <w:rPr/>
        <w:t>在智慧产能构建发展规划方面：在现有深圳、东莞、苏州、重庆、成都、六安、长沙高端</w:t>
      </w:r>
      <w:r>
        <w:rPr>
          <w:rFonts w:ascii="Times New Roman" w:hAnsi="Times New Roman" w:cs="Times New Roman" w:eastAsia="Times New Roman" w:hint="default"/>
        </w:rPr>
        <w:t>/</w:t>
      </w:r>
      <w:r>
        <w:rPr/>
        <w:t>智慧制造基地的基础上，紧 </w:t>
      </w:r>
      <w:r>
        <w:rPr>
          <w:spacing w:val="-2"/>
        </w:rPr>
        <w:t>跟客户需求，有序推动越南、习水、佛山、郑州、西安等国内、国外重点区域的智能制造包装产能布局，进一步加强公司在</w:t>
      </w:r>
      <w:r>
        <w:rPr>
          <w:spacing w:val="-69"/>
        </w:rPr>
        <w:t> </w:t>
      </w:r>
      <w:r>
        <w:rPr>
          <w:spacing w:val="-69"/>
        </w:rPr>
      </w:r>
      <w:r>
        <w:rPr/>
        <w:t>智能制造、集团性服务等方面的优势。</w:t>
      </w:r>
    </w:p>
    <w:p>
      <w:pPr>
        <w:spacing w:line="240" w:lineRule="auto" w:before="10"/>
        <w:rPr>
          <w:rFonts w:ascii="宋体" w:hAnsi="宋体" w:cs="宋体" w:eastAsia="宋体" w:hint="default"/>
          <w:sz w:val="13"/>
          <w:szCs w:val="13"/>
        </w:rPr>
      </w:pPr>
    </w:p>
    <w:p>
      <w:pPr>
        <w:pStyle w:val="BodyText"/>
        <w:spacing w:line="300" w:lineRule="auto"/>
        <w:ind w:right="1130" w:firstLine="360"/>
        <w:jc w:val="both"/>
      </w:pPr>
      <w:r>
        <w:rPr/>
        <w:t>在研发发展规划方面：公司历来重视技术研发及科技创新，截至目前，公司及下属子公司共拥有国家专利</w:t>
      </w:r>
      <w:r>
        <w:rPr>
          <w:rFonts w:ascii="Times New Roman" w:hAnsi="Times New Roman" w:cs="Times New Roman" w:eastAsia="Times New Roman" w:hint="default"/>
        </w:rPr>
        <w:t>379</w:t>
      </w:r>
      <w:r>
        <w:rPr/>
        <w:t>项，其中 </w:t>
      </w:r>
      <w:r>
        <w:rPr>
          <w:spacing w:val="-1"/>
        </w:rPr>
        <w:t>包括</w:t>
      </w:r>
      <w:r>
        <w:rPr>
          <w:rFonts w:ascii="Times New Roman" w:hAnsi="Times New Roman" w:cs="Times New Roman" w:eastAsia="Times New Roman" w:hint="default"/>
          <w:spacing w:val="-1"/>
        </w:rPr>
        <w:t>77</w:t>
      </w:r>
      <w:r>
        <w:rPr>
          <w:spacing w:val="-1"/>
        </w:rPr>
        <w:t>项发明专利、</w:t>
      </w:r>
      <w:r>
        <w:rPr>
          <w:rFonts w:ascii="Times New Roman" w:hAnsi="Times New Roman" w:cs="Times New Roman" w:eastAsia="Times New Roman" w:hint="default"/>
          <w:spacing w:val="-1"/>
        </w:rPr>
        <w:t>291</w:t>
      </w:r>
      <w:r>
        <w:rPr>
          <w:spacing w:val="-1"/>
        </w:rPr>
        <w:t>项实用新型专利和</w:t>
      </w:r>
      <w:r>
        <w:rPr>
          <w:rFonts w:ascii="Times New Roman" w:hAnsi="Times New Roman" w:cs="Times New Roman" w:eastAsia="Times New Roman" w:hint="default"/>
          <w:spacing w:val="-1"/>
        </w:rPr>
        <w:t>11</w:t>
      </w:r>
      <w:r>
        <w:rPr>
          <w:spacing w:val="-1"/>
        </w:rPr>
        <w:t>项外观专利，是</w:t>
      </w:r>
      <w:r>
        <w:rPr>
          <w:rFonts w:ascii="Times New Roman" w:hAnsi="Times New Roman" w:cs="Times New Roman" w:eastAsia="Times New Roman" w:hint="default"/>
          <w:spacing w:val="-1"/>
        </w:rPr>
        <w:t>32</w:t>
      </w:r>
      <w:r>
        <w:rPr>
          <w:spacing w:val="-1"/>
        </w:rPr>
        <w:t>项国家</w:t>
      </w:r>
      <w:r>
        <w:rPr>
          <w:rFonts w:ascii="Times New Roman" w:hAnsi="Times New Roman" w:cs="Times New Roman" w:eastAsia="Times New Roman" w:hint="default"/>
          <w:spacing w:val="-1"/>
        </w:rPr>
        <w:t>/</w:t>
      </w:r>
      <w:r>
        <w:rPr>
          <w:spacing w:val="-1"/>
        </w:rPr>
        <w:t>行业包装标准的主要起草或参与起草单位，专利和标</w:t>
      </w:r>
      <w:r>
        <w:rPr>
          <w:spacing w:val="-83"/>
        </w:rPr>
        <w:t> </w:t>
      </w:r>
      <w:r>
        <w:rPr>
          <w:spacing w:val="-83"/>
        </w:rPr>
      </w:r>
      <w:r>
        <w:rPr/>
        <w:t>准数量业内排名前列，未来仍将持续投入研发资金，实现在包装行业的技术引领。</w:t>
      </w:r>
    </w:p>
    <w:p>
      <w:pPr>
        <w:spacing w:line="240" w:lineRule="auto" w:before="4"/>
        <w:rPr>
          <w:rFonts w:ascii="宋体" w:hAnsi="宋体" w:cs="宋体" w:eastAsia="宋体" w:hint="default"/>
          <w:sz w:val="14"/>
          <w:szCs w:val="14"/>
        </w:rPr>
      </w:pPr>
    </w:p>
    <w:p>
      <w:pPr>
        <w:pStyle w:val="BodyText"/>
        <w:spacing w:line="316" w:lineRule="auto"/>
        <w:ind w:right="1130" w:firstLine="360"/>
        <w:jc w:val="both"/>
      </w:pPr>
      <w:r>
        <w:rPr>
          <w:spacing w:val="-2"/>
        </w:rPr>
        <w:t>公司目前已与包括暨南大学、湖南工业大学、西安理工大学、中国科学院苏州纳米技术与纳米仿生研究所等国内外知名</w:t>
      </w:r>
      <w:r>
        <w:rPr/>
        <w:t> </w:t>
      </w:r>
      <w:r>
        <w:rPr>
          <w:spacing w:val="-2"/>
        </w:rPr>
        <w:t>高校和科研院所建立合作关系，未来，还将不断扩大公司技术合作高校朋友圈，充分发挥校企合作优势，将更多新技术、新</w:t>
      </w:r>
      <w:r>
        <w:rPr>
          <w:spacing w:val="-69"/>
        </w:rPr>
        <w:t> </w:t>
      </w:r>
      <w:r>
        <w:rPr>
          <w:spacing w:val="-69"/>
        </w:rPr>
      </w:r>
      <w:r>
        <w:rPr/>
        <w:t>成果应用到公司产品当中。</w:t>
      </w:r>
    </w:p>
    <w:p>
      <w:pPr>
        <w:spacing w:line="240" w:lineRule="auto" w:before="5"/>
        <w:rPr>
          <w:rFonts w:ascii="宋体" w:hAnsi="宋体" w:cs="宋体" w:eastAsia="宋体" w:hint="default"/>
          <w:sz w:val="13"/>
          <w:szCs w:val="13"/>
        </w:rPr>
      </w:pPr>
    </w:p>
    <w:p>
      <w:pPr>
        <w:pStyle w:val="BodyText"/>
        <w:spacing w:line="316" w:lineRule="auto"/>
        <w:ind w:right="1132" w:firstLine="360"/>
        <w:jc w:val="both"/>
      </w:pPr>
      <w:r>
        <w:rPr>
          <w:spacing w:val="-2"/>
        </w:rPr>
        <w:t>进一步优化公司在技术研发方面的管理策略，通过更加简单、明了的奖惩方案，激发公司技术研发人才的潜力，确保公</w:t>
      </w:r>
      <w:r>
        <w:rPr/>
        <w:t> 司研发技术、科技创新源动力充足。</w:t>
      </w:r>
    </w:p>
    <w:p>
      <w:pPr>
        <w:spacing w:line="240" w:lineRule="auto" w:before="5"/>
        <w:rPr>
          <w:rFonts w:ascii="宋体" w:hAnsi="宋体" w:cs="宋体" w:eastAsia="宋体" w:hint="default"/>
          <w:sz w:val="13"/>
          <w:szCs w:val="13"/>
        </w:rPr>
      </w:pPr>
    </w:p>
    <w:p>
      <w:pPr>
        <w:pStyle w:val="BodyText"/>
        <w:spacing w:line="316" w:lineRule="auto"/>
        <w:ind w:right="1131" w:firstLine="360"/>
        <w:jc w:val="both"/>
      </w:pPr>
      <w:r>
        <w:rPr/>
        <w:t>在人才发展规划方面：</w:t>
      </w:r>
      <w:r>
        <w:rPr>
          <w:spacing w:val="-59"/>
        </w:rPr>
        <w:t> </w:t>
      </w:r>
      <w:r>
        <w:rPr/>
        <w:t>公司未来将加大资金投入，实现对更多年轻、高学历人才的引进，做好公司各层级人员的传帮</w:t>
      </w:r>
      <w:r>
        <w:rPr/>
        <w:t> 带工作，加强人才梯队建设，为公司发展提供坚实的人才保障。</w:t>
      </w:r>
    </w:p>
    <w:p>
      <w:pPr>
        <w:spacing w:line="240" w:lineRule="auto" w:before="5"/>
        <w:rPr>
          <w:rFonts w:ascii="宋体" w:hAnsi="宋体" w:cs="宋体" w:eastAsia="宋体" w:hint="default"/>
          <w:sz w:val="13"/>
          <w:szCs w:val="13"/>
        </w:rPr>
      </w:pPr>
    </w:p>
    <w:p>
      <w:pPr>
        <w:pStyle w:val="BodyText"/>
        <w:spacing w:line="300" w:lineRule="auto"/>
        <w:ind w:right="1137" w:firstLine="360"/>
        <w:jc w:val="both"/>
      </w:pPr>
      <w:r>
        <w:rPr>
          <w:spacing w:val="-3"/>
        </w:rPr>
        <w:t>（</w:t>
      </w:r>
      <w:r>
        <w:rPr>
          <w:rFonts w:ascii="Times New Roman" w:hAnsi="Times New Roman" w:cs="Times New Roman" w:eastAsia="Times New Roman" w:hint="default"/>
          <w:spacing w:val="-3"/>
        </w:rPr>
        <w:t>1</w:t>
      </w:r>
      <w:r>
        <w:rPr>
          <w:spacing w:val="-3"/>
        </w:rPr>
        <w:t>）公司坚持以人为本、人才强企的发展战略：公司自成立以来，一贯重视员工的长远职业规划，基于</w:t>
      </w:r>
      <w:r>
        <w:rPr>
          <w:rFonts w:ascii="Times New Roman" w:hAnsi="Times New Roman" w:cs="Times New Roman" w:eastAsia="Times New Roman" w:hint="default"/>
          <w:spacing w:val="-3"/>
        </w:rPr>
        <w:t>“</w:t>
      </w:r>
      <w:r>
        <w:rPr>
          <w:spacing w:val="-3"/>
        </w:rPr>
        <w:t>帮助员工成长</w:t>
      </w:r>
      <w:r>
        <w:rPr>
          <w:rFonts w:ascii="Times New Roman" w:hAnsi="Times New Roman" w:cs="Times New Roman" w:eastAsia="Times New Roman" w:hint="default"/>
          <w:spacing w:val="-3"/>
        </w:rPr>
        <w:t>”</w:t>
      </w:r>
      <w:r>
        <w:rPr>
          <w:rFonts w:ascii="Times New Roman" w:hAnsi="Times New Roman" w:cs="Times New Roman" w:eastAsia="Times New Roman" w:hint="default"/>
          <w:w w:val="99"/>
        </w:rPr>
        <w:t> </w:t>
      </w:r>
      <w:r>
        <w:rPr/>
        <w:t>的理念，为不断提升员工岗位胜任能力，促进员工长远的职业发展，公司推行如下激励举措：</w:t>
      </w:r>
    </w:p>
    <w:p>
      <w:pPr>
        <w:spacing w:line="240" w:lineRule="auto" w:before="4"/>
        <w:rPr>
          <w:rFonts w:ascii="宋体" w:hAnsi="宋体" w:cs="宋体" w:eastAsia="宋体" w:hint="default"/>
          <w:sz w:val="14"/>
          <w:szCs w:val="14"/>
        </w:rPr>
      </w:pPr>
    </w:p>
    <w:p>
      <w:pPr>
        <w:pStyle w:val="BodyText"/>
        <w:spacing w:line="300" w:lineRule="auto"/>
        <w:ind w:right="1135" w:firstLine="360"/>
        <w:jc w:val="both"/>
      </w:pPr>
      <w:r>
        <w:rPr>
          <w:rFonts w:ascii="Times New Roman" w:hAnsi="Times New Roman" w:cs="Times New Roman" w:eastAsia="Times New Roman" w:hint="default"/>
        </w:rPr>
        <w:t>1</w:t>
      </w:r>
      <w:r>
        <w:rPr/>
        <w:t>）新员工导师制：老员工以将新员工</w:t>
      </w:r>
      <w:r>
        <w:rPr>
          <w:rFonts w:ascii="Times New Roman" w:hAnsi="Times New Roman" w:cs="Times New Roman" w:eastAsia="Times New Roman" w:hint="default"/>
        </w:rPr>
        <w:t>“</w:t>
      </w:r>
      <w:r>
        <w:rPr/>
        <w:t>带入门</w:t>
      </w:r>
      <w:r>
        <w:rPr>
          <w:rFonts w:ascii="Times New Roman" w:hAnsi="Times New Roman" w:cs="Times New Roman" w:eastAsia="Times New Roman" w:hint="default"/>
        </w:rPr>
        <w:t>”</w:t>
      </w:r>
      <w:r>
        <w:rPr/>
        <w:t>为目标，以将新员工</w:t>
      </w:r>
      <w:r>
        <w:rPr>
          <w:rFonts w:ascii="Times New Roman" w:hAnsi="Times New Roman" w:cs="Times New Roman" w:eastAsia="Times New Roman" w:hint="default"/>
        </w:rPr>
        <w:t>“</w:t>
      </w:r>
      <w:r>
        <w:rPr/>
        <w:t>带成器</w:t>
      </w:r>
      <w:r>
        <w:rPr>
          <w:rFonts w:ascii="Times New Roman" w:hAnsi="Times New Roman" w:cs="Times New Roman" w:eastAsia="Times New Roman" w:hint="default"/>
        </w:rPr>
        <w:t>”</w:t>
      </w:r>
      <w:r>
        <w:rPr/>
        <w:t>为宗旨，老员工定期与新员工进行面谈辅 导，帮助新员工尽快适应工作环境，提升工作技能，并引导新员工做好职业发展规划。</w:t>
      </w:r>
    </w:p>
    <w:p>
      <w:pPr>
        <w:spacing w:after="0" w:line="300" w:lineRule="auto"/>
        <w:jc w:val="both"/>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12" w:right="0"/>
        <w:jc w:val="left"/>
      </w:pPr>
      <w:r>
        <w:rPr>
          <w:rFonts w:ascii="Times New Roman" w:hAnsi="Times New Roman" w:cs="Times New Roman" w:eastAsia="Times New Roman" w:hint="default"/>
        </w:rPr>
        <w:t>2</w:t>
      </w:r>
      <w:r>
        <w:rPr/>
        <w:t>）岗位类别和晋升通道：公司岗位类别分为管理岗和专业技术岗。上述两类岗位的发展通道为：①管理通道：新员工</w:t>
      </w:r>
    </w:p>
    <w:p>
      <w:pPr>
        <w:pStyle w:val="BodyText"/>
        <w:spacing w:line="240" w:lineRule="auto" w:before="63"/>
        <w:ind w:right="0"/>
        <w:jc w:val="left"/>
      </w:pPr>
      <w:r>
        <w:rPr>
          <w:rFonts w:ascii="Times New Roman" w:hAnsi="Times New Roman" w:cs="Times New Roman" w:eastAsia="Times New Roman" w:hint="default"/>
        </w:rPr>
        <w:t>—</w:t>
      </w:r>
      <w:r>
        <w:rPr/>
        <w:t>主管</w:t>
      </w:r>
      <w:r>
        <w:rPr>
          <w:rFonts w:ascii="Times New Roman" w:hAnsi="Times New Roman" w:cs="Times New Roman" w:eastAsia="Times New Roman" w:hint="default"/>
        </w:rPr>
        <w:t>—</w:t>
      </w:r>
      <w:r>
        <w:rPr/>
        <w:t>经理</w:t>
      </w:r>
      <w:r>
        <w:rPr>
          <w:rFonts w:ascii="Times New Roman" w:hAnsi="Times New Roman" w:cs="Times New Roman" w:eastAsia="Times New Roman" w:hint="default"/>
        </w:rPr>
        <w:t>—</w:t>
      </w:r>
      <w:r>
        <w:rPr/>
        <w:t>总监</w:t>
      </w:r>
      <w:r>
        <w:rPr>
          <w:rFonts w:ascii="Times New Roman" w:hAnsi="Times New Roman" w:cs="Times New Roman" w:eastAsia="Times New Roman" w:hint="default"/>
        </w:rPr>
        <w:t>—</w:t>
      </w:r>
      <w:r>
        <w:rPr/>
        <w:t>高管；②技术通道：新员工</w:t>
      </w:r>
      <w:r>
        <w:rPr>
          <w:rFonts w:ascii="Times New Roman" w:hAnsi="Times New Roman" w:cs="Times New Roman" w:eastAsia="Times New Roman" w:hint="default"/>
        </w:rPr>
        <w:t>—</w:t>
      </w:r>
      <w:r>
        <w:rPr/>
        <w:t>初级</w:t>
      </w:r>
      <w:r>
        <w:rPr>
          <w:rFonts w:ascii="Times New Roman" w:hAnsi="Times New Roman" w:cs="Times New Roman" w:eastAsia="Times New Roman" w:hint="default"/>
        </w:rPr>
        <w:t>—</w:t>
      </w:r>
      <w:r>
        <w:rPr/>
        <w:t>中级</w:t>
      </w:r>
      <w:r>
        <w:rPr>
          <w:rFonts w:ascii="Times New Roman" w:hAnsi="Times New Roman" w:cs="Times New Roman" w:eastAsia="Times New Roman" w:hint="default"/>
        </w:rPr>
        <w:t>—</w:t>
      </w:r>
      <w:r>
        <w:rPr/>
        <w:t>高级</w:t>
      </w:r>
      <w:r>
        <w:rPr>
          <w:rFonts w:ascii="Times New Roman" w:hAnsi="Times New Roman" w:cs="Times New Roman" w:eastAsia="Times New Roman" w:hint="default"/>
        </w:rPr>
        <w:t>—</w:t>
      </w:r>
      <w:r>
        <w:rPr/>
        <w:t>专家</w:t>
      </w:r>
      <w:r>
        <w:rPr>
          <w:rFonts w:ascii="Times New Roman" w:hAnsi="Times New Roman" w:cs="Times New Roman" w:eastAsia="Times New Roman" w:hint="default"/>
        </w:rPr>
        <w:t>—</w:t>
      </w:r>
      <w:r>
        <w:rPr/>
        <w:t>资深专家。</w:t>
      </w:r>
    </w:p>
    <w:p>
      <w:pPr>
        <w:spacing w:line="240" w:lineRule="auto" w:before="9"/>
        <w:rPr>
          <w:rFonts w:ascii="宋体" w:hAnsi="宋体" w:cs="宋体" w:eastAsia="宋体" w:hint="default"/>
          <w:sz w:val="16"/>
          <w:szCs w:val="16"/>
        </w:rPr>
      </w:pPr>
    </w:p>
    <w:p>
      <w:pPr>
        <w:pStyle w:val="BodyText"/>
        <w:spacing w:line="300" w:lineRule="auto"/>
        <w:ind w:right="1132" w:firstLine="360"/>
        <w:jc w:val="both"/>
      </w:pPr>
      <w:r>
        <w:rPr>
          <w:rFonts w:ascii="Times New Roman" w:hAnsi="Times New Roman" w:cs="Times New Roman" w:eastAsia="Times New Roman" w:hint="default"/>
        </w:rPr>
        <w:t>3</w:t>
      </w:r>
      <w:r>
        <w:rPr/>
        <w:t>）多元化的成长机会：公司为员工提供各种培训、轮岗、转岗、竞争上岗等多种方式，帮助员工获得职业发展所需的 知识、技能和经验。</w:t>
      </w:r>
    </w:p>
    <w:p>
      <w:pPr>
        <w:spacing w:line="240" w:lineRule="auto" w:before="4"/>
        <w:rPr>
          <w:rFonts w:ascii="宋体" w:hAnsi="宋体" w:cs="宋体" w:eastAsia="宋体" w:hint="default"/>
          <w:sz w:val="14"/>
          <w:szCs w:val="14"/>
        </w:rPr>
      </w:pPr>
    </w:p>
    <w:p>
      <w:pPr>
        <w:pStyle w:val="BodyText"/>
        <w:spacing w:line="316" w:lineRule="auto"/>
        <w:ind w:right="1132" w:firstLine="360"/>
        <w:jc w:val="both"/>
      </w:pPr>
      <w:r>
        <w:rPr>
          <w:spacing w:val="-2"/>
        </w:rPr>
        <w:t>在上述职业发展的规划外，公司还高度重视员工的培训工作，在加强对全体员工高素质培训的同时有重点有选择地对优</w:t>
      </w:r>
      <w:r>
        <w:rPr/>
        <w:t> </w:t>
      </w:r>
      <w:r>
        <w:rPr>
          <w:spacing w:val="-2"/>
        </w:rPr>
        <w:t>秀员工进行培养，并大力支持对管理和技术人员的各类高级培训。对于新加入的大学生，公司为其提供全方位培训计划，包</w:t>
      </w:r>
      <w:r>
        <w:rPr>
          <w:spacing w:val="-65"/>
        </w:rPr>
        <w:t> </w:t>
      </w:r>
      <w:r>
        <w:rPr>
          <w:spacing w:val="-65"/>
        </w:rPr>
      </w:r>
      <w:r>
        <w:rPr/>
        <w:t>括集中培训学习、不同岗位实习、岗位实践等。</w:t>
      </w:r>
    </w:p>
    <w:p>
      <w:pPr>
        <w:spacing w:line="240" w:lineRule="auto" w:before="5"/>
        <w:rPr>
          <w:rFonts w:ascii="宋体" w:hAnsi="宋体" w:cs="宋体" w:eastAsia="宋体" w:hint="default"/>
          <w:sz w:val="13"/>
          <w:szCs w:val="13"/>
        </w:rPr>
      </w:pPr>
    </w:p>
    <w:p>
      <w:pPr>
        <w:pStyle w:val="BodyText"/>
        <w:spacing w:line="316" w:lineRule="auto"/>
        <w:ind w:right="0" w:firstLine="360"/>
        <w:jc w:val="left"/>
      </w:pPr>
      <w:r>
        <w:rPr>
          <w:spacing w:val="-4"/>
        </w:rPr>
        <w:t>坚持以人为本、人才强企的发展战略，通过上述各类激励举措、员工培训，公司有效激励各级员工奋勇争先，拼搏进取，</w:t>
      </w:r>
      <w:r>
        <w:rPr/>
        <w:t> </w:t>
      </w:r>
      <w:r>
        <w:rPr>
          <w:spacing w:val="-2"/>
        </w:rPr>
        <w:t>与公司一同紧随国家大力发展实业制造的步伐，走在时代发展潮流前沿，引领纸包装行业向专业化、科技化、智能化的道路</w:t>
      </w:r>
      <w:r>
        <w:rPr>
          <w:spacing w:val="-65"/>
        </w:rPr>
        <w:t> </w:t>
      </w:r>
      <w:r>
        <w:rPr>
          <w:spacing w:val="-65"/>
        </w:rPr>
      </w:r>
      <w:r>
        <w:rPr/>
        <w:t>前行，助力公司实现快速跨入百亿收入强企行列的目标。</w:t>
      </w:r>
    </w:p>
    <w:p>
      <w:pPr>
        <w:spacing w:line="240" w:lineRule="auto" w:before="5"/>
        <w:rPr>
          <w:rFonts w:ascii="宋体" w:hAnsi="宋体" w:cs="宋体" w:eastAsia="宋体" w:hint="default"/>
          <w:sz w:val="13"/>
          <w:szCs w:val="13"/>
        </w:rPr>
      </w:pPr>
    </w:p>
    <w:p>
      <w:pPr>
        <w:pStyle w:val="BodyText"/>
        <w:spacing w:line="309" w:lineRule="auto"/>
        <w:ind w:right="1130" w:firstLine="360"/>
        <w:jc w:val="both"/>
      </w:pPr>
      <w:r>
        <w:rPr/>
        <w:t>（</w:t>
      </w:r>
      <w:r>
        <w:rPr>
          <w:rFonts w:ascii="Times New Roman" w:hAnsi="Times New Roman" w:cs="Times New Roman" w:eastAsia="Times New Roman" w:hint="default"/>
        </w:rPr>
        <w:t>2</w:t>
      </w:r>
      <w:r>
        <w:rPr/>
        <w:t>）公司建立公平公正、完善合理的考核制度：公司自成立以来，凭借领先的包装一体化服务理念以及优质的产品及 </w:t>
      </w:r>
      <w:r>
        <w:rPr>
          <w:spacing w:val="-2"/>
        </w:rPr>
        <w:t>服务质量，逐步成长为纸包装行业领军企业。公司已建立起符合目前发展阶段的人才选拔与考核制度，包括《绩效考核管理</w:t>
      </w:r>
      <w:r>
        <w:rPr>
          <w:spacing w:val="-65"/>
        </w:rPr>
        <w:t> </w:t>
      </w:r>
      <w:r>
        <w:rPr>
          <w:spacing w:val="-65"/>
        </w:rPr>
      </w:r>
      <w:r>
        <w:rPr>
          <w:spacing w:val="-2"/>
        </w:rPr>
        <w:t>制度》、《培训管理制度》、《招聘录用管理规定》等，成立绩效管理委员会，其中由公司总裁任委员会主席、各部门负责</w:t>
      </w:r>
      <w:r>
        <w:rPr>
          <w:spacing w:val="-67"/>
        </w:rPr>
        <w:t> </w:t>
      </w:r>
      <w:r>
        <w:rPr>
          <w:spacing w:val="-67"/>
        </w:rPr>
      </w:r>
      <w:r>
        <w:rPr/>
        <w:t>人担任委员会委员、绩效主管及专员担任绩效考核执行小组成员，采用</w:t>
      </w:r>
      <w:r>
        <w:rPr>
          <w:rFonts w:ascii="Times New Roman" w:hAnsi="Times New Roman" w:cs="Times New Roman" w:eastAsia="Times New Roman" w:hint="default"/>
        </w:rPr>
        <w:t>KPI</w:t>
      </w:r>
      <w:r>
        <w:rPr/>
        <w:t>、</w:t>
      </w:r>
      <w:r>
        <w:rPr>
          <w:rFonts w:ascii="Times New Roman" w:hAnsi="Times New Roman" w:cs="Times New Roman" w:eastAsia="Times New Roman" w:hint="default"/>
        </w:rPr>
        <w:t>KBI</w:t>
      </w:r>
      <w:r>
        <w:rPr/>
        <w:t>考核形式，以月度、年度作为考核周期，</w:t>
      </w:r>
      <w:r>
        <w:rPr>
          <w:spacing w:val="-67"/>
        </w:rPr>
        <w:t> </w:t>
      </w:r>
      <w:r>
        <w:rPr>
          <w:spacing w:val="-67"/>
        </w:rPr>
      </w:r>
      <w:r>
        <w:rPr/>
        <w:t>分管理类、职员类进行分类考核，并提供绩效申诉、绩效反馈及面谈等结果反馈渠道。</w:t>
      </w:r>
    </w:p>
    <w:p>
      <w:pPr>
        <w:spacing w:line="240" w:lineRule="auto" w:before="10"/>
        <w:rPr>
          <w:rFonts w:ascii="宋体" w:hAnsi="宋体" w:cs="宋体" w:eastAsia="宋体" w:hint="default"/>
          <w:sz w:val="13"/>
          <w:szCs w:val="13"/>
        </w:rPr>
      </w:pPr>
    </w:p>
    <w:p>
      <w:pPr>
        <w:pStyle w:val="BodyText"/>
        <w:spacing w:line="316" w:lineRule="auto"/>
        <w:ind w:right="1130" w:firstLine="360"/>
        <w:jc w:val="both"/>
      </w:pPr>
      <w:r>
        <w:rPr>
          <w:spacing w:val="-2"/>
        </w:rPr>
        <w:t>公平公正、完善合理的考核制度，是公司实现持续健康发展、对员工进行合理评价、提升员工工作积极性和主观能动性</w:t>
      </w:r>
      <w:r>
        <w:rPr/>
        <w:t> 的基础，是公司全体员工凝心聚力、锐意进取的基石，更是公司选拔与发掘优秀人才的标尺。</w:t>
      </w:r>
    </w:p>
    <w:p>
      <w:pPr>
        <w:spacing w:line="240" w:lineRule="auto" w:before="5"/>
        <w:rPr>
          <w:rFonts w:ascii="宋体" w:hAnsi="宋体" w:cs="宋体" w:eastAsia="宋体" w:hint="default"/>
          <w:sz w:val="13"/>
          <w:szCs w:val="13"/>
        </w:rPr>
      </w:pPr>
    </w:p>
    <w:p>
      <w:pPr>
        <w:pStyle w:val="BodyText"/>
        <w:spacing w:line="309" w:lineRule="auto"/>
        <w:ind w:right="0" w:firstLine="360"/>
        <w:jc w:val="left"/>
      </w:pPr>
      <w:r>
        <w:rPr>
          <w:spacing w:val="-2"/>
        </w:rPr>
        <w:t>（</w:t>
      </w:r>
      <w:r>
        <w:rPr>
          <w:rFonts w:ascii="Times New Roman" w:hAnsi="Times New Roman" w:cs="Times New Roman" w:eastAsia="Times New Roman" w:hint="default"/>
          <w:spacing w:val="-2"/>
        </w:rPr>
        <w:t>3</w:t>
      </w:r>
      <w:r>
        <w:rPr>
          <w:spacing w:val="-2"/>
        </w:rPr>
        <w:t>）公司搭建灵活有序、结构合理的人才梯队：公司自</w:t>
      </w:r>
      <w:r>
        <w:rPr>
          <w:rFonts w:ascii="Times New Roman" w:hAnsi="Times New Roman" w:cs="Times New Roman" w:eastAsia="Times New Roman" w:hint="default"/>
          <w:spacing w:val="-2"/>
        </w:rPr>
        <w:t>2007</w:t>
      </w:r>
      <w:r>
        <w:rPr>
          <w:spacing w:val="-2"/>
        </w:rPr>
        <w:t>年以来推行</w:t>
      </w:r>
      <w:r>
        <w:rPr>
          <w:rFonts w:ascii="Times New Roman" w:hAnsi="Times New Roman" w:cs="Times New Roman" w:eastAsia="Times New Roman" w:hint="default"/>
          <w:spacing w:val="-2"/>
        </w:rPr>
        <w:t>“</w:t>
      </w:r>
      <w:r>
        <w:rPr>
          <w:spacing w:val="-2"/>
        </w:rPr>
        <w:t>金种子</w:t>
      </w:r>
      <w:r>
        <w:rPr>
          <w:rFonts w:ascii="Times New Roman" w:hAnsi="Times New Roman" w:cs="Times New Roman" w:eastAsia="Times New Roman" w:hint="default"/>
          <w:spacing w:val="-2"/>
        </w:rPr>
        <w:t>”</w:t>
      </w:r>
      <w:r>
        <w:rPr>
          <w:spacing w:val="-2"/>
        </w:rPr>
        <w:t>校招计划，面向全国优秀应届毕业生，</w:t>
      </w:r>
      <w:r>
        <w:rPr/>
        <w:t> </w:t>
      </w:r>
      <w:r>
        <w:rPr>
          <w:spacing w:val="-2"/>
        </w:rPr>
        <w:t>招募包括综合管理类、业务营销类、研发技术类等不同岗位优秀人才，给予应届毕业生更加灵活、富有竞争力的薪酬福利和</w:t>
      </w:r>
      <w:r>
        <w:rPr>
          <w:spacing w:val="-66"/>
        </w:rPr>
        <w:t> </w:t>
      </w:r>
      <w:r>
        <w:rPr>
          <w:spacing w:val="-66"/>
        </w:rPr>
      </w:r>
      <w:r>
        <w:rPr/>
        <w:t>职业发展前景。</w:t>
      </w:r>
      <w:r>
        <w:rPr>
          <w:rFonts w:ascii="Times New Roman" w:hAnsi="Times New Roman" w:cs="Times New Roman" w:eastAsia="Times New Roman" w:hint="default"/>
        </w:rPr>
        <w:t>12</w:t>
      </w:r>
      <w:r>
        <w:rPr/>
        <w:t>年以来，已在公司内部培养出多位优秀骨干领导、厂长，为公司输送了无数新鲜的血液。</w:t>
      </w:r>
    </w:p>
    <w:p>
      <w:pPr>
        <w:pStyle w:val="BodyText"/>
        <w:spacing w:line="300" w:lineRule="auto" w:before="161"/>
        <w:ind w:right="1136" w:firstLine="36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日，公司拥有员工总数</w:t>
      </w:r>
      <w:r>
        <w:rPr>
          <w:rFonts w:ascii="Times New Roman" w:hAnsi="Times New Roman" w:cs="Times New Roman" w:eastAsia="Times New Roman" w:hint="default"/>
        </w:rPr>
        <w:t>4,900</w:t>
      </w:r>
      <w:r>
        <w:rPr/>
        <w:t>人，其中行政管理人员</w:t>
      </w:r>
      <w:r>
        <w:rPr>
          <w:rFonts w:ascii="Times New Roman" w:hAnsi="Times New Roman" w:cs="Times New Roman" w:eastAsia="Times New Roman" w:hint="default"/>
        </w:rPr>
        <w:t>628</w:t>
      </w:r>
      <w:r>
        <w:rPr/>
        <w:t>人、财务人员</w:t>
      </w:r>
      <w:r>
        <w:rPr>
          <w:rFonts w:ascii="Times New Roman" w:hAnsi="Times New Roman" w:cs="Times New Roman" w:eastAsia="Times New Roman" w:hint="default"/>
        </w:rPr>
        <w:t>92</w:t>
      </w:r>
      <w:r>
        <w:rPr/>
        <w:t>人、技术人员</w:t>
      </w:r>
      <w:r>
        <w:rPr>
          <w:rFonts w:ascii="Times New Roman" w:hAnsi="Times New Roman" w:cs="Times New Roman" w:eastAsia="Times New Roman" w:hint="default"/>
        </w:rPr>
        <w:t>673</w:t>
      </w:r>
      <w:r>
        <w:rPr/>
        <w:t>人、销售人 员</w:t>
      </w:r>
      <w:r>
        <w:rPr>
          <w:rFonts w:ascii="Times New Roman" w:hAnsi="Times New Roman" w:cs="Times New Roman" w:eastAsia="Times New Roman" w:hint="default"/>
        </w:rPr>
        <w:t>367</w:t>
      </w:r>
      <w:r>
        <w:rPr/>
        <w:t>人、生产人员</w:t>
      </w:r>
      <w:r>
        <w:rPr>
          <w:rFonts w:ascii="Times New Roman" w:hAnsi="Times New Roman" w:cs="Times New Roman" w:eastAsia="Times New Roman" w:hint="default"/>
        </w:rPr>
        <w:t>3,140</w:t>
      </w:r>
      <w:r>
        <w:rPr/>
        <w:t>人；本科以上人员</w:t>
      </w:r>
      <w:r>
        <w:rPr>
          <w:rFonts w:ascii="Times New Roman" w:hAnsi="Times New Roman" w:cs="Times New Roman" w:eastAsia="Times New Roman" w:hint="default"/>
        </w:rPr>
        <w:t>452</w:t>
      </w:r>
      <w:r>
        <w:rPr/>
        <w:t>人。公司人员结构合理，高学历人员数量较多。</w:t>
      </w:r>
    </w:p>
    <w:p>
      <w:pPr>
        <w:spacing w:line="240" w:lineRule="auto" w:before="12"/>
        <w:rPr>
          <w:rFonts w:ascii="宋体" w:hAnsi="宋体" w:cs="宋体" w:eastAsia="宋体" w:hint="default"/>
          <w:sz w:val="12"/>
          <w:szCs w:val="12"/>
        </w:rPr>
      </w:pPr>
    </w:p>
    <w:p>
      <w:pPr>
        <w:pStyle w:val="BodyText"/>
        <w:spacing w:line="300" w:lineRule="auto"/>
        <w:ind w:right="1133" w:firstLine="360"/>
        <w:jc w:val="both"/>
      </w:pPr>
      <w:r>
        <w:rPr>
          <w:spacing w:val="-4"/>
        </w:rPr>
        <w:t>灵活有序、结构合理的人才梯队建设是公司数十年来坚持不懈、开放包容、科学规范运行的成果，公司将牢记习主席</w:t>
      </w:r>
      <w:r>
        <w:rPr>
          <w:rFonts w:ascii="Times New Roman" w:hAnsi="Times New Roman" w:cs="Times New Roman" w:eastAsia="Times New Roman" w:hint="default"/>
          <w:spacing w:val="-4"/>
        </w:rPr>
        <w:t>“</w:t>
      </w:r>
      <w:r>
        <w:rPr>
          <w:spacing w:val="-4"/>
        </w:rPr>
        <w:t>只</w:t>
      </w:r>
      <w:r>
        <w:rPr/>
        <w:t> 争朝夕，不负韶华</w:t>
      </w:r>
      <w:r>
        <w:rPr>
          <w:rFonts w:ascii="Times New Roman" w:hAnsi="Times New Roman" w:cs="Times New Roman" w:eastAsia="Times New Roman" w:hint="default"/>
        </w:rPr>
        <w:t>”</w:t>
      </w:r>
      <w:r>
        <w:rPr/>
        <w:t>的青春誓言，鼓励每一位员工做一个奋斗者、奉献者和坚定者，在公司的每一个岗位上兢兢业业、脚踏</w:t>
      </w:r>
      <w:r>
        <w:rPr>
          <w:spacing w:val="-79"/>
        </w:rPr>
        <w:t> </w:t>
      </w:r>
      <w:r>
        <w:rPr>
          <w:spacing w:val="-79"/>
        </w:rPr>
      </w:r>
      <w:r>
        <w:rPr/>
        <w:t>实地，实现自己的职业梦想，做新时代的追梦者。</w:t>
      </w:r>
    </w:p>
    <w:p>
      <w:pPr>
        <w:pStyle w:val="BodyText"/>
        <w:spacing w:line="468" w:lineRule="exact" w:before="23"/>
        <w:ind w:left="512" w:right="0"/>
        <w:jc w:val="left"/>
      </w:pPr>
      <w:r>
        <w:rPr>
          <w:rFonts w:ascii="Times New Roman" w:hAnsi="Times New Roman" w:cs="Times New Roman" w:eastAsia="Times New Roman" w:hint="default"/>
        </w:rPr>
        <w:t>3</w:t>
      </w:r>
      <w:r>
        <w:rPr/>
        <w:t>、发展面临的机遇：详见本节行业分析及以下内容 </w:t>
      </w:r>
      <w:r>
        <w:rPr>
          <w:spacing w:val="-2"/>
        </w:rPr>
        <w:t>公司经营性现金流较为充足、资产负债率较低、财务稳健、经营能力较强，有利于公司把握潜在的市场业务及新产业发</w:t>
      </w:r>
    </w:p>
    <w:p>
      <w:pPr>
        <w:pStyle w:val="BodyText"/>
        <w:spacing w:line="240" w:lineRule="auto" w:before="8"/>
        <w:ind w:right="0"/>
        <w:jc w:val="left"/>
      </w:pPr>
      <w:r>
        <w:rPr/>
        <w:t>展机会，为公司实现跨越式发展奠定良好的基础。</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4</w:t>
      </w:r>
      <w:r>
        <w:rPr/>
        <w:t>、发展面临的挑战</w:t>
      </w:r>
    </w:p>
    <w:p>
      <w:pPr>
        <w:pStyle w:val="BodyText"/>
        <w:spacing w:line="450" w:lineRule="atLeast" w:before="18"/>
        <w:ind w:left="512" w:right="0"/>
        <w:jc w:val="left"/>
      </w:pPr>
      <w:r>
        <w:rPr/>
        <w:t>（</w:t>
      </w:r>
      <w:r>
        <w:rPr>
          <w:rFonts w:ascii="Times New Roman" w:hAnsi="Times New Roman" w:cs="Times New Roman" w:eastAsia="Times New Roman" w:hint="default"/>
        </w:rPr>
        <w:t>1</w:t>
      </w:r>
      <w:r>
        <w:rPr/>
        <w:t>）行业竞争日趋激烈带来的挑战。 </w:t>
      </w:r>
      <w:r>
        <w:rPr>
          <w:spacing w:val="-4"/>
        </w:rPr>
        <w:t>总体而言，包装印刷行业市场空间巨大，行业集中度不断提升。但随着行业内众多具有一定竞争优势的企业的发展壮大，</w:t>
      </w:r>
    </w:p>
    <w:p>
      <w:pPr>
        <w:pStyle w:val="BodyText"/>
        <w:spacing w:line="240" w:lineRule="auto" w:before="76"/>
        <w:ind w:right="0"/>
        <w:jc w:val="left"/>
      </w:pPr>
      <w:r>
        <w:rPr/>
        <w:t>行业竞争日趋激烈，部分业内企业甚至采取打</w:t>
      </w:r>
      <w:r>
        <w:rPr>
          <w:rFonts w:ascii="Times New Roman" w:hAnsi="Times New Roman" w:cs="Times New Roman" w:eastAsia="Times New Roman" w:hint="default"/>
        </w:rPr>
        <w:t>“</w:t>
      </w:r>
      <w:r>
        <w:rPr/>
        <w:t>价格战</w:t>
      </w:r>
      <w:r>
        <w:rPr>
          <w:rFonts w:ascii="Times New Roman" w:hAnsi="Times New Roman" w:cs="Times New Roman" w:eastAsia="Times New Roman" w:hint="default"/>
        </w:rPr>
        <w:t>”</w:t>
      </w:r>
      <w:r>
        <w:rPr/>
        <w:t>的低层次的竞争模式，给业内领先企业带来一定的竞争压力。</w:t>
      </w:r>
    </w:p>
    <w:p>
      <w:pPr>
        <w:pStyle w:val="BodyText"/>
        <w:spacing w:line="450" w:lineRule="atLeast" w:before="18"/>
        <w:ind w:left="512" w:right="0"/>
        <w:jc w:val="left"/>
      </w:pPr>
      <w:r>
        <w:rPr/>
        <w:t>（</w:t>
      </w:r>
      <w:r>
        <w:rPr>
          <w:rFonts w:ascii="Times New Roman" w:hAnsi="Times New Roman" w:cs="Times New Roman" w:eastAsia="Times New Roman" w:hint="default"/>
        </w:rPr>
        <w:t>2</w:t>
      </w:r>
      <w:r>
        <w:rPr/>
        <w:t>）人才引进方面的挑战。 </w:t>
      </w:r>
      <w:r>
        <w:rPr>
          <w:spacing w:val="-2"/>
        </w:rPr>
        <w:t>公司正处于快速发展、扩张期，对于较多的中高级管理人员，国际型人才、核心研发人员、工艺工程师等关键岗位人员</w:t>
      </w:r>
    </w:p>
    <w:p>
      <w:pPr>
        <w:pStyle w:val="BodyText"/>
        <w:spacing w:line="316" w:lineRule="auto" w:before="76"/>
        <w:ind w:right="0"/>
        <w:jc w:val="left"/>
      </w:pPr>
      <w:r>
        <w:rPr>
          <w:spacing w:val="-2"/>
        </w:rPr>
        <w:t>的引进、培训管理以及生产供应链的管理提出了更高的要求。能否及时引进适合公司发展、理解并契合公司企业文化、商业</w:t>
      </w:r>
      <w:r>
        <w:rPr>
          <w:spacing w:val="-64"/>
        </w:rPr>
        <w:t> </w:t>
      </w:r>
      <w:r>
        <w:rPr>
          <w:spacing w:val="-64"/>
        </w:rPr>
      </w:r>
      <w:r>
        <w:rPr/>
        <w:t>模式的人才并通过更先进更完善的管理机制、激励机制来满足快速发展的需求存在一定的挑战。</w:t>
      </w:r>
    </w:p>
    <w:p>
      <w:pPr>
        <w:spacing w:after="0" w:line="316"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left="512" w:right="0"/>
        <w:jc w:val="left"/>
      </w:pPr>
      <w:r>
        <w:rPr/>
        <w:t>（3）工业大麻、人造肉等新业务面临监管政策、行业政策、市场培育、技术创新等可能存在的挑战。</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t>（五）公司</w:t>
      </w:r>
      <w:r>
        <w:rPr>
          <w:rFonts w:ascii="Times New Roman" w:hAnsi="Times New Roman" w:cs="Times New Roman" w:eastAsia="Times New Roman" w:hint="default"/>
        </w:rPr>
        <w:t>2020</w:t>
      </w:r>
      <w:r>
        <w:rPr/>
        <w:t>年度经营计划</w:t>
      </w:r>
    </w:p>
    <w:p>
      <w:pPr>
        <w:spacing w:line="240" w:lineRule="auto" w:before="9"/>
        <w:rPr>
          <w:rFonts w:ascii="宋体" w:hAnsi="宋体" w:cs="宋体" w:eastAsia="宋体" w:hint="default"/>
          <w:sz w:val="16"/>
          <w:szCs w:val="16"/>
        </w:rPr>
      </w:pPr>
    </w:p>
    <w:p>
      <w:pPr>
        <w:pStyle w:val="BodyText"/>
        <w:spacing w:line="309" w:lineRule="auto"/>
        <w:ind w:right="1034" w:firstLine="360"/>
        <w:jc w:val="left"/>
      </w:pPr>
      <w:r>
        <w:rPr>
          <w:rFonts w:ascii="Times New Roman" w:hAnsi="Times New Roman" w:cs="Times New Roman" w:eastAsia="Times New Roman" w:hint="default"/>
        </w:rPr>
        <w:t>2020</w:t>
      </w:r>
      <w:r>
        <w:rPr/>
        <w:t>年，公司将在集团党委、董事会的指导下，在各项战略规划指引下，积极把握包装印刷产业行业集中度加速提升， </w:t>
      </w:r>
      <w:r>
        <w:rPr>
          <w:spacing w:val="-2"/>
        </w:rPr>
        <w:t>下游产业稳健、快速增长，国家政策积极支持打造一批具有较高国内市场占有率和较强国际市场竞争力的包装品牌等为行业</w:t>
      </w:r>
      <w:r>
        <w:rPr>
          <w:spacing w:val="-64"/>
        </w:rPr>
        <w:t> </w:t>
      </w:r>
      <w:r>
        <w:rPr>
          <w:spacing w:val="-64"/>
        </w:rPr>
      </w:r>
      <w:r>
        <w:rPr/>
        <w:t>领先企业带来的发展机遇，只争朝夕，不负韶华，力争实现销售收入和净利润持续增长。为此，公司将着力开展如下工作：</w:t>
      </w:r>
    </w:p>
    <w:p>
      <w:pPr>
        <w:spacing w:line="240" w:lineRule="auto" w:before="10"/>
        <w:rPr>
          <w:rFonts w:ascii="宋体" w:hAnsi="宋体" w:cs="宋体" w:eastAsia="宋体" w:hint="default"/>
          <w:sz w:val="13"/>
          <w:szCs w:val="13"/>
        </w:rPr>
      </w:pPr>
    </w:p>
    <w:p>
      <w:pPr>
        <w:pStyle w:val="BodyText"/>
        <w:spacing w:line="240" w:lineRule="auto"/>
        <w:ind w:left="512" w:right="0"/>
        <w:jc w:val="left"/>
      </w:pPr>
      <w:r>
        <w:rPr>
          <w:rFonts w:ascii="Times New Roman" w:hAnsi="Times New Roman" w:cs="Times New Roman" w:eastAsia="Times New Roman" w:hint="default"/>
        </w:rPr>
        <w:t>1</w:t>
      </w:r>
      <w:r>
        <w:rPr/>
        <w:t>、继续加大包装主业的发展力度</w:t>
      </w:r>
    </w:p>
    <w:p>
      <w:pPr>
        <w:spacing w:line="240" w:lineRule="auto" w:before="9"/>
        <w:rPr>
          <w:rFonts w:ascii="宋体" w:hAnsi="宋体" w:cs="宋体" w:eastAsia="宋体" w:hint="default"/>
          <w:sz w:val="16"/>
          <w:szCs w:val="16"/>
        </w:rPr>
      </w:pPr>
    </w:p>
    <w:p>
      <w:pPr>
        <w:pStyle w:val="BodyText"/>
        <w:spacing w:line="300" w:lineRule="auto"/>
        <w:ind w:right="1118" w:firstLine="360"/>
        <w:jc w:val="left"/>
      </w:pPr>
      <w:r>
        <w:rPr>
          <w:spacing w:val="-1"/>
        </w:rPr>
        <w:t>（</w:t>
      </w:r>
      <w:r>
        <w:rPr>
          <w:rFonts w:ascii="Times New Roman" w:hAnsi="Times New Roman" w:cs="Times New Roman" w:eastAsia="Times New Roman" w:hint="default"/>
          <w:spacing w:val="-1"/>
        </w:rPr>
        <w:t>1</w:t>
      </w:r>
      <w:r>
        <w:rPr>
          <w:spacing w:val="-1"/>
        </w:rPr>
        <w:t>）积极把握</w:t>
      </w:r>
      <w:r>
        <w:rPr>
          <w:rFonts w:ascii="Times New Roman" w:hAnsi="Times New Roman" w:cs="Times New Roman" w:eastAsia="Times New Roman" w:hint="default"/>
          <w:spacing w:val="-1"/>
        </w:rPr>
        <w:t>5G</w:t>
      </w:r>
      <w:r>
        <w:rPr>
          <w:spacing w:val="-1"/>
        </w:rPr>
        <w:t>商用、</w:t>
      </w:r>
      <w:r>
        <w:rPr>
          <w:rFonts w:ascii="Times New Roman" w:hAnsi="Times New Roman" w:cs="Times New Roman" w:eastAsia="Times New Roman" w:hint="default"/>
          <w:spacing w:val="-1"/>
        </w:rPr>
        <w:t>TWS</w:t>
      </w:r>
      <w:r>
        <w:rPr>
          <w:spacing w:val="-1"/>
        </w:rPr>
        <w:t>耳机、新能源汽车产业链发展带来的市场机遇，推动相关客户订单加速放量，并积极拓展</w:t>
      </w:r>
      <w:r>
        <w:rPr/>
        <w:t> 新客户</w:t>
      </w:r>
    </w:p>
    <w:p>
      <w:pPr>
        <w:spacing w:line="240" w:lineRule="auto" w:before="4"/>
        <w:rPr>
          <w:rFonts w:ascii="宋体" w:hAnsi="宋体" w:cs="宋体" w:eastAsia="宋体" w:hint="default"/>
          <w:sz w:val="14"/>
          <w:szCs w:val="14"/>
        </w:rPr>
      </w:pPr>
    </w:p>
    <w:p>
      <w:pPr>
        <w:pStyle w:val="BodyText"/>
        <w:spacing w:line="309" w:lineRule="auto"/>
        <w:ind w:right="0" w:firstLine="360"/>
        <w:jc w:val="left"/>
      </w:pPr>
      <w:r>
        <w:rPr/>
        <w:t>公司将充分发挥自身在研发设计、产品品质、高端制造以及服务多领域高端客户方面的优势，积极把握</w:t>
      </w:r>
      <w:r>
        <w:rPr>
          <w:rFonts w:ascii="Times New Roman" w:hAnsi="Times New Roman" w:cs="Times New Roman" w:eastAsia="Times New Roman" w:hint="default"/>
        </w:rPr>
        <w:t>5G</w:t>
      </w:r>
      <w:r>
        <w:rPr/>
        <w:t>商用、</w:t>
      </w:r>
      <w:r>
        <w:rPr>
          <w:rFonts w:ascii="Times New Roman" w:hAnsi="Times New Roman" w:cs="Times New Roman" w:eastAsia="Times New Roman" w:hint="default"/>
        </w:rPr>
        <w:t>TWS</w:t>
      </w:r>
      <w:r>
        <w:rPr>
          <w:rFonts w:ascii="Times New Roman" w:hAnsi="Times New Roman" w:cs="Times New Roman" w:eastAsia="Times New Roman" w:hint="default"/>
          <w:w w:val="99"/>
        </w:rPr>
        <w:t> </w:t>
      </w:r>
      <w:r>
        <w:rPr>
          <w:spacing w:val="-4"/>
        </w:rPr>
        <w:t>耳机、新能源汽车产业链加速发展带来的市场机遇，推动相关客户订单持续放量，同时不断拓展更多相关行业领先企业客户，</w:t>
      </w:r>
      <w:r>
        <w:rPr>
          <w:spacing w:val="-44"/>
        </w:rPr>
        <w:t> </w:t>
      </w:r>
      <w:r>
        <w:rPr>
          <w:spacing w:val="-44"/>
        </w:rPr>
      </w:r>
      <w:r>
        <w:rPr/>
        <w:t>力争实现相关行业客户订单量规模的突破。</w:t>
      </w:r>
    </w:p>
    <w:p>
      <w:pPr>
        <w:spacing w:line="240" w:lineRule="auto" w:before="10"/>
        <w:rPr>
          <w:rFonts w:ascii="宋体" w:hAnsi="宋体" w:cs="宋体" w:eastAsia="宋体" w:hint="default"/>
          <w:sz w:val="13"/>
          <w:szCs w:val="13"/>
        </w:rPr>
      </w:pPr>
    </w:p>
    <w:p>
      <w:pPr>
        <w:pStyle w:val="BodyText"/>
        <w:spacing w:line="240" w:lineRule="auto"/>
        <w:ind w:left="512" w:right="0"/>
        <w:jc w:val="left"/>
      </w:pPr>
      <w:r>
        <w:rPr/>
        <w:t>（</w:t>
      </w:r>
      <w:r>
        <w:rPr>
          <w:rFonts w:ascii="Times New Roman" w:hAnsi="Times New Roman" w:cs="Times New Roman" w:eastAsia="Times New Roman" w:hint="default"/>
        </w:rPr>
        <w:t>2</w:t>
      </w:r>
      <w:r>
        <w:rPr/>
        <w:t>）持续加大客户开发力度，继续加大世界级企业及国内外细分行业龙头企业新客户的开发</w:t>
      </w:r>
    </w:p>
    <w:p>
      <w:pPr>
        <w:spacing w:line="240" w:lineRule="auto" w:before="9"/>
        <w:rPr>
          <w:rFonts w:ascii="宋体" w:hAnsi="宋体" w:cs="宋体" w:eastAsia="宋体" w:hint="default"/>
          <w:sz w:val="16"/>
          <w:szCs w:val="16"/>
        </w:rPr>
      </w:pPr>
    </w:p>
    <w:p>
      <w:pPr>
        <w:pStyle w:val="BodyText"/>
        <w:spacing w:line="300" w:lineRule="auto"/>
        <w:ind w:right="0" w:firstLine="360"/>
        <w:jc w:val="left"/>
      </w:pPr>
      <w:r>
        <w:rPr>
          <w:rFonts w:ascii="Times New Roman" w:hAnsi="Times New Roman" w:cs="Times New Roman" w:eastAsia="Times New Roman" w:hint="default"/>
          <w:spacing w:val="-2"/>
        </w:rPr>
        <w:t>2020</w:t>
      </w:r>
      <w:r>
        <w:rPr>
          <w:spacing w:val="-2"/>
        </w:rPr>
        <w:t>年，公司将继续实施</w:t>
      </w:r>
      <w:r>
        <w:rPr>
          <w:rFonts w:ascii="Times New Roman" w:hAnsi="Times New Roman" w:cs="Times New Roman" w:eastAsia="Times New Roman" w:hint="default"/>
          <w:spacing w:val="-2"/>
        </w:rPr>
        <w:t>“</w:t>
      </w:r>
      <w:r>
        <w:rPr>
          <w:spacing w:val="-2"/>
        </w:rPr>
        <w:t>大客户</w:t>
      </w:r>
      <w:r>
        <w:rPr>
          <w:rFonts w:ascii="Times New Roman" w:hAnsi="Times New Roman" w:cs="Times New Roman" w:eastAsia="Times New Roman" w:hint="default"/>
          <w:spacing w:val="-2"/>
        </w:rPr>
        <w:t>”</w:t>
      </w:r>
      <w:r>
        <w:rPr>
          <w:spacing w:val="-2"/>
        </w:rPr>
        <w:t>的市场策略，在继续开发世界级企业客户的同时，着力加大国内外各领域细分行业龙</w:t>
      </w:r>
      <w:r>
        <w:rPr/>
        <w:t> 头企业的开发力度，通过中型客户的大量积累，为未来业绩的持续增长构建新的业务基础。</w:t>
      </w:r>
    </w:p>
    <w:p>
      <w:pPr>
        <w:spacing w:line="240" w:lineRule="auto" w:before="4"/>
        <w:rPr>
          <w:rFonts w:ascii="宋体" w:hAnsi="宋体" w:cs="宋体" w:eastAsia="宋体" w:hint="default"/>
          <w:sz w:val="14"/>
          <w:szCs w:val="14"/>
        </w:rPr>
      </w:pPr>
    </w:p>
    <w:p>
      <w:pPr>
        <w:pStyle w:val="BodyText"/>
        <w:spacing w:line="240" w:lineRule="auto"/>
        <w:ind w:left="512" w:right="0"/>
        <w:jc w:val="left"/>
      </w:pPr>
      <w:r>
        <w:rPr/>
        <w:t>（</w:t>
      </w:r>
      <w:r>
        <w:rPr>
          <w:rFonts w:ascii="Times New Roman" w:hAnsi="Times New Roman" w:cs="Times New Roman" w:eastAsia="Times New Roman" w:hint="default"/>
        </w:rPr>
        <w:t>3</w:t>
      </w:r>
      <w:r>
        <w:rPr/>
        <w:t>）推动国内、国外核心经济活跃区域产能布局的建设、投产及已投产基地的产能释放工作</w:t>
      </w:r>
    </w:p>
    <w:p>
      <w:pPr>
        <w:spacing w:line="240" w:lineRule="auto" w:before="9"/>
        <w:rPr>
          <w:rFonts w:ascii="宋体" w:hAnsi="宋体" w:cs="宋体" w:eastAsia="宋体" w:hint="default"/>
          <w:sz w:val="16"/>
          <w:szCs w:val="16"/>
        </w:rPr>
      </w:pPr>
    </w:p>
    <w:p>
      <w:pPr>
        <w:pStyle w:val="BodyText"/>
        <w:spacing w:line="307" w:lineRule="auto"/>
        <w:ind w:right="1129" w:firstLine="360"/>
        <w:jc w:val="both"/>
      </w:pPr>
      <w:r>
        <w:rPr>
          <w:rFonts w:ascii="Times New Roman" w:hAnsi="Times New Roman" w:cs="Times New Roman" w:eastAsia="Times New Roman" w:hint="default"/>
          <w:spacing w:val="-2"/>
        </w:rPr>
        <w:t>2020</w:t>
      </w:r>
      <w:r>
        <w:rPr>
          <w:spacing w:val="-2"/>
        </w:rPr>
        <w:t>年，公司将加大力度，推动越南、成都、六安、长沙等新基地产能释放工作。在现有深圳、东莞、苏州、重庆、成</w:t>
      </w:r>
      <w:r>
        <w:rPr/>
        <w:t> 都、六安、长沙高端</w:t>
      </w:r>
      <w:r>
        <w:rPr>
          <w:rFonts w:ascii="Times New Roman" w:hAnsi="Times New Roman" w:cs="Times New Roman" w:eastAsia="Times New Roman" w:hint="default"/>
        </w:rPr>
        <w:t>/</w:t>
      </w:r>
      <w:r>
        <w:rPr/>
        <w:t>智慧制造基地的基础上，</w:t>
      </w:r>
      <w:r>
        <w:rPr>
          <w:rFonts w:ascii="Times New Roman" w:hAnsi="Times New Roman" w:cs="Times New Roman" w:eastAsia="Times New Roman" w:hint="default"/>
        </w:rPr>
        <w:t>2020</w:t>
      </w:r>
      <w:r>
        <w:rPr/>
        <w:t>年，公司将紧跟客户需求，有序推动越南、习水、佛山、郑州、西安等</w:t>
      </w:r>
      <w:r>
        <w:rPr>
          <w:spacing w:val="-59"/>
        </w:rPr>
        <w:t> </w:t>
      </w:r>
      <w:r>
        <w:rPr>
          <w:spacing w:val="-59"/>
        </w:rPr>
      </w:r>
      <w:r>
        <w:rPr>
          <w:spacing w:val="-2"/>
        </w:rPr>
        <w:t>国内、国外重点区域的智能制造包装产能布局。进一步提升公司集团性、多区域、国际化服务能力优势，贴近服务客户，增</w:t>
      </w:r>
      <w:r>
        <w:rPr>
          <w:spacing w:val="-71"/>
        </w:rPr>
        <w:t> </w:t>
      </w:r>
      <w:r>
        <w:rPr>
          <w:spacing w:val="-71"/>
        </w:rPr>
      </w:r>
      <w:r>
        <w:rPr/>
        <w:t>强客户粘性。</w:t>
      </w:r>
    </w:p>
    <w:p>
      <w:pPr>
        <w:spacing w:line="240" w:lineRule="auto" w:before="12"/>
        <w:rPr>
          <w:rFonts w:ascii="宋体" w:hAnsi="宋体" w:cs="宋体" w:eastAsia="宋体" w:hint="default"/>
          <w:sz w:val="13"/>
          <w:szCs w:val="13"/>
        </w:rPr>
      </w:pPr>
    </w:p>
    <w:p>
      <w:pPr>
        <w:pStyle w:val="BodyText"/>
        <w:spacing w:line="240" w:lineRule="auto"/>
        <w:ind w:left="512" w:right="0"/>
        <w:jc w:val="left"/>
      </w:pPr>
      <w:r>
        <w:rPr/>
        <w:t>（</w:t>
      </w:r>
      <w:r>
        <w:rPr>
          <w:rFonts w:ascii="Times New Roman" w:hAnsi="Times New Roman" w:cs="Times New Roman" w:eastAsia="Times New Roman" w:hint="default"/>
        </w:rPr>
        <w:t>4</w:t>
      </w:r>
      <w:r>
        <w:rPr/>
        <w:t>）加强技术创新，持续增强核心竞争力</w:t>
      </w:r>
    </w:p>
    <w:p>
      <w:pPr>
        <w:spacing w:line="240" w:lineRule="auto" w:before="9"/>
        <w:rPr>
          <w:rFonts w:ascii="宋体" w:hAnsi="宋体" w:cs="宋体" w:eastAsia="宋体" w:hint="default"/>
          <w:sz w:val="16"/>
          <w:szCs w:val="16"/>
        </w:rPr>
      </w:pPr>
    </w:p>
    <w:p>
      <w:pPr>
        <w:pStyle w:val="BodyText"/>
        <w:spacing w:line="300" w:lineRule="auto"/>
        <w:ind w:right="0" w:firstLine="360"/>
        <w:jc w:val="left"/>
      </w:pPr>
      <w:r>
        <w:rPr>
          <w:rFonts w:ascii="Times New Roman" w:hAnsi="Times New Roman" w:cs="Times New Roman" w:eastAsia="Times New Roman" w:hint="default"/>
          <w:spacing w:val="-2"/>
        </w:rPr>
        <w:t>2020</w:t>
      </w:r>
      <w:r>
        <w:rPr>
          <w:spacing w:val="-2"/>
        </w:rPr>
        <w:t>年，公司将继续加强研发设计、制造工艺优化及在智能包装领域的技术创新及应用，特别是将新技术、新材料应用</w:t>
      </w:r>
      <w:r>
        <w:rPr/>
        <w:t> 到包装产业领域，持续增强公司竞争力，为公司下一轮发展奠定良好的基础。</w:t>
      </w:r>
    </w:p>
    <w:p>
      <w:pPr>
        <w:pStyle w:val="BodyText"/>
        <w:spacing w:line="468" w:lineRule="exact" w:before="23"/>
        <w:ind w:left="512" w:right="0"/>
        <w:jc w:val="left"/>
      </w:pPr>
      <w:r>
        <w:rPr/>
        <w:t>（</w:t>
      </w:r>
      <w:r>
        <w:rPr>
          <w:rFonts w:ascii="Times New Roman" w:hAnsi="Times New Roman" w:cs="Times New Roman" w:eastAsia="Times New Roman" w:hint="default"/>
        </w:rPr>
        <w:t>5</w:t>
      </w:r>
      <w:r>
        <w:rPr/>
        <w:t>）大力加强人才梯队建设，为公司下一轮快速发展引入充足的人才 </w:t>
      </w:r>
      <w:r>
        <w:rPr>
          <w:spacing w:val="-2"/>
        </w:rPr>
        <w:t>目前，公司已迈入新的发展阶段，区域布局更加全面，高端客户资源显著丰富，管理跨度显著增加，需要非常充足的各</w:t>
      </w:r>
    </w:p>
    <w:p>
      <w:pPr>
        <w:pStyle w:val="BodyText"/>
        <w:spacing w:line="300" w:lineRule="auto" w:before="8"/>
        <w:ind w:right="0"/>
        <w:jc w:val="left"/>
      </w:pPr>
      <w:r>
        <w:rPr>
          <w:spacing w:val="-2"/>
        </w:rPr>
        <w:t>类人才资源包括国际性、中高端人才作为保障。</w:t>
      </w:r>
      <w:r>
        <w:rPr>
          <w:rFonts w:ascii="Times New Roman" w:hAnsi="Times New Roman" w:cs="Times New Roman" w:eastAsia="Times New Roman" w:hint="default"/>
          <w:spacing w:val="-2"/>
        </w:rPr>
        <w:t>2020</w:t>
      </w:r>
      <w:r>
        <w:rPr>
          <w:spacing w:val="-2"/>
        </w:rPr>
        <w:t>年，公司将充分发挥公司品牌优势，优化激励机制，通过多种方式大力</w:t>
      </w:r>
      <w:r>
        <w:rPr>
          <w:spacing w:val="-67"/>
        </w:rPr>
        <w:t> </w:t>
      </w:r>
      <w:r>
        <w:rPr>
          <w:spacing w:val="-67"/>
        </w:rPr>
      </w:r>
      <w:r>
        <w:rPr/>
        <w:t>引进公司发展所需的各类人才，加强人才梯队建设，重点提拔</w:t>
      </w:r>
      <w:r>
        <w:rPr>
          <w:rFonts w:ascii="Times New Roman" w:hAnsi="Times New Roman" w:cs="Times New Roman" w:eastAsia="Times New Roman" w:hint="default"/>
        </w:rPr>
        <w:t>“</w:t>
      </w:r>
      <w:r>
        <w:rPr/>
        <w:t>年轻人才</w:t>
      </w:r>
      <w:r>
        <w:rPr>
          <w:rFonts w:ascii="Times New Roman" w:hAnsi="Times New Roman" w:cs="Times New Roman" w:eastAsia="Times New Roman" w:hint="default"/>
        </w:rPr>
        <w:t>”</w:t>
      </w:r>
      <w:r>
        <w:rPr/>
        <w:t>，为公司下一轮发展提供坚实的人才保障。</w:t>
      </w:r>
    </w:p>
    <w:p>
      <w:pPr>
        <w:spacing w:line="240" w:lineRule="auto" w:before="12"/>
        <w:rPr>
          <w:rFonts w:ascii="宋体" w:hAnsi="宋体" w:cs="宋体" w:eastAsia="宋体" w:hint="default"/>
          <w:sz w:val="12"/>
          <w:szCs w:val="12"/>
        </w:rPr>
      </w:pPr>
    </w:p>
    <w:p>
      <w:pPr>
        <w:pStyle w:val="BodyText"/>
        <w:spacing w:line="240" w:lineRule="auto"/>
        <w:ind w:left="512" w:right="0"/>
        <w:jc w:val="left"/>
      </w:pPr>
      <w:r>
        <w:rPr/>
        <w:t>（</w:t>
      </w:r>
      <w:r>
        <w:rPr>
          <w:rFonts w:ascii="Times New Roman" w:hAnsi="Times New Roman" w:cs="Times New Roman" w:eastAsia="Times New Roman" w:hint="default"/>
        </w:rPr>
        <w:t>6</w:t>
      </w:r>
      <w:r>
        <w:rPr/>
        <w:t>）深化改革，更加重视精细管理，简化、优化组织流程，提升管理效率和人均效率。</w:t>
      </w:r>
    </w:p>
    <w:p>
      <w:pPr>
        <w:spacing w:line="240" w:lineRule="auto" w:before="9"/>
        <w:rPr>
          <w:rFonts w:ascii="宋体" w:hAnsi="宋体" w:cs="宋体" w:eastAsia="宋体" w:hint="default"/>
          <w:sz w:val="16"/>
          <w:szCs w:val="16"/>
        </w:rPr>
      </w:pPr>
    </w:p>
    <w:p>
      <w:pPr>
        <w:pStyle w:val="BodyText"/>
        <w:spacing w:line="312" w:lineRule="auto"/>
        <w:ind w:right="0"/>
        <w:jc w:val="left"/>
      </w:pPr>
      <w:r>
        <w:rPr>
          <w:rFonts w:ascii="Times New Roman" w:hAnsi="Times New Roman" w:cs="Times New Roman" w:eastAsia="Times New Roman" w:hint="default"/>
          <w:spacing w:val="-2"/>
        </w:rPr>
        <w:t>2</w:t>
      </w:r>
      <w:r>
        <w:rPr>
          <w:spacing w:val="-2"/>
        </w:rPr>
        <w:t>、按照公司在大健康领域的发展愿景，积极实施</w:t>
      </w:r>
      <w:r>
        <w:rPr>
          <w:rFonts w:ascii="Times New Roman" w:hAnsi="Times New Roman" w:cs="Times New Roman" w:eastAsia="Times New Roman" w:hint="default"/>
          <w:spacing w:val="-2"/>
        </w:rPr>
        <w:t>“</w:t>
      </w:r>
      <w:r>
        <w:rPr>
          <w:spacing w:val="-2"/>
        </w:rPr>
        <w:t>包装</w:t>
      </w:r>
      <w:r>
        <w:rPr>
          <w:rFonts w:ascii="Times New Roman" w:hAnsi="Times New Roman" w:cs="Times New Roman" w:eastAsia="Times New Roman" w:hint="default"/>
          <w:spacing w:val="-2"/>
        </w:rPr>
        <w:t>+</w:t>
      </w:r>
      <w:r>
        <w:rPr>
          <w:spacing w:val="-2"/>
        </w:rPr>
        <w:t>大健康</w:t>
      </w:r>
      <w:r>
        <w:rPr>
          <w:rFonts w:ascii="Times New Roman" w:hAnsi="Times New Roman" w:cs="Times New Roman" w:eastAsia="Times New Roman" w:hint="default"/>
          <w:spacing w:val="-2"/>
        </w:rPr>
        <w:t>”</w:t>
      </w:r>
      <w:r>
        <w:rPr>
          <w:spacing w:val="-2"/>
        </w:rPr>
        <w:t>双轮驱动发展战略。</w:t>
      </w:r>
      <w:r>
        <w:rPr>
          <w:rFonts w:ascii="Times New Roman" w:hAnsi="Times New Roman" w:cs="Times New Roman" w:eastAsia="Times New Roman" w:hint="default"/>
          <w:spacing w:val="-2"/>
        </w:rPr>
        <w:t>2020</w:t>
      </w:r>
      <w:r>
        <w:rPr>
          <w:spacing w:val="-2"/>
        </w:rPr>
        <w:t>年，公司将有序推动工业大麻的种</w:t>
      </w:r>
      <w:r>
        <w:rPr>
          <w:spacing w:val="-54"/>
        </w:rPr>
        <w:t> </w:t>
      </w:r>
      <w:r>
        <w:rPr>
          <w:spacing w:val="-54"/>
        </w:rPr>
      </w:r>
      <w:r>
        <w:rPr>
          <w:spacing w:val="-2"/>
        </w:rPr>
        <w:t>植及加工场地的落实工作。进一步研发、优化使用工业大麻麻籽作为原材料的人造肉及蛋白粉等相关产品，争取将相关产品</w:t>
      </w:r>
      <w:r>
        <w:rPr>
          <w:spacing w:val="-62"/>
        </w:rPr>
        <w:t> </w:t>
      </w:r>
      <w:r>
        <w:rPr>
          <w:spacing w:val="-62"/>
        </w:rPr>
      </w:r>
      <w:r>
        <w:rPr>
          <w:spacing w:val="-4"/>
        </w:rPr>
        <w:t>尽快推向市场。积极进行工业大麻一年两季种植技术研究以及蒜头果神经酸的制备与相关产品研发。积极推动工业大麻产业、</w:t>
      </w:r>
      <w:r>
        <w:rPr>
          <w:spacing w:val="-44"/>
        </w:rPr>
        <w:t> </w:t>
      </w:r>
      <w:r>
        <w:rPr>
          <w:spacing w:val="-44"/>
        </w:rPr>
      </w:r>
      <w:r>
        <w:rPr/>
        <w:t>人造肉产业等相关大健康产业的发展，争取为国人健康助力。</w:t>
      </w:r>
    </w:p>
    <w:p>
      <w:pPr>
        <w:pStyle w:val="BodyText"/>
        <w:spacing w:line="240" w:lineRule="auto" w:before="63"/>
        <w:ind w:left="512" w:right="0"/>
        <w:jc w:val="left"/>
      </w:pPr>
      <w:r>
        <w:rPr/>
        <w:t>（六）其他可能存在的风险及应对措施和有关问题的分析</w:t>
      </w:r>
    </w:p>
    <w:p>
      <w:pPr>
        <w:pStyle w:val="BodyText"/>
        <w:spacing w:line="450" w:lineRule="atLeast" w:before="31"/>
        <w:ind w:left="512" w:right="0"/>
        <w:jc w:val="left"/>
      </w:pPr>
      <w:r>
        <w:rPr>
          <w:rFonts w:ascii="Times New Roman" w:hAnsi="Times New Roman" w:cs="Times New Roman" w:eastAsia="Times New Roman" w:hint="default"/>
        </w:rPr>
        <w:t>1</w:t>
      </w:r>
      <w:r>
        <w:rPr/>
        <w:t>、市场风险：经济增速放缓，一些包装下游产业受到影响，如市场信心和需求不能回升，容易传导至包装产业。 </w:t>
      </w:r>
      <w:r>
        <w:rPr>
          <w:spacing w:val="-2"/>
        </w:rPr>
        <w:t>应对措施：深化研发和一体化服务，提升核心竞争力，着力服务好现有优质客户资源，并持续开发高端包装市场国内外</w:t>
      </w:r>
    </w:p>
    <w:p>
      <w:pPr>
        <w:pStyle w:val="BodyText"/>
        <w:spacing w:line="240" w:lineRule="auto" w:before="76"/>
        <w:ind w:right="0"/>
        <w:jc w:val="left"/>
      </w:pPr>
      <w:r>
        <w:rPr/>
        <w:t>细分行业龙头企业客户，增加中型客户数量，增强抗风险能力。</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24" w:firstLine="360"/>
        <w:jc w:val="left"/>
      </w:pPr>
      <w:r>
        <w:rPr>
          <w:rFonts w:ascii="Times New Roman" w:hAnsi="Times New Roman" w:cs="Times New Roman" w:eastAsia="Times New Roman" w:hint="default"/>
        </w:rPr>
        <w:t>2</w:t>
      </w:r>
      <w:r>
        <w:rPr/>
        <w:t>、公司产能扩张，市场拓展不达预期的风险应对措施：公司将以市场为导向，逐步有序推进智能制造平台的建设，同 时大力开发新客户、新业务，提升客户满意度，保障公司产能得到有效利用。</w:t>
      </w:r>
    </w:p>
    <w:p>
      <w:pPr>
        <w:spacing w:line="240" w:lineRule="auto" w:before="4"/>
        <w:rPr>
          <w:rFonts w:ascii="宋体" w:hAnsi="宋体" w:cs="宋体" w:eastAsia="宋体" w:hint="default"/>
          <w:sz w:val="14"/>
          <w:szCs w:val="14"/>
        </w:rPr>
      </w:pPr>
    </w:p>
    <w:p>
      <w:pPr>
        <w:pStyle w:val="BodyText"/>
        <w:spacing w:line="240" w:lineRule="auto"/>
        <w:ind w:left="512"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、行业竞争加剧风险：参见</w:t>
      </w:r>
      <w:r>
        <w:rPr>
          <w:rFonts w:ascii="Times New Roman" w:hAnsi="Times New Roman" w:cs="Times New Roman" w:eastAsia="Times New Roman" w:hint="default"/>
        </w:rPr>
        <w:t>“</w:t>
      </w:r>
      <w:r>
        <w:rPr/>
        <w:t>（四）、公司发展战略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9"/>
          <w:szCs w:val="19"/>
        </w:rPr>
      </w:pPr>
    </w:p>
    <w:p>
      <w:pPr>
        <w:pStyle w:val="BodyText"/>
        <w:spacing w:line="316" w:lineRule="auto"/>
        <w:ind w:right="0" w:firstLine="360"/>
        <w:jc w:val="left"/>
      </w:pPr>
      <w:r>
        <w:rPr>
          <w:spacing w:val="-2"/>
        </w:rPr>
        <w:t>应对措施：持续扩大公司在研发设计、工艺技术、高端制造、产品品质、品牌等方面的竞争优势，积极把握行业发展趋</w:t>
      </w:r>
      <w:r>
        <w:rPr/>
        <w:t> 势，提升综合竞争实力。</w:t>
      </w:r>
    </w:p>
    <w:p>
      <w:pPr>
        <w:spacing w:line="240" w:lineRule="auto" w:before="5"/>
        <w:rPr>
          <w:rFonts w:ascii="宋体" w:hAnsi="宋体" w:cs="宋体" w:eastAsia="宋体" w:hint="default"/>
          <w:sz w:val="13"/>
          <w:szCs w:val="13"/>
        </w:rPr>
      </w:pPr>
    </w:p>
    <w:p>
      <w:pPr>
        <w:pStyle w:val="BodyText"/>
        <w:spacing w:line="240" w:lineRule="auto"/>
        <w:ind w:left="512"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、人才引进方面的风险：参见</w:t>
      </w:r>
      <w:r>
        <w:rPr>
          <w:rFonts w:ascii="Times New Roman" w:hAnsi="Times New Roman" w:cs="Times New Roman" w:eastAsia="Times New Roman" w:hint="default"/>
        </w:rPr>
        <w:t>“</w:t>
      </w:r>
      <w:r>
        <w:rPr/>
        <w:t>（四）、公司发展战略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9"/>
          <w:szCs w:val="19"/>
        </w:rPr>
      </w:pPr>
    </w:p>
    <w:p>
      <w:pPr>
        <w:pStyle w:val="BodyText"/>
        <w:spacing w:line="463" w:lineRule="auto"/>
        <w:ind w:left="512" w:right="7444"/>
        <w:jc w:val="left"/>
      </w:pPr>
      <w:r>
        <w:rPr/>
        <w:t>应对措施： 参见</w:t>
      </w:r>
      <w:r>
        <w:rPr>
          <w:rFonts w:ascii="Times New Roman" w:hAnsi="Times New Roman" w:cs="Times New Roman" w:eastAsia="Times New Roman" w:hint="default"/>
        </w:rPr>
        <w:t>“</w:t>
      </w:r>
      <w:r>
        <w:rPr/>
        <w:t>（五）公司</w:t>
      </w:r>
      <w:r>
        <w:rPr>
          <w:rFonts w:ascii="Times New Roman" w:hAnsi="Times New Roman" w:cs="Times New Roman" w:eastAsia="Times New Roman" w:hint="default"/>
        </w:rPr>
        <w:t>2020</w:t>
      </w:r>
      <w:r>
        <w:rPr/>
        <w:t>年度经营计划</w:t>
      </w:r>
      <w:r>
        <w:rPr>
          <w:rFonts w:ascii="Times New Roman" w:hAnsi="Times New Roman" w:cs="Times New Roman" w:eastAsia="Times New Roman" w:hint="default"/>
        </w:rPr>
        <w:t>5”</w:t>
      </w:r>
      <w:r>
        <w:rPr>
          <w:rFonts w:ascii="Times New Roman" w:hAnsi="Times New Roman" w:cs="Times New Roman" w:eastAsia="Times New Roman" w:hint="default"/>
          <w:w w:val="99"/>
        </w:rPr>
        <w:t> </w:t>
      </w:r>
      <w:r>
        <w:rPr>
          <w:rFonts w:ascii="Times New Roman" w:hAnsi="Times New Roman" w:cs="Times New Roman" w:eastAsia="Times New Roman" w:hint="default"/>
        </w:rPr>
        <w:t>5</w:t>
      </w:r>
      <w:r>
        <w:rPr/>
        <w:t>、汇率波动风险</w:t>
      </w:r>
    </w:p>
    <w:p>
      <w:pPr>
        <w:pStyle w:val="BodyText"/>
        <w:spacing w:line="477" w:lineRule="auto" w:before="33"/>
        <w:ind w:left="512" w:right="1574"/>
        <w:jc w:val="left"/>
      </w:pPr>
      <w:r>
        <w:rPr/>
        <w:t>公司存在一定量的以美元作为结算货币的国际业务，人民币兑美元汇率的上升，将对公司产生一定的汇兑损失。 应对措施：公司将积极研究并根据具体需要通过采取套期保值等方式来应对汇率的波动。</w:t>
      </w:r>
    </w:p>
    <w:p>
      <w:pPr>
        <w:pStyle w:val="BodyText"/>
        <w:spacing w:line="240" w:lineRule="auto" w:before="54"/>
        <w:ind w:left="512" w:right="0"/>
        <w:jc w:val="left"/>
      </w:pPr>
      <w:r>
        <w:rPr>
          <w:rFonts w:ascii="Times New Roman" w:hAnsi="Times New Roman" w:cs="Times New Roman" w:eastAsia="Times New Roman" w:hint="default"/>
        </w:rPr>
        <w:t>6</w:t>
      </w:r>
      <w:r>
        <w:rPr/>
        <w:t>、新冠疫情的风险</w:t>
      </w:r>
    </w:p>
    <w:p>
      <w:pPr>
        <w:spacing w:line="240" w:lineRule="auto" w:before="9"/>
        <w:rPr>
          <w:rFonts w:ascii="宋体" w:hAnsi="宋体" w:cs="宋体" w:eastAsia="宋体" w:hint="default"/>
          <w:sz w:val="16"/>
          <w:szCs w:val="16"/>
        </w:rPr>
      </w:pPr>
    </w:p>
    <w:p>
      <w:pPr>
        <w:pStyle w:val="BodyText"/>
        <w:spacing w:line="309" w:lineRule="auto"/>
        <w:ind w:right="1130" w:firstLine="360"/>
        <w:jc w:val="both"/>
      </w:pPr>
      <w:r>
        <w:rPr/>
        <w:t>新冠疫情于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月在国内爆发，尽管全国疫情防控形势持续向好、生产生活秩序加快恢复的态势不断巩固和拓展， </w:t>
      </w:r>
      <w:r>
        <w:rPr>
          <w:spacing w:val="-2"/>
        </w:rPr>
        <w:t>统筹推进疫情防控和经济社会发展工作取得积极成效，但境外疫情扩散蔓延及其对世界经济产生不利影响，也给公司经营发</w:t>
      </w:r>
      <w:r>
        <w:rPr>
          <w:spacing w:val="-64"/>
        </w:rPr>
        <w:t> </w:t>
      </w:r>
      <w:r>
        <w:rPr>
          <w:spacing w:val="-64"/>
        </w:rPr>
      </w:r>
      <w:r>
        <w:rPr/>
        <w:t>展带来新的挑战。</w:t>
      </w:r>
    </w:p>
    <w:p>
      <w:pPr>
        <w:spacing w:line="240" w:lineRule="auto" w:before="10"/>
        <w:rPr>
          <w:rFonts w:ascii="宋体" w:hAnsi="宋体" w:cs="宋体" w:eastAsia="宋体" w:hint="default"/>
          <w:sz w:val="13"/>
          <w:szCs w:val="13"/>
        </w:rPr>
      </w:pPr>
    </w:p>
    <w:p>
      <w:pPr>
        <w:pStyle w:val="BodyText"/>
        <w:spacing w:line="316" w:lineRule="auto"/>
        <w:ind w:right="0"/>
        <w:jc w:val="left"/>
      </w:pPr>
      <w:r>
        <w:rPr>
          <w:spacing w:val="-2"/>
        </w:rPr>
        <w:t>应对措施：公司将在积极做好员工防疫抗疫工作同时，密切关注客户订单情况并采取针对性应对措施；另一方面持续加大力</w:t>
      </w:r>
      <w:r>
        <w:rPr>
          <w:spacing w:val="-62"/>
        </w:rPr>
        <w:t> </w:t>
      </w:r>
      <w:r>
        <w:rPr>
          <w:spacing w:val="-62"/>
        </w:rPr>
      </w:r>
      <w:r>
        <w:rPr/>
        <w:t>度争取开发更多优质客户。</w:t>
      </w:r>
    </w:p>
    <w:p>
      <w:pPr>
        <w:pStyle w:val="BodyText"/>
        <w:spacing w:line="240" w:lineRule="auto" w:before="59"/>
        <w:ind w:left="512" w:right="0"/>
        <w:jc w:val="left"/>
      </w:pPr>
      <w:r>
        <w:rPr/>
        <w:t>（七）</w:t>
      </w:r>
      <w:r>
        <w:rPr>
          <w:rFonts w:ascii="Times New Roman" w:hAnsi="Times New Roman" w:cs="Times New Roman" w:eastAsia="Times New Roman" w:hint="default"/>
        </w:rPr>
        <w:t>2019</w:t>
      </w:r>
      <w:r>
        <w:rPr/>
        <w:t>年度经营计划完成情况</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2019</w:t>
      </w:r>
      <w:r>
        <w:rPr/>
        <w:t>年，公司按照年初制定的主要经营计划着力开展以下工作，进展情况较为顺利：</w:t>
      </w:r>
    </w:p>
    <w:p>
      <w:pPr>
        <w:spacing w:line="240" w:lineRule="auto" w:before="9"/>
        <w:rPr>
          <w:rFonts w:ascii="宋体" w:hAnsi="宋体" w:cs="宋体" w:eastAsia="宋体" w:hint="default"/>
          <w:sz w:val="16"/>
          <w:szCs w:val="16"/>
        </w:rPr>
      </w:pPr>
    </w:p>
    <w:p>
      <w:pPr>
        <w:pStyle w:val="BodyText"/>
        <w:spacing w:line="240" w:lineRule="auto"/>
        <w:ind w:left="512" w:right="0"/>
        <w:jc w:val="left"/>
      </w:pPr>
      <w:r>
        <w:rPr>
          <w:rFonts w:ascii="Times New Roman" w:hAnsi="Times New Roman" w:cs="Times New Roman" w:eastAsia="Times New Roman" w:hint="default"/>
        </w:rPr>
        <w:t>1</w:t>
      </w:r>
      <w:r>
        <w:rPr/>
        <w:t>、深耕战略客户需求，推动战略新客户订单加速放量</w:t>
      </w:r>
    </w:p>
    <w:p>
      <w:pPr>
        <w:spacing w:line="240" w:lineRule="auto" w:before="9"/>
        <w:rPr>
          <w:rFonts w:ascii="宋体" w:hAnsi="宋体" w:cs="宋体" w:eastAsia="宋体" w:hint="default"/>
          <w:sz w:val="16"/>
          <w:szCs w:val="16"/>
        </w:rPr>
      </w:pPr>
    </w:p>
    <w:p>
      <w:pPr>
        <w:pStyle w:val="BodyText"/>
        <w:spacing w:line="240" w:lineRule="auto"/>
        <w:ind w:left="512"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2019</w:t>
      </w:r>
      <w:r>
        <w:rPr>
          <w:spacing w:val="-5"/>
        </w:rPr>
        <w:t>年度，公司深耕战略客户需求，不断提升公司与战略客户合作的深度与广度，战略客户订单持续放量，推动公司</w:t>
      </w:r>
      <w:r>
        <w:rPr>
          <w:rFonts w:ascii="Times New Roman" w:hAnsi="Times New Roman" w:cs="Times New Roman" w:eastAsia="Times New Roman" w:hint="default"/>
          <w:spacing w:val="-5"/>
        </w:rPr>
        <w:t>2019</w:t>
      </w:r>
    </w:p>
    <w:p>
      <w:pPr>
        <w:pStyle w:val="BodyText"/>
        <w:spacing w:line="240" w:lineRule="auto" w:before="63"/>
        <w:ind w:right="0"/>
        <w:jc w:val="left"/>
      </w:pPr>
      <w:r>
        <w:rPr/>
        <w:t>年经营业绩实现持续稳健增长。</w:t>
      </w:r>
    </w:p>
    <w:p>
      <w:pPr>
        <w:spacing w:line="240" w:lineRule="auto" w:before="10"/>
        <w:rPr>
          <w:rFonts w:ascii="宋体" w:hAnsi="宋体" w:cs="宋体" w:eastAsia="宋体" w:hint="default"/>
          <w:sz w:val="17"/>
          <w:szCs w:val="17"/>
        </w:rPr>
      </w:pPr>
    </w:p>
    <w:p>
      <w:pPr>
        <w:pStyle w:val="BodyText"/>
        <w:spacing w:line="240" w:lineRule="auto"/>
        <w:ind w:left="512" w:right="0"/>
        <w:jc w:val="left"/>
      </w:pPr>
      <w:r>
        <w:rPr>
          <w:rFonts w:ascii="Times New Roman" w:hAnsi="Times New Roman" w:cs="Times New Roman" w:eastAsia="Times New Roman" w:hint="default"/>
        </w:rPr>
        <w:t>2</w:t>
      </w:r>
      <w:r>
        <w:rPr/>
        <w:t>、持续加大客户开发力度，继续加大世界级企业及国内细分行业龙头企业新客户的开发</w:t>
      </w:r>
    </w:p>
    <w:p>
      <w:pPr>
        <w:spacing w:line="240" w:lineRule="auto" w:before="9"/>
        <w:rPr>
          <w:rFonts w:ascii="宋体" w:hAnsi="宋体" w:cs="宋体" w:eastAsia="宋体" w:hint="default"/>
          <w:sz w:val="16"/>
          <w:szCs w:val="16"/>
        </w:rPr>
      </w:pPr>
    </w:p>
    <w:p>
      <w:pPr>
        <w:pStyle w:val="BodyText"/>
        <w:spacing w:line="300" w:lineRule="auto"/>
        <w:ind w:right="0" w:firstLine="360"/>
        <w:jc w:val="left"/>
      </w:pPr>
      <w:r>
        <w:rPr>
          <w:rFonts w:ascii="Times New Roman" w:hAnsi="Times New Roman" w:cs="Times New Roman" w:eastAsia="Times New Roman" w:hint="default"/>
          <w:spacing w:val="-2"/>
        </w:rPr>
        <w:t>2019</w:t>
      </w:r>
      <w:r>
        <w:rPr>
          <w:spacing w:val="-2"/>
        </w:rPr>
        <w:t>年度，公司及下属子公司先后在智能终端领域、汽车产业链领域、白酒领域、食品领域、电商领域赢得了多家细分</w:t>
      </w:r>
      <w:r>
        <w:rPr/>
        <w:t> 行业领先企业的青睐。新客户的不断开发，进一步丰富了公司高端客户资源，为公司未来的持续增长奠定坚实的基础。</w:t>
      </w:r>
    </w:p>
    <w:p>
      <w:pPr>
        <w:spacing w:line="240" w:lineRule="auto" w:before="4"/>
        <w:rPr>
          <w:rFonts w:ascii="宋体" w:hAnsi="宋体" w:cs="宋体" w:eastAsia="宋体" w:hint="default"/>
          <w:sz w:val="14"/>
          <w:szCs w:val="14"/>
        </w:rPr>
      </w:pPr>
    </w:p>
    <w:p>
      <w:pPr>
        <w:pStyle w:val="BodyText"/>
        <w:spacing w:line="240" w:lineRule="auto"/>
        <w:ind w:left="512" w:right="0"/>
        <w:jc w:val="left"/>
      </w:pPr>
      <w:r>
        <w:rPr>
          <w:rFonts w:ascii="Times New Roman" w:hAnsi="Times New Roman" w:cs="Times New Roman" w:eastAsia="Times New Roman" w:hint="default"/>
        </w:rPr>
        <w:t>3</w:t>
      </w:r>
      <w:r>
        <w:rPr/>
        <w:t>、逐步有序安排国内核心经济活跃区域产能布局的建设和投产工作</w:t>
      </w:r>
    </w:p>
    <w:p>
      <w:pPr>
        <w:spacing w:line="240" w:lineRule="auto" w:before="9"/>
        <w:rPr>
          <w:rFonts w:ascii="宋体" w:hAnsi="宋体" w:cs="宋体" w:eastAsia="宋体" w:hint="default"/>
          <w:sz w:val="16"/>
          <w:szCs w:val="16"/>
        </w:rPr>
      </w:pPr>
    </w:p>
    <w:p>
      <w:pPr>
        <w:pStyle w:val="BodyText"/>
        <w:spacing w:line="300" w:lineRule="auto"/>
        <w:ind w:right="1034" w:firstLine="360"/>
        <w:jc w:val="left"/>
      </w:pPr>
      <w:r>
        <w:rPr>
          <w:rFonts w:ascii="Times New Roman" w:hAnsi="Times New Roman" w:cs="Times New Roman" w:eastAsia="Times New Roman" w:hint="default"/>
        </w:rPr>
        <w:t>2019</w:t>
      </w:r>
      <w:r>
        <w:rPr/>
        <w:t>年度，公司在原有产业区域布局的基础上，筹划在越南、贵州习水等区域的投资布局，提升了公司区域服务能力； </w:t>
      </w:r>
      <w:r>
        <w:rPr>
          <w:spacing w:val="-2"/>
        </w:rPr>
        <w:t>成都、长沙、六安智慧工厂已于</w:t>
      </w:r>
      <w:r>
        <w:rPr>
          <w:rFonts w:ascii="Times New Roman" w:hAnsi="Times New Roman" w:cs="Times New Roman" w:eastAsia="Times New Roman" w:hint="default"/>
          <w:spacing w:val="-2"/>
        </w:rPr>
        <w:t>2019</w:t>
      </w:r>
      <w:r>
        <w:rPr>
          <w:spacing w:val="-2"/>
        </w:rPr>
        <w:t>年上半年逐步投入使用，新产能的逐步释放，为公司未来实现销售的持续增长提供产能</w:t>
      </w:r>
      <w:r>
        <w:rPr>
          <w:spacing w:val="-65"/>
        </w:rPr>
        <w:t> </w:t>
      </w:r>
      <w:r>
        <w:rPr>
          <w:spacing w:val="-65"/>
        </w:rPr>
      </w:r>
      <w:r>
        <w:rPr/>
        <w:t>基础。</w:t>
      </w:r>
    </w:p>
    <w:p>
      <w:pPr>
        <w:spacing w:line="240" w:lineRule="auto" w:before="4"/>
        <w:rPr>
          <w:rFonts w:ascii="宋体" w:hAnsi="宋体" w:cs="宋体" w:eastAsia="宋体" w:hint="default"/>
          <w:sz w:val="14"/>
          <w:szCs w:val="14"/>
        </w:rPr>
      </w:pPr>
    </w:p>
    <w:p>
      <w:pPr>
        <w:pStyle w:val="BodyText"/>
        <w:spacing w:line="240" w:lineRule="auto"/>
        <w:ind w:left="512" w:right="0"/>
        <w:jc w:val="left"/>
      </w:pPr>
      <w:r>
        <w:rPr>
          <w:rFonts w:ascii="Times New Roman" w:hAnsi="Times New Roman" w:cs="Times New Roman" w:eastAsia="Times New Roman" w:hint="default"/>
        </w:rPr>
        <w:t>4</w:t>
      </w:r>
      <w:r>
        <w:rPr/>
        <w:t>、加强技术创新，持续增强核心竞争力</w:t>
      </w:r>
    </w:p>
    <w:p>
      <w:pPr>
        <w:spacing w:line="240" w:lineRule="auto" w:before="9"/>
        <w:rPr>
          <w:rFonts w:ascii="宋体" w:hAnsi="宋体" w:cs="宋体" w:eastAsia="宋体" w:hint="default"/>
          <w:sz w:val="16"/>
          <w:szCs w:val="16"/>
        </w:rPr>
      </w:pPr>
    </w:p>
    <w:p>
      <w:pPr>
        <w:pStyle w:val="BodyText"/>
        <w:spacing w:line="300" w:lineRule="auto"/>
        <w:ind w:right="1034" w:firstLine="360"/>
        <w:jc w:val="left"/>
      </w:pPr>
      <w:r>
        <w:rPr>
          <w:rFonts w:ascii="Times New Roman" w:hAnsi="Times New Roman" w:cs="Times New Roman" w:eastAsia="Times New Roman" w:hint="default"/>
        </w:rPr>
        <w:t>2019</w:t>
      </w:r>
      <w:r>
        <w:rPr/>
        <w:t>年度，公司持续推动研发技术及生产工艺的创新工作，为推动公司战略新客户订单的逐步放量作出了较大的贡献， 公司服务水平持续提升，客户服务能力不断增强。</w:t>
      </w:r>
    </w:p>
    <w:p>
      <w:pPr>
        <w:spacing w:line="240" w:lineRule="auto" w:before="4"/>
        <w:rPr>
          <w:rFonts w:ascii="宋体" w:hAnsi="宋体" w:cs="宋体" w:eastAsia="宋体" w:hint="default"/>
          <w:sz w:val="14"/>
          <w:szCs w:val="14"/>
        </w:rPr>
      </w:pPr>
    </w:p>
    <w:p>
      <w:pPr>
        <w:pStyle w:val="BodyText"/>
        <w:spacing w:line="240" w:lineRule="auto"/>
        <w:ind w:left="512" w:right="0"/>
        <w:jc w:val="left"/>
      </w:pPr>
      <w:r>
        <w:rPr>
          <w:rFonts w:ascii="Times New Roman" w:hAnsi="Times New Roman" w:cs="Times New Roman" w:eastAsia="Times New Roman" w:hint="default"/>
        </w:rPr>
        <w:t>5</w:t>
      </w:r>
      <w:r>
        <w:rPr/>
        <w:t>、加强人才梯队建设，保障公司快速发展所需的人力资源</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00" w:lineRule="auto" w:before="37"/>
        <w:ind w:right="1133" w:firstLine="360"/>
        <w:jc w:val="both"/>
      </w:pPr>
      <w:r>
        <w:rPr>
          <w:rFonts w:ascii="Times New Roman" w:hAnsi="Times New Roman" w:cs="Times New Roman" w:eastAsia="Times New Roman" w:hint="default"/>
          <w:spacing w:val="-2"/>
        </w:rPr>
        <w:t>2019</w:t>
      </w:r>
      <w:r>
        <w:rPr>
          <w:spacing w:val="-2"/>
        </w:rPr>
        <w:t>年，公司一方面继续加强各类基础人才资源梯队的建设，通过内外部培训，为公司组建高素质、高效率的岗位人员</w:t>
      </w:r>
      <w:r>
        <w:rPr/>
        <w:t> </w:t>
      </w:r>
      <w:r>
        <w:rPr>
          <w:spacing w:val="-2"/>
        </w:rPr>
        <w:t>储备人才，使其成为公司发展的生力军；另一方面通过外部招聘，大力引进和储备各类</w:t>
      </w:r>
      <w:r>
        <w:rPr>
          <w:rFonts w:ascii="Times New Roman" w:hAnsi="Times New Roman" w:cs="Times New Roman" w:eastAsia="Times New Roman" w:hint="default"/>
          <w:spacing w:val="-2"/>
        </w:rPr>
        <w:t>“</w:t>
      </w:r>
      <w:r>
        <w:rPr>
          <w:spacing w:val="-2"/>
        </w:rPr>
        <w:t>高、精、尖</w:t>
      </w:r>
      <w:r>
        <w:rPr>
          <w:rFonts w:ascii="Times New Roman" w:hAnsi="Times New Roman" w:cs="Times New Roman" w:eastAsia="Times New Roman" w:hint="default"/>
          <w:spacing w:val="-2"/>
        </w:rPr>
        <w:t>”</w:t>
      </w:r>
      <w:r>
        <w:rPr>
          <w:spacing w:val="-2"/>
        </w:rPr>
        <w:t>以及国际性人才，提升</w:t>
      </w:r>
      <w:r>
        <w:rPr>
          <w:spacing w:val="-46"/>
        </w:rPr>
        <w:t> </w:t>
      </w:r>
      <w:r>
        <w:rPr>
          <w:spacing w:val="-46"/>
        </w:rPr>
      </w:r>
      <w:r>
        <w:rPr/>
        <w:t>公司的研发实力、综合管理水平、市场营销能力，为公司未来的发展奠定了良好的人才基础。</w:t>
      </w:r>
    </w:p>
    <w:p>
      <w:pPr>
        <w:spacing w:line="240" w:lineRule="auto" w:before="4"/>
        <w:rPr>
          <w:rFonts w:ascii="宋体" w:hAnsi="宋体" w:cs="宋体" w:eastAsia="宋体" w:hint="default"/>
          <w:sz w:val="14"/>
          <w:szCs w:val="14"/>
        </w:rPr>
      </w:pPr>
    </w:p>
    <w:p>
      <w:pPr>
        <w:pStyle w:val="BodyText"/>
        <w:spacing w:line="240" w:lineRule="auto"/>
        <w:ind w:left="632" w:right="0"/>
        <w:jc w:val="left"/>
      </w:pPr>
      <w:r>
        <w:rPr/>
        <w:t>同时，公司大力提拔年轻管理干部，使他们成长为担当起公司各项业务快速发展的骨干。</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十、接待调研、沟通、采访等活动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、报告期内接待调研、沟通、采访等活动登记表</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0" w:right="905"/>
        <w:jc w:val="center"/>
        <w:rPr>
          <w:rFonts w:ascii="Tahoma" w:hAnsi="Tahoma" w:cs="Tahoma" w:eastAsia="Tahoma" w:hint="default"/>
        </w:rPr>
      </w:pPr>
      <w:bookmarkStart w:name="_TOC_250007" w:id="5"/>
      <w:r>
        <w:rPr/>
        <w:t>第五节重要事项</w:t>
      </w:r>
      <w:r>
        <w:rPr>
          <w:rFonts w:ascii="Tahoma" w:hAnsi="Tahoma" w:cs="Tahoma" w:eastAsia="Tahoma" w:hint="default"/>
          <w:w w:val="80"/>
        </w:rPr>
        <w:t> </w:t>
      </w:r>
      <w:bookmarkEnd w:id="5"/>
      <w:r>
        <w:rPr>
          <w:rFonts w:ascii="Tahoma" w:hAnsi="Tahoma" w:cs="Tahoma" w:eastAsia="Tahoma" w:hint="default"/>
        </w:rPr>
      </w:r>
    </w:p>
    <w:p>
      <w:pPr>
        <w:spacing w:line="240" w:lineRule="auto" w:before="3"/>
        <w:rPr>
          <w:rFonts w:ascii="Tahoma" w:hAnsi="Tahoma" w:cs="Tahoma" w:eastAsia="Tahoma" w:hint="default"/>
          <w:sz w:val="43"/>
          <w:szCs w:val="43"/>
        </w:rPr>
      </w:pPr>
    </w:p>
    <w:p>
      <w:pPr>
        <w:pStyle w:val="Heading3"/>
        <w:spacing w:line="240" w:lineRule="auto"/>
        <w:ind w:right="0"/>
        <w:jc w:val="left"/>
        <w:rPr>
          <w:rFonts w:ascii="Tahoma" w:hAnsi="Tahoma" w:cs="Tahoma" w:eastAsia="Tahoma" w:hint="default"/>
        </w:rPr>
      </w:pPr>
      <w:r>
        <w:rPr/>
        <w:t>一、公司普通股利润分配及资本公积金转增股本情况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1"/>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2"/>
        </w:rPr>
        <w:t>）</w:t>
      </w:r>
      <w:r>
        <w:rPr/>
        <w:t>的普通股股利分配方案（预案</w:t>
      </w:r>
      <w:r>
        <w:rPr>
          <w:spacing w:val="-90"/>
        </w:rPr>
        <w:t>）</w:t>
      </w:r>
      <w:r>
        <w:rPr/>
        <w:t>、资本公积金转增股本方案（预案）情况</w:t>
      </w:r>
    </w:p>
    <w:p>
      <w:pPr>
        <w:pStyle w:val="BodyText"/>
        <w:spacing w:line="240" w:lineRule="auto" w:before="103"/>
        <w:ind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1.3</w:t>
      </w:r>
      <w:r>
        <w:rPr/>
        <w:t>元（含税），本次利润分配</w:t>
      </w:r>
      <w:r>
        <w:rPr>
          <w:rFonts w:ascii="Times New Roman" w:hAnsi="Times New Roman" w:cs="Times New Roman" w:eastAsia="Times New Roman" w:hint="default"/>
        </w:rPr>
        <w:t>20,050.21</w:t>
      </w:r>
      <w:r>
        <w:rPr/>
        <w:t>万元；</w:t>
      </w:r>
    </w:p>
    <w:p>
      <w:pPr>
        <w:pStyle w:val="BodyText"/>
        <w:spacing w:line="240" w:lineRule="auto" w:before="63"/>
        <w:ind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元（含税），本次利润分配</w:t>
      </w:r>
      <w:r>
        <w:rPr>
          <w:rFonts w:ascii="Times New Roman" w:hAnsi="Times New Roman" w:cs="Times New Roman" w:eastAsia="Times New Roman" w:hint="default"/>
        </w:rPr>
        <w:t>30,626.47</w:t>
      </w:r>
      <w:r>
        <w:rPr/>
        <w:t>万元；</w:t>
      </w:r>
    </w:p>
    <w:p>
      <w:pPr>
        <w:pStyle w:val="BodyText"/>
        <w:spacing w:line="240" w:lineRule="auto" w:before="63"/>
        <w:ind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年度利润分配预案为：向全体股东每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3.33</w:t>
      </w:r>
      <w:r>
        <w:rPr/>
        <w:t>元（含税），本次预计利润分配</w:t>
      </w:r>
      <w:r>
        <w:rPr>
          <w:rFonts w:ascii="Times New Roman" w:hAnsi="Times New Roman" w:cs="Times New Roman" w:eastAsia="Times New Roman" w:hint="default"/>
        </w:rPr>
        <w:t>50,993.08</w:t>
      </w:r>
      <w:r>
        <w:rPr/>
        <w:t>万元。</w:t>
      </w:r>
    </w:p>
    <w:p>
      <w:pPr>
        <w:spacing w:line="240" w:lineRule="auto" w:before="12"/>
        <w:rPr>
          <w:rFonts w:ascii="宋体" w:hAnsi="宋体" w:cs="宋体" w:eastAsia="宋体" w:hint="default"/>
          <w:sz w:val="28"/>
          <w:szCs w:val="28"/>
        </w:rPr>
      </w:pPr>
    </w:p>
    <w:p>
      <w:pPr>
        <w:pStyle w:val="BodyText"/>
        <w:spacing w:line="240" w:lineRule="auto" w:before="37"/>
        <w:ind w:right="0"/>
        <w:jc w:val="left"/>
      </w:pPr>
      <w:r>
        <w:rPr/>
        <w:t>公司近三年（包括本报告期）普通股现金分红情况表</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2275"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509,930,787.11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535,279,249.14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95.26%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509,930,787.11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95.20%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306,264,737.00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401,205,568.76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76.34%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61,008,416.97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367,273,153.97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200,502,079.05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348,186,315.19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57.58%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200,502,079.05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57.58%</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二、本报告期利润分配及资本公积金转增股本情况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93"/>
        <w:gridCol w:w="5774"/>
      </w:tblGrid>
      <w:tr>
        <w:trPr>
          <w:trHeight w:val="401"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w:t>
            </w:r>
          </w:p>
        </w:tc>
      </w:tr>
      <w:tr>
        <w:trPr>
          <w:trHeight w:val="401"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1531323685</w:t>
            </w:r>
          </w:p>
        </w:tc>
      </w:tr>
      <w:tr>
        <w:trPr>
          <w:trHeight w:val="401"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509,930,787.11</w:t>
            </w:r>
          </w:p>
        </w:tc>
      </w:tr>
      <w:tr>
        <w:trPr>
          <w:trHeight w:val="403"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509,930,787.11</w:t>
            </w:r>
          </w:p>
        </w:tc>
      </w:tr>
      <w:tr>
        <w:trPr>
          <w:trHeight w:val="403" w:hRule="exact"/>
        </w:trPr>
        <w:tc>
          <w:tcPr>
            <w:tcW w:w="3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1,676,028,446.38</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784"/>
        <w:gridCol w:w="5785"/>
      </w:tblGrid>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2"/>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w:t>
            </w:r>
            <w:r>
              <w:rPr>
                <w:rFonts w:ascii="宋体" w:hAnsi="宋体" w:cs="宋体" w:eastAsia="宋体" w:hint="default"/>
                <w:spacing w:val="-2"/>
                <w:sz w:val="18"/>
                <w:szCs w:val="18"/>
              </w:rPr>
              <w:t>数</w:t>
            </w:r>
            <w:r>
              <w:rPr>
                <w:rFonts w:ascii="宋体" w:hAnsi="宋体" w:cs="宋体" w:eastAsia="宋体" w:hint="default"/>
                <w:sz w:val="18"/>
                <w:szCs w:val="18"/>
              </w:rPr>
              <w:t>，向全体股东每</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w:t>
            </w:r>
            <w:r>
              <w:rPr>
                <w:rFonts w:ascii="宋体" w:hAnsi="宋体" w:cs="宋体" w:eastAsia="宋体" w:hint="default"/>
                <w:spacing w:val="-2"/>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红股，不以公积金转增股本，本次利润分配共计派发现金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787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三、承诺事项履行情况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4"/>
        <w:spacing w:line="261" w:lineRule="auto"/>
        <w:ind w:right="0"/>
        <w:jc w:val="left"/>
        <w:rPr>
          <w:rFonts w:ascii="Tahoma" w:hAnsi="Tahoma" w:cs="Tahoma" w:eastAsia="Tahoma" w:hint="default"/>
        </w:rPr>
      </w:pPr>
      <w:r>
        <w:rPr>
          <w:rFonts w:ascii="Tahoma" w:hAnsi="Tahoma" w:cs="Tahoma" w:eastAsia="Tahoma" w:hint="default"/>
        </w:rPr>
        <w:t>1</w:t>
      </w:r>
      <w:r>
        <w:rPr/>
        <w:t>、公司实际控制人、股东、关联方、收购人以及公司等承诺相关方在报告期内履行完毕及截至报告期末</w:t>
      </w:r>
      <w:r>
        <w:rPr>
          <w:spacing w:val="-38"/>
        </w:rPr>
        <w:t> </w:t>
      </w:r>
      <w:r>
        <w:rPr>
          <w:spacing w:val="-38"/>
        </w:rPr>
      </w:r>
      <w:r>
        <w:rPr/>
        <w:t>尚未履行完毕的承诺事项</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94"/>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3D3D3"/>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目前不存在，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将来也不会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存在任何直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接或间接与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被承诺方集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团的业务构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务，亦不会以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任何形式（包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89"/>
              <w:jc w:val="right"/>
              <w:rPr>
                <w:rFonts w:ascii="宋体" w:hAnsi="宋体" w:cs="宋体" w:eastAsia="宋体" w:hint="default"/>
                <w:sz w:val="18"/>
                <w:szCs w:val="18"/>
              </w:rPr>
            </w:pPr>
            <w:r>
              <w:rPr>
                <w:rFonts w:ascii="宋体" w:hAnsi="宋体" w:cs="宋体" w:eastAsia="宋体" w:hint="default"/>
                <w:sz w:val="18"/>
                <w:szCs w:val="18"/>
              </w:rPr>
              <w:t>关于同业竞</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02" w:hRule="exact"/>
        </w:trPr>
        <w:tc>
          <w:tcPr>
            <w:tcW w:w="2837" w:type="dxa"/>
            <w:vMerge/>
            <w:tcBorders>
              <w:left w:val="single" w:sz="4" w:space="0" w:color="000000"/>
              <w:bottom w:val="nil" w:sz="6" w:space="0" w:color="auto"/>
              <w:right w:val="single" w:sz="4" w:space="0" w:color="000000"/>
            </w:tcBorders>
            <w:shd w:val="clear" w:color="auto" w:fill="D3D3D3"/>
          </w:tcPr>
          <w:p>
            <w:pPr/>
          </w:p>
        </w:tc>
        <w:tc>
          <w:tcPr>
            <w:tcW w:w="1123" w:type="dxa"/>
            <w:vMerge w:val="restart"/>
            <w:tcBorders>
              <w:top w:val="nil" w:sz="6" w:space="0" w:color="auto"/>
              <w:left w:val="single" w:sz="4" w:space="0" w:color="000000"/>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vMerge w:val="restart"/>
            <w:tcBorders>
              <w:top w:val="nil" w:sz="6" w:space="0" w:color="auto"/>
              <w:left w:val="single" w:sz="4" w:space="0" w:color="000000"/>
              <w:right w:val="single" w:sz="4" w:space="0" w:color="000000"/>
            </w:tcBorders>
          </w:tcPr>
          <w:p>
            <w:pPr>
              <w:pStyle w:val="TableParagraph"/>
              <w:spacing w:line="316" w:lineRule="auto"/>
              <w:ind w:left="26" w:right="18"/>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1126" w:type="dxa"/>
            <w:vMerge w:val="restart"/>
            <w:tcBorders>
              <w:top w:val="nil" w:sz="6" w:space="0" w:color="auto"/>
              <w:left w:val="single" w:sz="4" w:space="0" w:color="000000"/>
              <w:right w:val="single" w:sz="4" w:space="0" w:color="000000"/>
            </w:tcBorders>
          </w:tcPr>
          <w:p>
            <w:pPr>
              <w:pStyle w:val="TableParagraph"/>
              <w:spacing w:line="316" w:lineRule="auto" w:before="14"/>
              <w:ind w:left="24" w:right="18"/>
              <w:jc w:val="left"/>
              <w:rPr>
                <w:rFonts w:ascii="宋体" w:hAnsi="宋体" w:cs="宋体" w:eastAsia="宋体" w:hint="default"/>
                <w:sz w:val="18"/>
                <w:szCs w:val="18"/>
              </w:rPr>
            </w:pPr>
            <w:r>
              <w:rPr>
                <w:rFonts w:ascii="宋体" w:hAnsi="宋体" w:cs="宋体" w:eastAsia="宋体" w:hint="default"/>
                <w:sz w:val="18"/>
                <w:szCs w:val="18"/>
              </w:rPr>
              <w:t>通过控股子 </w:t>
            </w:r>
            <w:r>
              <w:rPr>
                <w:rFonts w:ascii="宋体" w:hAnsi="宋体" w:cs="宋体" w:eastAsia="宋体" w:hint="default"/>
                <w:spacing w:val="-2"/>
                <w:sz w:val="18"/>
                <w:szCs w:val="18"/>
              </w:rPr>
              <w:t>公司、合资经</w:t>
            </w:r>
          </w:p>
        </w:tc>
        <w:tc>
          <w:tcPr>
            <w:tcW w:w="1126" w:type="dxa"/>
            <w:vMerge w:val="restart"/>
            <w:tcBorders>
              <w:top w:val="nil" w:sz="6" w:space="0" w:color="auto"/>
              <w:left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vMerge w:val="restart"/>
            <w:tcBorders>
              <w:top w:val="nil" w:sz="6" w:space="0" w:color="auto"/>
              <w:left w:val="single" w:sz="4" w:space="0" w:color="000000"/>
              <w:right w:val="single" w:sz="4" w:space="0" w:color="000000"/>
            </w:tcBorders>
          </w:tcPr>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31" w:hRule="exact"/>
        </w:trPr>
        <w:tc>
          <w:tcPr>
            <w:tcW w:w="2837" w:type="dxa"/>
            <w:vMerge w:val="restart"/>
            <w:tcBorders>
              <w:top w:val="nil" w:sz="6" w:space="0" w:color="auto"/>
              <w:left w:val="single" w:sz="4" w:space="0" w:color="000000"/>
              <w:right w:val="single" w:sz="4" w:space="0" w:color="000000"/>
            </w:tcBorders>
            <w:shd w:val="clear" w:color="auto" w:fill="D3D3D3"/>
          </w:tcPr>
          <w:p>
            <w:pPr/>
          </w:p>
        </w:tc>
        <w:tc>
          <w:tcPr>
            <w:tcW w:w="1123" w:type="dxa"/>
            <w:vMerge/>
            <w:tcBorders>
              <w:left w:val="single" w:sz="4" w:space="0" w:color="000000"/>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23"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89"/>
              <w:jc w:val="righ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营、合作经营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或拥有在其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他公司或企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权益等）从事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与被承诺方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集团有竞争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或构成竞争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的业务；对于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自己将来可</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能出现的下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属全资子公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司、能实际控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业、参股企业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所从事的业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务与被承诺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方集团有竞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争或构成竞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争的情况，承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诺在被承诺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方集团提出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要求时转让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自己在该等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部出资或股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份。并承诺给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予被承诺方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集团对该等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出资或股份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权，并尽力促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使有关交易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的价格是公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平合理且基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于与独立第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三者进行正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常商业交易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的基础确定；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承诺不向其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业务与被承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诺方集团所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从事的业务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业或其他机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构、组织或个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人提供销售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渠道、客户信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息等商业秘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密；承诺赔偿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被承诺方集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团因自己违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反本协议的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任何条款而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遭受或产生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的任何损失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或开支。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月前没有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为员工缴纳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养老及失业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保险、住房公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积金而产生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0"/>
              <w:jc w:val="left"/>
              <w:rPr>
                <w:rFonts w:ascii="宋体" w:hAnsi="宋体" w:cs="宋体" w:eastAsia="宋体" w:hint="default"/>
                <w:sz w:val="18"/>
                <w:szCs w:val="18"/>
              </w:rPr>
            </w:pPr>
            <w:r>
              <w:rPr>
                <w:rFonts w:ascii="宋体" w:hAnsi="宋体" w:cs="宋体" w:eastAsia="宋体" w:hint="default"/>
                <w:spacing w:val="-3"/>
                <w:sz w:val="18"/>
                <w:szCs w:val="18"/>
              </w:rPr>
              <w:t>王海鹏、王治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89"/>
              <w:jc w:val="left"/>
              <w:rPr>
                <w:rFonts w:ascii="宋体" w:hAnsi="宋体" w:cs="宋体" w:eastAsia="宋体" w:hint="default"/>
                <w:sz w:val="18"/>
                <w:szCs w:val="18"/>
              </w:rPr>
            </w:pPr>
            <w:r>
              <w:rPr>
                <w:rFonts w:ascii="宋体" w:hAnsi="宋体" w:cs="宋体" w:eastAsia="宋体" w:hint="default"/>
                <w:sz w:val="18"/>
                <w:szCs w:val="18"/>
              </w:rPr>
              <w:t>补缴义务或 公司因此遭</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受任何损失，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由王海鹏、王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治军以连带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责任形式对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公司进行补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公司因与欧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阳宣、西藏新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天地投资合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伙企业（有限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2"/>
                <w:sz w:val="18"/>
                <w:szCs w:val="18"/>
              </w:rPr>
              <w:t>）</w:t>
            </w:r>
            <w:r>
              <w:rPr>
                <w:rFonts w:ascii="宋体" w:hAnsi="宋体" w:cs="宋体" w:eastAsia="宋体" w:hint="default"/>
                <w:sz w:val="18"/>
                <w:szCs w:val="18"/>
              </w:rPr>
              <w:t>、金之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彩之间股权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转让合同纠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纷已于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向深圳仲裁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
              <w:jc w:val="left"/>
              <w:rPr>
                <w:rFonts w:ascii="宋体" w:hAnsi="宋体" w:cs="宋体" w:eastAsia="宋体" w:hint="default"/>
                <w:sz w:val="18"/>
                <w:szCs w:val="18"/>
              </w:rPr>
            </w:pPr>
            <w:r>
              <w:rPr>
                <w:rFonts w:ascii="宋体" w:hAnsi="宋体" w:cs="宋体" w:eastAsia="宋体" w:hint="default"/>
                <w:sz w:val="18"/>
                <w:szCs w:val="18"/>
              </w:rPr>
              <w:t>委员会提交 了仲裁申请， 公司又于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日收到深圳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仲裁委员会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送达的关于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欧阳宣针对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上述仲裁申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请提交的《反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请求仲裁申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请》相关文件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（申请仲裁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982" w:header="753" w:top="1060" w:bottom="1180" w:left="98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的事项详见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在巨潮资讯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网披露的</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王海鹏先生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作为公司的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控股股东，为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积极维护广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大投资者利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作出如下承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诺：如公司因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本次股权转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让合同纠纷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仲裁案仲裁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结果而需要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支付任何违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约金及仲裁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相关费用，王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海鹏先生将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全部承担。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3"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金之彩原股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东西藏新天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地投资合伙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2"/>
                <w:sz w:val="18"/>
                <w:szCs w:val="18"/>
              </w:rPr>
              <w:t>）</w:t>
            </w:r>
            <w:r>
              <w:rPr>
                <w:rFonts w:ascii="宋体" w:hAnsi="宋体" w:cs="宋体" w:eastAsia="宋体" w:hint="default"/>
                <w:sz w:val="18"/>
                <w:szCs w:val="18"/>
              </w:rPr>
              <w:t>（以下简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新天地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因金之彩公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4" w:right="18"/>
              <w:jc w:val="left"/>
              <w:rPr>
                <w:rFonts w:ascii="宋体" w:hAnsi="宋体" w:cs="宋体" w:eastAsia="宋体" w:hint="default"/>
                <w:sz w:val="18"/>
                <w:szCs w:val="18"/>
              </w:rPr>
            </w:pPr>
            <w:r>
              <w:rPr>
                <w:rFonts w:ascii="宋体" w:hAnsi="宋体" w:cs="宋体" w:eastAsia="宋体" w:hint="default"/>
                <w:sz w:val="18"/>
                <w:szCs w:val="18"/>
              </w:rPr>
              <w:t>深圳仲裁委 员会提交了 </w:t>
            </w:r>
            <w:r>
              <w:rPr>
                <w:rFonts w:ascii="宋体" w:hAnsi="宋体" w:cs="宋体" w:eastAsia="宋体" w:hint="default"/>
                <w:spacing w:val="-2"/>
                <w:sz w:val="18"/>
                <w:szCs w:val="18"/>
              </w:rPr>
              <w:t>仲裁申请。公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至仲裁裁决 结果执行完 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4" w:lineRule="auto" w:before="149"/>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深圳仲裁委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员会送达的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《仲裁申请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书》等相关文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件（申请仲裁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的事项详见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3"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披露的</w:t>
            </w:r>
            <w:r>
              <w:rPr>
                <w:rFonts w:ascii="宋体" w:hAnsi="宋体" w:cs="宋体" w:eastAsia="宋体" w:hint="default"/>
                <w:spacing w:val="-92"/>
                <w:sz w:val="18"/>
                <w:szCs w:val="18"/>
              </w:rPr>
              <w:t>）</w:t>
            </w:r>
            <w:r>
              <w:rPr>
                <w:rFonts w:ascii="宋体" w:hAnsi="宋体" w:cs="宋体" w:eastAsia="宋体" w:hint="default"/>
                <w:sz w:val="18"/>
                <w:szCs w:val="18"/>
              </w:rPr>
              <w:t>。王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海鹏先生为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积极维护广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大投资者利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益，承诺如公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司因本次新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天地申请的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股权转让合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同纠纷仲裁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案仲裁结果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而需要支付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相关款项及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仲裁相关费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用，其本人将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全部承担。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收到广东省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深圳市龙华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区人民法院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送达的《应诉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通知书》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等诉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讼文件。本次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诉讼的原告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7"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4"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欧阳宣针对 金之彩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至诉讼审理 结果执行完 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4" w:lineRule="auto" w:before="149"/>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日股东会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决议相关事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项，向龙华法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院提交了起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诉状。诉讼的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具体情况详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见公司于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资讯网披露</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的《关于收到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应诉通知书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92"/>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告编号：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pacing w:val="-69"/>
                <w:sz w:val="18"/>
                <w:szCs w:val="18"/>
              </w:rPr>
              <w:t>。</w:t>
            </w:r>
            <w:r>
              <w:rPr>
                <w:rFonts w:ascii="宋体" w:hAnsi="宋体" w:cs="宋体" w:eastAsia="宋体" w:hint="default"/>
                <w:sz w:val="18"/>
                <w:szCs w:val="18"/>
              </w:rPr>
              <w:t>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海鹏先生作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为公司控股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股东，为积极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维护广大投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资者利益，增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加投资者信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心，基于对法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院依法公正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判决的信心，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同时基于公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司在包装行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业集中度加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速提升的大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背景下，自身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综合竞争力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持续提升，新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客户开发卓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有成效，新产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能不断释放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的良好局面，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承诺如公司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因本次诉讼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结果而需支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付赔偿金，其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本人将代为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承担。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64" w:hRule="exact"/>
        </w:trPr>
        <w:tc>
          <w:tcPr>
            <w:tcW w:w="2836" w:type="dxa"/>
            <w:vMerge/>
            <w:tcBorders>
              <w:left w:val="single" w:sz="4" w:space="0" w:color="000000"/>
              <w:right w:val="single" w:sz="4" w:space="0" w:color="000000"/>
            </w:tcBorders>
            <w:shd w:val="clear" w:color="auto" w:fill="D3D3D3"/>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偿或以不公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平条件向其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王海鹏、王治</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他单位或者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军、张珍义、</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个人输送利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黄琳、郭万 达、刘纯斌、 谭伟、冯达</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9"/>
              <w:jc w:val="left"/>
              <w:rPr>
                <w:rFonts w:ascii="宋体" w:hAnsi="宋体" w:cs="宋体" w:eastAsia="宋体" w:hint="default"/>
                <w:sz w:val="18"/>
                <w:szCs w:val="18"/>
              </w:rPr>
            </w:pPr>
            <w:r>
              <w:rPr>
                <w:rFonts w:ascii="宋体" w:hAnsi="宋体" w:cs="宋体" w:eastAsia="宋体" w:hint="default"/>
                <w:sz w:val="18"/>
                <w:szCs w:val="18"/>
              </w:rPr>
              <w:t>益，也不采用 其他方式损 害公司利益。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日至公司 非公开发行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股股票实施</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4" w:lineRule="auto" w:before="150"/>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昌、袁宏贵、</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、承诺对本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人的职务消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费行为进行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诺不动用公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96pt;width:61.8pt;height:686.4pt;mso-position-horizontal-relative:page;mso-position-vertical-relative:page;z-index:-1538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5"/>
              <w:jc w:val="center"/>
              <w:rPr>
                <w:rFonts w:ascii="宋体" w:hAnsi="宋体" w:cs="宋体" w:eastAsia="宋体" w:hint="default"/>
                <w:sz w:val="18"/>
                <w:szCs w:val="18"/>
              </w:rPr>
            </w:pPr>
            <w:r>
              <w:rPr>
                <w:rFonts w:ascii="宋体" w:hAnsi="宋体" w:cs="宋体" w:eastAsia="宋体" w:hint="default"/>
                <w:sz w:val="18"/>
                <w:szCs w:val="18"/>
              </w:rPr>
              <w:t>司资产从事</w:t>
            </w:r>
          </w:p>
        </w:tc>
        <w:tc>
          <w:tcPr>
            <w:tcW w:w="1126"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4pt;mso-position-horizontal-relative:char;mso-position-vertical-relative:line" coordorigin="0,0" coordsize="1116,13728">
                  <v:group style="position:absolute;left:0;top:0;width:1116;height:13728" coordorigin="0,0" coordsize="1116,13728">
                    <v:shape style="position:absolute;left:0;top:0;width:1116;height:13728" coordorigin="0,0" coordsize="1116,13728" path="m1116,13728l0,13728,0,0,1116,0,1116,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与履行职责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无关的投资、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承诺由董事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薪酬与考核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委员会制定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的薪酬制度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挂钩。</w:t>
            </w:r>
            <w:r>
              <w:rPr>
                <w:rFonts w:ascii="Times New Roman" w:hAnsi="Times New Roman" w:cs="Times New Roman" w:eastAsia="Times New Roman" w:hint="default"/>
                <w:sz w:val="18"/>
                <w:szCs w:val="18"/>
              </w:rPr>
              <w:t>5</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公司后续推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出股权激励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政策，承诺拟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公布的公司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股权激励的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行权条件与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6</w:t>
            </w:r>
            <w:r>
              <w:rPr>
                <w:rFonts w:ascii="宋体" w:hAnsi="宋体" w:cs="宋体" w:eastAsia="宋体" w:hint="default"/>
                <w:sz w:val="18"/>
                <w:szCs w:val="18"/>
              </w:rPr>
              <w:t>、自本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65"/>
              <w:jc w:val="center"/>
              <w:rPr>
                <w:rFonts w:ascii="宋体" w:hAnsi="宋体" w:cs="宋体" w:eastAsia="宋体" w:hint="default"/>
                <w:sz w:val="18"/>
                <w:szCs w:val="18"/>
              </w:rPr>
            </w:pPr>
            <w:r>
              <w:rPr>
                <w:rFonts w:ascii="宋体" w:hAnsi="宋体" w:cs="宋体" w:eastAsia="宋体" w:hint="default"/>
                <w:sz w:val="18"/>
                <w:szCs w:val="18"/>
              </w:rPr>
              <w:t>承诺出具日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至公司本次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股票实施完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毕前，如中国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证监会作出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关于填补措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施及其承诺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的其他新的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2" w:right="0"/>
              <w:jc w:val="center"/>
              <w:rPr>
                <w:rFonts w:ascii="宋体" w:hAnsi="宋体" w:cs="宋体" w:eastAsia="宋体" w:hint="default"/>
                <w:sz w:val="18"/>
                <w:szCs w:val="18"/>
              </w:rPr>
            </w:pPr>
            <w:r>
              <w:rPr>
                <w:rFonts w:ascii="宋体" w:hAnsi="宋体" w:cs="宋体" w:eastAsia="宋体" w:hint="default"/>
                <w:sz w:val="18"/>
                <w:szCs w:val="18"/>
              </w:rPr>
              <w:t>监管规定的，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且上述承诺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不能满足中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国证监会发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布的该等新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的监管规定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sz w:val="18"/>
                <w:szCs w:val="18"/>
              </w:rPr>
              <w:t>的，本人承诺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届时将按照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的最新规定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65"/>
              <w:jc w:val="center"/>
              <w:rPr>
                <w:rFonts w:ascii="宋体" w:hAnsi="宋体" w:cs="宋体" w:eastAsia="宋体" w:hint="default"/>
                <w:sz w:val="18"/>
                <w:szCs w:val="18"/>
              </w:rPr>
            </w:pPr>
            <w:r>
              <w:rPr>
                <w:rFonts w:ascii="宋体" w:hAnsi="宋体" w:cs="宋体" w:eastAsia="宋体" w:hint="default"/>
                <w:sz w:val="18"/>
                <w:szCs w:val="18"/>
              </w:rPr>
              <w:t>出具补充承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74"/>
              <w:jc w:val="center"/>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7</w:t>
            </w:r>
            <w:r>
              <w:rPr>
                <w:rFonts w:ascii="宋体" w:hAnsi="宋体" w:cs="宋体" w:eastAsia="宋体" w:hint="default"/>
                <w:sz w:val="18"/>
                <w:szCs w:val="18"/>
              </w:rPr>
              <w:t>、承诺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作为填补回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报措施相关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责任主体之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一，本人若违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或拒不履行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上述承诺，本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人同意接受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中国证券监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督管理委员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会和深圳证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券交易所等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证券监管机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构按照其制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定或发布的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有关规定、规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则，对本人作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出相关处罚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或采取相关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监管措施。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0"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0"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61" w:lineRule="auto" w:before="36"/>
        <w:ind w:right="0"/>
        <w:jc w:val="left"/>
        <w:rPr>
          <w:rFonts w:ascii="Tahoma" w:hAnsi="Tahoma" w:cs="Tahoma" w:eastAsia="Tahoma" w:hint="default"/>
        </w:rPr>
      </w:pPr>
      <w:r>
        <w:rPr>
          <w:rFonts w:ascii="Tahoma" w:hAnsi="Tahoma" w:cs="Tahoma" w:eastAsia="Tahoma" w:hint="default"/>
        </w:rPr>
        <w:t>2</w:t>
      </w:r>
      <w:r>
        <w:rPr/>
        <w:t>、公司资产或项目存在盈利预测，且报告期仍处在盈利预测期间，公司就资产或项目达到原盈利预测及</w:t>
      </w:r>
      <w:r>
        <w:rPr>
          <w:spacing w:val="-38"/>
        </w:rPr>
        <w:t> </w:t>
      </w:r>
      <w:r>
        <w:rPr>
          <w:spacing w:val="-38"/>
        </w:rPr>
      </w:r>
      <w:r>
        <w:rPr/>
        <w:t>其原因做出说明</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306"/>
        <w:gridCol w:w="1178"/>
        <w:gridCol w:w="1181"/>
        <w:gridCol w:w="1181"/>
        <w:gridCol w:w="1178"/>
        <w:gridCol w:w="1181"/>
        <w:gridCol w:w="1183"/>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6" w:right="105"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6" w:right="45"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3"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36"/>
              <w:jc w:val="center"/>
              <w:rPr>
                <w:rFonts w:ascii="宋体" w:hAnsi="宋体" w:cs="宋体" w:eastAsia="宋体" w:hint="default"/>
                <w:sz w:val="18"/>
                <w:szCs w:val="18"/>
              </w:rPr>
            </w:pPr>
            <w:r>
              <w:rPr>
                <w:rFonts w:ascii="宋体" w:hAnsi="宋体" w:cs="宋体" w:eastAsia="宋体" w:hint="default"/>
                <w:sz w:val="18"/>
                <w:szCs w:val="18"/>
              </w:rPr>
              <w:t>为了抓住国家</w:t>
            </w:r>
          </w:p>
        </w:tc>
        <w:tc>
          <w:tcPr>
            <w:tcW w:w="1183"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发展数字农业</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详见公司在</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和乡村振兴战</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略的机遇，强</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及巨潮资讯网</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化区块链技术</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披露的《关于</w:t>
            </w:r>
          </w:p>
        </w:tc>
      </w:tr>
      <w:tr>
        <w:trPr>
          <w:trHeight w:val="624"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甲骨文超级码</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1,900</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1,558.39</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6" w:right="62"/>
              <w:jc w:val="left"/>
              <w:rPr>
                <w:rFonts w:ascii="宋体" w:hAnsi="宋体" w:cs="宋体" w:eastAsia="宋体" w:hint="default"/>
                <w:sz w:val="18"/>
                <w:szCs w:val="18"/>
              </w:rPr>
            </w:pPr>
            <w:r>
              <w:rPr>
                <w:rFonts w:ascii="宋体" w:hAnsi="宋体" w:cs="宋体" w:eastAsia="宋体" w:hint="default"/>
                <w:sz w:val="18"/>
                <w:szCs w:val="18"/>
              </w:rPr>
              <w:t>优势，甲骨文 超级码加大了</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参股浙江甲骨 文超级码科技</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研发投入和数</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字农业业务拓</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139"/>
                <w:sz w:val="18"/>
                <w:szCs w:val="18"/>
              </w:rPr>
              <w:t>》</w:t>
            </w:r>
            <w:r>
              <w:rPr>
                <w:rFonts w:ascii="宋体" w:hAnsi="宋体" w:cs="宋体" w:eastAsia="宋体" w:hint="default"/>
                <w:sz w:val="18"/>
                <w:szCs w:val="18"/>
              </w:rPr>
              <w:t>（公告</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展投入，但相</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22" w:hRule="exact"/>
        </w:trPr>
        <w:tc>
          <w:tcPr>
            <w:tcW w:w="1306"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36"/>
              <w:jc w:val="center"/>
              <w:rPr>
                <w:rFonts w:ascii="宋体" w:hAnsi="宋体" w:cs="宋体" w:eastAsia="宋体" w:hint="default"/>
                <w:sz w:val="18"/>
                <w:szCs w:val="18"/>
              </w:rPr>
            </w:pPr>
            <w:r>
              <w:rPr>
                <w:rFonts w:ascii="宋体" w:hAnsi="宋体" w:cs="宋体" w:eastAsia="宋体" w:hint="default"/>
                <w:sz w:val="18"/>
                <w:szCs w:val="18"/>
              </w:rPr>
              <w:t>关技术、人力</w:t>
            </w:r>
          </w:p>
        </w:tc>
        <w:tc>
          <w:tcPr>
            <w:tcW w:w="1183"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2019-039</w:t>
            </w:r>
            <w:r>
              <w:rPr>
                <w:rFonts w:ascii="宋体" w:hAnsi="宋体" w:cs="宋体" w:eastAsia="宋体" w:hint="default"/>
                <w:sz w:val="18"/>
                <w:szCs w:val="18"/>
              </w:rPr>
              <w:t>）</w:t>
            </w:r>
          </w:p>
        </w:tc>
      </w:tr>
      <w:tr>
        <w:trPr>
          <w:trHeight w:val="312"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36"/>
              <w:jc w:val="center"/>
              <w:rPr>
                <w:rFonts w:ascii="宋体" w:hAnsi="宋体" w:cs="宋体" w:eastAsia="宋体" w:hint="default"/>
                <w:sz w:val="18"/>
                <w:szCs w:val="18"/>
              </w:rPr>
            </w:pPr>
            <w:r>
              <w:rPr>
                <w:rFonts w:ascii="宋体" w:hAnsi="宋体" w:cs="宋体" w:eastAsia="宋体" w:hint="default"/>
                <w:sz w:val="18"/>
                <w:szCs w:val="18"/>
              </w:rPr>
              <w:t>及新产品从投</w:t>
            </w:r>
          </w:p>
        </w:tc>
        <w:tc>
          <w:tcPr>
            <w:tcW w:w="1183" w:type="dxa"/>
            <w:tcBorders>
              <w:top w:val="nil" w:sz="6" w:space="0" w:color="auto"/>
              <w:left w:val="single" w:sz="4" w:space="0" w:color="000000"/>
              <w:bottom w:val="single" w:sz="4" w:space="0" w:color="000000"/>
              <w:right w:val="single" w:sz="4" w:space="0" w:color="000000"/>
            </w:tcBorders>
          </w:tcPr>
          <w:p>
            <w:pPr/>
          </w:p>
        </w:tc>
        <w:tc>
          <w:tcPr>
            <w:tcW w:w="11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06"/>
        <w:gridCol w:w="1178"/>
        <w:gridCol w:w="1181"/>
        <w:gridCol w:w="1181"/>
        <w:gridCol w:w="1178"/>
        <w:gridCol w:w="1181"/>
        <w:gridCol w:w="1183"/>
        <w:gridCol w:w="1176"/>
      </w:tblGrid>
      <w:tr>
        <w:trPr>
          <w:trHeight w:val="1298"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62"/>
              <w:jc w:val="both"/>
              <w:rPr>
                <w:rFonts w:ascii="宋体" w:hAnsi="宋体" w:cs="宋体" w:eastAsia="宋体" w:hint="default"/>
                <w:sz w:val="18"/>
                <w:szCs w:val="18"/>
              </w:rPr>
            </w:pPr>
            <w:r>
              <w:rPr>
                <w:rFonts w:ascii="宋体" w:hAnsi="宋体" w:cs="宋体" w:eastAsia="宋体" w:hint="default"/>
                <w:sz w:val="18"/>
                <w:szCs w:val="18"/>
              </w:rPr>
              <w:t>入市场到获取 订单并确认收 入存在一定的 周期。</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公司股东、交易对手方在报告年度经营业绩做出的承诺情况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3"/>
        <w:ind w:right="1126"/>
        <w:jc w:val="left"/>
      </w:pPr>
      <w:r>
        <w:rPr/>
        <w:t>甲骨文超级码主要股东顾惠波、杭州攀登者科技有限公司向公司承诺甲骨文超级码在 </w:t>
      </w:r>
      <w:r>
        <w:rPr>
          <w:rFonts w:ascii="Times New Roman" w:hAnsi="Times New Roman" w:cs="Times New Roman" w:eastAsia="Times New Roman" w:hint="default"/>
        </w:rPr>
        <w:t>2019 </w:t>
      </w:r>
      <w:r>
        <w:rPr/>
        <w:t>年实现净利润不低于 </w:t>
      </w:r>
      <w:r>
        <w:rPr>
          <w:rFonts w:ascii="Times New Roman" w:hAnsi="Times New Roman" w:cs="Times New Roman" w:eastAsia="Times New Roman" w:hint="default"/>
        </w:rPr>
        <w:t>1,900</w:t>
      </w:r>
      <w:r>
        <w:rPr>
          <w:rFonts w:ascii="Times New Roman" w:hAnsi="Times New Roman" w:cs="Times New Roman" w:eastAsia="Times New Roman" w:hint="default"/>
          <w:spacing w:val="15"/>
        </w:rPr>
        <w:t> </w:t>
      </w:r>
      <w:r>
        <w:rPr/>
        <w:t>万 </w:t>
      </w:r>
      <w:r>
        <w:rPr>
          <w:spacing w:val="-4"/>
        </w:rPr>
        <w:t>元；</w:t>
      </w:r>
      <w:r>
        <w:rPr>
          <w:rFonts w:ascii="Times New Roman" w:hAnsi="Times New Roman" w:cs="Times New Roman" w:eastAsia="Times New Roman" w:hint="default"/>
          <w:spacing w:val="-4"/>
        </w:rPr>
        <w:t>2020 </w:t>
      </w:r>
      <w:r>
        <w:rPr/>
        <w:t>年实现净利润不低于 </w:t>
      </w:r>
      <w:r>
        <w:rPr>
          <w:rFonts w:ascii="Times New Roman" w:hAnsi="Times New Roman" w:cs="Times New Roman" w:eastAsia="Times New Roman" w:hint="default"/>
        </w:rPr>
        <w:t>2,500 </w:t>
      </w:r>
      <w:r>
        <w:rPr>
          <w:spacing w:val="-4"/>
        </w:rPr>
        <w:t>万元；</w:t>
      </w:r>
      <w:r>
        <w:rPr>
          <w:rFonts w:ascii="Times New Roman" w:hAnsi="Times New Roman" w:cs="Times New Roman" w:eastAsia="Times New Roman" w:hint="default"/>
          <w:spacing w:val="-4"/>
        </w:rPr>
        <w:t>2021 </w:t>
      </w:r>
      <w:r>
        <w:rPr/>
        <w:t>年实现净利润不低于 </w:t>
      </w:r>
      <w:r>
        <w:rPr>
          <w:rFonts w:ascii="Times New Roman" w:hAnsi="Times New Roman" w:cs="Times New Roman" w:eastAsia="Times New Roman" w:hint="default"/>
        </w:rPr>
        <w:t>3,300</w:t>
      </w:r>
      <w:r>
        <w:rPr>
          <w:rFonts w:ascii="Times New Roman" w:hAnsi="Times New Roman" w:cs="Times New Roman" w:eastAsia="Times New Roman" w:hint="default"/>
          <w:spacing w:val="12"/>
        </w:rPr>
        <w:t> </w:t>
      </w:r>
      <w:r>
        <w:rPr/>
        <w:t>万元。前述的净利润以甲骨文超级码合并报表 中扣除非经常性损益后的归属于甲骨文超级码所有者（母公司所有者）的净利润计算。</w:t>
      </w:r>
    </w:p>
    <w:p>
      <w:pPr>
        <w:pStyle w:val="BodyText"/>
        <w:spacing w:line="357" w:lineRule="auto" w:before="72"/>
        <w:ind w:right="6974"/>
        <w:jc w:val="left"/>
      </w:pPr>
      <w:r>
        <w:rPr/>
        <w:t>业绩承诺的完成情况及其对商誉减值测试的影响 不适用</w:t>
      </w:r>
    </w:p>
    <w:p>
      <w:pPr>
        <w:spacing w:line="240" w:lineRule="auto" w:before="7"/>
        <w:rPr>
          <w:rFonts w:ascii="宋体" w:hAnsi="宋体" w:cs="宋体" w:eastAsia="宋体" w:hint="default"/>
          <w:sz w:val="18"/>
          <w:szCs w:val="18"/>
        </w:rPr>
      </w:pPr>
    </w:p>
    <w:p>
      <w:pPr>
        <w:pStyle w:val="Heading3"/>
        <w:spacing w:line="240" w:lineRule="auto"/>
        <w:ind w:right="0"/>
        <w:jc w:val="left"/>
        <w:rPr>
          <w:rFonts w:ascii="Tahoma" w:hAnsi="Tahoma" w:cs="Tahoma" w:eastAsia="Tahoma" w:hint="default"/>
        </w:rPr>
      </w:pPr>
      <w:r>
        <w:rPr/>
        <w:t>四、控股股东及其关联方对上市公司的非经营性占用资金情况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五、董事会、监事会、独立董事（如有）对会计师事务所本报告期</w:t>
      </w:r>
      <w:r>
        <w:rPr>
          <w:rFonts w:ascii="Tahoma" w:hAnsi="Tahoma" w:cs="Tahoma" w:eastAsia="Tahoma" w:hint="default"/>
        </w:rPr>
        <w:t>“</w:t>
      </w:r>
      <w:r>
        <w:rPr/>
        <w:t>非标准审计报告</w:t>
      </w:r>
      <w:r>
        <w:rPr>
          <w:rFonts w:ascii="Tahoma" w:hAnsi="Tahoma" w:cs="Tahoma" w:eastAsia="Tahoma" w:hint="default"/>
        </w:rPr>
        <w:t>”</w:t>
      </w:r>
      <w:r>
        <w:rPr/>
        <w:t>的说明</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六、与上年度财务报告相比，会计政策、会计估计和核算方法发生变化的情况说明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37"/>
        <w:ind w:left="0" w:right="1120"/>
        <w:jc w:val="right"/>
      </w:pPr>
      <w:r>
        <w:rPr/>
        <w:pict>
          <v:shape style="position:absolute;margin-left:56.280003pt;margin-top:-69.958229pt;width:479.55pt;height:220.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2"/>
                    <w:gridCol w:w="3187"/>
                    <w:gridCol w:w="3190"/>
                  </w:tblGrid>
                  <w:tr>
                    <w:trPr>
                      <w:trHeight w:val="427" w:hRule="exact"/>
                    </w:trPr>
                    <w:tc>
                      <w:tcPr>
                        <w:tcW w:w="3192"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2" w:hRule="exact"/>
                    </w:trPr>
                    <w:tc>
                      <w:tcPr>
                        <w:tcW w:w="319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首次执行新金融工具准则</w:t>
                        </w:r>
                      </w:p>
                    </w:tc>
                    <w:tc>
                      <w:tcPr>
                        <w:tcW w:w="318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日召开第四届董事会</w:t>
                        </w:r>
                      </w:p>
                    </w:tc>
                    <w:tc>
                      <w:tcPr>
                        <w:tcW w:w="319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具体详见公司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日刊载于《证</w:t>
                        </w:r>
                      </w:p>
                    </w:tc>
                  </w:tr>
                  <w:tr>
                    <w:trPr>
                      <w:trHeight w:val="310" w:hRule="exact"/>
                    </w:trPr>
                    <w:tc>
                      <w:tcPr>
                        <w:tcW w:w="3192" w:type="dxa"/>
                        <w:tcBorders>
                          <w:top w:val="nil" w:sz="6" w:space="0" w:color="auto"/>
                          <w:left w:val="single" w:sz="6" w:space="0" w:color="000000"/>
                          <w:bottom w:val="nil" w:sz="6" w:space="0" w:color="auto"/>
                          <w:right w:val="single" w:sz="6" w:space="0" w:color="000000"/>
                        </w:tcBorders>
                      </w:tcPr>
                      <w:p>
                        <w:pP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4"/>
                            <w:sz w:val="18"/>
                            <w:szCs w:val="18"/>
                          </w:rPr>
                          <w:t>第二十五次会议，审议通过了《关于公司</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券时报》及巨潮资讯网</w:t>
                        </w:r>
                      </w:p>
                    </w:tc>
                  </w:tr>
                  <w:tr>
                    <w:trPr>
                      <w:trHeight w:val="313" w:hRule="exact"/>
                    </w:trPr>
                    <w:tc>
                      <w:tcPr>
                        <w:tcW w:w="3192" w:type="dxa"/>
                        <w:tcBorders>
                          <w:top w:val="nil" w:sz="6" w:space="0" w:color="auto"/>
                          <w:left w:val="single" w:sz="6" w:space="0" w:color="000000"/>
                          <w:bottom w:val="nil" w:sz="6" w:space="0" w:color="auto"/>
                          <w:right w:val="single" w:sz="6" w:space="0" w:color="000000"/>
                        </w:tcBorders>
                      </w:tcPr>
                      <w:p>
                        <w:pP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pacing w:val="-4"/>
                            <w:sz w:val="18"/>
                            <w:szCs w:val="18"/>
                          </w:rPr>
                          <w:t>会计政策变更的议案》，本次会计政策变</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）的《第四届董事</w:t>
                        </w:r>
                      </w:p>
                    </w:tc>
                  </w:tr>
                  <w:tr>
                    <w:trPr>
                      <w:trHeight w:val="311" w:hRule="exact"/>
                    </w:trPr>
                    <w:tc>
                      <w:tcPr>
                        <w:tcW w:w="3192" w:type="dxa"/>
                        <w:tcBorders>
                          <w:top w:val="nil" w:sz="6" w:space="0" w:color="auto"/>
                          <w:left w:val="single" w:sz="6" w:space="0" w:color="000000"/>
                          <w:bottom w:val="nil" w:sz="6" w:space="0" w:color="auto"/>
                          <w:right w:val="single" w:sz="6" w:space="0" w:color="000000"/>
                        </w:tcBorders>
                      </w:tcPr>
                      <w:p>
                        <w:pP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更无需提交股东大会审议。</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会第二十五次会议决议公告</w:t>
                        </w:r>
                        <w:r>
                          <w:rPr>
                            <w:rFonts w:ascii="宋体" w:hAnsi="宋体" w:cs="宋体" w:eastAsia="宋体" w:hint="default"/>
                            <w:spacing w:val="-164"/>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公告编号</w:t>
                        </w:r>
                      </w:p>
                    </w:tc>
                  </w:tr>
                  <w:tr>
                    <w:trPr>
                      <w:trHeight w:val="369" w:hRule="exact"/>
                    </w:trPr>
                    <w:tc>
                      <w:tcPr>
                        <w:tcW w:w="3192" w:type="dxa"/>
                        <w:tcBorders>
                          <w:top w:val="nil" w:sz="6" w:space="0" w:color="auto"/>
                          <w:left w:val="single" w:sz="6" w:space="0" w:color="000000"/>
                          <w:bottom w:val="single" w:sz="10" w:space="0" w:color="000000"/>
                          <w:right w:val="single" w:sz="6" w:space="0" w:color="000000"/>
                        </w:tcBorders>
                      </w:tcPr>
                      <w:p>
                        <w:pPr/>
                      </w:p>
                    </w:tc>
                    <w:tc>
                      <w:tcPr>
                        <w:tcW w:w="3187" w:type="dxa"/>
                        <w:tcBorders>
                          <w:top w:val="nil" w:sz="6" w:space="0" w:color="auto"/>
                          <w:left w:val="single" w:sz="6" w:space="0" w:color="000000"/>
                          <w:bottom w:val="single" w:sz="10" w:space="0" w:color="000000"/>
                          <w:right w:val="single" w:sz="6" w:space="0" w:color="000000"/>
                        </w:tcBorders>
                      </w:tcPr>
                      <w:p>
                        <w:pPr/>
                      </w:p>
                    </w:tc>
                    <w:tc>
                      <w:tcPr>
                        <w:tcW w:w="3190"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372" w:hRule="exact"/>
                    </w:trPr>
                    <w:tc>
                      <w:tcPr>
                        <w:tcW w:w="3192"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日发布了《关于修</w:t>
                        </w:r>
                      </w:p>
                    </w:tc>
                    <w:tc>
                      <w:tcPr>
                        <w:tcW w:w="3187"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日召开第四届董事会</w:t>
                        </w:r>
                      </w:p>
                    </w:tc>
                    <w:tc>
                      <w:tcPr>
                        <w:tcW w:w="3190" w:type="dxa"/>
                        <w:tcBorders>
                          <w:top w:val="single" w:sz="10" w:space="0" w:color="000000"/>
                          <w:left w:val="single" w:sz="6" w:space="0" w:color="000000"/>
                          <w:bottom w:val="nil" w:sz="6" w:space="0" w:color="auto"/>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具体详见公司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日刊载于《证</w:t>
                        </w:r>
                      </w:p>
                    </w:tc>
                  </w:tr>
                  <w:tr>
                    <w:trPr>
                      <w:trHeight w:val="311" w:hRule="exact"/>
                    </w:trPr>
                    <w:tc>
                      <w:tcPr>
                        <w:tcW w:w="319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订印发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年度一般企业财务报表格式</w:t>
                        </w: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pacing w:val="-4"/>
                            <w:sz w:val="18"/>
                            <w:szCs w:val="18"/>
                          </w:rPr>
                          <w:t>第二十七次会议，审议通过了《关于公司</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券时报》及巨潮资讯网</w:t>
                        </w:r>
                      </w:p>
                    </w:tc>
                  </w:tr>
                  <w:tr>
                    <w:trPr>
                      <w:trHeight w:val="312" w:hRule="exact"/>
                    </w:trPr>
                    <w:tc>
                      <w:tcPr>
                        <w:tcW w:w="31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号），在原</w:t>
                        </w:r>
                        <w:r>
                          <w:rPr>
                            <w:rFonts w:ascii="Times New Roman" w:hAnsi="Times New Roman" w:cs="Times New Roman" w:eastAsia="Times New Roman" w:hint="default"/>
                            <w:sz w:val="18"/>
                            <w:szCs w:val="18"/>
                          </w:rPr>
                          <w:t>"</w:t>
                        </w: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pacing w:val="-4"/>
                            <w:sz w:val="18"/>
                            <w:szCs w:val="18"/>
                          </w:rPr>
                          <w:t>会计政策变更的议案》，本次会计政策变</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）的《第四届董事</w:t>
                        </w:r>
                      </w:p>
                    </w:tc>
                  </w:tr>
                  <w:tr>
                    <w:trPr>
                      <w:trHeight w:val="312" w:hRule="exact"/>
                    </w:trPr>
                    <w:tc>
                      <w:tcPr>
                        <w:tcW w:w="31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文件的基础上对一般</w:t>
                        </w:r>
                      </w:p>
                    </w:tc>
                    <w:tc>
                      <w:tcPr>
                        <w:tcW w:w="318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z w:val="18"/>
                            <w:szCs w:val="18"/>
                          </w:rPr>
                          <w:t>更无需提交股东大会审议。</w:t>
                        </w: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z w:val="18"/>
                            <w:szCs w:val="18"/>
                          </w:rPr>
                          <w:t>会第二十七次会议决议公告</w:t>
                        </w:r>
                        <w:r>
                          <w:rPr>
                            <w:rFonts w:ascii="宋体" w:hAnsi="宋体" w:cs="宋体" w:eastAsia="宋体" w:hint="default"/>
                            <w:spacing w:val="-164"/>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公告编号</w:t>
                        </w:r>
                      </w:p>
                    </w:tc>
                  </w:tr>
                  <w:tr>
                    <w:trPr>
                      <w:trHeight w:val="312" w:hRule="exact"/>
                    </w:trPr>
                    <w:tc>
                      <w:tcPr>
                        <w:tcW w:w="31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pacing w:val="-4"/>
                            <w:sz w:val="18"/>
                            <w:szCs w:val="18"/>
                          </w:rPr>
                          <w:t>企业财务报表格式进行了修订。根据上述</w:t>
                        </w:r>
                      </w:p>
                    </w:tc>
                    <w:tc>
                      <w:tcPr>
                        <w:tcW w:w="3187" w:type="dxa"/>
                        <w:tcBorders>
                          <w:top w:val="nil" w:sz="6" w:space="0" w:color="auto"/>
                          <w:left w:val="single" w:sz="6" w:space="0" w:color="000000"/>
                          <w:bottom w:val="nil" w:sz="6" w:space="0" w:color="auto"/>
                          <w:right w:val="single" w:sz="6" w:space="0" w:color="000000"/>
                        </w:tcBorders>
                      </w:tcPr>
                      <w:p>
                        <w:pPr/>
                      </w:p>
                    </w:tc>
                    <w:tc>
                      <w:tcPr>
                        <w:tcW w:w="31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2019-077</w:t>
                        </w:r>
                        <w:r>
                          <w:rPr>
                            <w:rFonts w:ascii="宋体" w:hAnsi="宋体" w:cs="宋体" w:eastAsia="宋体" w:hint="default"/>
                            <w:sz w:val="18"/>
                            <w:szCs w:val="18"/>
                          </w:rPr>
                          <w:t>）</w:t>
                        </w:r>
                      </w:p>
                    </w:tc>
                  </w:tr>
                  <w:tr>
                    <w:trPr>
                      <w:trHeight w:val="311" w:hRule="exact"/>
                    </w:trPr>
                    <w:tc>
                      <w:tcPr>
                        <w:tcW w:w="31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left="4" w:right="0"/>
                          <w:jc w:val="left"/>
                          <w:rPr>
                            <w:rFonts w:ascii="宋体" w:hAnsi="宋体" w:cs="宋体" w:eastAsia="宋体" w:hint="default"/>
                            <w:sz w:val="18"/>
                            <w:szCs w:val="18"/>
                          </w:rPr>
                        </w:pPr>
                        <w:r>
                          <w:rPr>
                            <w:rFonts w:ascii="宋体" w:hAnsi="宋体" w:cs="宋体" w:eastAsia="宋体" w:hint="default"/>
                            <w:spacing w:val="-4"/>
                            <w:sz w:val="18"/>
                            <w:szCs w:val="18"/>
                          </w:rPr>
                          <w:t>会计准则的要求，公司需对会计政策相关</w:t>
                        </w:r>
                      </w:p>
                    </w:tc>
                    <w:tc>
                      <w:tcPr>
                        <w:tcW w:w="3187" w:type="dxa"/>
                        <w:tcBorders>
                          <w:top w:val="nil" w:sz="6" w:space="0" w:color="auto"/>
                          <w:left w:val="single" w:sz="6" w:space="0" w:color="000000"/>
                          <w:bottom w:val="nil" w:sz="6" w:space="0" w:color="auto"/>
                          <w:right w:val="single" w:sz="6" w:space="0" w:color="000000"/>
                        </w:tcBorders>
                      </w:tcPr>
                      <w:p>
                        <w:pPr/>
                      </w:p>
                    </w:tc>
                    <w:tc>
                      <w:tcPr>
                        <w:tcW w:w="3190" w:type="dxa"/>
                        <w:tcBorders>
                          <w:top w:val="nil" w:sz="6" w:space="0" w:color="auto"/>
                          <w:left w:val="single" w:sz="6" w:space="0" w:color="000000"/>
                          <w:bottom w:val="nil" w:sz="6" w:space="0" w:color="auto"/>
                          <w:right w:val="single" w:sz="6" w:space="0" w:color="000000"/>
                        </w:tcBorders>
                      </w:tcPr>
                      <w:p>
                        <w:pPr/>
                      </w:p>
                    </w:tc>
                  </w:tr>
                  <w:tr>
                    <w:trPr>
                      <w:trHeight w:val="364" w:hRule="exact"/>
                    </w:trPr>
                    <w:tc>
                      <w:tcPr>
                        <w:tcW w:w="31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内容进行相应调整。</w:t>
                        </w:r>
                      </w:p>
                    </w:tc>
                    <w:tc>
                      <w:tcPr>
                        <w:tcW w:w="3187" w:type="dxa"/>
                        <w:tcBorders>
                          <w:top w:val="nil" w:sz="6" w:space="0" w:color="auto"/>
                          <w:left w:val="single" w:sz="6" w:space="0" w:color="000000"/>
                          <w:bottom w:val="single" w:sz="6" w:space="0" w:color="000000"/>
                          <w:right w:val="single" w:sz="6" w:space="0" w:color="000000"/>
                        </w:tcBorders>
                      </w:tcPr>
                      <w:p>
                        <w:pPr/>
                      </w:p>
                    </w:tc>
                    <w:tc>
                      <w:tcPr>
                        <w:tcW w:w="3190" w:type="dxa"/>
                        <w:tcBorders>
                          <w:top w:val="nil" w:sz="6" w:space="0" w:color="auto"/>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7"/>
        <w:ind w:left="0" w:right="112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7"/>
        <w:ind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日起执行上述修订后的准则和财务报表格式，对会计政策相关内容进行调整。</w:t>
      </w:r>
    </w:p>
    <w:p>
      <w:pPr>
        <w:spacing w:line="240" w:lineRule="auto" w:before="11"/>
        <w:rPr>
          <w:rFonts w:ascii="宋体" w:hAnsi="宋体" w:cs="宋体" w:eastAsia="宋体" w:hint="default"/>
          <w:sz w:val="25"/>
          <w:szCs w:val="25"/>
        </w:rPr>
      </w:pPr>
    </w:p>
    <w:p>
      <w:pPr>
        <w:pStyle w:val="BodyText"/>
        <w:spacing w:line="240" w:lineRule="auto" w:before="37"/>
        <w:ind w:right="0"/>
        <w:jc w:val="left"/>
      </w:pPr>
      <w:r>
        <w:rPr/>
        <w:t>（</w:t>
      </w:r>
      <w:r>
        <w:rPr>
          <w:rFonts w:ascii="Times New Roman" w:hAnsi="Times New Roman" w:cs="Times New Roman" w:eastAsia="Times New Roman" w:hint="default"/>
        </w:rPr>
        <w:t>1</w:t>
      </w:r>
      <w:r>
        <w:rPr/>
        <w:t>）执行新金融工具准则对本期期初合并、母公司资产负债表相关项目的影响：</w:t>
      </w:r>
    </w:p>
    <w:p>
      <w:pPr>
        <w:pStyle w:val="BodyText"/>
        <w:spacing w:line="240" w:lineRule="auto" w:before="63"/>
        <w:ind w:left="0" w:right="2765"/>
        <w:jc w:val="right"/>
      </w:pPr>
      <w:r>
        <w:rPr/>
        <w:t>单位：元</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851"/>
        <w:gridCol w:w="2398"/>
        <w:gridCol w:w="2242"/>
        <w:gridCol w:w="2364"/>
      </w:tblGrid>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80" w:right="0"/>
              <w:jc w:val="left"/>
              <w:rPr>
                <w:rFonts w:ascii="宋体" w:hAnsi="宋体" w:cs="宋体" w:eastAsia="宋体" w:hint="default"/>
                <w:sz w:val="18"/>
                <w:szCs w:val="18"/>
              </w:rPr>
            </w:pPr>
            <w:r>
              <w:rPr>
                <w:rFonts w:ascii="宋体" w:hAnsi="宋体" w:cs="宋体" w:eastAsia="宋体" w:hint="default"/>
                <w:sz w:val="18"/>
                <w:szCs w:val="18"/>
              </w:rPr>
              <w:t>合并报表项目</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989,511,500.82</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1,290,585.54</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990,802,086.36</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740,838,727.02</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740,838,727.02</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62,064,165.55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-4,129,312.56</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57,934,852.99</w:t>
            </w:r>
          </w:p>
        </w:tc>
      </w:tr>
      <w:tr>
        <w:trPr>
          <w:trHeight w:val="425"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834,823,280.60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-738,000,000.00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96,823,280.60</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399,000,000.00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399,106,125.89</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18,868,068.27</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18,761,942.38</w:t>
            </w:r>
          </w:p>
        </w:tc>
      </w:tr>
    </w:tbl>
    <w:p>
      <w:pPr>
        <w:spacing w:line="240" w:lineRule="auto" w:before="11"/>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2971"/>
        <w:gridCol w:w="2489"/>
        <w:gridCol w:w="2215"/>
        <w:gridCol w:w="2179"/>
      </w:tblGrid>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9" w:right="0"/>
              <w:jc w:val="left"/>
              <w:rPr>
                <w:rFonts w:ascii="宋体" w:hAnsi="宋体" w:cs="宋体" w:eastAsia="宋体" w:hint="default"/>
                <w:sz w:val="18"/>
                <w:szCs w:val="18"/>
              </w:rPr>
            </w:pPr>
            <w:r>
              <w:rPr>
                <w:rFonts w:ascii="宋体" w:hAnsi="宋体" w:cs="宋体" w:eastAsia="宋体" w:hint="default"/>
                <w:sz w:val="18"/>
                <w:szCs w:val="18"/>
              </w:rPr>
              <w:t>母公司报表项目</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159,419,430.50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7"/>
              <w:jc w:val="right"/>
              <w:rPr>
                <w:rFonts w:ascii="Times New Roman" w:hAnsi="Times New Roman" w:cs="Times New Roman" w:eastAsia="Times New Roman" w:hint="default"/>
                <w:sz w:val="18"/>
                <w:szCs w:val="18"/>
              </w:rPr>
            </w:pPr>
            <w:r>
              <w:rPr>
                <w:rFonts w:ascii="Times New Roman"/>
                <w:spacing w:val="-1"/>
                <w:sz w:val="18"/>
              </w:rPr>
              <w:t>771,659.04</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6"/>
              <w:jc w:val="right"/>
              <w:rPr>
                <w:rFonts w:ascii="Times New Roman" w:hAnsi="Times New Roman" w:cs="Times New Roman" w:eastAsia="Times New Roman" w:hint="default"/>
                <w:sz w:val="18"/>
                <w:szCs w:val="18"/>
              </w:rPr>
            </w:pPr>
            <w:r>
              <w:rPr>
                <w:rFonts w:ascii="Times New Roman"/>
                <w:spacing w:val="-1"/>
                <w:sz w:val="18"/>
              </w:rPr>
              <w:t>160,191,089.54</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154,678,569.64</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-771,659.04</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153,906,910.60</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66,000,000.00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66,106,125.89</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37,355,809.74</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37,249,683.85</w:t>
            </w:r>
          </w:p>
        </w:tc>
      </w:tr>
    </w:tbl>
    <w:p>
      <w:pPr>
        <w:pStyle w:val="BodyText"/>
        <w:spacing w:line="300" w:lineRule="auto" w:before="8"/>
        <w:ind w:right="0" w:firstLine="360"/>
        <w:jc w:val="left"/>
      </w:pPr>
      <w:r>
        <w:rPr>
          <w:spacing w:val="-2"/>
        </w:rPr>
        <w:t>公司根据新金融工具准则的规定，对金融工具的分类在新金融工具准则施行日（即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日）进行调整，无需对金</w:t>
      </w:r>
      <w:r>
        <w:rPr/>
        <w:t> 融工具原账面价值进行调整。</w:t>
      </w:r>
    </w:p>
    <w:p>
      <w:pPr>
        <w:pStyle w:val="BodyText"/>
        <w:spacing w:line="319" w:lineRule="auto" w:before="31"/>
        <w:ind w:right="1126" w:firstLine="360"/>
        <w:jc w:val="left"/>
      </w:pPr>
      <w:r>
        <w:rPr/>
        <w:t>（</w:t>
      </w:r>
      <w:r>
        <w:rPr>
          <w:rFonts w:ascii="Times New Roman" w:hAnsi="Times New Roman" w:cs="Times New Roman" w:eastAsia="Times New Roman" w:hint="default"/>
        </w:rPr>
        <w:t>2</w:t>
      </w:r>
      <w:r>
        <w:rPr/>
        <w:t>）执行修订后财务报表格式的影响 根据财务报表格式的要求，除执行上述新金融工具准则产生的列报变化以外，本公司将 </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拆分列示为</w:t>
      </w:r>
      <w:r>
        <w:rPr>
          <w:spacing w:val="-76"/>
        </w:rPr>
        <w:t> </w:t>
      </w:r>
      <w:r>
        <w:rPr>
          <w:spacing w:val="-76"/>
        </w:rPr>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两个项目，将 </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拆分列示为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两个项目。本公司相应</w:t>
      </w:r>
    </w:p>
    <w:p>
      <w:pPr>
        <w:pStyle w:val="BodyText"/>
        <w:spacing w:line="233" w:lineRule="exact"/>
        <w:ind w:right="0"/>
        <w:jc w:val="left"/>
      </w:pPr>
      <w:r>
        <w:rPr/>
        <w:t>追溯调整了比较期间报表，该会计政策变更对合并及公司净利润和股东权益无影响。</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七、报告期内发生重大会计差错更正需追溯重述的情况说明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八、与上年度财务报告相比，合并报表范围发生变化的情况说明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spacing w:val="-2"/>
        </w:rPr>
        <w:t>在上年度财务报告编制的基础上，公司本年度将福建美盈森、青岛美盈森、文麻生物、同奈美盈森、越南包装技术、美达科</w:t>
      </w:r>
    </w:p>
    <w:p>
      <w:pPr>
        <w:spacing w:after="0" w:line="3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0"/>
        <w:jc w:val="left"/>
      </w:pPr>
      <w:r>
        <w:rPr/>
        <w:t>技纳入合并报表范围</w:t>
      </w:r>
      <w:r>
        <w:rPr>
          <w:spacing w:val="-87"/>
        </w:rPr>
        <w:t>；</w:t>
      </w:r>
      <w:r>
        <w:rPr/>
        <w:t>本年度深圳市汇天云网科技有限公司完成注销登记</w:t>
      </w:r>
      <w:r>
        <w:rPr>
          <w:spacing w:val="-87"/>
        </w:rPr>
        <w:t>，</w:t>
      </w:r>
      <w:r>
        <w:rPr/>
        <w:t>合并报表范围减少深圳市汇天云网科技有限公司。</w:t>
      </w:r>
    </w:p>
    <w:p>
      <w:pPr>
        <w:pStyle w:val="BodyText"/>
        <w:spacing w:line="300" w:lineRule="auto" w:before="76"/>
        <w:ind w:right="1124"/>
        <w:jc w:val="left"/>
      </w:pPr>
      <w:r>
        <w:rPr/>
        <w:t>（</w:t>
      </w:r>
      <w:r>
        <w:rPr>
          <w:rFonts w:ascii="Times New Roman" w:hAnsi="Times New Roman" w:cs="Times New Roman" w:eastAsia="Times New Roman" w:hint="default"/>
        </w:rPr>
        <w:t>1</w:t>
      </w:r>
      <w:r>
        <w:rPr/>
        <w:t>）本期公司设立福建美盈森环保科技有限公司，于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24</w:t>
      </w:r>
      <w:r>
        <w:rPr/>
        <w:t>日完成办理工商设立登记手续，并取得统一社会信用代 码为</w:t>
      </w:r>
      <w:r>
        <w:rPr>
          <w:rFonts w:ascii="Times New Roman" w:hAnsi="Times New Roman" w:cs="Times New Roman" w:eastAsia="Times New Roman" w:hint="default"/>
        </w:rPr>
        <w:t>91350181MA32FLXY12</w:t>
      </w:r>
      <w:r>
        <w:rPr/>
        <w:t>的企业法人营业执照；按照相应的会计编制规则，公司本期将福建美盈森纳入合并报表范围。</w:t>
      </w:r>
    </w:p>
    <w:p>
      <w:pPr>
        <w:pStyle w:val="BodyText"/>
        <w:spacing w:line="300" w:lineRule="auto" w:before="13"/>
        <w:ind w:right="1124"/>
        <w:jc w:val="left"/>
      </w:pPr>
      <w:r>
        <w:rPr/>
        <w:t>（</w:t>
      </w:r>
      <w:r>
        <w:rPr>
          <w:rFonts w:ascii="Times New Roman" w:hAnsi="Times New Roman" w:cs="Times New Roman" w:eastAsia="Times New Roman" w:hint="default"/>
        </w:rPr>
        <w:t>2</w:t>
      </w:r>
      <w:r>
        <w:rPr/>
        <w:t>）本期公司设立青岛美盈森智谷科技有限公司，于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日完成办理工商设立登记手续，并取得统一社会信用代 码为</w:t>
      </w:r>
      <w:r>
        <w:rPr>
          <w:rFonts w:ascii="Times New Roman" w:hAnsi="Times New Roman" w:cs="Times New Roman" w:eastAsia="Times New Roman" w:hint="default"/>
        </w:rPr>
        <w:t>91370211MA3PRH8U53</w:t>
      </w:r>
      <w:r>
        <w:rPr/>
        <w:t>的企业法人营业执照；按照相应的会计编制规则，公司本期将青岛美盈森纳入合并报表范围。</w:t>
      </w:r>
    </w:p>
    <w:p>
      <w:pPr>
        <w:pStyle w:val="BodyText"/>
        <w:spacing w:line="300" w:lineRule="auto" w:before="13"/>
        <w:ind w:right="1132"/>
        <w:jc w:val="both"/>
      </w:pPr>
      <w:r>
        <w:rPr/>
        <w:t>（</w:t>
      </w:r>
      <w:r>
        <w:rPr>
          <w:rFonts w:ascii="Times New Roman" w:hAnsi="Times New Roman" w:cs="Times New Roman" w:eastAsia="Times New Roman" w:hint="default"/>
        </w:rPr>
        <w:t>3</w:t>
      </w:r>
      <w:r>
        <w:rPr/>
        <w:t>）本期由公司合资设立云南文麻生物科技有限公司，于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06</w:t>
      </w:r>
      <w:r>
        <w:rPr/>
        <w:t>日完成办理工商设立登记手续，并取得统一社会信 用代码为</w:t>
      </w:r>
      <w:r>
        <w:rPr>
          <w:rFonts w:ascii="Times New Roman" w:hAnsi="Times New Roman" w:cs="Times New Roman" w:eastAsia="Times New Roman" w:hint="default"/>
        </w:rPr>
        <w:t>91532600MA6NULCB6X</w:t>
      </w:r>
      <w:r>
        <w:rPr/>
        <w:t>的企业法人营业执照，该公司注册资本</w:t>
      </w:r>
      <w:r>
        <w:rPr>
          <w:rFonts w:ascii="Times New Roman" w:hAnsi="Times New Roman" w:cs="Times New Roman" w:eastAsia="Times New Roman" w:hint="default"/>
        </w:rPr>
        <w:t>5000</w:t>
      </w:r>
      <w:r>
        <w:rPr/>
        <w:t>万元，公司持股</w:t>
      </w:r>
      <w:r>
        <w:rPr>
          <w:rFonts w:ascii="Times New Roman" w:hAnsi="Times New Roman" w:cs="Times New Roman" w:eastAsia="Times New Roman" w:hint="default"/>
        </w:rPr>
        <w:t>70%</w:t>
      </w:r>
      <w:r>
        <w:rPr/>
        <w:t>；按照相应的会计报表编 制规则，公司本期将文麻生物纳入合并报表范围。</w:t>
      </w:r>
    </w:p>
    <w:p>
      <w:pPr>
        <w:pStyle w:val="BodyText"/>
        <w:spacing w:line="300" w:lineRule="auto" w:before="31"/>
        <w:ind w:right="1121"/>
        <w:jc w:val="left"/>
      </w:pPr>
      <w:r>
        <w:rPr/>
        <w:t>（</w:t>
      </w:r>
      <w:r>
        <w:rPr>
          <w:rFonts w:ascii="Times New Roman" w:hAnsi="Times New Roman" w:cs="Times New Roman" w:eastAsia="Times New Roman" w:hint="default"/>
        </w:rPr>
        <w:t>4</w:t>
      </w:r>
      <w:r>
        <w:rPr/>
        <w:t>）本期由公司全资子公司越南美盈森设立：</w:t>
      </w:r>
      <w:r>
        <w:rPr>
          <w:rFonts w:ascii="Times New Roman" w:hAnsi="Times New Roman" w:cs="Times New Roman" w:eastAsia="Times New Roman" w:hint="default"/>
        </w:rPr>
        <w:t>MYS</w:t>
      </w:r>
      <w:r>
        <w:rPr/>
        <w:t>（</w:t>
      </w:r>
      <w:r>
        <w:rPr>
          <w:rFonts w:ascii="Times New Roman" w:hAnsi="Times New Roman" w:cs="Times New Roman" w:eastAsia="Times New Roman" w:hint="default"/>
        </w:rPr>
        <w:t>DONG NAI</w:t>
      </w:r>
      <w:r>
        <w:rPr/>
        <w:t>） </w:t>
      </w:r>
      <w:r>
        <w:rPr>
          <w:rFonts w:ascii="Times New Roman" w:hAnsi="Times New Roman" w:cs="Times New Roman" w:eastAsia="Times New Roman" w:hint="default"/>
        </w:rPr>
        <w:t>PACKAGING TECHNOLOGY COMPANY</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 取得越南同奈省投资计划局颁发的《营业登记证明书》和越南同奈省工业区管理委员会颁发的《投资证书》，于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4</w:t>
      </w:r>
      <w:r>
        <w:rPr/>
        <w:t>日完成办理设立登记手续，并取得编号为</w:t>
      </w:r>
      <w:r>
        <w:rPr>
          <w:rFonts w:ascii="Times New Roman" w:hAnsi="Times New Roman" w:cs="Times New Roman" w:eastAsia="Times New Roman" w:hint="default"/>
        </w:rPr>
        <w:t>3603672568</w:t>
      </w:r>
      <w:r>
        <w:rPr/>
        <w:t>的企业注册证书，该公司注册资本：</w:t>
      </w:r>
      <w:r>
        <w:rPr>
          <w:rFonts w:ascii="Times New Roman" w:hAnsi="Times New Roman" w:cs="Times New Roman" w:eastAsia="Times New Roman" w:hint="default"/>
        </w:rPr>
        <w:t>232.80</w:t>
      </w:r>
      <w:r>
        <w:rPr/>
        <w:t>亿越南盾，越南美盈森 持股</w:t>
      </w:r>
      <w:r>
        <w:rPr>
          <w:rFonts w:ascii="Times New Roman" w:hAnsi="Times New Roman" w:cs="Times New Roman" w:eastAsia="Times New Roman" w:hint="default"/>
        </w:rPr>
        <w:t>100%</w:t>
      </w:r>
      <w:r>
        <w:rPr/>
        <w:t>；按照相应的会计报表编制规则，公司本期将同奈美盈森纳入合并报表范围。</w:t>
      </w:r>
    </w:p>
    <w:p>
      <w:pPr>
        <w:pStyle w:val="BodyText"/>
        <w:spacing w:line="300" w:lineRule="auto" w:before="13"/>
        <w:ind w:right="1064"/>
        <w:jc w:val="left"/>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0"/>
        </w:rPr>
        <w:t> </w:t>
      </w:r>
      <w:r>
        <w:rPr>
          <w:rFonts w:ascii="Times New Roman" w:hAnsi="Times New Roman" w:cs="Times New Roman" w:eastAsia="Times New Roman" w:hint="default"/>
        </w:rPr>
        <w:t>(VIETNAM)</w:t>
      </w:r>
      <w:r>
        <w:rPr>
          <w:rFonts w:ascii="Times New Roman" w:hAnsi="Times New Roman" w:cs="Times New Roman" w:eastAsia="Times New Roman" w:hint="default"/>
          <w:spacing w:val="-12"/>
        </w:rPr>
        <w:t> </w:t>
      </w:r>
      <w:r>
        <w:rPr>
          <w:rFonts w:ascii="Times New Roman" w:hAnsi="Times New Roman" w:cs="Times New Roman" w:eastAsia="Times New Roman" w:hint="default"/>
        </w:rPr>
        <w:t>PACKING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THCHNOLOGY</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，取得由越南 河南省计划与投资局商业登记室颁发的《营业登记证明书》，于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日完成办理设立登记手续，并取得编号为 </w:t>
      </w:r>
      <w:r>
        <w:rPr>
          <w:rFonts w:ascii="Times New Roman" w:hAnsi="Times New Roman" w:cs="Times New Roman" w:eastAsia="Times New Roman" w:hint="default"/>
        </w:rPr>
        <w:t>0700834402</w:t>
      </w:r>
      <w:r>
        <w:rPr/>
        <w:t>的企业注册证书，该公司注册资本：</w:t>
      </w:r>
      <w:r>
        <w:rPr>
          <w:rFonts w:ascii="Times New Roman" w:hAnsi="Times New Roman" w:cs="Times New Roman" w:eastAsia="Times New Roman" w:hint="default"/>
        </w:rPr>
        <w:t>4,861.50</w:t>
      </w:r>
      <w:r>
        <w:rPr/>
        <w:t>亿越南盾，香港美盈森持股</w:t>
      </w:r>
      <w:r>
        <w:rPr>
          <w:rFonts w:ascii="Times New Roman" w:hAnsi="Times New Roman" w:cs="Times New Roman" w:eastAsia="Times New Roman" w:hint="default"/>
        </w:rPr>
        <w:t>100%</w:t>
      </w:r>
      <w:r>
        <w:rPr/>
        <w:t>；按照相应的会计报表编制规则， 公司本期将越南包装技术纳入合并报表范围。</w:t>
      </w:r>
    </w:p>
    <w:p>
      <w:pPr>
        <w:pStyle w:val="BodyText"/>
        <w:spacing w:line="300" w:lineRule="auto" w:before="31"/>
        <w:ind w:right="1124"/>
        <w:jc w:val="left"/>
      </w:pPr>
      <w:r>
        <w:rPr/>
        <w:t>（</w:t>
      </w:r>
      <w:r>
        <w:rPr>
          <w:rFonts w:ascii="Times New Roman" w:hAnsi="Times New Roman" w:cs="Times New Roman" w:eastAsia="Times New Roman" w:hint="default"/>
        </w:rPr>
        <w:t>6</w:t>
      </w:r>
      <w:r>
        <w:rPr/>
        <w:t>）本期由公司全资子公司香港美盈森与源胜国际有限公司、陶亚峰、陶元生、葛长帅分别以</w:t>
      </w:r>
      <w:r>
        <w:rPr>
          <w:rFonts w:ascii="Times New Roman" w:hAnsi="Times New Roman" w:cs="Times New Roman" w:eastAsia="Times New Roman" w:hint="default"/>
        </w:rPr>
        <w:t>58%</w:t>
      </w:r>
      <w:r>
        <w:rPr/>
        <w:t>、</w:t>
      </w:r>
      <w:r>
        <w:rPr>
          <w:rFonts w:ascii="Times New Roman" w:hAnsi="Times New Roman" w:cs="Times New Roman" w:eastAsia="Times New Roman" w:hint="default"/>
        </w:rPr>
        <w:t>37%</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spacing w:val="-2"/>
        </w:rPr>
        <w:t>的比例于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日共同在泰国春武里府设立了美达科技包装（泰国）有限公司，于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日完成办理设立登记</w:t>
      </w:r>
      <w:r>
        <w:rPr>
          <w:spacing w:val="-58"/>
        </w:rPr>
        <w:t> </w:t>
      </w:r>
      <w:r>
        <w:rPr>
          <w:spacing w:val="-58"/>
        </w:rPr>
      </w:r>
      <w:r>
        <w:rPr/>
        <w:t>手续，并取得编号为</w:t>
      </w:r>
      <w:r>
        <w:rPr>
          <w:rFonts w:ascii="Times New Roman" w:hAnsi="Times New Roman" w:cs="Times New Roman" w:eastAsia="Times New Roman" w:hint="default"/>
        </w:rPr>
        <w:t>0205562046651</w:t>
      </w:r>
      <w:r>
        <w:rPr/>
        <w:t>的企业法人营业执照，该公司注册资本</w:t>
      </w:r>
      <w:r>
        <w:rPr>
          <w:rFonts w:ascii="Times New Roman" w:hAnsi="Times New Roman" w:cs="Times New Roman" w:eastAsia="Times New Roman" w:hint="default"/>
        </w:rPr>
        <w:t>9000</w:t>
      </w:r>
      <w:r>
        <w:rPr/>
        <w:t>万泰铢；按照相应的会计报表编制规则，公 司本期将美达科技纳入合并报表范围。</w:t>
      </w:r>
    </w:p>
    <w:p>
      <w:pPr>
        <w:pStyle w:val="BodyText"/>
        <w:spacing w:line="300" w:lineRule="auto" w:before="31"/>
        <w:ind w:right="1134"/>
        <w:jc w:val="both"/>
      </w:pPr>
      <w:r>
        <w:rPr>
          <w:spacing w:val="-2"/>
        </w:rPr>
        <w:t>（</w:t>
      </w:r>
      <w:r>
        <w:rPr>
          <w:rFonts w:ascii="Times New Roman" w:hAnsi="Times New Roman" w:cs="Times New Roman" w:eastAsia="Times New Roman" w:hint="default"/>
          <w:spacing w:val="-2"/>
        </w:rPr>
        <w:t>7</w:t>
      </w:r>
      <w:r>
        <w:rPr>
          <w:spacing w:val="-2"/>
        </w:rPr>
        <w:t>）本期公司的下属全资子公司深圳市汇天云网科技有限公司申请注销登记，于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月取得深圳市市场监督管理局</w:t>
      </w:r>
      <w:r>
        <w:rPr>
          <w:spacing w:val="-65"/>
        </w:rPr>
        <w:t> </w:t>
      </w:r>
      <w:r>
        <w:rPr>
          <w:spacing w:val="-65"/>
        </w:rPr>
      </w:r>
      <w:r>
        <w:rPr/>
        <w:t>的《企业注销通知书》核准公司注销登记。按照相应的会计报表编制规则，自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日之后，公司的合并范围减少子 公司深圳市汇天云网科技有限公司。</w:t>
      </w:r>
    </w:p>
    <w:p>
      <w:pPr>
        <w:spacing w:line="240" w:lineRule="auto" w:before="11"/>
        <w:rPr>
          <w:rFonts w:ascii="宋体" w:hAnsi="宋体" w:cs="宋体" w:eastAsia="宋体" w:hint="default"/>
          <w:sz w:val="21"/>
          <w:szCs w:val="21"/>
        </w:rPr>
      </w:pPr>
    </w:p>
    <w:p>
      <w:pPr>
        <w:pStyle w:val="Heading3"/>
        <w:spacing w:line="240" w:lineRule="auto"/>
        <w:ind w:right="0"/>
        <w:jc w:val="left"/>
        <w:rPr>
          <w:rFonts w:ascii="Tahoma" w:hAnsi="Tahoma" w:cs="Tahoma" w:eastAsia="Tahoma" w:hint="default"/>
        </w:rPr>
      </w:pPr>
      <w:r>
        <w:rPr/>
        <w:t>九、聘任、解聘会计师事务所情况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陈菁佩、毛玲玲</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陈菁佩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年、毛玲玲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十、年度报告披露后面临暂停上市和终止上市情况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十一、破产重整相关事项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十二、重大诉讼、仲裁事项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686" w:right="81"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到深圳国际</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仲裁院撤案</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决定书的公</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刊载于《证券</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时报》及巨潮</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0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申请人：公司，被</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到深圳仲裁</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申请人：金之彩、</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委员会撤案</w:t>
            </w:r>
          </w:p>
        </w:tc>
      </w:tr>
      <w:tr>
        <w:trPr>
          <w:trHeight w:val="625"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西藏新天地、欧阳 宣。仲裁事由：金</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3,766.12</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4" w:right="77"/>
              <w:jc w:val="left"/>
              <w:rPr>
                <w:rFonts w:ascii="宋体" w:hAnsi="宋体" w:cs="宋体" w:eastAsia="宋体" w:hint="default"/>
                <w:sz w:val="18"/>
                <w:szCs w:val="18"/>
              </w:rPr>
            </w:pPr>
            <w:r>
              <w:rPr>
                <w:rFonts w:ascii="宋体" w:hAnsi="宋体" w:cs="宋体" w:eastAsia="宋体" w:hint="default"/>
                <w:sz w:val="18"/>
                <w:szCs w:val="18"/>
              </w:rPr>
              <w:t>以双方撤回仲裁 请求方式结案</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不涉及执行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决定书的公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之彩股权转让合同</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32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公司《控股股</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东关于公司</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仲裁相关事</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项承诺的公</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刊载于《证券</w:t>
            </w:r>
          </w:p>
        </w:tc>
      </w:tr>
      <w:tr>
        <w:trPr>
          <w:trHeight w:val="31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时报》及巨潮</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宋体" w:hAnsi="宋体" w:cs="宋体" w:eastAsia="宋体" w:hint="default"/>
          <w:sz w:val="20"/>
          <w:szCs w:val="20"/>
        </w:rPr>
      </w:pPr>
      <w:r>
        <w:rPr/>
        <w:pict>
          <v:shape style="position:absolute;margin-left:56.399998pt;margin-top:72pt;width:479.2pt;height:691.9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2" w:hRule="exact"/>
                    </w:trPr>
                    <w:tc>
                      <w:tcPr>
                        <w:tcW w:w="1560"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欧阳宣、新天</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地、金之彩公</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裁案相关事</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项的公告》于</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欧阳宣、新天</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地、金之彩公</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司股权转让</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裁案的公告</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于《证券时</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报》及巨潮资</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1315"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4" w:right="84"/>
                          <w:jc w:val="both"/>
                          <w:rPr>
                            <w:rFonts w:ascii="宋体" w:hAnsi="宋体" w:cs="宋体" w:eastAsia="宋体" w:hint="default"/>
                            <w:sz w:val="18"/>
                            <w:szCs w:val="18"/>
                          </w:rPr>
                        </w:pPr>
                        <w:r>
                          <w:rPr>
                            <w:rFonts w:ascii="宋体" w:hAnsi="宋体" w:cs="宋体" w:eastAsia="宋体" w:hint="default"/>
                            <w:sz w:val="18"/>
                            <w:szCs w:val="18"/>
                          </w:rPr>
                          <w:t>申请人：西藏新天 地，被申请人：公 司。仲裁事由：金 之彩股权转让合同</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8,627.49</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6"/>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1"/>
                          <w:jc w:val="left"/>
                          <w:rPr>
                            <w:rFonts w:ascii="宋体" w:hAnsi="宋体" w:cs="宋体" w:eastAsia="宋体" w:hint="default"/>
                            <w:sz w:val="18"/>
                            <w:szCs w:val="18"/>
                          </w:rPr>
                        </w:pPr>
                        <w:r>
                          <w:rPr>
                            <w:rFonts w:ascii="宋体" w:hAnsi="宋体" w:cs="宋体" w:eastAsia="宋体" w:hint="default"/>
                            <w:spacing w:val="-12"/>
                            <w:sz w:val="18"/>
                            <w:szCs w:val="18"/>
                          </w:rPr>
                          <w:t>欧阳宣、新天</w:t>
                        </w:r>
                        <w:r>
                          <w:rPr>
                            <w:rFonts w:ascii="宋体" w:hAnsi="宋体" w:cs="宋体" w:eastAsia="宋体" w:hint="default"/>
                            <w:sz w:val="18"/>
                            <w:szCs w:val="18"/>
                          </w:rPr>
                          <w:t> </w:t>
                        </w:r>
                        <w:r>
                          <w:rPr>
                            <w:rFonts w:ascii="宋体" w:hAnsi="宋体" w:cs="宋体" w:eastAsia="宋体" w:hint="default"/>
                            <w:spacing w:val="-12"/>
                            <w:sz w:val="18"/>
                            <w:szCs w:val="18"/>
                          </w:rPr>
                          <w:t>地、金之彩公</w:t>
                        </w:r>
                        <w:r>
                          <w:rPr>
                            <w:rFonts w:ascii="宋体" w:hAnsi="宋体" w:cs="宋体" w:eastAsia="宋体" w:hint="default"/>
                            <w:sz w:val="18"/>
                            <w:szCs w:val="18"/>
                          </w:rPr>
                          <w:t> 司股权转让 合同纠纷仲</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裁案有关事</w:t>
                        </w:r>
                      </w:p>
                    </w:tc>
                  </w:tr>
                  <w:tr>
                    <w:trPr>
                      <w:trHeight w:val="245"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项的公告》于</w:t>
                        </w:r>
                      </w:p>
                    </w:tc>
                  </w:tr>
                  <w:tr>
                    <w:trPr>
                      <w:trHeight w:val="31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7"/>
        <w:ind w:left="0" w:right="1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37"/>
        <w:ind w:left="0" w:right="1159"/>
        <w:jc w:val="right"/>
      </w:pPr>
      <w:r>
        <w:rPr/>
        <w:t>》</w:t>
      </w:r>
    </w:p>
    <w:p>
      <w:pPr>
        <w:spacing w:after="0" w:line="240" w:lineRule="auto"/>
        <w:jc w:val="right"/>
        <w:sectPr>
          <w:footerReference w:type="default" r:id="rId31"/>
          <w:pgSz w:w="11910" w:h="16840"/>
          <w:pgMar w:footer="982" w:header="753" w:top="1060" w:bottom="1180" w:left="980" w:right="0"/>
          <w:pgNumType w:start="70"/>
        </w:sectPr>
      </w:pPr>
    </w:p>
    <w:p>
      <w:pPr>
        <w:spacing w:line="240" w:lineRule="auto" w:before="0"/>
        <w:rPr>
          <w:rFonts w:ascii="宋体" w:hAnsi="宋体" w:cs="宋体" w:eastAsia="宋体" w:hint="default"/>
          <w:sz w:val="20"/>
          <w:szCs w:val="20"/>
        </w:rPr>
      </w:pPr>
      <w:r>
        <w:rPr/>
        <w:pict>
          <v:shape style="position:absolute;margin-left:56.399998pt;margin-top:72pt;width:479.2pt;height:696.4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2" w:hRule="exact"/>
                    </w:trPr>
                    <w:tc>
                      <w:tcPr>
                        <w:tcW w:w="1560"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欧阳宣、新天</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地股权转让</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申请人：公司；第</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合同纠纷仲</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一被申请人：欧阳</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裁案的公告</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4"/>
                            <w:sz w:val="18"/>
                            <w:szCs w:val="18"/>
                          </w:rPr>
                          <w:t>宣；第二被申请人</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84"/>
                          <w:jc w:val="left"/>
                          <w:rPr>
                            <w:rFonts w:ascii="宋体" w:hAnsi="宋体" w:cs="宋体" w:eastAsia="宋体" w:hint="default"/>
                            <w:sz w:val="18"/>
                            <w:szCs w:val="18"/>
                          </w:rPr>
                        </w:pPr>
                        <w:r>
                          <w:rPr>
                            <w:rFonts w:ascii="宋体" w:hAnsi="宋体" w:cs="宋体" w:eastAsia="宋体" w:hint="default"/>
                            <w:sz w:val="18"/>
                            <w:szCs w:val="18"/>
                          </w:rPr>
                          <w:t>西藏新天地投资合 伙企业（有限合</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24,437.33</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00" w:lineRule="auto" w:before="2"/>
                          <w:ind w:left="24" w:right="3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 于《证券时</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2"/>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仲裁事由</w:t>
                        </w:r>
                        <w:r>
                          <w:rPr>
                            <w:rFonts w:ascii="宋体" w:hAnsi="宋体" w:cs="宋体" w:eastAsia="宋体" w:hint="default"/>
                            <w:spacing w:val="-13"/>
                            <w:sz w:val="18"/>
                            <w:szCs w:val="18"/>
                          </w:rPr>
                          <w:t>：</w:t>
                        </w:r>
                        <w:r>
                          <w:rPr>
                            <w:rFonts w:ascii="宋体" w:hAnsi="宋体" w:cs="宋体" w:eastAsia="宋体" w:hint="default"/>
                            <w:sz w:val="18"/>
                            <w:szCs w:val="18"/>
                          </w:rPr>
                          <w:t>金</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报》及巨潮资</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之彩股权转让合同</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0"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公司《关于控</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股子公司深</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圳金之彩涉</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及诉讼事项</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的进展公告</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于《证券时</w:t>
                        </w:r>
                      </w:p>
                    </w:tc>
                  </w:tr>
                  <w:tr>
                    <w:trPr>
                      <w:trHeight w:val="218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4" w:right="84"/>
                          <w:jc w:val="left"/>
                          <w:rPr>
                            <w:rFonts w:ascii="宋体" w:hAnsi="宋体" w:cs="宋体" w:eastAsia="宋体" w:hint="default"/>
                            <w:sz w:val="18"/>
                            <w:szCs w:val="18"/>
                          </w:rPr>
                        </w:pPr>
                        <w:r>
                          <w:rPr>
                            <w:rFonts w:ascii="宋体" w:hAnsi="宋体" w:cs="宋体" w:eastAsia="宋体" w:hint="default"/>
                            <w:spacing w:val="-4"/>
                            <w:sz w:val="18"/>
                            <w:szCs w:val="18"/>
                          </w:rPr>
                          <w:t>诉讼原告：欧阳宣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诉讼被告：金之彩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公司；诉讼事由： 金之彩相关董事 会、股东会决议纠 纷</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一审公司 </w:t>
                        </w:r>
                        <w:r>
                          <w:rPr>
                            <w:rFonts w:ascii="宋体" w:hAnsi="宋体" w:cs="宋体" w:eastAsia="宋体" w:hint="default"/>
                            <w:spacing w:val="-4"/>
                            <w:sz w:val="18"/>
                            <w:szCs w:val="18"/>
                          </w:rPr>
                          <w:t>已胜诉，目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前二审阶 段</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尚在审理中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1"/>
                          <w:jc w:val="left"/>
                          <w:rPr>
                            <w:rFonts w:ascii="宋体" w:hAnsi="宋体" w:cs="宋体" w:eastAsia="宋体" w:hint="default"/>
                            <w:sz w:val="18"/>
                            <w:szCs w:val="18"/>
                          </w:rPr>
                        </w:pPr>
                        <w:r>
                          <w:rPr>
                            <w:rFonts w:ascii="宋体" w:hAnsi="宋体" w:cs="宋体" w:eastAsia="宋体" w:hint="default"/>
                            <w:spacing w:val="-12"/>
                            <w:sz w:val="18"/>
                            <w:szCs w:val="18"/>
                          </w:rPr>
                          <w:t>报》及巨潮资</w:t>
                        </w:r>
                        <w:r>
                          <w:rPr>
                            <w:rFonts w:ascii="宋体" w:hAnsi="宋体" w:cs="宋体" w:eastAsia="宋体" w:hint="default"/>
                            <w:sz w:val="18"/>
                            <w:szCs w:val="18"/>
                          </w:rPr>
                          <w:t> 讯网</w:t>
                        </w:r>
                      </w:p>
                      <w:p>
                        <w:pPr>
                          <w:pStyle w:val="TableParagraph"/>
                          <w:spacing w:line="300" w:lineRule="auto" w:before="19"/>
                          <w:ind w:left="24" w:right="5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到民事判决</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7"/>
        <w:ind w:left="0" w:right="1159"/>
        <w:jc w:val="right"/>
      </w:pPr>
      <w:r>
        <w:rPr/>
        <w:pict>
          <v:shape style="position:absolute;margin-left:128.732956pt;margin-top:-62.998276pt;width:59.35pt;height:222.4pt;mso-position-horizontal-relative:page;mso-position-vertical-relative:paragraph;z-index:-15389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pict>
          <v:group style="position:absolute;margin-left:135pt;margin-top:-62.998276pt;width:53.05pt;height:583.7pt;mso-position-horizontal-relative:page;mso-position-vertical-relative:paragraph;z-index:1504" coordorigin="2700,-1260" coordsize="1061,11674">
            <v:group style="position:absolute;left:2700;top:-1260;width:1061;height:4448" coordorigin="2700,-1260" coordsize="1061,4448">
              <v:shape style="position:absolute;left:2700;top:-1260;width:1061;height:4448" coordorigin="2700,-1260" coordsize="1061,4448" path="m2700,-1260l3761,-1260,3761,3187,2700,3187,2700,-1260xe" filled="true" fillcolor="#ffffff" stroked="false">
                <v:path arrowok="t"/>
                <v:fill type="solid"/>
              </v:shape>
            </v:group>
            <v:group style="position:absolute;left:2722;top:768;width:1016;height:392" coordorigin="2722,768" coordsize="1016,392">
              <v:shape style="position:absolute;left:2722;top:768;width:1016;height:392" coordorigin="2722,768" coordsize="1016,392" path="m2722,768l3737,768,3737,1159,2722,1159,2722,768xe" filled="true" fillcolor="#ffffff" stroked="false">
                <v:path arrowok="t"/>
                <v:fill type="solid"/>
              </v:shape>
            </v:group>
            <v:group style="position:absolute;left:2700;top:3197;width:1061;height:7217" coordorigin="2700,3197" coordsize="1061,7217">
              <v:shape style="position:absolute;left:2700;top:3197;width:1061;height:7217" coordorigin="2700,3197" coordsize="1061,7217" path="m2700,3197l3761,3197,3761,10414,2700,10414,2700,3197xe" filled="true" fillcolor="#ffffff" stroked="false">
                <v:path arrowok="t"/>
                <v:fill type="solid"/>
              </v:shape>
            </v:group>
            <v:group style="position:absolute;left:2722;top:6610;width:1016;height:392" coordorigin="2722,6610" coordsize="1016,392">
              <v:shape style="position:absolute;left:2722;top:6610;width:1016;height:392" coordorigin="2722,6610" coordsize="1016,392" path="m2722,6610l3737,6610,3737,7001,2722,7001,2722,6610xe" filled="true" fillcolor="#ffffff" stroked="false">
                <v:path arrowok="t"/>
                <v:fill type="solid"/>
              </v:shape>
            </v:group>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7"/>
        <w:ind w:left="0" w:right="1159"/>
        <w:jc w:val="right"/>
      </w:pPr>
      <w:r>
        <w:rPr/>
        <w:pict>
          <v:shape style="position:absolute;margin-left:128.732956pt;margin-top:-62.998299pt;width:59.35pt;height:360.85pt;mso-position-horizontal-relative:page;mso-position-vertical-relative:paragraph;z-index:-1538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7"/>
        <w:ind w:left="0" w:right="1159"/>
        <w:jc w:val="right"/>
      </w:pPr>
      <w:r>
        <w:rPr/>
        <w:t>》</w:t>
      </w:r>
    </w:p>
    <w:p>
      <w:pPr>
        <w:spacing w:after="0" w:line="240" w:lineRule="auto"/>
        <w:jc w:val="right"/>
        <w:sectPr>
          <w:pgSz w:w="11910" w:h="16840"/>
          <w:pgMar w:header="753" w:footer="982" w:top="1060" w:bottom="1180" w:left="980" w:right="0"/>
        </w:sectPr>
      </w:pPr>
    </w:p>
    <w:p>
      <w:pPr>
        <w:spacing w:line="240" w:lineRule="auto" w:before="0"/>
        <w:rPr>
          <w:rFonts w:ascii="宋体" w:hAnsi="宋体" w:cs="宋体" w:eastAsia="宋体" w:hint="default"/>
          <w:sz w:val="20"/>
          <w:szCs w:val="20"/>
        </w:rPr>
      </w:pPr>
      <w:r>
        <w:rPr/>
        <w:pict>
          <v:shape style="position:absolute;margin-left:56.399998pt;margin-top:72pt;width:479.2pt;height:691.9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3" w:hRule="exact"/>
                    </w:trPr>
                    <w:tc>
                      <w:tcPr>
                        <w:tcW w:w="1560"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公司《控股股</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东关于公司</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相关诉讼事</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项承诺的公</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到应诉通知</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到民事裁定</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0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60"/>
                          <w:jc w:val="center"/>
                          <w:rPr>
                            <w:rFonts w:ascii="宋体" w:hAnsi="宋体" w:cs="宋体" w:eastAsia="宋体" w:hint="default"/>
                            <w:sz w:val="18"/>
                            <w:szCs w:val="18"/>
                          </w:rPr>
                        </w:pPr>
                        <w:r>
                          <w:rPr>
                            <w:rFonts w:ascii="宋体" w:hAnsi="宋体" w:cs="宋体" w:eastAsia="宋体" w:hint="default"/>
                            <w:sz w:val="18"/>
                            <w:szCs w:val="18"/>
                          </w:rPr>
                          <w:t>申请人：公司；被</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625"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申请人：欧阳宣； 仲裁事由：金之彩</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1,924.08</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2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60"/>
                          <w:jc w:val="center"/>
                          <w:rPr>
                            <w:rFonts w:ascii="宋体" w:hAnsi="宋体" w:cs="宋体" w:eastAsia="宋体" w:hint="default"/>
                            <w:sz w:val="18"/>
                            <w:szCs w:val="18"/>
                          </w:rPr>
                        </w:pPr>
                        <w:r>
                          <w:rPr>
                            <w:rFonts w:ascii="宋体" w:hAnsi="宋体" w:cs="宋体" w:eastAsia="宋体" w:hint="default"/>
                            <w:sz w:val="18"/>
                            <w:szCs w:val="18"/>
                          </w:rPr>
                          <w:t>股权转让合同纠纷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到应诉通知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书的公告</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312"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7"/>
        <w:ind w:left="0" w:right="1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159"/>
        <w:jc w:val="right"/>
      </w:pPr>
      <w:r>
        <w:rPr/>
        <w:t>》</w:t>
      </w:r>
    </w:p>
    <w:p>
      <w:pPr>
        <w:spacing w:after="0" w:line="240" w:lineRule="auto"/>
        <w:jc w:val="righ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7"/>
        <w:ind w:left="0" w:right="1159"/>
        <w:jc w:val="right"/>
      </w:pPr>
      <w:r>
        <w:rPr/>
        <w:pict>
          <v:shape style="position:absolute;margin-left:56.399998pt;margin-top:-409.198273pt;width:479.2pt;height:604.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323" w:hRule="exact"/>
                    </w:trPr>
                    <w:tc>
                      <w:tcPr>
                        <w:tcW w:w="1560"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于《证券时</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报》及巨潮资</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公司《关于申</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请仲裁的公</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日刊</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2"/>
                            <w:sz w:val="18"/>
                            <w:szCs w:val="18"/>
                          </w:rPr>
                          <w:t>载于《证券时</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报》及巨潮资</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3"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2" w:hRule="exact"/>
                    </w:trPr>
                    <w:tc>
                      <w:tcPr>
                        <w:tcW w:w="156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公司《关于与</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新天地股权</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转让纠纷仲</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裁案有关事</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申请人：西藏新天</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2"/>
                            <w:sz w:val="18"/>
                            <w:szCs w:val="18"/>
                          </w:rPr>
                          <w:t>项的公告》于</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地投资合伙企业</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21"/>
                          <w:jc w:val="left"/>
                          <w:rPr>
                            <w:rFonts w:ascii="宋体" w:hAnsi="宋体" w:cs="宋体" w:eastAsia="宋体" w:hint="default"/>
                            <w:sz w:val="18"/>
                            <w:szCs w:val="18"/>
                          </w:rPr>
                        </w:pPr>
                        <w:r>
                          <w:rPr>
                            <w:rFonts w:ascii="宋体" w:hAnsi="宋体" w:cs="宋体" w:eastAsia="宋体" w:hint="default"/>
                            <w:spacing w:val="-14"/>
                            <w:sz w:val="18"/>
                            <w:szCs w:val="18"/>
                          </w:rPr>
                          <w:t>（有限合伙）；被申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请人：公司；仲裁</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1,943.9</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事由：金之彩股权</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转让合同纠纷</w:t>
                        </w: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0"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报告期内发生的或 截至报告期末尚未 了结的未达到重大 诉讼披露标准的其 他诉讼汇总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5,119.1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审理中或 未开庭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7"/>
                          <w:jc w:val="both"/>
                          <w:rPr>
                            <w:rFonts w:ascii="宋体" w:hAnsi="宋体" w:cs="宋体" w:eastAsia="宋体" w:hint="default"/>
                            <w:sz w:val="18"/>
                            <w:szCs w:val="18"/>
                          </w:rPr>
                        </w:pPr>
                        <w:r>
                          <w:rPr>
                            <w:rFonts w:ascii="宋体" w:hAnsi="宋体" w:cs="宋体" w:eastAsia="宋体" w:hint="default"/>
                            <w:sz w:val="18"/>
                            <w:szCs w:val="18"/>
                          </w:rPr>
                          <w:t>该等诉讼主要为 工程及买卖合同 纠纷，对公司无 重大影响</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审理中或未开 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before="26"/>
        <w:ind w:right="0"/>
        <w:jc w:val="left"/>
        <w:rPr>
          <w:rFonts w:ascii="Tahoma" w:hAnsi="Tahoma" w:cs="Tahoma" w:eastAsia="Tahoma" w:hint="default"/>
        </w:rPr>
      </w:pPr>
      <w:r>
        <w:rPr/>
        <w:t>十三、处罚及整改情况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公司报告期不存在处罚及整改情况。</w:t>
      </w:r>
    </w:p>
    <w:p>
      <w:pPr>
        <w:spacing w:after="0" w:line="3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十四、公司及其控股股东、实际控制人的诚信状况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十五、公司股权激励计划、员工持股计划或其他员工激励措施的实施情况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3"/>
        <w:ind w:right="1043"/>
        <w:jc w:val="left"/>
      </w:pPr>
      <w:r>
        <w:rPr/>
        <w:t>公司部分董监高及核心骨干人员于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日通过成立的</w:t>
      </w:r>
      <w:r>
        <w:rPr>
          <w:rFonts w:ascii="Times New Roman" w:hAnsi="Times New Roman" w:cs="Times New Roman" w:eastAsia="Times New Roman" w:hint="default"/>
        </w:rPr>
        <w:t>“</w:t>
      </w:r>
      <w:r>
        <w:rPr/>
        <w:t>平安汇通</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成长</w:t>
      </w:r>
      <w:r>
        <w:rPr>
          <w:rFonts w:ascii="Times New Roman" w:hAnsi="Times New Roman" w:cs="Times New Roman" w:eastAsia="Times New Roman" w:hint="default"/>
        </w:rPr>
        <w:t>1</w:t>
      </w:r>
      <w:r>
        <w:rPr/>
        <w:t>号专项资产管理计划</w:t>
      </w:r>
      <w:r>
        <w:rPr>
          <w:rFonts w:ascii="Times New Roman" w:hAnsi="Times New Roman" w:cs="Times New Roman" w:eastAsia="Times New Roman" w:hint="default"/>
        </w:rPr>
        <w:t>”</w:t>
      </w:r>
      <w:r>
        <w:rPr/>
        <w:t>购入本公司股 票</w:t>
      </w:r>
      <w:r>
        <w:rPr>
          <w:rFonts w:ascii="Times New Roman" w:hAnsi="Times New Roman" w:cs="Times New Roman" w:eastAsia="Times New Roman" w:hint="default"/>
        </w:rPr>
        <w:t>859</w:t>
      </w:r>
      <w:r>
        <w:rPr/>
        <w:t>万股（</w:t>
      </w:r>
      <w:r>
        <w:rPr>
          <w:rFonts w:ascii="Times New Roman" w:hAnsi="Times New Roman" w:cs="Times New Roman" w:eastAsia="Times New Roman" w:hint="default"/>
        </w:rPr>
        <w:t>2014</w:t>
      </w:r>
      <w:r>
        <w:rPr/>
        <w:t>年度权益分派方案实施后变为</w:t>
      </w:r>
      <w:r>
        <w:rPr>
          <w:rFonts w:ascii="Times New Roman" w:hAnsi="Times New Roman" w:cs="Times New Roman" w:eastAsia="Times New Roman" w:hint="default"/>
        </w:rPr>
        <w:t>1718</w:t>
      </w:r>
      <w:r>
        <w:rPr/>
        <w:t>万股），相关情况详见公司于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日及</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日在《证券时报》及巨潮资讯网（</w:t>
      </w:r>
      <w:hyperlink r:id="rId11">
        <w:r>
          <w:rPr>
            <w:rFonts w:ascii="Times New Roman" w:hAnsi="Times New Roman" w:cs="Times New Roman" w:eastAsia="Times New Roman" w:hint="default"/>
          </w:rPr>
          <w:t>www.cninfo.com.cn</w:t>
        </w:r>
      </w:hyperlink>
      <w:r>
        <w:rPr/>
        <w:t>）披露的《关于公司部分董监高及核心骨干人员融资增持公司 股份的公告》（公告编号：</w:t>
      </w:r>
      <w:r>
        <w:rPr>
          <w:rFonts w:ascii="Times New Roman" w:hAnsi="Times New Roman" w:cs="Times New Roman" w:eastAsia="Times New Roman" w:hint="default"/>
        </w:rPr>
        <w:t>2014-026</w:t>
      </w:r>
      <w:r>
        <w:rPr/>
        <w:t>）、《关于公司部分董监高及核心骨干人员融资增持公司股份存续期展期的公告》（公 </w:t>
      </w:r>
      <w:r>
        <w:rPr>
          <w:spacing w:val="-2"/>
        </w:rPr>
        <w:t>告编号：</w:t>
      </w:r>
      <w:r>
        <w:rPr>
          <w:rFonts w:ascii="Times New Roman" w:hAnsi="Times New Roman" w:cs="Times New Roman" w:eastAsia="Times New Roman" w:hint="default"/>
          <w:spacing w:val="-2"/>
        </w:rPr>
        <w:t>2017-076</w:t>
      </w:r>
      <w:r>
        <w:rPr>
          <w:spacing w:val="-2"/>
        </w:rPr>
        <w:t>）、《关于公司部分董监高及核心骨干人员融资增持公司股份存续期展期的公告》（公告编号：</w:t>
      </w:r>
      <w:r>
        <w:rPr>
          <w:rFonts w:ascii="Times New Roman" w:hAnsi="Times New Roman" w:cs="Times New Roman" w:eastAsia="Times New Roman" w:hint="default"/>
          <w:spacing w:val="-2"/>
        </w:rPr>
        <w:t>2018-099</w:t>
      </w:r>
      <w:r>
        <w:rPr>
          <w:spacing w:val="-2"/>
        </w:rPr>
        <w:t>）</w:t>
      </w:r>
      <w:r>
        <w:rPr>
          <w:spacing w:val="-84"/>
        </w:rPr>
        <w:t> </w:t>
      </w:r>
      <w:r>
        <w:rPr/>
        <w:t>及《关于公司部分董监高及核心骨干人员融资增持公司股份存续期展期的公告》（公告编号：</w:t>
      </w:r>
      <w:r>
        <w:rPr>
          <w:rFonts w:ascii="Times New Roman" w:hAnsi="Times New Roman" w:cs="Times New Roman" w:eastAsia="Times New Roman" w:hint="default"/>
        </w:rPr>
        <w:t>2019-112</w:t>
      </w:r>
      <w:r>
        <w:rPr/>
        <w:t>）</w:t>
      </w:r>
      <w:r>
        <w:rPr>
          <w:spacing w:val="-18"/>
        </w:rPr>
        <w:t> </w:t>
      </w:r>
      <w:r>
        <w:rPr/>
        <w:t>。</w:t>
      </w:r>
    </w:p>
    <w:p>
      <w:pPr>
        <w:spacing w:line="240" w:lineRule="auto" w:before="5"/>
        <w:rPr>
          <w:rFonts w:ascii="宋体" w:hAnsi="宋体" w:cs="宋体" w:eastAsia="宋体" w:hint="default"/>
          <w:sz w:val="20"/>
          <w:szCs w:val="20"/>
        </w:rPr>
      </w:pPr>
    </w:p>
    <w:p>
      <w:pPr>
        <w:pStyle w:val="Heading3"/>
        <w:spacing w:line="240" w:lineRule="auto"/>
        <w:ind w:right="0"/>
        <w:jc w:val="left"/>
        <w:rPr>
          <w:rFonts w:ascii="Tahoma" w:hAnsi="Tahoma" w:cs="Tahoma" w:eastAsia="Tahoma" w:hint="default"/>
        </w:rPr>
      </w:pPr>
      <w:r>
        <w:rPr/>
        <w:t>十六、重大关联交易</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、与日常经营相关的关联交易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、资产或股权收购、出售发生的关联交易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、共同对外投资的关联交易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、关联债权债务往来</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、其他重大关联交易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spacing w:after="0" w:line="338"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十七、重大合同及其履行情况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、托管、承包、租赁事项情况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）托管情况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）承包情况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）租赁情况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、重大担保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1</w:t>
      </w:r>
      <w:r>
        <w:rPr/>
        <w:t>）担保情况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单位：万元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09"/>
        <w:gridCol w:w="926"/>
        <w:gridCol w:w="925"/>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1"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1"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709"/>
        <w:gridCol w:w="924"/>
        <w:gridCol w:w="926"/>
        <w:gridCol w:w="1296"/>
        <w:gridCol w:w="1063"/>
        <w:gridCol w:w="1034"/>
        <w:gridCol w:w="1046"/>
        <w:gridCol w:w="794"/>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安徽美盈森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709"/>
        <w:gridCol w:w="919"/>
        <w:gridCol w:w="915"/>
        <w:gridCol w:w="1313"/>
        <w:gridCol w:w="1044"/>
        <w:gridCol w:w="1054"/>
        <w:gridCol w:w="1046"/>
        <w:gridCol w:w="785"/>
        <w:gridCol w:w="790"/>
      </w:tblGrid>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68,500</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13.31%</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7" w:lineRule="auto" w:before="49"/>
        <w:ind w:right="8054"/>
        <w:jc w:val="left"/>
      </w:pPr>
      <w:r>
        <w:rPr/>
        <w:t>采用复合方式担保的具体情况说明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）违规对外担保情况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77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公司报告期无违规对外担保情况。</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、委托他人进行现金资产管理情况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）委托理财情况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53" w:footer="982" w:top="1060" w:bottom="1180" w:left="980" w:right="0"/>
        </w:sectPr>
      </w:pPr>
    </w:p>
    <w:p>
      <w:pPr>
        <w:pStyle w:val="BodyText"/>
        <w:spacing w:line="340" w:lineRule="auto" w:before="3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0"/>
          <w:cols w:num="2" w:equalWidth="0">
            <w:col w:w="1953" w:space="6785"/>
            <w:col w:w="2192"/>
          </w:cols>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暂时闲置募集资金及自 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）委托贷款情况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、其他重大合同</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十八、社会责任情况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、履行社会责任情况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754"/>
        <w:jc w:val="left"/>
      </w:pPr>
      <w:r>
        <w:rPr/>
        <w:t>公司自设立以来，一直非常重视并积极践行社会责任，努力实现与自然环境、利益相关方的和谐发展、互利共赢。 报告期内，公司通过多种方式践行社会责任：</w:t>
      </w:r>
    </w:p>
    <w:p>
      <w:pPr>
        <w:pStyle w:val="BodyText"/>
        <w:spacing w:line="300" w:lineRule="auto" w:before="19"/>
        <w:ind w:right="112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）加大现金分红力度，推动全体股东共享公司经营发展成果，积极回报广大投资者。依据公司制定的股东回报规划和公 司实际经营情况，近三年，公司的现金分红累计将达</w:t>
      </w:r>
      <w:r>
        <w:rPr>
          <w:rFonts w:ascii="Times New Roman" w:hAnsi="Times New Roman" w:cs="Times New Roman" w:eastAsia="Times New Roman" w:hint="default"/>
        </w:rPr>
        <w:t>107,770.60</w:t>
      </w:r>
      <w:r>
        <w:rPr/>
        <w:t>万元（含股份回购）</w:t>
      </w:r>
      <w:r>
        <w:rPr>
          <w:rFonts w:ascii="Times New Roman" w:hAnsi="Times New Roman" w:cs="Times New Roman" w:eastAsia="Times New Roman" w:hint="default"/>
        </w:rPr>
        <w:t>;</w:t>
      </w:r>
    </w:p>
    <w:p>
      <w:pPr>
        <w:pStyle w:val="BodyText"/>
        <w:spacing w:line="300" w:lineRule="auto" w:before="13"/>
        <w:ind w:right="1124"/>
        <w:jc w:val="left"/>
      </w:pPr>
      <w:r>
        <w:rPr/>
        <w:t>（</w:t>
      </w:r>
      <w:r>
        <w:rPr>
          <w:rFonts w:ascii="Times New Roman" w:hAnsi="Times New Roman" w:cs="Times New Roman" w:eastAsia="Times New Roman" w:hint="default"/>
        </w:rPr>
        <w:t>2</w:t>
      </w:r>
      <w:r>
        <w:rPr/>
        <w:t>）建立了较为完善的公司治理结构，并按照相关法律法规的规定履行信息披露义务、持续提升公司规范运作水平，加强 与投资者之间的沟通，保障投资者的知情权；</w:t>
      </w:r>
    </w:p>
    <w:p>
      <w:pPr>
        <w:pStyle w:val="BodyText"/>
        <w:spacing w:line="300" w:lineRule="auto" w:before="31"/>
        <w:ind w:right="1124"/>
        <w:jc w:val="left"/>
      </w:pPr>
      <w:r>
        <w:rPr/>
        <w:t>（</w:t>
      </w:r>
      <w:r>
        <w:rPr>
          <w:rFonts w:ascii="Times New Roman" w:hAnsi="Times New Roman" w:cs="Times New Roman" w:eastAsia="Times New Roman" w:hint="default"/>
        </w:rPr>
        <w:t>3</w:t>
      </w:r>
      <w:r>
        <w:rPr/>
        <w:t>）秉持绿色制造理念、持续提升公司服务水平，不断提高产品品质，提升客户满意度，为客户创造价值，从而实现与自 然环境和谐发展，实现与股东、员工、客户、供应商及利益相关方的互利共赢；</w:t>
      </w:r>
    </w:p>
    <w:p>
      <w:pPr>
        <w:pStyle w:val="BodyText"/>
        <w:spacing w:line="300" w:lineRule="auto" w:before="31"/>
        <w:ind w:right="1129"/>
        <w:jc w:val="both"/>
      </w:pPr>
      <w:r>
        <w:rPr/>
        <w:t>（</w:t>
      </w:r>
      <w:r>
        <w:rPr>
          <w:rFonts w:ascii="Times New Roman" w:hAnsi="Times New Roman" w:cs="Times New Roman" w:eastAsia="Times New Roman" w:hint="default"/>
        </w:rPr>
        <w:t>4</w:t>
      </w:r>
      <w:r>
        <w:rPr/>
        <w:t>）通过多种方式，帮助、关爱弱势群体，积极践行中央产业扶贫精神。报告期内，公司与深圳市光明区新湖街道办事处 </w:t>
      </w:r>
      <w:r>
        <w:rPr>
          <w:spacing w:val="-2"/>
        </w:rPr>
        <w:t>联合建立了扶贫车间，吸纳建档立卡贫困户人口</w:t>
      </w:r>
      <w:r>
        <w:rPr>
          <w:rFonts w:ascii="Times New Roman" w:hAnsi="Times New Roman" w:cs="Times New Roman" w:eastAsia="Times New Roman" w:hint="default"/>
          <w:spacing w:val="-2"/>
        </w:rPr>
        <w:t>19</w:t>
      </w:r>
      <w:r>
        <w:rPr>
          <w:spacing w:val="-2"/>
        </w:rPr>
        <w:t>人。公司提供包装技术和订单支持，并对扶贫车间员工进行技能培训，以</w:t>
      </w:r>
      <w:r>
        <w:rPr>
          <w:spacing w:val="-65"/>
        </w:rPr>
        <w:t> </w:t>
      </w:r>
      <w:r>
        <w:rPr>
          <w:spacing w:val="-65"/>
        </w:rPr>
      </w:r>
      <w:r>
        <w:rPr/>
        <w:t>自身实际行动帮助贫困群体解决困难。</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月，公司作为光明区爱心企业代表之一，前往西藏林芝市察隅县开展对口支 </w:t>
      </w:r>
      <w:r>
        <w:rPr>
          <w:spacing w:val="-2"/>
        </w:rPr>
        <w:t>援工作，捐赠了</w:t>
      </w:r>
      <w:r>
        <w:rPr>
          <w:rFonts w:ascii="Times New Roman" w:hAnsi="Times New Roman" w:cs="Times New Roman" w:eastAsia="Times New Roman" w:hint="default"/>
          <w:spacing w:val="-2"/>
        </w:rPr>
        <w:t>20</w:t>
      </w:r>
      <w:r>
        <w:rPr>
          <w:spacing w:val="-2"/>
        </w:rPr>
        <w:t>万元用于察隅县精准扶贫项目建设。作为一家拥有数千名员工的大型企业，公司十分关爱员工，通过坚持</w:t>
      </w:r>
      <w:r>
        <w:rPr>
          <w:spacing w:val="-64"/>
        </w:rPr>
        <w:t> </w:t>
      </w:r>
      <w:r>
        <w:rPr>
          <w:spacing w:val="-64"/>
        </w:rPr>
      </w:r>
      <w:r>
        <w:rPr/>
        <w:t>办好</w:t>
      </w:r>
      <w:r>
        <w:rPr>
          <w:rFonts w:ascii="Times New Roman" w:hAnsi="Times New Roman" w:cs="Times New Roman" w:eastAsia="Times New Roman" w:hint="default"/>
        </w:rPr>
        <w:t>“4</w:t>
      </w:r>
      <w:r>
        <w:rPr/>
        <w:t>点半课堂</w:t>
      </w:r>
      <w:r>
        <w:rPr>
          <w:rFonts w:ascii="Times New Roman" w:hAnsi="Times New Roman" w:cs="Times New Roman" w:eastAsia="Times New Roman" w:hint="default"/>
        </w:rPr>
        <w:t>”</w:t>
      </w:r>
      <w:r>
        <w:rPr/>
        <w:t>、优化员工锻炼、娱乐设施及场所等多种方式让员工共享公司发展的成果。</w:t>
      </w:r>
    </w:p>
    <w:p>
      <w:pPr>
        <w:pStyle w:val="BodyText"/>
        <w:spacing w:line="300" w:lineRule="auto" w:before="13"/>
        <w:ind w:right="1034"/>
        <w:jc w:val="left"/>
      </w:pPr>
      <w:r>
        <w:rPr/>
        <w:t>（</w:t>
      </w:r>
      <w:r>
        <w:rPr>
          <w:rFonts w:ascii="Times New Roman" w:hAnsi="Times New Roman" w:cs="Times New Roman" w:eastAsia="Times New Roman" w:hint="default"/>
        </w:rPr>
        <w:t>5</w:t>
      </w:r>
      <w:r>
        <w:rPr/>
        <w:t>）积极参与新冠疫情的防疫抗疫工作。公司在大年三十开始召集住在公司周边及留厂员工回到产线，紧急处理口罩企业 </w:t>
      </w:r>
      <w:r>
        <w:rPr>
          <w:spacing w:val="-3"/>
        </w:rPr>
        <w:t>发往武汉区域的紧急包装需求。疫情期间加紧为生活必需物资的包装供应保障竭尽全力，助力</w:t>
      </w:r>
      <w:r>
        <w:rPr>
          <w:rFonts w:ascii="Times New Roman" w:hAnsi="Times New Roman" w:cs="Times New Roman" w:eastAsia="Times New Roman" w:hint="default"/>
          <w:spacing w:val="-3"/>
        </w:rPr>
        <w:t>“</w:t>
      </w:r>
      <w:r>
        <w:rPr>
          <w:spacing w:val="-3"/>
        </w:rPr>
        <w:t>菜篮子</w:t>
      </w:r>
      <w:r>
        <w:rPr>
          <w:rFonts w:ascii="Times New Roman" w:hAnsi="Times New Roman" w:cs="Times New Roman" w:eastAsia="Times New Roman" w:hint="default"/>
          <w:spacing w:val="-3"/>
        </w:rPr>
        <w:t>”</w:t>
      </w:r>
      <w:r>
        <w:rPr>
          <w:spacing w:val="-3"/>
        </w:rPr>
        <w:t>产品产得出、运得走、</w:t>
      </w:r>
      <w:r>
        <w:rPr>
          <w:spacing w:val="-79"/>
        </w:rPr>
        <w:t> </w:t>
      </w:r>
      <w:r>
        <w:rPr>
          <w:spacing w:val="-79"/>
        </w:rPr>
      </w:r>
      <w:r>
        <w:rPr/>
        <w:t>供得上。</w:t>
      </w:r>
    </w:p>
    <w:p>
      <w:pPr>
        <w:spacing w:after="0" w:line="300" w:lineRule="auto"/>
        <w:jc w:val="left"/>
        <w:sectPr>
          <w:pgSz w:w="11910" w:h="16840"/>
          <w:pgMar w:header="753"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、履行精准扶贫社会责任情况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）精准扶贫规划</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26"/>
        <w:jc w:val="left"/>
      </w:pPr>
      <w:r>
        <w:rPr>
          <w:spacing w:val="-2"/>
        </w:rPr>
        <w:t>公司积极响应中央扶贫开发有关精神，总结经验，不断研究和走出一条切合公司实际的产业发展脱贫、转移就业脱贫的精准</w:t>
      </w:r>
      <w:r>
        <w:rPr>
          <w:spacing w:val="-65"/>
        </w:rPr>
        <w:t> </w:t>
      </w:r>
      <w:r>
        <w:rPr>
          <w:spacing w:val="-65"/>
        </w:rPr>
      </w:r>
      <w:r>
        <w:rPr/>
        <w:t>扶贫路子。</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）年度精准扶贫概要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4" w:lineRule="auto"/>
        <w:ind w:right="1034"/>
        <w:jc w:val="left"/>
      </w:pPr>
      <w:r>
        <w:rPr>
          <w:rFonts w:ascii="Times New Roman" w:hAnsi="Times New Roman" w:cs="Times New Roman" w:eastAsia="Times New Roman" w:hint="default"/>
        </w:rPr>
        <w:t>1</w:t>
      </w:r>
      <w:r>
        <w:rPr/>
        <w:t>）公司在革命老区安徽六安经济技术开发区投资建设包装印刷工业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t>项目，有利于公司贴近服务安徽 </w:t>
      </w:r>
      <w:r>
        <w:rPr>
          <w:spacing w:val="-2"/>
        </w:rPr>
        <w:t>及周边区域客户，增加客户黏性，进一步布局华东区域市场，分享区域内包装市场需求带来的收益。同时，本次投资亦是公</w:t>
      </w:r>
      <w:r>
        <w:rPr>
          <w:spacing w:val="-69"/>
        </w:rPr>
        <w:t> </w:t>
      </w:r>
      <w:r>
        <w:rPr>
          <w:spacing w:val="-69"/>
        </w:rPr>
      </w:r>
      <w:r>
        <w:rPr/>
        <w:t>司积极响应中央扶贫开发有关精神，支持革命老区产业及经济发展的重要举措。上述项目已于</w:t>
      </w:r>
      <w:r>
        <w:rPr>
          <w:rFonts w:ascii="Times New Roman" w:hAnsi="Times New Roman" w:cs="Times New Roman" w:eastAsia="Times New Roman" w:hint="default"/>
        </w:rPr>
        <w:t>2019</w:t>
      </w:r>
      <w:r>
        <w:rPr/>
        <w:t>年上半年逐步投入使用， 为六安革命老区决胜脱贫攻坚工作</w:t>
      </w:r>
      <w:r>
        <w:rPr>
          <w:rFonts w:ascii="Times New Roman" w:hAnsi="Times New Roman" w:cs="Times New Roman" w:eastAsia="Times New Roman" w:hint="default"/>
        </w:rPr>
        <w:t>“</w:t>
      </w:r>
      <w:r>
        <w:rPr/>
        <w:t>添了一把火、加了一把力</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）为积极响应</w:t>
      </w:r>
      <w:r>
        <w:rPr>
          <w:rFonts w:ascii="Times New Roman" w:hAnsi="Times New Roman" w:cs="Times New Roman" w:eastAsia="Times New Roman" w:hint="default"/>
        </w:rPr>
        <w:t>“</w:t>
      </w:r>
      <w:r>
        <w:rPr/>
        <w:t>脱贫攻坚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石漠化治理</w:t>
      </w:r>
      <w:r>
        <w:rPr>
          <w:rFonts w:ascii="Times New Roman" w:hAnsi="Times New Roman" w:cs="Times New Roman" w:eastAsia="Times New Roman" w:hint="default"/>
        </w:rPr>
        <w:t>”</w:t>
      </w:r>
      <w:r>
        <w:rPr/>
        <w:t>等国家重大战略，秉承</w:t>
      </w:r>
      <w:r>
        <w:rPr>
          <w:rFonts w:ascii="Times New Roman" w:hAnsi="Times New Roman" w:cs="Times New Roman" w:eastAsia="Times New Roman" w:hint="default"/>
        </w:rPr>
        <w:t>“</w:t>
      </w:r>
      <w:r>
        <w:rPr/>
        <w:t>科技创新、精准扶贫、生物健康、造福人类</w:t>
      </w:r>
      <w:r>
        <w:rPr>
          <w:rFonts w:ascii="Times New Roman" w:hAnsi="Times New Roman" w:cs="Times New Roman" w:eastAsia="Times New Roman" w:hint="default"/>
        </w:rPr>
        <w:t>”</w:t>
      </w:r>
      <w:r>
        <w:rPr/>
        <w:t>的理念和愿 </w:t>
      </w:r>
      <w:r>
        <w:rPr>
          <w:spacing w:val="-2"/>
        </w:rPr>
        <w:t>景，公司与云南古耕农业科技开发有限公司及文山州政府签署了《工业大麻产业发展合作协议》，公司与云南古耕农业科技</w:t>
      </w:r>
      <w:r>
        <w:rPr>
          <w:spacing w:val="-65"/>
        </w:rPr>
        <w:t> </w:t>
      </w:r>
      <w:r>
        <w:rPr>
          <w:spacing w:val="-65"/>
        </w:rPr>
      </w:r>
      <w:r>
        <w:rPr>
          <w:spacing w:val="-2"/>
        </w:rPr>
        <w:t>开发有限公司共同设立文麻生物于文山州投资实施美盈森集团工业大麻产业发展项目。项目的顺利实施，一方面，将能够有</w:t>
      </w:r>
      <w:r>
        <w:rPr>
          <w:spacing w:val="-64"/>
        </w:rPr>
        <w:t> </w:t>
      </w:r>
      <w:r>
        <w:rPr>
          <w:spacing w:val="-64"/>
        </w:rPr>
      </w:r>
      <w:r>
        <w:rPr/>
        <w:t>效助力文山州实现帮扶精准脱贫，通过投资产业的方式实现</w:t>
      </w:r>
      <w:r>
        <w:rPr>
          <w:rFonts w:ascii="Times New Roman" w:hAnsi="Times New Roman" w:cs="Times New Roman" w:eastAsia="Times New Roman" w:hint="default"/>
        </w:rPr>
        <w:t>“</w:t>
      </w:r>
      <w:r>
        <w:rPr/>
        <w:t>造血式扶贫</w:t>
      </w:r>
      <w:r>
        <w:rPr>
          <w:rFonts w:ascii="Times New Roman" w:hAnsi="Times New Roman" w:cs="Times New Roman" w:eastAsia="Times New Roman" w:hint="default"/>
        </w:rPr>
        <w:t>”</w:t>
      </w:r>
      <w:r>
        <w:rPr/>
        <w:t>的目标。通过工业大麻项目的实施帮助文山这个 </w:t>
      </w:r>
      <w:r>
        <w:rPr>
          <w:rFonts w:ascii="Times New Roman" w:hAnsi="Times New Roman" w:cs="Times New Roman" w:eastAsia="Times New Roman" w:hint="default"/>
          <w:spacing w:val="-2"/>
        </w:rPr>
        <w:t>“</w:t>
      </w:r>
      <w:r>
        <w:rPr>
          <w:spacing w:val="-2"/>
        </w:rPr>
        <w:t>老、少、边、山、穷、战</w:t>
      </w:r>
      <w:r>
        <w:rPr>
          <w:rFonts w:ascii="Times New Roman" w:hAnsi="Times New Roman" w:cs="Times New Roman" w:eastAsia="Times New Roman" w:hint="default"/>
          <w:spacing w:val="-2"/>
        </w:rPr>
        <w:t>”</w:t>
      </w:r>
      <w:r>
        <w:rPr>
          <w:spacing w:val="-2"/>
        </w:rPr>
        <w:t>区域的发展贡献一份力量；另一方面，将通过工业大麻的种植，助力文山州进行石漠化的治理工</w:t>
      </w:r>
      <w:r>
        <w:rPr>
          <w:spacing w:val="-48"/>
        </w:rPr>
        <w:t> </w:t>
      </w:r>
      <w:r>
        <w:rPr>
          <w:spacing w:val="-48"/>
        </w:rPr>
      </w:r>
      <w:r>
        <w:rPr/>
        <w:t>作，实现良好的生态效益，把石漠变成绿洲，并力争帮助打造</w:t>
      </w:r>
      <w:r>
        <w:rPr>
          <w:rFonts w:ascii="Times New Roman" w:hAnsi="Times New Roman" w:cs="Times New Roman" w:eastAsia="Times New Roman" w:hint="default"/>
        </w:rPr>
        <w:t>“</w:t>
      </w:r>
      <w:r>
        <w:rPr/>
        <w:t>石漠化治理</w:t>
      </w:r>
      <w:r>
        <w:rPr>
          <w:rFonts w:ascii="Times New Roman" w:hAnsi="Times New Roman" w:cs="Times New Roman" w:eastAsia="Times New Roman" w:hint="default"/>
        </w:rPr>
        <w:t>”</w:t>
      </w:r>
      <w:r>
        <w:rPr/>
        <w:t>的文山样本。 </w:t>
      </w:r>
      <w:r>
        <w:rPr>
          <w:rFonts w:ascii="Times New Roman" w:hAnsi="Times New Roman" w:cs="Times New Roman" w:eastAsia="Times New Roman" w:hint="default"/>
        </w:rPr>
        <w:t>3</w:t>
      </w:r>
      <w:r>
        <w:rPr/>
        <w:t>）报告期内，公司与深圳市光明区新湖街道办事处联合建立了扶贫车间，吸纳建档立卡贫困户人口</w:t>
      </w:r>
      <w:r>
        <w:rPr>
          <w:rFonts w:ascii="Times New Roman" w:hAnsi="Times New Roman" w:cs="Times New Roman" w:eastAsia="Times New Roman" w:hint="default"/>
        </w:rPr>
        <w:t>19</w:t>
      </w:r>
      <w:r>
        <w:rPr/>
        <w:t>人。公司提供包装技 术和订单支持，并对扶贫车间员工进行技能培训，以自身实际行动帮助贫困群体解决困难。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月，公司作为光明区爱心企业代表之一，前往西藏林芝市察隅县开展对口支援工作，捐赠了</w:t>
      </w:r>
      <w:r>
        <w:rPr>
          <w:rFonts w:ascii="Times New Roman" w:hAnsi="Times New Roman" w:cs="Times New Roman" w:eastAsia="Times New Roman" w:hint="default"/>
          <w:spacing w:val="-2"/>
        </w:rPr>
        <w:t>20</w:t>
      </w:r>
      <w:r>
        <w:rPr>
          <w:spacing w:val="-2"/>
        </w:rPr>
        <w:t>万元用于察隅县精</w:t>
      </w:r>
      <w:r>
        <w:rPr>
          <w:spacing w:val="-61"/>
        </w:rPr>
        <w:t> </w:t>
      </w:r>
      <w:r>
        <w:rPr/>
        <w:t>准扶贫项目建设。</w:t>
      </w:r>
    </w:p>
    <w:p>
      <w:pPr>
        <w:spacing w:line="240" w:lineRule="auto" w:before="6"/>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）精准扶贫成效</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595"/>
        <w:gridCol w:w="1459"/>
        <w:gridCol w:w="4514"/>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151.66</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23"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 </w:t>
            </w:r>
            <w:r>
              <w:rPr>
                <w:rFonts w:ascii="宋体" w:hAnsi="宋体" w:cs="宋体" w:eastAsia="宋体" w:hint="default"/>
                <w:sz w:val="18"/>
                <w:szCs w:val="18"/>
              </w:rPr>
              <w:t>产业发展脱贫项目类型</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131.66</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595"/>
        <w:gridCol w:w="1459"/>
        <w:gridCol w:w="4514"/>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92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 </w:t>
            </w:r>
            <w:r>
              <w:rPr>
                <w:rFonts w:ascii="宋体" w:hAnsi="宋体" w:cs="宋体" w:eastAsia="宋体" w:hint="default"/>
                <w:sz w:val="18"/>
                <w:szCs w:val="18"/>
              </w:rPr>
              <w:t>东西部扶贫协作投入金额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Tahoma" w:hAnsi="Tahoma" w:cs="Tahoma" w:eastAsia="Tahoma"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）后续精准扶贫计划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1</w:t>
      </w:r>
      <w:r>
        <w:rPr/>
        <w:t>）把包装印刷工业</w:t>
      </w:r>
      <w:r>
        <w:rPr>
          <w:rFonts w:ascii="Times New Roman" w:hAnsi="Times New Roman" w:cs="Times New Roman" w:eastAsia="Times New Roman" w:hint="default"/>
        </w:rPr>
        <w:t>4.0</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t>项目经营好、发展好，支持革命老区产业经济发展和精准扶贫；</w:t>
      </w:r>
    </w:p>
    <w:p>
      <w:pPr>
        <w:pStyle w:val="BodyText"/>
        <w:spacing w:line="240" w:lineRule="auto" w:before="63"/>
        <w:ind w:right="0"/>
        <w:jc w:val="left"/>
      </w:pPr>
      <w:r>
        <w:rPr>
          <w:rFonts w:ascii="Times New Roman" w:hAnsi="Times New Roman" w:cs="Times New Roman" w:eastAsia="Times New Roman" w:hint="default"/>
        </w:rPr>
        <w:t>2</w:t>
      </w:r>
      <w:r>
        <w:rPr/>
        <w:t>）推动美盈森集团工业大麻产业发展项目的实施，为云南文山州产业经济发展及脱贫攻坚贡献一份力量。</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、环境保护相关的情况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5714"/>
        <w:jc w:val="left"/>
      </w:pPr>
      <w:r>
        <w:rPr/>
        <w:t>上市公司及其子公司是否属于环境保护部门公布的重点排污单位 是</w:t>
      </w:r>
    </w:p>
    <w:tbl>
      <w:tblPr>
        <w:tblW w:w="0" w:type="auto"/>
        <w:jc w:val="left"/>
        <w:tblInd w:w="147"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6" w:right="2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92" w:right="21"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21"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28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2" w:lineRule="exact"/>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彩箱印刷、 丝印、上光 油、清洁工 序产生的废 气（总 </w:t>
            </w:r>
            <w:r>
              <w:rPr>
                <w:rFonts w:ascii="Times New Roman" w:hAnsi="Times New Roman" w:cs="Times New Roman" w:eastAsia="Times New Roman" w:hint="default"/>
                <w:sz w:val="18"/>
                <w:szCs w:val="18"/>
              </w:rPr>
              <w:t>VOCS)</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收集后经 </w:t>
            </w:r>
            <w:r>
              <w:rPr>
                <w:rFonts w:ascii="Times New Roman" w:hAnsi="Times New Roman" w:cs="Times New Roman" w:eastAsia="Times New Roman" w:hint="default"/>
                <w:sz w:val="18"/>
                <w:szCs w:val="18"/>
              </w:rPr>
              <w:t>UV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光解</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活性炭吸附 一体化净化 器处理，最 后引至楼顶 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米高空排放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彩印车间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2" w:lineRule="exact"/>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标准限值： 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w:t>
            </w:r>
            <w:r>
              <w:rPr>
                <w:rFonts w:ascii="Times New Roman" w:hAnsi="Times New Roman" w:cs="Times New Roman" w:eastAsia="Times New Roman" w:hint="default"/>
                <w:sz w:val="18"/>
                <w:szCs w:val="18"/>
              </w:rPr>
              <w:t>80mg/m3</w:t>
            </w:r>
            <w:r>
              <w:rPr>
                <w:rFonts w:ascii="宋体" w:hAnsi="宋体" w:cs="宋体" w:eastAsia="宋体" w:hint="default"/>
                <w:sz w:val="18"/>
                <w:szCs w:val="18"/>
              </w:rPr>
              <w:t>， </w:t>
            </w:r>
            <w:r>
              <w:rPr>
                <w:rFonts w:ascii="宋体" w:hAnsi="宋体" w:cs="宋体" w:eastAsia="宋体" w:hint="default"/>
                <w:spacing w:val="-7"/>
                <w:sz w:val="18"/>
                <w:szCs w:val="18"/>
              </w:rPr>
              <w:t>实测值：</w:t>
            </w:r>
            <w:r>
              <w:rPr>
                <w:rFonts w:ascii="Times New Roman" w:hAnsi="Times New Roman" w:cs="Times New Roman" w:eastAsia="Times New Roman" w:hint="default"/>
                <w:spacing w:val="-7"/>
                <w:sz w:val="18"/>
                <w:szCs w:val="18"/>
              </w:rPr>
              <w:t>8.0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mg/m3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广东省《印 刷行业挥发 性有机化合 物排放标 准》</w:t>
            </w:r>
          </w:p>
          <w:p>
            <w:pPr>
              <w:pStyle w:val="TableParagraph"/>
              <w:spacing w:line="300" w:lineRule="auto" w:before="19"/>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DB44/81 5-2010)</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II</w:t>
            </w:r>
          </w:p>
          <w:p>
            <w:pPr>
              <w:pStyle w:val="TableParagraph"/>
              <w:spacing w:line="316"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时段排放标 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40"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w:t>
            </w:r>
            <w:r>
              <w:rPr>
                <w:rFonts w:ascii="Times New Roman" w:hAnsi="Times New Roman" w:cs="Times New Roman" w:eastAsia="Times New Roman" w:hint="default"/>
                <w:sz w:val="18"/>
                <w:szCs w:val="18"/>
              </w:rPr>
              <w:t>2.2089t/a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40" w:lineRule="auto"/>
              <w:ind w:left="24"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VOCS</w:t>
            </w:r>
            <w:r>
              <w:rPr>
                <w:rFonts w:ascii="宋体" w:hAnsi="宋体" w:cs="宋体" w:eastAsia="宋体" w:hint="default"/>
                <w:sz w:val="18"/>
                <w:szCs w:val="18"/>
              </w:rPr>
              <w:t>： </w:t>
            </w:r>
            <w:r>
              <w:rPr>
                <w:rFonts w:ascii="Times New Roman" w:hAnsi="Times New Roman" w:cs="Times New Roman" w:eastAsia="Times New Roman" w:hint="default"/>
                <w:sz w:val="18"/>
                <w:szCs w:val="18"/>
              </w:rPr>
              <w:t>2.8024t/a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根据每年定 期委托第三 方有资质的 检测公司检 测结果，排 放达标。</w:t>
            </w:r>
          </w:p>
        </w:tc>
      </w:tr>
    </w:tbl>
    <w:p>
      <w:pPr>
        <w:pStyle w:val="BodyText"/>
        <w:spacing w:line="240" w:lineRule="auto" w:before="68"/>
        <w:ind w:right="0"/>
        <w:jc w:val="left"/>
      </w:pPr>
      <w:r>
        <w:rPr/>
        <w:t>防治污染设施的建设和运行情况</w:t>
      </w:r>
    </w:p>
    <w:p>
      <w:pPr>
        <w:pStyle w:val="BodyText"/>
        <w:spacing w:line="240" w:lineRule="auto" w:before="115"/>
        <w:ind w:left="512" w:right="0"/>
        <w:jc w:val="left"/>
      </w:pPr>
      <w:r>
        <w:rPr/>
        <w:t>（</w:t>
      </w:r>
      <w:r>
        <w:rPr>
          <w:rFonts w:ascii="Times New Roman" w:hAnsi="Times New Roman" w:cs="Times New Roman" w:eastAsia="Times New Roman" w:hint="default"/>
        </w:rPr>
        <w:t>1</w:t>
      </w:r>
      <w:r>
        <w:rPr/>
        <w:t>）关于有机废气防治污染设施的建设和运行情况：</w:t>
      </w:r>
    </w:p>
    <w:p>
      <w:pPr>
        <w:pStyle w:val="BodyText"/>
        <w:spacing w:line="300" w:lineRule="auto" w:before="63"/>
        <w:ind w:right="1153" w:firstLine="360"/>
        <w:jc w:val="left"/>
      </w:pPr>
      <w:r>
        <w:rPr>
          <w:rFonts w:ascii="Times New Roman" w:hAnsi="Times New Roman" w:cs="Times New Roman" w:eastAsia="Times New Roman" w:hint="default"/>
        </w:rPr>
        <w:t>A</w:t>
      </w:r>
      <w:r>
        <w:rPr/>
        <w:t>、东莞美盈森建设了废气</w:t>
      </w:r>
      <w:r>
        <w:rPr>
          <w:rFonts w:ascii="Times New Roman" w:hAnsi="Times New Roman" w:cs="Times New Roman" w:eastAsia="Times New Roman" w:hint="default"/>
        </w:rPr>
        <w:t>“</w:t>
      </w:r>
      <w:r>
        <w:rPr/>
        <w:t>收集管道</w:t>
      </w:r>
      <w:r>
        <w:rPr>
          <w:rFonts w:ascii="Times New Roman" w:hAnsi="Times New Roman" w:cs="Times New Roman" w:eastAsia="Times New Roman" w:hint="default"/>
        </w:rPr>
        <w:t>”</w:t>
      </w:r>
      <w:r>
        <w:rPr/>
        <w:t>，废气收集率不小于</w:t>
      </w:r>
      <w:r>
        <w:rPr>
          <w:rFonts w:ascii="Times New Roman" w:hAnsi="Times New Roman" w:cs="Times New Roman" w:eastAsia="Times New Roman" w:hint="default"/>
        </w:rPr>
        <w:t>90%</w:t>
      </w:r>
      <w:r>
        <w:rPr/>
        <w:t>；配置了</w:t>
      </w:r>
      <w:r>
        <w:rPr>
          <w:rFonts w:ascii="Times New Roman" w:hAnsi="Times New Roman" w:cs="Times New Roman" w:eastAsia="Times New Roman" w:hint="default"/>
        </w:rPr>
        <w:t>“UV</w:t>
      </w:r>
      <w:r>
        <w:rPr/>
        <w:t>光解</w:t>
      </w:r>
      <w:r>
        <w:rPr>
          <w:rFonts w:ascii="Times New Roman" w:hAnsi="Times New Roman" w:cs="Times New Roman" w:eastAsia="Times New Roman" w:hint="default"/>
        </w:rPr>
        <w:t>+</w:t>
      </w:r>
      <w:r>
        <w:rPr/>
        <w:t>活性炭吸附一体化净化器</w:t>
      </w:r>
      <w:r>
        <w:rPr>
          <w:rFonts w:ascii="Times New Roman" w:hAnsi="Times New Roman" w:cs="Times New Roman" w:eastAsia="Times New Roman" w:hint="default"/>
        </w:rPr>
        <w:t>”</w:t>
      </w:r>
      <w:r>
        <w:rPr/>
        <w:t>，对彩箱 印刷、丝印、上光油及清洁工序废气进行处理；配置了</w:t>
      </w:r>
      <w:r>
        <w:rPr>
          <w:rFonts w:ascii="Times New Roman" w:hAnsi="Times New Roman" w:cs="Times New Roman" w:eastAsia="Times New Roman" w:hint="default"/>
        </w:rPr>
        <w:t>“</w:t>
      </w:r>
      <w:r>
        <w:rPr/>
        <w:t>引风机</w:t>
      </w:r>
      <w:r>
        <w:rPr>
          <w:rFonts w:ascii="Times New Roman" w:hAnsi="Times New Roman" w:cs="Times New Roman" w:eastAsia="Times New Roman" w:hint="default"/>
        </w:rPr>
        <w:t>”</w:t>
      </w:r>
      <w:r>
        <w:rPr/>
        <w:t>将处理后的废气引至不低于</w:t>
      </w:r>
      <w:r>
        <w:rPr>
          <w:rFonts w:ascii="Times New Roman" w:hAnsi="Times New Roman" w:cs="Times New Roman" w:eastAsia="Times New Roman" w:hint="default"/>
        </w:rPr>
        <w:t>15</w:t>
      </w:r>
      <w:r>
        <w:rPr/>
        <w:t>米高空排放。</w:t>
      </w:r>
    </w:p>
    <w:p>
      <w:pPr>
        <w:pStyle w:val="BodyText"/>
        <w:spacing w:line="300" w:lineRule="auto" w:before="13"/>
        <w:ind w:left="512" w:right="1133"/>
        <w:jc w:val="left"/>
      </w:pPr>
      <w:r>
        <w:rPr>
          <w:rFonts w:ascii="Times New Roman" w:hAnsi="Times New Roman" w:cs="Times New Roman" w:eastAsia="Times New Roman" w:hint="default"/>
        </w:rPr>
        <w:t>B</w:t>
      </w:r>
      <w:r>
        <w:rPr/>
        <w:t>、按要求规范建立了有机废气处理设备运行台账，严格执行有机废气管理要求。 </w:t>
      </w:r>
      <w:r>
        <w:rPr>
          <w:rFonts w:ascii="Times New Roman" w:hAnsi="Times New Roman" w:cs="Times New Roman" w:eastAsia="Times New Roman" w:hint="default"/>
        </w:rPr>
        <w:t>C</w:t>
      </w:r>
      <w:r>
        <w:rPr/>
        <w:t>、在废气排放口均按要求设置了标识牌。 废气净化排放的工艺流程为</w:t>
      </w:r>
      <w:r>
        <w:rPr>
          <w:rFonts w:ascii="Times New Roman" w:hAnsi="Times New Roman" w:cs="Times New Roman" w:eastAsia="Times New Roman" w:hint="default"/>
        </w:rPr>
        <w:t>“</w:t>
      </w:r>
      <w:r>
        <w:rPr/>
        <w:t>有机废气</w:t>
      </w:r>
      <w:r>
        <w:rPr>
          <w:rFonts w:ascii="Times New Roman" w:hAnsi="Times New Roman" w:cs="Times New Roman" w:eastAsia="Times New Roman" w:hint="default"/>
        </w:rPr>
        <w:t>→</w:t>
      </w:r>
      <w:r>
        <w:rPr/>
        <w:t>吸气罩</w:t>
      </w:r>
      <w:r>
        <w:rPr>
          <w:rFonts w:ascii="Times New Roman" w:hAnsi="Times New Roman" w:cs="Times New Roman" w:eastAsia="Times New Roman" w:hint="default"/>
        </w:rPr>
        <w:t>→</w:t>
      </w:r>
      <w:r>
        <w:rPr/>
        <w:t>抽风管道</w:t>
      </w:r>
      <w:r>
        <w:rPr>
          <w:rFonts w:ascii="Times New Roman" w:hAnsi="Times New Roman" w:cs="Times New Roman" w:eastAsia="Times New Roman" w:hint="default"/>
        </w:rPr>
        <w:t>→UV</w:t>
      </w:r>
      <w:r>
        <w:rPr/>
        <w:t>光解</w:t>
      </w:r>
      <w:r>
        <w:rPr>
          <w:rFonts w:ascii="Times New Roman" w:hAnsi="Times New Roman" w:cs="Times New Roman" w:eastAsia="Times New Roman" w:hint="default"/>
        </w:rPr>
        <w:t>+</w:t>
      </w:r>
      <w:r>
        <w:rPr/>
        <w:t>活性炭吸附一体化净化器</w:t>
      </w:r>
      <w:r>
        <w:rPr>
          <w:rFonts w:ascii="Times New Roman" w:hAnsi="Times New Roman" w:cs="Times New Roman" w:eastAsia="Times New Roman" w:hint="default"/>
        </w:rPr>
        <w:t>→</w:t>
      </w:r>
      <w:r>
        <w:rPr/>
        <w:t>引风机</w:t>
      </w:r>
      <w:r>
        <w:rPr>
          <w:rFonts w:ascii="Times New Roman" w:hAnsi="Times New Roman" w:cs="Times New Roman" w:eastAsia="Times New Roman" w:hint="default"/>
        </w:rPr>
        <w:t>→</w:t>
      </w:r>
      <w:r>
        <w:rPr/>
        <w:t>烟囱</w:t>
      </w:r>
      <w:r>
        <w:rPr>
          <w:rFonts w:ascii="Times New Roman" w:hAnsi="Times New Roman" w:cs="Times New Roman" w:eastAsia="Times New Roman" w:hint="default"/>
        </w:rPr>
        <w:t>→</w:t>
      </w:r>
      <w:r>
        <w:rPr/>
        <w:t>达标</w:t>
      </w:r>
    </w:p>
    <w:p>
      <w:pPr>
        <w:pStyle w:val="BodyText"/>
        <w:spacing w:line="280" w:lineRule="auto" w:before="13"/>
        <w:ind w:right="1137"/>
        <w:jc w:val="left"/>
      </w:pPr>
      <w:r>
        <w:rPr/>
        <w:t>排放</w:t>
      </w:r>
      <w:r>
        <w:rPr>
          <w:rFonts w:ascii="Times New Roman" w:hAnsi="Times New Roman" w:cs="Times New Roman" w:eastAsia="Times New Roman" w:hint="default"/>
        </w:rPr>
        <w:t>”</w:t>
      </w:r>
      <w:r>
        <w:rPr/>
        <w:t>。废气净化后达到广东省《印刷行业挥发性有机化合物排放标准》（</w:t>
      </w:r>
      <w:r>
        <w:rPr>
          <w:rFonts w:ascii="Times New Roman" w:hAnsi="Times New Roman" w:cs="Times New Roman" w:eastAsia="Times New Roman" w:hint="default"/>
        </w:rPr>
        <w:t>DB44/815-2010)</w:t>
      </w:r>
      <w:r>
        <w:rPr/>
        <w:t>第</w:t>
      </w:r>
      <w:r>
        <w:rPr>
          <w:rFonts w:ascii="Times New Roman" w:hAnsi="Times New Roman" w:cs="Times New Roman" w:eastAsia="Times New Roman" w:hint="default"/>
        </w:rPr>
        <w:t>II</w:t>
      </w:r>
      <w:r>
        <w:rPr/>
        <w:t>时段排气筒</w:t>
      </w:r>
      <w:r>
        <w:rPr>
          <w:rFonts w:ascii="Times New Roman" w:hAnsi="Times New Roman" w:cs="Times New Roman" w:eastAsia="Times New Roman" w:hint="default"/>
        </w:rPr>
        <w:t>VOC</w:t>
      </w:r>
      <w:r>
        <w:rPr>
          <w:rFonts w:ascii="Times New Roman" w:hAnsi="Times New Roman" w:cs="Times New Roman" w:eastAsia="Times New Roman" w:hint="default"/>
          <w:position w:val="-2"/>
          <w:sz w:val="12"/>
          <w:szCs w:val="12"/>
        </w:rPr>
        <w:t>S</w:t>
      </w:r>
      <w:r>
        <w:rPr/>
        <w:t>排放限值的 要求，各废气处理设施正常运行。</w:t>
      </w:r>
    </w:p>
    <w:p>
      <w:pPr>
        <w:pStyle w:val="BodyText"/>
        <w:spacing w:line="300" w:lineRule="auto" w:before="46"/>
        <w:ind w:left="512" w:right="0"/>
        <w:jc w:val="left"/>
      </w:pPr>
      <w:r>
        <w:rPr/>
        <w:t>（</w:t>
      </w:r>
      <w:r>
        <w:rPr>
          <w:rFonts w:ascii="Times New Roman" w:hAnsi="Times New Roman" w:cs="Times New Roman" w:eastAsia="Times New Roman" w:hint="default"/>
        </w:rPr>
        <w:t>2</w:t>
      </w:r>
      <w:r>
        <w:rPr/>
        <w:t>）关于危险废物防治污染设施的建设和运行情况： </w:t>
      </w:r>
      <w:r>
        <w:rPr>
          <w:rFonts w:ascii="Times New Roman" w:hAnsi="Times New Roman" w:cs="Times New Roman" w:eastAsia="Times New Roman" w:hint="default"/>
        </w:rPr>
        <w:t>A</w:t>
      </w:r>
      <w:r>
        <w:rPr/>
        <w:t>、东莞美盈森建有专用的危废仓，该危废仓符合防雨、防渗漏、防流失要求，能做到分类收集、分类贮存。 </w:t>
      </w:r>
      <w:r>
        <w:rPr>
          <w:rFonts w:ascii="Times New Roman" w:hAnsi="Times New Roman" w:cs="Times New Roman" w:eastAsia="Times New Roman" w:hint="default"/>
        </w:rPr>
        <w:t>B</w:t>
      </w:r>
      <w:r>
        <w:rPr/>
        <w:t>、按要求规范危险废物管理台账，严格执行危险废物转移联单制度，合法定期委外转移废物。 </w:t>
      </w:r>
      <w:r>
        <w:rPr>
          <w:rFonts w:ascii="Times New Roman" w:hAnsi="Times New Roman" w:cs="Times New Roman" w:eastAsia="Times New Roman" w:hint="default"/>
        </w:rPr>
        <w:t>C</w:t>
      </w:r>
      <w:r>
        <w:rPr/>
        <w:t>、制定危险废物管理规定及危险废物管理责任制度，并张贴公告栏。 </w:t>
      </w:r>
      <w:r>
        <w:rPr>
          <w:rFonts w:ascii="Times New Roman" w:hAnsi="Times New Roman" w:cs="Times New Roman" w:eastAsia="Times New Roman" w:hint="default"/>
          <w:spacing w:val="-1"/>
        </w:rPr>
        <w:t>D</w:t>
      </w:r>
      <w:r>
        <w:rPr>
          <w:spacing w:val="-1"/>
        </w:rPr>
        <w:t>、制定危险废物突发应急预案，配备有相应的应急物资，并定期开展环境应急演练和总结，危险废物防治设施正常运</w:t>
      </w:r>
    </w:p>
    <w:p>
      <w:pPr>
        <w:spacing w:after="0" w:line="300" w:lineRule="auto"/>
        <w:jc w:val="left"/>
        <w:sectPr>
          <w:footerReference w:type="default" r:id="rId32"/>
          <w:pgSz w:w="11910" w:h="16840"/>
          <w:pgMar w:footer="982" w:header="753" w:top="1060" w:bottom="1180" w:left="980" w:right="0"/>
          <w:pgNumType w:start="80"/>
        </w:sectPr>
      </w:pPr>
    </w:p>
    <w:p>
      <w:pPr>
        <w:spacing w:line="240" w:lineRule="auto" w:before="4"/>
        <w:rPr>
          <w:rFonts w:ascii="宋体" w:hAnsi="宋体" w:cs="宋体" w:eastAsia="宋体" w:hint="default"/>
          <w:sz w:val="26"/>
          <w:szCs w:val="26"/>
        </w:rPr>
      </w:pPr>
    </w:p>
    <w:p>
      <w:pPr>
        <w:pStyle w:val="BodyText"/>
        <w:spacing w:line="240" w:lineRule="auto" w:before="37"/>
        <w:ind w:right="0"/>
        <w:jc w:val="both"/>
      </w:pPr>
      <w:r>
        <w:rPr/>
        <w:t>行。</w:t>
      </w:r>
    </w:p>
    <w:p>
      <w:pPr>
        <w:pStyle w:val="BodyText"/>
        <w:spacing w:line="300" w:lineRule="auto" w:before="76"/>
        <w:ind w:left="512" w:right="6524"/>
        <w:jc w:val="left"/>
      </w:pPr>
      <w:r>
        <w:rPr/>
        <w:t>（</w:t>
      </w:r>
      <w:r>
        <w:rPr>
          <w:rFonts w:ascii="Times New Roman" w:hAnsi="Times New Roman" w:cs="Times New Roman" w:eastAsia="Times New Roman" w:hint="default"/>
        </w:rPr>
        <w:t>3</w:t>
      </w:r>
      <w:r>
        <w:rPr/>
        <w:t>）关于污水防治污染设施的建设和运行情况： 东莞美盈森建设了污水处理站对污水进行处理。</w:t>
      </w:r>
    </w:p>
    <w:p>
      <w:pPr>
        <w:pStyle w:val="BodyText"/>
        <w:spacing w:line="300" w:lineRule="auto" w:before="31"/>
        <w:ind w:right="1132" w:firstLine="360"/>
        <w:jc w:val="left"/>
      </w:pPr>
      <w:r>
        <w:rPr/>
        <w:t>污水处理的工艺流程为</w:t>
      </w:r>
      <w:r>
        <w:rPr>
          <w:rFonts w:ascii="Times New Roman" w:hAnsi="Times New Roman" w:cs="Times New Roman" w:eastAsia="Times New Roman" w:hint="default"/>
        </w:rPr>
        <w:t>“</w:t>
      </w:r>
      <w:r>
        <w:rPr/>
        <w:t>调节池</w:t>
      </w:r>
      <w:r>
        <w:rPr>
          <w:rFonts w:ascii="Times New Roman" w:hAnsi="Times New Roman" w:cs="Times New Roman" w:eastAsia="Times New Roman" w:hint="default"/>
        </w:rPr>
        <w:t>+</w:t>
      </w:r>
      <w:r>
        <w:rPr/>
        <w:t>预反应池</w:t>
      </w:r>
      <w:r>
        <w:rPr>
          <w:rFonts w:ascii="Times New Roman" w:hAnsi="Times New Roman" w:cs="Times New Roman" w:eastAsia="Times New Roman" w:hint="default"/>
        </w:rPr>
        <w:t>+</w:t>
      </w:r>
      <w:r>
        <w:rPr/>
        <w:t>混凝沉淀池</w:t>
      </w:r>
      <w:r>
        <w:rPr>
          <w:rFonts w:ascii="Times New Roman" w:hAnsi="Times New Roman" w:cs="Times New Roman" w:eastAsia="Times New Roman" w:hint="default"/>
        </w:rPr>
        <w:t>+</w:t>
      </w:r>
      <w:r>
        <w:rPr/>
        <w:t>斜管沉淀池</w:t>
      </w:r>
      <w:r>
        <w:rPr>
          <w:rFonts w:ascii="Times New Roman" w:hAnsi="Times New Roman" w:cs="Times New Roman" w:eastAsia="Times New Roman" w:hint="default"/>
        </w:rPr>
        <w:t>+PH</w:t>
      </w:r>
      <w:r>
        <w:rPr/>
        <w:t>回调池</w:t>
      </w:r>
      <w:r>
        <w:rPr>
          <w:rFonts w:ascii="Times New Roman" w:hAnsi="Times New Roman" w:cs="Times New Roman" w:eastAsia="Times New Roman" w:hint="default"/>
        </w:rPr>
        <w:t>+</w:t>
      </w:r>
      <w:r>
        <w:rPr/>
        <w:t>水解酸化池</w:t>
      </w:r>
      <w:r>
        <w:rPr>
          <w:rFonts w:ascii="Times New Roman" w:hAnsi="Times New Roman" w:cs="Times New Roman" w:eastAsia="Times New Roman" w:hint="default"/>
        </w:rPr>
        <w:t>+</w:t>
      </w:r>
      <w:r>
        <w:rPr/>
        <w:t>生物接触氧化池</w:t>
      </w:r>
      <w:r>
        <w:rPr>
          <w:rFonts w:ascii="Times New Roman" w:hAnsi="Times New Roman" w:cs="Times New Roman" w:eastAsia="Times New Roman" w:hint="default"/>
        </w:rPr>
        <w:t>+</w:t>
      </w:r>
      <w:r>
        <w:rPr/>
        <w:t>生物沉 </w:t>
      </w:r>
      <w:r>
        <w:rPr>
          <w:spacing w:val="-3"/>
        </w:rPr>
        <w:t>淀池</w:t>
      </w:r>
      <w:r>
        <w:rPr>
          <w:rFonts w:ascii="Times New Roman" w:hAnsi="Times New Roman" w:cs="Times New Roman" w:eastAsia="Times New Roman" w:hint="default"/>
          <w:spacing w:val="-3"/>
        </w:rPr>
        <w:t>+</w:t>
      </w:r>
      <w:r>
        <w:rPr>
          <w:spacing w:val="-3"/>
        </w:rPr>
        <w:t>中间池</w:t>
      </w:r>
      <w:r>
        <w:rPr>
          <w:rFonts w:ascii="Times New Roman" w:hAnsi="Times New Roman" w:cs="Times New Roman" w:eastAsia="Times New Roman" w:hint="default"/>
          <w:spacing w:val="-3"/>
        </w:rPr>
        <w:t>+</w:t>
      </w:r>
      <w:r>
        <w:rPr>
          <w:spacing w:val="-3"/>
        </w:rPr>
        <w:t>砂滤</w:t>
      </w:r>
      <w:r>
        <w:rPr>
          <w:rFonts w:ascii="Times New Roman" w:hAnsi="Times New Roman" w:cs="Times New Roman" w:eastAsia="Times New Roman" w:hint="default"/>
          <w:spacing w:val="-3"/>
        </w:rPr>
        <w:t>+</w:t>
      </w:r>
      <w:r>
        <w:rPr>
          <w:spacing w:val="-3"/>
        </w:rPr>
        <w:t>碳滤</w:t>
      </w:r>
      <w:r>
        <w:rPr>
          <w:rFonts w:ascii="Times New Roman" w:hAnsi="Times New Roman" w:cs="Times New Roman" w:eastAsia="Times New Roman" w:hint="default"/>
          <w:spacing w:val="-3"/>
        </w:rPr>
        <w:t>”</w:t>
      </w:r>
      <w:r>
        <w:rPr>
          <w:spacing w:val="-3"/>
        </w:rPr>
        <w:t>，其中</w:t>
      </w:r>
      <w:r>
        <w:rPr>
          <w:rFonts w:ascii="Times New Roman" w:hAnsi="Times New Roman" w:cs="Times New Roman" w:eastAsia="Times New Roman" w:hint="default"/>
          <w:spacing w:val="-3"/>
        </w:rPr>
        <w:t>65%</w:t>
      </w:r>
      <w:r>
        <w:rPr>
          <w:spacing w:val="-3"/>
        </w:rPr>
        <w:t>处理达到《城市污水再生利用工业用水水质》（</w:t>
      </w:r>
      <w:r>
        <w:rPr>
          <w:rFonts w:ascii="Times New Roman" w:hAnsi="Times New Roman" w:cs="Times New Roman" w:eastAsia="Times New Roman" w:hint="default"/>
          <w:spacing w:val="-3"/>
        </w:rPr>
        <w:t>GB/T19923-2005)</w:t>
      </w:r>
      <w:r>
        <w:rPr>
          <w:spacing w:val="-3"/>
        </w:rPr>
        <w:t>标准后回用，其余</w:t>
      </w:r>
      <w:r>
        <w:rPr>
          <w:rFonts w:ascii="Times New Roman" w:hAnsi="Times New Roman" w:cs="Times New Roman" w:eastAsia="Times New Roman" w:hint="default"/>
          <w:spacing w:val="-3"/>
        </w:rPr>
        <w:t>35%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经处理达到广东省《水污染物排放限值》（</w:t>
      </w:r>
      <w:r>
        <w:rPr>
          <w:rFonts w:ascii="Times New Roman" w:hAnsi="Times New Roman" w:cs="Times New Roman" w:eastAsia="Times New Roman" w:hint="default"/>
        </w:rPr>
        <w:t>DB44/26-2001)</w:t>
      </w:r>
      <w:r>
        <w:rPr/>
        <w:t>第二时段一级标准后排放入市政管网。目前，厂区污水处理站各 设备正常运行。</w:t>
      </w:r>
    </w:p>
    <w:p>
      <w:pPr>
        <w:pStyle w:val="BodyText"/>
        <w:spacing w:line="240" w:lineRule="auto" w:before="72"/>
        <w:ind w:right="0"/>
        <w:jc w:val="both"/>
      </w:pPr>
      <w:r>
        <w:rPr/>
        <w:t>建设项目环境影响评价及其他环境保护行政许可情况</w:t>
      </w:r>
    </w:p>
    <w:p>
      <w:pPr>
        <w:pStyle w:val="BodyText"/>
        <w:spacing w:line="319" w:lineRule="auto" w:before="115"/>
        <w:ind w:right="1042"/>
        <w:jc w:val="both"/>
      </w:pPr>
      <w:r>
        <w:rPr/>
        <w:t>东莞美盈森在新建、扩建项目时均进行了环境影响评价</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3792</w:t>
      </w:r>
      <w:r>
        <w:rPr/>
        <w:t>号、东环建【</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1676</w:t>
      </w:r>
      <w:r>
        <w:rPr/>
        <w:t>号、东环建【</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1677</w:t>
      </w:r>
      <w:r>
        <w:rPr/>
        <w:t>号、 </w:t>
      </w:r>
      <w:r>
        <w:rPr>
          <w:spacing w:val="-11"/>
          <w:w w:val="99"/>
        </w:rPr>
        <w:t>东环建（桥）【</w:t>
      </w:r>
      <w:r>
        <w:rPr>
          <w:rFonts w:ascii="Times New Roman" w:hAnsi="Times New Roman" w:cs="Times New Roman" w:eastAsia="Times New Roman" w:hint="default"/>
          <w:spacing w:val="-11"/>
          <w:w w:val="99"/>
        </w:rPr>
        <w:t>2016</w:t>
      </w:r>
      <w:r>
        <w:rPr>
          <w:spacing w:val="-11"/>
          <w:w w:val="99"/>
        </w:rPr>
        <w:t>】</w:t>
      </w:r>
      <w:r>
        <w:rPr>
          <w:rFonts w:ascii="Times New Roman" w:hAnsi="Times New Roman" w:cs="Times New Roman" w:eastAsia="Times New Roman" w:hint="default"/>
          <w:spacing w:val="-11"/>
          <w:w w:val="99"/>
        </w:rPr>
        <w:t>41</w:t>
      </w:r>
      <w:r>
        <w:rPr>
          <w:spacing w:val="-11"/>
          <w:w w:val="99"/>
        </w:rPr>
        <w:t>号、东环建【</w:t>
      </w:r>
      <w:r>
        <w:rPr>
          <w:rFonts w:ascii="Times New Roman" w:hAnsi="Times New Roman" w:cs="Times New Roman" w:eastAsia="Times New Roman" w:hint="default"/>
          <w:spacing w:val="-11"/>
          <w:w w:val="99"/>
        </w:rPr>
        <w:t>2017</w:t>
      </w:r>
      <w:r>
        <w:rPr>
          <w:spacing w:val="-11"/>
          <w:w w:val="99"/>
        </w:rPr>
        <w:t>】</w:t>
      </w:r>
      <w:r>
        <w:rPr>
          <w:rFonts w:ascii="Times New Roman" w:hAnsi="Times New Roman" w:cs="Times New Roman" w:eastAsia="Times New Roman" w:hint="default"/>
          <w:spacing w:val="-11"/>
          <w:w w:val="99"/>
        </w:rPr>
        <w:t>5490</w:t>
      </w:r>
      <w:r>
        <w:rPr>
          <w:spacing w:val="-11"/>
          <w:w w:val="99"/>
        </w:rPr>
        <w:t>号</w:t>
      </w:r>
      <w:r>
        <w:rPr>
          <w:rFonts w:ascii="Times New Roman" w:hAnsi="Times New Roman" w:cs="Times New Roman" w:eastAsia="Times New Roman" w:hint="default"/>
          <w:spacing w:val="-11"/>
          <w:w w:val="99"/>
        </w:rPr>
        <w:t>}</w:t>
      </w:r>
      <w:r>
        <w:rPr>
          <w:spacing w:val="-11"/>
          <w:w w:val="99"/>
        </w:rPr>
        <w:t>，并取得了《广东省污染物排放许可证》（许可证编号：</w:t>
      </w:r>
      <w:r>
        <w:rPr>
          <w:rFonts w:ascii="Times New Roman" w:hAnsi="Times New Roman" w:cs="Times New Roman" w:eastAsia="Times New Roman" w:hint="default"/>
          <w:spacing w:val="-11"/>
          <w:w w:val="99"/>
        </w:rPr>
        <w:t>4419572016000021</w:t>
      </w:r>
      <w:r>
        <w:rPr>
          <w:spacing w:val="-11"/>
          <w:w w:val="99"/>
        </w:rPr>
        <w:t>）。</w:t>
      </w:r>
      <w:r>
        <w:rPr>
          <w:spacing w:val="-88"/>
          <w:w w:val="99"/>
        </w:rPr>
        <w:t> </w:t>
      </w:r>
      <w:r>
        <w:rPr>
          <w:spacing w:val="-88"/>
          <w:w w:val="99"/>
        </w:rPr>
      </w:r>
      <w:r>
        <w:rPr/>
        <w:t>突发环境事件应急预案</w:t>
      </w:r>
    </w:p>
    <w:p>
      <w:pPr>
        <w:pStyle w:val="BodyText"/>
        <w:spacing w:line="240" w:lineRule="auto" w:before="58"/>
        <w:ind w:right="0"/>
        <w:jc w:val="both"/>
      </w:pPr>
      <w:r>
        <w:rPr/>
        <w:t>东莞美盈森内部制定了《环境应急预案》，建设了两个环境事故应急池，并对相应的区域配备了应急物资。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both"/>
      </w:pPr>
      <w:r>
        <w:rPr/>
        <w:t>环境自行监测方案</w:t>
      </w:r>
    </w:p>
    <w:p>
      <w:pPr>
        <w:pStyle w:val="BodyText"/>
        <w:spacing w:line="300" w:lineRule="auto" w:before="115"/>
        <w:ind w:right="0"/>
        <w:jc w:val="left"/>
      </w:pPr>
      <w:r>
        <w:rPr>
          <w:spacing w:val="-2"/>
        </w:rPr>
        <w:t>东莞美盈森每年委托（不少于</w:t>
      </w:r>
      <w:r>
        <w:rPr>
          <w:rFonts w:ascii="Times New Roman" w:hAnsi="Times New Roman" w:cs="Times New Roman" w:eastAsia="Times New Roman" w:hint="default"/>
          <w:spacing w:val="-2"/>
        </w:rPr>
        <w:t>1</w:t>
      </w:r>
      <w:r>
        <w:rPr>
          <w:spacing w:val="-2"/>
        </w:rPr>
        <w:t>次）第三方有资质的监测单位对废水、废气、噪声进行环境监测，同时，开展日常内部监测，</w:t>
      </w:r>
      <w:r>
        <w:rPr>
          <w:spacing w:val="-66"/>
        </w:rPr>
        <w:t> </w:t>
      </w:r>
      <w:r>
        <w:rPr>
          <w:spacing w:val="-66"/>
        </w:rPr>
      </w:r>
      <w:r>
        <w:rPr/>
        <w:t>定期对污水站标准排放口水质（</w:t>
      </w:r>
      <w:r>
        <w:rPr>
          <w:rFonts w:ascii="Times New Roman" w:hAnsi="Times New Roman" w:cs="Times New Roman" w:eastAsia="Times New Roman" w:hint="default"/>
        </w:rPr>
        <w:t>COD</w:t>
      </w:r>
      <w:r>
        <w:rPr/>
        <w:t>、</w:t>
      </w:r>
      <w:r>
        <w:rPr>
          <w:rFonts w:ascii="Times New Roman" w:hAnsi="Times New Roman" w:cs="Times New Roman" w:eastAsia="Times New Roman" w:hint="default"/>
        </w:rPr>
        <w:t>PH</w:t>
      </w:r>
      <w:r>
        <w:rPr/>
        <w:t>值等）进行检测。</w:t>
      </w:r>
    </w:p>
    <w:p>
      <w:pPr>
        <w:pStyle w:val="BodyText"/>
        <w:spacing w:line="357" w:lineRule="auto" w:before="53"/>
        <w:ind w:right="8774"/>
        <w:jc w:val="left"/>
      </w:pPr>
      <w:r>
        <w:rPr/>
        <w:t>其他应当公开的环境信息 不适用</w:t>
      </w:r>
    </w:p>
    <w:p>
      <w:pPr>
        <w:pStyle w:val="BodyText"/>
        <w:spacing w:line="360" w:lineRule="auto" w:before="29"/>
        <w:ind w:right="9314"/>
        <w:jc w:val="left"/>
      </w:pPr>
      <w:r>
        <w:rPr/>
        <w:t>其他环保相关信息 不适用</w:t>
      </w:r>
    </w:p>
    <w:p>
      <w:pPr>
        <w:spacing w:line="240" w:lineRule="auto" w:before="5"/>
        <w:rPr>
          <w:rFonts w:ascii="宋体" w:hAnsi="宋体" w:cs="宋体" w:eastAsia="宋体" w:hint="default"/>
          <w:sz w:val="18"/>
          <w:szCs w:val="18"/>
        </w:rPr>
      </w:pPr>
    </w:p>
    <w:p>
      <w:pPr>
        <w:pStyle w:val="Heading3"/>
        <w:spacing w:line="240" w:lineRule="auto"/>
        <w:ind w:right="0"/>
        <w:jc w:val="both"/>
        <w:rPr>
          <w:rFonts w:ascii="Tahoma" w:hAnsi="Tahoma" w:cs="Tahoma" w:eastAsia="Tahoma" w:hint="default"/>
        </w:rPr>
      </w:pPr>
      <w:r>
        <w:rPr/>
        <w:t>十九、其他重大事项的说明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7"/>
        <w:ind w:left="0" w:right="1752"/>
        <w:jc w:val="right"/>
      </w:pPr>
      <w:r>
        <w:rPr/>
        <w:pict>
          <v:shape style="position:absolute;margin-left:56.52pt;margin-top:-98.638268pt;width:447.6pt;height:299.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841"/>
                    <w:gridCol w:w="1985"/>
                    <w:gridCol w:w="4394"/>
                  </w:tblGrid>
                  <w:tr>
                    <w:trPr>
                      <w:trHeight w:val="653" w:hRule="exact"/>
                    </w:trPr>
                    <w:tc>
                      <w:tcPr>
                        <w:tcW w:w="710"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left="47" w:right="0"/>
                          <w:jc w:val="center"/>
                          <w:rPr>
                            <w:rFonts w:ascii="Tahoma" w:hAnsi="Tahoma" w:cs="Tahoma" w:eastAsia="Tahoma" w:hint="default"/>
                            <w:sz w:val="18"/>
                            <w:szCs w:val="18"/>
                          </w:rPr>
                        </w:pPr>
                        <w:r>
                          <w:rPr>
                            <w:rFonts w:ascii="宋体" w:hAnsi="宋体" w:cs="宋体" w:eastAsia="宋体" w:hint="default"/>
                            <w:sz w:val="18"/>
                            <w:szCs w:val="18"/>
                          </w:rPr>
                          <w:t>序号</w:t>
                        </w:r>
                        <w:r>
                          <w:rPr>
                            <w:rFonts w:ascii="Tahoma" w:hAnsi="Tahoma" w:cs="Tahoma" w:eastAsia="Tahoma" w:hint="default"/>
                            <w:w w:val="80"/>
                            <w:sz w:val="18"/>
                            <w:szCs w:val="18"/>
                          </w:rPr>
                          <w:t> </w:t>
                        </w:r>
                        <w:r>
                          <w:rPr>
                            <w:rFonts w:ascii="Tahoma" w:hAnsi="Tahoma" w:cs="Tahoma" w:eastAsia="Tahoma" w:hint="default"/>
                            <w:sz w:val="18"/>
                            <w:szCs w:val="18"/>
                          </w:rPr>
                        </w:r>
                      </w:p>
                    </w:tc>
                    <w:tc>
                      <w:tcPr>
                        <w:tcW w:w="1841"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left="2" w:right="0"/>
                          <w:jc w:val="left"/>
                          <w:rPr>
                            <w:rFonts w:ascii="Tahoma" w:hAnsi="Tahoma" w:cs="Tahoma" w:eastAsia="Tahoma" w:hint="default"/>
                            <w:sz w:val="18"/>
                            <w:szCs w:val="18"/>
                          </w:rPr>
                        </w:pPr>
                        <w:r>
                          <w:rPr>
                            <w:rFonts w:ascii="宋体" w:hAnsi="宋体" w:cs="宋体" w:eastAsia="宋体" w:hint="default"/>
                            <w:sz w:val="18"/>
                            <w:szCs w:val="18"/>
                          </w:rPr>
                          <w:t>重大事项类型</w:t>
                        </w:r>
                        <w:r>
                          <w:rPr>
                            <w:rFonts w:ascii="Tahoma" w:hAnsi="Tahoma" w:cs="Tahoma" w:eastAsia="Tahoma" w:hint="default"/>
                            <w:w w:val="80"/>
                            <w:sz w:val="18"/>
                            <w:szCs w:val="18"/>
                          </w:rPr>
                          <w:t> </w:t>
                        </w:r>
                        <w:r>
                          <w:rPr>
                            <w:rFonts w:ascii="Tahoma" w:hAnsi="Tahoma" w:cs="Tahoma" w:eastAsia="Tahoma" w:hint="default"/>
                            <w:sz w:val="18"/>
                            <w:szCs w:val="18"/>
                          </w:rPr>
                        </w:r>
                      </w:p>
                    </w:tc>
                    <w:tc>
                      <w:tcPr>
                        <w:tcW w:w="1985"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left="4" w:right="0"/>
                          <w:jc w:val="left"/>
                          <w:rPr>
                            <w:rFonts w:ascii="Tahoma" w:hAnsi="Tahoma" w:cs="Tahoma" w:eastAsia="Tahoma" w:hint="default"/>
                            <w:sz w:val="18"/>
                            <w:szCs w:val="18"/>
                          </w:rPr>
                        </w:pPr>
                        <w:r>
                          <w:rPr>
                            <w:rFonts w:ascii="宋体" w:hAnsi="宋体" w:cs="宋体" w:eastAsia="宋体" w:hint="default"/>
                            <w:sz w:val="18"/>
                            <w:szCs w:val="18"/>
                          </w:rPr>
                          <w:t>披露日期</w:t>
                        </w:r>
                        <w:r>
                          <w:rPr>
                            <w:rFonts w:ascii="Tahoma" w:hAnsi="Tahoma" w:cs="Tahoma" w:eastAsia="Tahoma" w:hint="default"/>
                            <w:w w:val="80"/>
                            <w:sz w:val="18"/>
                            <w:szCs w:val="18"/>
                          </w:rPr>
                          <w:t> </w:t>
                        </w:r>
                        <w:r>
                          <w:rPr>
                            <w:rFonts w:ascii="Tahoma" w:hAnsi="Tahoma" w:cs="Tahoma" w:eastAsia="Tahoma" w:hint="default"/>
                            <w:sz w:val="18"/>
                            <w:szCs w:val="18"/>
                          </w:rPr>
                        </w:r>
                      </w:p>
                    </w:tc>
                    <w:tc>
                      <w:tcPr>
                        <w:tcW w:w="4394" w:type="dxa"/>
                        <w:tcBorders>
                          <w:top w:val="single" w:sz="10"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查</w:t>
                        </w:r>
                        <w:r>
                          <w:rPr>
                            <w:rFonts w:ascii="宋体" w:hAnsi="宋体" w:cs="宋体" w:eastAsia="宋体" w:hint="default"/>
                            <w:spacing w:val="-43"/>
                            <w:sz w:val="18"/>
                            <w:szCs w:val="18"/>
                          </w:rPr>
                          <w:t> </w:t>
                        </w:r>
                        <w:r>
                          <w:rPr>
                            <w:rFonts w:ascii="宋体" w:hAnsi="宋体" w:cs="宋体" w:eastAsia="宋体" w:hint="default"/>
                            <w:sz w:val="18"/>
                            <w:szCs w:val="18"/>
                          </w:rPr>
                          <w:t>询</w:t>
                        </w:r>
                        <w:r>
                          <w:rPr>
                            <w:rFonts w:ascii="宋体" w:hAnsi="宋体" w:cs="宋体" w:eastAsia="宋体" w:hint="default"/>
                            <w:spacing w:val="-45"/>
                            <w:sz w:val="18"/>
                            <w:szCs w:val="18"/>
                          </w:rPr>
                          <w:t> </w:t>
                        </w:r>
                        <w:r>
                          <w:rPr>
                            <w:rFonts w:ascii="宋体" w:hAnsi="宋体" w:cs="宋体" w:eastAsia="宋体" w:hint="default"/>
                            <w:sz w:val="18"/>
                            <w:szCs w:val="18"/>
                          </w:rPr>
                          <w:t>索</w:t>
                        </w:r>
                        <w:r>
                          <w:rPr>
                            <w:rFonts w:ascii="宋体" w:hAnsi="宋体" w:cs="宋体" w:eastAsia="宋体" w:hint="default"/>
                            <w:spacing w:val="-45"/>
                            <w:sz w:val="18"/>
                            <w:szCs w:val="18"/>
                          </w:rPr>
                          <w:t> </w:t>
                        </w:r>
                        <w:r>
                          <w:rPr>
                            <w:rFonts w:ascii="宋体" w:hAnsi="宋体" w:cs="宋体" w:eastAsia="宋体" w:hint="default"/>
                            <w:sz w:val="18"/>
                            <w:szCs w:val="18"/>
                          </w:rPr>
                          <w:t>引</w:t>
                        </w:r>
                        <w:r>
                          <w:rPr>
                            <w:rFonts w:ascii="宋体" w:hAnsi="宋体" w:cs="宋体" w:eastAsia="宋体" w:hint="default"/>
                            <w:spacing w:val="-44"/>
                            <w:sz w:val="18"/>
                            <w:szCs w:val="18"/>
                          </w:rPr>
                          <w:t> </w:t>
                        </w:r>
                        <w:r>
                          <w:rPr>
                            <w:rFonts w:ascii="Tahoma" w:hAnsi="Tahoma" w:cs="Tahoma" w:eastAsia="Tahoma" w:hint="default"/>
                            <w:sz w:val="18"/>
                            <w:szCs w:val="18"/>
                          </w:rPr>
                          <w:t>[</w:t>
                        </w:r>
                        <w:r>
                          <w:rPr>
                            <w:rFonts w:ascii="Tahoma" w:hAnsi="Tahoma" w:cs="Tahoma" w:eastAsia="Tahoma" w:hint="default"/>
                            <w:spacing w:val="-12"/>
                            <w:sz w:val="18"/>
                            <w:szCs w:val="18"/>
                          </w:rPr>
                          <w:t> </w:t>
                        </w:r>
                        <w:r>
                          <w:rPr>
                            <w:rFonts w:ascii="宋体" w:hAnsi="宋体" w:cs="宋体" w:eastAsia="宋体" w:hint="default"/>
                            <w:sz w:val="18"/>
                            <w:szCs w:val="18"/>
                          </w:rPr>
                          <w:t>详</w:t>
                        </w:r>
                        <w:r>
                          <w:rPr>
                            <w:rFonts w:ascii="宋体" w:hAnsi="宋体" w:cs="宋体" w:eastAsia="宋体" w:hint="default"/>
                            <w:spacing w:val="-43"/>
                            <w:sz w:val="18"/>
                            <w:szCs w:val="18"/>
                          </w:rPr>
                          <w:t> </w:t>
                        </w:r>
                        <w:r>
                          <w:rPr>
                            <w:rFonts w:ascii="宋体" w:hAnsi="宋体" w:cs="宋体" w:eastAsia="宋体" w:hint="default"/>
                            <w:sz w:val="18"/>
                            <w:szCs w:val="18"/>
                          </w:rPr>
                          <w:t>见</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宋体" w:hAnsi="宋体" w:cs="宋体" w:eastAsia="宋体" w:hint="default"/>
                            <w:sz w:val="18"/>
                            <w:szCs w:val="18"/>
                          </w:rPr>
                          <w:t>息</w:t>
                        </w:r>
                        <w:r>
                          <w:rPr>
                            <w:rFonts w:ascii="宋体" w:hAnsi="宋体" w:cs="宋体" w:eastAsia="宋体" w:hint="default"/>
                            <w:spacing w:val="-45"/>
                            <w:sz w:val="18"/>
                            <w:szCs w:val="18"/>
                          </w:rPr>
                          <w:t> </w:t>
                        </w:r>
                        <w:r>
                          <w:rPr>
                            <w:rFonts w:ascii="宋体" w:hAnsi="宋体" w:cs="宋体" w:eastAsia="宋体" w:hint="default"/>
                            <w:sz w:val="18"/>
                            <w:szCs w:val="18"/>
                          </w:rPr>
                          <w:t>披</w:t>
                        </w:r>
                        <w:r>
                          <w:rPr>
                            <w:rFonts w:ascii="宋体" w:hAnsi="宋体" w:cs="宋体" w:eastAsia="宋体" w:hint="default"/>
                            <w:spacing w:val="-45"/>
                            <w:sz w:val="18"/>
                            <w:szCs w:val="18"/>
                          </w:rPr>
                          <w:t> </w:t>
                        </w:r>
                        <w:r>
                          <w:rPr>
                            <w:rFonts w:ascii="宋体" w:hAnsi="宋体" w:cs="宋体" w:eastAsia="宋体" w:hint="default"/>
                            <w:sz w:val="18"/>
                            <w:szCs w:val="18"/>
                          </w:rPr>
                          <w:t>露</w:t>
                        </w:r>
                        <w:r>
                          <w:rPr>
                            <w:rFonts w:ascii="宋体" w:hAnsi="宋体" w:cs="宋体" w:eastAsia="宋体" w:hint="default"/>
                            <w:spacing w:val="-46"/>
                            <w:sz w:val="18"/>
                            <w:szCs w:val="18"/>
                          </w:rPr>
                          <w:t> </w:t>
                        </w:r>
                        <w:r>
                          <w:rPr>
                            <w:rFonts w:ascii="宋体" w:hAnsi="宋体" w:cs="宋体" w:eastAsia="宋体" w:hint="default"/>
                            <w:sz w:val="18"/>
                            <w:szCs w:val="18"/>
                          </w:rPr>
                          <w:t>指</w:t>
                        </w:r>
                        <w:r>
                          <w:rPr>
                            <w:rFonts w:ascii="宋体" w:hAnsi="宋体" w:cs="宋体" w:eastAsia="宋体" w:hint="default"/>
                            <w:spacing w:val="-43"/>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站</w:t>
                        </w:r>
                        <w:r>
                          <w:rPr>
                            <w:rFonts w:ascii="宋体" w:hAnsi="宋体" w:cs="宋体" w:eastAsia="宋体" w:hint="default"/>
                            <w:spacing w:val="-45"/>
                            <w:sz w:val="18"/>
                            <w:szCs w:val="18"/>
                          </w:rPr>
                          <w:t> </w:t>
                        </w:r>
                        <w:r>
                          <w:rPr>
                            <w:rFonts w:ascii="宋体" w:hAnsi="宋体" w:cs="宋体" w:eastAsia="宋体" w:hint="default"/>
                            <w:sz w:val="18"/>
                            <w:szCs w:val="18"/>
                          </w:rPr>
                          <w:t>巨</w:t>
                        </w:r>
                        <w:r>
                          <w:rPr>
                            <w:rFonts w:ascii="宋体" w:hAnsi="宋体" w:cs="宋体" w:eastAsia="宋体" w:hint="default"/>
                            <w:spacing w:val="-43"/>
                            <w:sz w:val="18"/>
                            <w:szCs w:val="18"/>
                          </w:rPr>
                          <w:t> </w:t>
                        </w:r>
                        <w:r>
                          <w:rPr>
                            <w:rFonts w:ascii="宋体" w:hAnsi="宋体" w:cs="宋体" w:eastAsia="宋体" w:hint="default"/>
                            <w:sz w:val="18"/>
                            <w:szCs w:val="18"/>
                          </w:rPr>
                          <w:t>潮</w:t>
                        </w:r>
                        <w:r>
                          <w:rPr>
                            <w:rFonts w:ascii="宋体" w:hAnsi="宋体" w:cs="宋体" w:eastAsia="宋体" w:hint="default"/>
                            <w:spacing w:val="-46"/>
                            <w:sz w:val="18"/>
                            <w:szCs w:val="18"/>
                          </w:rPr>
                          <w:t> </w:t>
                        </w:r>
                        <w:r>
                          <w:rPr>
                            <w:rFonts w:ascii="宋体" w:hAnsi="宋体" w:cs="宋体" w:eastAsia="宋体" w:hint="default"/>
                            <w:sz w:val="18"/>
                            <w:szCs w:val="18"/>
                          </w:rPr>
                          <w:t>资</w:t>
                        </w:r>
                        <w:r>
                          <w:rPr>
                            <w:rFonts w:ascii="宋体" w:hAnsi="宋体" w:cs="宋体" w:eastAsia="宋体" w:hint="default"/>
                            <w:spacing w:val="-43"/>
                            <w:sz w:val="18"/>
                            <w:szCs w:val="18"/>
                          </w:rPr>
                          <w:t> </w:t>
                        </w:r>
                        <w:r>
                          <w:rPr>
                            <w:rFonts w:ascii="宋体" w:hAnsi="宋体" w:cs="宋体" w:eastAsia="宋体" w:hint="default"/>
                            <w:sz w:val="18"/>
                            <w:szCs w:val="18"/>
                          </w:rPr>
                          <w:t>讯</w:t>
                        </w:r>
                        <w:r>
                          <w:rPr>
                            <w:rFonts w:ascii="宋体" w:hAnsi="宋体" w:cs="宋体" w:eastAsia="宋体" w:hint="default"/>
                            <w:spacing w:val="-46"/>
                            <w:sz w:val="18"/>
                            <w:szCs w:val="18"/>
                          </w:rPr>
                          <w:t> </w:t>
                        </w:r>
                        <w:r>
                          <w:rPr>
                            <w:rFonts w:ascii="宋体" w:hAnsi="宋体" w:cs="宋体" w:eastAsia="宋体" w:hint="default"/>
                            <w:sz w:val="18"/>
                            <w:szCs w:val="18"/>
                          </w:rPr>
                          <w:t>网</w:t>
                        </w:r>
                      </w:p>
                      <w:p>
                        <w:pPr>
                          <w:pStyle w:val="TableParagraph"/>
                          <w:spacing w:line="240" w:lineRule="auto" w:before="64"/>
                          <w:ind w:left="4" w:right="0"/>
                          <w:jc w:val="left"/>
                          <w:rPr>
                            <w:rFonts w:ascii="Tahoma" w:hAnsi="Tahoma" w:cs="Tahoma" w:eastAsia="Tahoma" w:hint="default"/>
                            <w:sz w:val="18"/>
                            <w:szCs w:val="18"/>
                          </w:rPr>
                        </w:pPr>
                        <w:r>
                          <w:rPr>
                            <w:rFonts w:ascii="宋体" w:hAnsi="宋体" w:cs="宋体" w:eastAsia="宋体" w:hint="default"/>
                            <w:sz w:val="18"/>
                            <w:szCs w:val="18"/>
                          </w:rPr>
                          <w:t>（</w:t>
                        </w:r>
                        <w:hyperlink r:id="rId11">
                          <w:r>
                            <w:rPr>
                              <w:rFonts w:ascii="Tahoma" w:hAnsi="Tahoma" w:cs="Tahoma" w:eastAsia="Tahoma" w:hint="default"/>
                              <w:sz w:val="18"/>
                              <w:szCs w:val="18"/>
                            </w:rPr>
                            <w:t>www.cninfo.com.cn</w:t>
                          </w:r>
                        </w:hyperlink>
                        <w:r>
                          <w:rPr>
                            <w:rFonts w:ascii="宋体" w:hAnsi="宋体" w:cs="宋体" w:eastAsia="宋体" w:hint="default"/>
                            <w:sz w:val="18"/>
                            <w:szCs w:val="18"/>
                          </w:rPr>
                          <w:t>）的如下公告</w:t>
                        </w:r>
                        <w:r>
                          <w:rPr>
                            <w:rFonts w:ascii="Tahoma" w:hAnsi="Tahoma" w:cs="Tahoma" w:eastAsia="Tahoma" w:hint="default"/>
                            <w:sz w:val="18"/>
                            <w:szCs w:val="18"/>
                          </w:rPr>
                          <w:t>]</w:t>
                        </w:r>
                        <w:r>
                          <w:rPr>
                            <w:rFonts w:ascii="Tahoma" w:hAnsi="Tahoma" w:cs="Tahoma" w:eastAsia="Tahoma" w:hint="default"/>
                            <w:w w:val="80"/>
                            <w:sz w:val="18"/>
                            <w:szCs w:val="18"/>
                          </w:rPr>
                          <w:t> </w:t>
                        </w:r>
                        <w:r>
                          <w:rPr>
                            <w:rFonts w:ascii="Tahoma" w:hAnsi="Tahoma" w:cs="Tahoma" w:eastAsia="Tahoma" w:hint="default"/>
                            <w:sz w:val="18"/>
                            <w:szCs w:val="18"/>
                          </w:rPr>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关于投资设立全资子公司的公告》（</w:t>
                        </w:r>
                        <w:r>
                          <w:rPr>
                            <w:rFonts w:ascii="宋体" w:hAnsi="宋体" w:cs="宋体" w:eastAsia="宋体" w:hint="default"/>
                            <w:spacing w:val="-64"/>
                            <w:sz w:val="18"/>
                            <w:szCs w:val="18"/>
                          </w:rPr>
                          <w:t> </w:t>
                        </w:r>
                        <w:r>
                          <w:rPr>
                            <w:rFonts w:ascii="宋体" w:hAnsi="宋体" w:cs="宋体" w:eastAsia="宋体" w:hint="default"/>
                            <w:spacing w:val="15"/>
                            <w:sz w:val="18"/>
                            <w:szCs w:val="18"/>
                          </w:rPr>
                          <w:t>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2019-004</w:t>
                        </w:r>
                        <w:r>
                          <w:rPr>
                            <w:rFonts w:ascii="宋体" w:hAnsi="宋体" w:cs="宋体" w:eastAsia="宋体" w:hint="default"/>
                            <w:sz w:val="18"/>
                            <w:szCs w:val="18"/>
                          </w:rPr>
                          <w:t>）</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《关于对外投资设立印度子公司的公告》（公告编号：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2019-007</w:t>
                        </w:r>
                        <w:r>
                          <w:rPr>
                            <w:rFonts w:ascii="宋体" w:hAnsi="宋体" w:cs="宋体" w:eastAsia="宋体" w:hint="default"/>
                            <w:sz w:val="18"/>
                            <w:szCs w:val="18"/>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为子公司提供担保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《关于为子公司提供担保的公告</w:t>
                        </w:r>
                        <w:r>
                          <w:rPr>
                            <w:rFonts w:ascii="宋体" w:hAnsi="宋体" w:cs="宋体" w:eastAsia="宋体" w:hint="default"/>
                            <w:spacing w:val="-125"/>
                            <w:sz w:val="18"/>
                            <w:szCs w:val="18"/>
                          </w:rPr>
                          <w:t>》</w:t>
                        </w:r>
                        <w:r>
                          <w:rPr>
                            <w:rFonts w:ascii="宋体" w:hAnsi="宋体" w:cs="宋体" w:eastAsia="宋体" w:hint="default"/>
                            <w:sz w:val="18"/>
                            <w:szCs w:val="18"/>
                          </w:rPr>
                          <w:t>（公告编号</w:t>
                        </w:r>
                        <w:r>
                          <w:rPr>
                            <w:rFonts w:ascii="宋体" w:hAnsi="宋体" w:cs="宋体" w:eastAsia="宋体" w:hint="default"/>
                            <w:spacing w:val="-6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020</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增加为子公司担保额度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9"/>
                            <w:sz w:val="18"/>
                            <w:szCs w:val="18"/>
                          </w:rPr>
                          <w:t>《关于增加为子公司担保额度的公告》（公告编号：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2019-028</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9"/>
                            <w:sz w:val="18"/>
                            <w:szCs w:val="18"/>
                          </w:rPr>
                          <w:t>《关于参股浙江甲骨文超级码科技股份有限公司的公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2019-039</w:t>
                        </w:r>
                        <w:r>
                          <w:rPr>
                            <w:rFonts w:ascii="宋体" w:hAnsi="宋体" w:cs="宋体" w:eastAsia="宋体" w:hint="default"/>
                            <w:sz w:val="18"/>
                            <w:szCs w:val="18"/>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《关于会计政策变更的公告》（公告编号：</w:t>
                        </w:r>
                        <w:r>
                          <w:rPr>
                            <w:rFonts w:ascii="Times New Roman" w:hAnsi="Times New Roman" w:cs="Times New Roman" w:eastAsia="Times New Roman" w:hint="default"/>
                            <w:sz w:val="18"/>
                            <w:szCs w:val="18"/>
                          </w:rPr>
                          <w:t>2019-040</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《关于签订工业大麻产业发展合作协议的公告》（公告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2019-047</w:t>
                        </w:r>
                        <w:r>
                          <w:rPr>
                            <w:rFonts w:ascii="宋体" w:hAnsi="宋体" w:cs="宋体" w:eastAsia="宋体" w:hint="default"/>
                            <w:sz w:val="18"/>
                            <w:szCs w:val="18"/>
                          </w:rPr>
                          <w:t>）</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关于投资设立全资子公司的公告》（</w:t>
                        </w:r>
                        <w:r>
                          <w:rPr>
                            <w:rFonts w:ascii="宋体" w:hAnsi="宋体" w:cs="宋体" w:eastAsia="宋体" w:hint="default"/>
                            <w:spacing w:val="-64"/>
                            <w:sz w:val="18"/>
                            <w:szCs w:val="18"/>
                          </w:rPr>
                          <w:t> </w:t>
                        </w:r>
                        <w:r>
                          <w:rPr>
                            <w:rFonts w:ascii="宋体" w:hAnsi="宋体" w:cs="宋体" w:eastAsia="宋体" w:hint="default"/>
                            <w:spacing w:val="15"/>
                            <w:sz w:val="18"/>
                            <w:szCs w:val="18"/>
                          </w:rPr>
                          <w:t>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《关于控股子公司完成工商注册登记暨美盈森集团工业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大麻产业发展项目的进展公告》（公告编号：</w:t>
                        </w:r>
                        <w:r>
                          <w:rPr>
                            <w:rFonts w:ascii="Times New Roman" w:hAnsi="Times New Roman" w:cs="Times New Roman" w:eastAsia="Times New Roman" w:hint="default"/>
                            <w:sz w:val="18"/>
                            <w:szCs w:val="18"/>
                          </w:rPr>
                          <w:t>2019-057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7"/>
        <w:ind w:left="0" w:right="1752"/>
        <w:jc w:val="right"/>
      </w:pPr>
      <w:r>
        <w:rPr/>
        <w:t>）</w:t>
      </w:r>
    </w:p>
    <w:p>
      <w:pPr>
        <w:spacing w:after="0" w:line="240" w:lineRule="auto"/>
        <w:jc w:val="righ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710"/>
        <w:gridCol w:w="1841"/>
        <w:gridCol w:w="1985"/>
        <w:gridCol w:w="4394"/>
      </w:tblGrid>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行政处罚事项告知书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《关于控股子公司深圳金之彩收到税务行政处罚事项告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知书的公告》（公告编号：</w:t>
            </w:r>
            <w:r>
              <w:rPr>
                <w:rFonts w:ascii="Times New Roman" w:hAnsi="Times New Roman" w:cs="Times New Roman" w:eastAsia="Times New Roman" w:hint="default"/>
                <w:sz w:val="18"/>
                <w:szCs w:val="18"/>
              </w:rPr>
              <w:t>2019-060</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9"/>
                <w:sz w:val="18"/>
                <w:szCs w:val="18"/>
              </w:rPr>
              <w:t>《关于参股公司甲骨文超级码完成股份登记手续的公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2019-066</w:t>
            </w:r>
            <w:r>
              <w:rPr>
                <w:rFonts w:ascii="宋体" w:hAnsi="宋体" w:cs="宋体" w:eastAsia="宋体" w:hint="default"/>
                <w:sz w:val="18"/>
                <w:szCs w:val="18"/>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4"/>
              <w:jc w:val="right"/>
              <w:rPr>
                <w:rFonts w:ascii="Times New Roman" w:hAnsi="Times New Roman" w:cs="Times New Roman" w:eastAsia="Times New Roman" w:hint="default"/>
                <w:sz w:val="18"/>
                <w:szCs w:val="18"/>
              </w:rPr>
            </w:pPr>
            <w:r>
              <w:rPr>
                <w:rFonts w:ascii="Times New Roman"/>
                <w:sz w:val="18"/>
              </w:rPr>
              <w:t>12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《关于会计政策变更的公告》（公告编号：</w:t>
            </w:r>
            <w:r>
              <w:rPr>
                <w:rFonts w:ascii="Times New Roman" w:hAnsi="Times New Roman" w:cs="Times New Roman" w:eastAsia="Times New Roman" w:hint="default"/>
                <w:sz w:val="18"/>
                <w:szCs w:val="18"/>
              </w:rPr>
              <w:t>2019-085</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关于投资设立全资子公司的公告》（</w:t>
            </w:r>
            <w:r>
              <w:rPr>
                <w:rFonts w:ascii="宋体" w:hAnsi="宋体" w:cs="宋体" w:eastAsia="宋体" w:hint="default"/>
                <w:spacing w:val="-64"/>
                <w:sz w:val="18"/>
                <w:szCs w:val="18"/>
              </w:rPr>
              <w:t> </w:t>
            </w:r>
            <w:r>
              <w:rPr>
                <w:rFonts w:ascii="宋体" w:hAnsi="宋体" w:cs="宋体" w:eastAsia="宋体" w:hint="default"/>
                <w:spacing w:val="15"/>
                <w:sz w:val="18"/>
                <w:szCs w:val="18"/>
              </w:rPr>
              <w:t>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2019-095</w:t>
            </w:r>
            <w:r>
              <w:rPr>
                <w:rFonts w:ascii="宋体" w:hAnsi="宋体" w:cs="宋体" w:eastAsia="宋体" w:hint="default"/>
                <w:sz w:val="18"/>
                <w:szCs w:val="18"/>
              </w:rPr>
              <w:t>）</w:t>
            </w:r>
          </w:p>
        </w:tc>
      </w:tr>
      <w:tr>
        <w:trPr>
          <w:trHeight w:val="97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4"/>
              <w:jc w:val="right"/>
              <w:rPr>
                <w:rFonts w:ascii="Times New Roman" w:hAnsi="Times New Roman" w:cs="Times New Roman" w:eastAsia="Times New Roman" w:hint="default"/>
                <w:sz w:val="18"/>
                <w:szCs w:val="18"/>
              </w:rPr>
            </w:pPr>
            <w:r>
              <w:rPr>
                <w:rFonts w:ascii="Times New Roman"/>
                <w:sz w:val="18"/>
              </w:rPr>
              <w:t>14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投资事项进展</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
              <w:jc w:val="both"/>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新产品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新经济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植物蛋白食品发展趋势主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题论坛暨美盈森新产品品鉴会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的公告》（公告编号：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2019-102</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5"/>
                <w:sz w:val="18"/>
                <w:szCs w:val="18"/>
              </w:rPr>
              <w:t>《关于通过向全资子公司增资并设立孙公司的公告》（公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2019-107</w:t>
            </w:r>
            <w:r>
              <w:rPr>
                <w:rFonts w:ascii="宋体" w:hAnsi="宋体" w:cs="宋体" w:eastAsia="宋体" w:hint="default"/>
                <w:sz w:val="18"/>
                <w:szCs w:val="18"/>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4"/>
              <w:jc w:val="right"/>
              <w:rPr>
                <w:rFonts w:ascii="Times New Roman" w:hAnsi="Times New Roman" w:cs="Times New Roman" w:eastAsia="Times New Roman" w:hint="default"/>
                <w:sz w:val="18"/>
                <w:szCs w:val="18"/>
              </w:rPr>
            </w:pPr>
            <w:r>
              <w:rPr>
                <w:rFonts w:ascii="Times New Roman"/>
                <w:sz w:val="18"/>
              </w:rPr>
              <w:t>16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《关于会计政策变更的公告》（公告编号：</w:t>
            </w:r>
            <w:r>
              <w:rPr>
                <w:rFonts w:ascii="Times New Roman" w:hAnsi="Times New Roman" w:cs="Times New Roman" w:eastAsia="Times New Roman" w:hint="default"/>
                <w:sz w:val="18"/>
                <w:szCs w:val="18"/>
              </w:rPr>
              <w:t>2019-108</w:t>
            </w:r>
            <w:r>
              <w:rPr>
                <w:rFonts w:ascii="宋体" w:hAnsi="宋体" w:cs="宋体" w:eastAsia="宋体" w:hint="default"/>
                <w:sz w:val="18"/>
                <w:szCs w:val="18"/>
              </w:rPr>
              <w:t>）</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投资事项进展</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《关于控股子公司取得食品经营许可证的公告》（公告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2019-123</w:t>
            </w:r>
            <w:r>
              <w:rPr>
                <w:rFonts w:ascii="宋体" w:hAnsi="宋体" w:cs="宋体" w:eastAsia="宋体" w:hint="default"/>
                <w:sz w:val="18"/>
                <w:szCs w:val="18"/>
              </w:rPr>
              <w:t>）</w:t>
            </w:r>
          </w:p>
        </w:tc>
      </w:tr>
      <w:tr>
        <w:trPr>
          <w:trHeight w:val="65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4"/>
              <w:jc w:val="right"/>
              <w:rPr>
                <w:rFonts w:ascii="Times New Roman" w:hAnsi="Times New Roman" w:cs="Times New Roman" w:eastAsia="Times New Roman" w:hint="default"/>
                <w:sz w:val="18"/>
                <w:szCs w:val="18"/>
              </w:rPr>
            </w:pPr>
            <w:r>
              <w:rPr>
                <w:rFonts w:ascii="Times New Roman"/>
                <w:sz w:val="18"/>
              </w:rPr>
              <w:t>18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7"/>
                <w:sz w:val="18"/>
                <w:szCs w:val="18"/>
              </w:rPr>
              <w:t>关于子公司完成注册设立的公告》（</w:t>
            </w:r>
            <w:r>
              <w:rPr>
                <w:rFonts w:ascii="宋体" w:hAnsi="宋体" w:cs="宋体" w:eastAsia="宋体" w:hint="default"/>
                <w:spacing w:val="-64"/>
                <w:sz w:val="18"/>
                <w:szCs w:val="18"/>
              </w:rPr>
              <w:t> </w:t>
            </w:r>
            <w:r>
              <w:rPr>
                <w:rFonts w:ascii="宋体" w:hAnsi="宋体" w:cs="宋体" w:eastAsia="宋体" w:hint="default"/>
                <w:spacing w:val="15"/>
                <w:sz w:val="18"/>
                <w:szCs w:val="18"/>
              </w:rPr>
              <w:t>公告编号：</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2019-128</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二十、公司子公司重大事项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、苏州美盈森</w:t>
      </w:r>
    </w:p>
    <w:p>
      <w:pPr>
        <w:pStyle w:val="BodyText"/>
        <w:spacing w:line="300" w:lineRule="auto" w:before="63"/>
        <w:ind w:right="1043"/>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日，苏州美盈森获得由中共吴江经济技术开发区工作委员会、吴江经济技术开发区管理委员会授予的</w:t>
      </w:r>
      <w:r>
        <w:rPr>
          <w:rFonts w:ascii="Times New Roman" w:hAnsi="Times New Roman" w:cs="Times New Roman" w:eastAsia="Times New Roman" w:hint="default"/>
          <w:spacing w:val="-2"/>
        </w:rPr>
        <w:t>“2018</w:t>
      </w:r>
      <w:r>
        <w:rPr>
          <w:spacing w:val="-2"/>
        </w:rPr>
        <w:t>年度</w:t>
      </w:r>
      <w:r>
        <w:rPr>
          <w:spacing w:val="-48"/>
        </w:rPr>
        <w:t> </w:t>
      </w:r>
      <w:r>
        <w:rPr>
          <w:spacing w:val="-48"/>
        </w:rPr>
      </w:r>
      <w:r>
        <w:rPr>
          <w:spacing w:val="-2"/>
        </w:rPr>
        <w:t>开发区工业销售骨干企业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年度开发区纳税大户</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“2018</w:t>
      </w:r>
      <w:r>
        <w:rPr>
          <w:spacing w:val="-2"/>
        </w:rPr>
        <w:t>年度开发区二十大成长型企业</w:t>
      </w:r>
      <w:r>
        <w:rPr>
          <w:rFonts w:ascii="Times New Roman" w:hAnsi="Times New Roman" w:cs="Times New Roman" w:eastAsia="Times New Roman" w:hint="default"/>
          <w:spacing w:val="-2"/>
        </w:rPr>
        <w:t>”</w:t>
      </w:r>
      <w:r>
        <w:rPr>
          <w:spacing w:val="-2"/>
        </w:rPr>
        <w:t>荣誉称号。具体详见公司</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日刊载于《证券时报》及巨潮资讯网（</w:t>
      </w:r>
      <w:hyperlink r:id="rId11">
        <w:r>
          <w:rPr>
            <w:rFonts w:ascii="Times New Roman" w:hAnsi="Times New Roman" w:cs="Times New Roman" w:eastAsia="Times New Roman" w:hint="default"/>
            <w:spacing w:val="-2"/>
          </w:rPr>
          <w:t>www.cninfo.com.cn</w:t>
        </w:r>
      </w:hyperlink>
      <w:r>
        <w:rPr>
          <w:spacing w:val="-2"/>
        </w:rPr>
        <w:t>）的《关于全资子公司获得相关荣誉的公告》（公告编号：</w:t>
      </w:r>
      <w:r>
        <w:rPr>
          <w:spacing w:val="-77"/>
        </w:rPr>
        <w:t> </w:t>
      </w:r>
      <w:r>
        <w:rPr>
          <w:spacing w:val="-77"/>
        </w:rPr>
      </w:r>
      <w:r>
        <w:rPr>
          <w:rFonts w:ascii="Times New Roman" w:hAnsi="Times New Roman" w:cs="Times New Roman" w:eastAsia="Times New Roman" w:hint="default"/>
        </w:rPr>
        <w:t>2019-015</w:t>
      </w:r>
      <w:r>
        <w:rPr/>
        <w:t>）。</w:t>
      </w:r>
    </w:p>
    <w:p>
      <w:pPr>
        <w:pStyle w:val="BodyText"/>
        <w:spacing w:line="300" w:lineRule="auto" w:before="13"/>
        <w:ind w:right="1799"/>
        <w:jc w:val="left"/>
      </w:pPr>
      <w:r>
        <w:rPr>
          <w:rFonts w:ascii="Times New Roman" w:hAnsi="Times New Roman" w:cs="Times New Roman" w:eastAsia="Times New Roman" w:hint="default"/>
        </w:rPr>
        <w:t>2</w:t>
      </w:r>
      <w:r>
        <w:rPr/>
        <w:t>、成都美盈森 成都美盈森为包装印刷工业</w:t>
      </w:r>
      <w:r>
        <w:rPr>
          <w:rFonts w:ascii="Times New Roman" w:hAnsi="Times New Roman" w:cs="Times New Roman" w:eastAsia="Times New Roman" w:hint="default"/>
        </w:rPr>
        <w:t>4.0</w:t>
      </w:r>
      <w:r>
        <w:rPr/>
        <w:t>智慧型工厂（成都）项目的实施主体，成都智慧工厂已于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月逐步投入使用。 </w:t>
      </w:r>
      <w:r>
        <w:rPr>
          <w:rFonts w:ascii="Times New Roman" w:hAnsi="Times New Roman" w:cs="Times New Roman" w:eastAsia="Times New Roman" w:hint="default"/>
        </w:rPr>
        <w:t>3</w:t>
      </w:r>
      <w:r>
        <w:rPr/>
        <w:t>、安徽美盈森 安徽美盈森为包装印刷工业</w:t>
      </w:r>
      <w:r>
        <w:rPr>
          <w:rFonts w:ascii="Times New Roman" w:hAnsi="Times New Roman" w:cs="Times New Roman" w:eastAsia="Times New Roman" w:hint="default"/>
        </w:rPr>
        <w:t>4.0</w:t>
      </w:r>
      <w:r>
        <w:rPr/>
        <w:t>智慧型工厂（六安）项目的实施主体，六安智慧工厂已于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月逐步投入使用。 </w:t>
      </w:r>
      <w:r>
        <w:rPr>
          <w:rFonts w:ascii="Times New Roman" w:hAnsi="Times New Roman" w:cs="Times New Roman" w:eastAsia="Times New Roman" w:hint="default"/>
        </w:rPr>
        <w:t>4</w:t>
      </w:r>
      <w:r>
        <w:rPr/>
        <w:t>、长沙美盈森 长沙美盈森为包装印刷工业</w:t>
      </w:r>
      <w:r>
        <w:rPr>
          <w:rFonts w:ascii="Times New Roman" w:hAnsi="Times New Roman" w:cs="Times New Roman" w:eastAsia="Times New Roman" w:hint="default"/>
        </w:rPr>
        <w:t>4.0</w:t>
      </w:r>
      <w:r>
        <w:rPr/>
        <w:t>智慧型工厂（长沙）项目的实施主体，长沙智慧工厂已于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月逐步投入使用。 </w:t>
      </w:r>
      <w:r>
        <w:rPr>
          <w:rFonts w:ascii="Times New Roman" w:hAnsi="Times New Roman" w:cs="Times New Roman" w:eastAsia="Times New Roman" w:hint="default"/>
        </w:rPr>
        <w:t>5</w:t>
      </w:r>
      <w:r>
        <w:rPr/>
        <w:t>、金之彩</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日，金之彩收到深圳市公安局出具的《立案告知书》，金之彩原大股东、董事长兼法定代表人欧阳宣等人</w:t>
      </w:r>
      <w:r>
        <w:rPr>
          <w:spacing w:val="-65"/>
        </w:rPr>
        <w:t> </w:t>
      </w:r>
      <w:r>
        <w:rPr>
          <w:spacing w:val="-65"/>
        </w:rPr>
      </w:r>
      <w:r>
        <w:rPr>
          <w:spacing w:val="-1"/>
        </w:rPr>
        <w:t>因涉嫌职务侵占被立案侦查。具体详见公司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日刊载于《证券时报》及巨潮资讯网（</w:t>
      </w:r>
      <w:hyperlink r:id="rId11">
        <w:r>
          <w:rPr>
            <w:rFonts w:ascii="Times New Roman" w:hAnsi="Times New Roman" w:cs="Times New Roman" w:eastAsia="Times New Roman" w:hint="default"/>
            <w:spacing w:val="-1"/>
          </w:rPr>
          <w:t>www.cninfo.com.cn</w:t>
        </w:r>
      </w:hyperlink>
      <w:r>
        <w:rPr>
          <w:spacing w:val="-1"/>
        </w:rPr>
        <w:t>）的《关</w:t>
      </w:r>
      <w:r>
        <w:rPr>
          <w:spacing w:val="-52"/>
        </w:rPr>
        <w:t> </w:t>
      </w:r>
      <w:r>
        <w:rPr>
          <w:spacing w:val="-52"/>
        </w:rPr>
      </w:r>
      <w:r>
        <w:rPr/>
        <w:t>于收购的子公司原大股东欧阳宣等人被深圳市公安局立案侦查的公告》（公告编号：</w:t>
      </w:r>
      <w:r>
        <w:rPr>
          <w:rFonts w:ascii="Times New Roman" w:hAnsi="Times New Roman" w:cs="Times New Roman" w:eastAsia="Times New Roman" w:hint="default"/>
        </w:rPr>
        <w:t>2019-042</w:t>
      </w:r>
      <w:r>
        <w:rPr/>
        <w:t>）。</w:t>
      </w:r>
    </w:p>
    <w:p>
      <w:pPr>
        <w:pStyle w:val="BodyText"/>
        <w:spacing w:line="300" w:lineRule="auto" w:before="13"/>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日，金之彩收到国家税务总局深圳市税务局第三稽查局签发的《税务行政处罚事项告知书》，拟对金之彩</w:t>
      </w:r>
      <w:r>
        <w:rPr>
          <w:spacing w:val="-66"/>
        </w:rPr>
        <w:t> </w:t>
      </w:r>
      <w:r>
        <w:rPr>
          <w:spacing w:val="-66"/>
        </w:rPr>
      </w:r>
      <w:r>
        <w:rPr>
          <w:spacing w:val="-1"/>
        </w:rPr>
        <w:t>税收违法行为作出行政处罚决定。具体详见公司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日刊载于《证券时报》及巨潮资讯网（</w:t>
      </w:r>
      <w:hyperlink r:id="rId11">
        <w:r>
          <w:rPr>
            <w:rFonts w:ascii="Times New Roman" w:hAnsi="Times New Roman" w:cs="Times New Roman" w:eastAsia="Times New Roman" w:hint="default"/>
            <w:spacing w:val="-1"/>
          </w:rPr>
          <w:t>www.cninfo.com.cn</w:t>
        </w:r>
      </w:hyperlink>
      <w:r>
        <w:rPr>
          <w:spacing w:val="-1"/>
        </w:rPr>
        <w:t>）的</w:t>
      </w:r>
    </w:p>
    <w:p>
      <w:pPr>
        <w:pStyle w:val="BodyText"/>
        <w:spacing w:line="240" w:lineRule="auto" w:before="13"/>
        <w:ind w:right="0"/>
        <w:jc w:val="left"/>
      </w:pPr>
      <w:r>
        <w:rPr/>
        <w:t>《关于控股子公司深圳金之彩收到税务行政处罚事项告知书的公告》（公告编号：</w:t>
      </w:r>
      <w:r>
        <w:rPr>
          <w:rFonts w:ascii="Times New Roman" w:hAnsi="Times New Roman" w:cs="Times New Roman" w:eastAsia="Times New Roman" w:hint="default"/>
        </w:rPr>
        <w:t>2019-060</w:t>
      </w:r>
      <w:r>
        <w:rPr/>
        <w:t>）。</w:t>
      </w:r>
    </w:p>
    <w:p>
      <w:pPr>
        <w:pStyle w:val="BodyText"/>
        <w:spacing w:line="240" w:lineRule="auto" w:before="63"/>
        <w:ind w:right="0"/>
        <w:jc w:val="left"/>
      </w:pPr>
      <w:r>
        <w:rPr>
          <w:rFonts w:ascii="Times New Roman" w:hAnsi="Times New Roman" w:cs="Times New Roman" w:eastAsia="Times New Roman" w:hint="default"/>
        </w:rPr>
        <w:t>6</w:t>
      </w:r>
      <w:r>
        <w:rPr/>
        <w:t>、文麻生物</w:t>
      </w:r>
    </w:p>
    <w:p>
      <w:pPr>
        <w:pStyle w:val="BodyText"/>
        <w:spacing w:line="300" w:lineRule="auto" w:before="63"/>
        <w:ind w:right="1207"/>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日，文麻生物收到文山市市场监督管理局签发的《食品经营许可证》（许可证编号：</w:t>
      </w:r>
      <w:r>
        <w:rPr>
          <w:rFonts w:ascii="Times New Roman" w:hAnsi="Times New Roman" w:cs="Times New Roman" w:eastAsia="Times New Roman" w:hint="default"/>
        </w:rPr>
        <w:t>JY15326210087880</w:t>
      </w:r>
      <w:r>
        <w:rPr/>
        <w:t>）。 具体详见公司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日刊载于《证券时报》及巨潮资讯网（</w:t>
      </w:r>
      <w:hyperlink r:id="rId11">
        <w:r>
          <w:rPr>
            <w:rFonts w:ascii="Times New Roman" w:hAnsi="Times New Roman" w:cs="Times New Roman" w:eastAsia="Times New Roman" w:hint="default"/>
          </w:rPr>
          <w:t>www.cninfo.com.cn</w:t>
        </w:r>
      </w:hyperlink>
      <w:r>
        <w:rPr/>
        <w:t>）的《关于控股子公司取得食品经营 许可证的公告</w:t>
      </w:r>
      <w:r>
        <w:rPr>
          <w:spacing w:val="-22"/>
        </w:rPr>
        <w:t> </w:t>
      </w:r>
      <w:r>
        <w:rPr/>
        <w:t>》（公告编号：</w:t>
      </w:r>
      <w:r>
        <w:rPr>
          <w:rFonts w:ascii="Times New Roman" w:hAnsi="Times New Roman" w:cs="Times New Roman" w:eastAsia="Times New Roman" w:hint="default"/>
        </w:rPr>
        <w:t>2019-123</w:t>
      </w:r>
      <w:r>
        <w:rPr/>
        <w:t>）。</w:t>
      </w:r>
    </w:p>
    <w:p>
      <w:pPr>
        <w:spacing w:after="0" w:line="300" w:lineRule="auto"/>
        <w:jc w:val="both"/>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2"/>
        <w:spacing w:line="240" w:lineRule="auto"/>
        <w:ind w:right="0"/>
        <w:jc w:val="left"/>
        <w:rPr>
          <w:rFonts w:ascii="Tahoma" w:hAnsi="Tahoma" w:cs="Tahoma" w:eastAsia="Tahoma" w:hint="default"/>
        </w:rPr>
      </w:pPr>
      <w:bookmarkStart w:name="_TOC_250006" w:id="6"/>
      <w:r>
        <w:rPr/>
        <w:t>第六节股份变动及股东情况</w:t>
      </w:r>
      <w:r>
        <w:rPr>
          <w:rFonts w:ascii="Tahoma" w:hAnsi="Tahoma" w:cs="Tahoma" w:eastAsia="Tahoma" w:hint="default"/>
          <w:w w:val="80"/>
        </w:rPr>
        <w:t> </w:t>
      </w:r>
      <w:bookmarkEnd w:id="6"/>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20"/>
          <w:szCs w:val="20"/>
        </w:rPr>
      </w:pPr>
    </w:p>
    <w:p>
      <w:pPr>
        <w:pStyle w:val="Heading3"/>
        <w:spacing w:line="240" w:lineRule="auto" w:before="26"/>
        <w:ind w:right="0"/>
        <w:jc w:val="left"/>
        <w:rPr>
          <w:rFonts w:ascii="Tahoma" w:hAnsi="Tahoma" w:cs="Tahoma" w:eastAsia="Tahoma" w:hint="default"/>
        </w:rPr>
      </w:pPr>
      <w:r>
        <w:rPr/>
        <w:t>一、股份变动情况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、股份变动情况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16"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565,350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611,414,7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39.93%</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565,350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611,414,7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39.93%</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565,350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610,849,4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611,414,7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39.93%</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1,530,758,</w:t>
            </w:r>
          </w:p>
          <w:p>
            <w:pPr>
              <w:pStyle w:val="TableParagraph"/>
              <w:spacing w:line="240" w:lineRule="auto" w:before="102"/>
              <w:ind w:left="520" w:right="0"/>
              <w:jc w:val="left"/>
              <w:rPr>
                <w:rFonts w:ascii="Times New Roman" w:hAnsi="Times New Roman" w:cs="Times New Roman" w:eastAsia="Times New Roman" w:hint="default"/>
                <w:sz w:val="18"/>
                <w:szCs w:val="18"/>
              </w:rPr>
            </w:pPr>
            <w:r>
              <w:rPr>
                <w:rFonts w:ascii="Times New Roman"/>
                <w:sz w:val="18"/>
              </w:rPr>
              <w:t>335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-610,849,</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437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-610,849,</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437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919,908,8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60.07%</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1,530,758,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99.96%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-610,849,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437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-610,849,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437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60.07%</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1,531,323,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1,531,323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日，公司召开第四届董事会第二十八次（临时）会议审议通过了《关于审议董事会换届选举的议案》，</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日，公司召开了</w:t>
      </w:r>
      <w:r>
        <w:rPr>
          <w:rFonts w:ascii="Times New Roman" w:hAnsi="Times New Roman" w:cs="Times New Roman" w:eastAsia="Times New Roman" w:hint="default"/>
          <w:spacing w:val="-2"/>
        </w:rPr>
        <w:t>2019</w:t>
      </w:r>
      <w:r>
        <w:rPr>
          <w:spacing w:val="-2"/>
        </w:rPr>
        <w:t>年第一次临时股东大会，选举产生了公司新一届董事会，公司第一大股东王海鹏先生，第二大</w:t>
      </w:r>
    </w:p>
    <w:p>
      <w:pPr>
        <w:pStyle w:val="BodyText"/>
        <w:spacing w:line="246" w:lineRule="exact"/>
        <w:ind w:right="0"/>
        <w:jc w:val="left"/>
      </w:pPr>
      <w:r>
        <w:rPr/>
        <w:t>股东王治军先生成为公司新一届董事会成员，导致公司高管锁定股增加</w:t>
      </w:r>
      <w:r>
        <w:rPr>
          <w:rFonts w:ascii="Times New Roman" w:hAnsi="Times New Roman" w:cs="Times New Roman" w:eastAsia="Times New Roman" w:hint="default"/>
        </w:rPr>
        <w:t>610,849,437</w:t>
      </w:r>
      <w:r>
        <w:rPr/>
        <w:t>股，无限售条件股份减少</w:t>
      </w:r>
      <w:r>
        <w:rPr>
          <w:rFonts w:ascii="Times New Roman" w:hAnsi="Times New Roman" w:cs="Times New Roman" w:eastAsia="Times New Roman" w:hint="default"/>
        </w:rPr>
        <w:t>610,849,437</w:t>
      </w:r>
      <w:r>
        <w:rPr/>
        <w:t>股。</w:t>
      </w:r>
    </w:p>
    <w:p>
      <w:pPr>
        <w:spacing w:after="0" w:line="246" w:lineRule="exact"/>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0"/>
        <w:jc w:val="left"/>
      </w:pPr>
      <w:r>
        <w:rPr/>
        <w:t>股份变动的批准情况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、限售股份变动情况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单位：股</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5"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年后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w:t>
            </w:r>
          </w:p>
        </w:tc>
      </w:tr>
      <w:tr>
        <w:trPr>
          <w:trHeight w:val="62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496,595,097</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496,595,097</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董事、高管持股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限售，离任申报 六个月后的十二</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个月后全部解除</w:t>
            </w:r>
          </w:p>
        </w:tc>
      </w:tr>
      <w:tr>
        <w:trPr>
          <w:trHeight w:val="35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年后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w:t>
            </w:r>
          </w:p>
        </w:tc>
      </w:tr>
      <w:tr>
        <w:trPr>
          <w:trHeight w:val="62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114,254,340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114,254,340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董事、高管持股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限售，离任申报 六个月后的十二</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个月后全部解除</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年后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w:t>
            </w:r>
          </w:p>
        </w:tc>
      </w:tr>
      <w:tr>
        <w:trPr>
          <w:trHeight w:val="62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397,500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董事持股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限售，离任申报 六个月后的十二</w:t>
            </w:r>
          </w:p>
        </w:tc>
      </w:tr>
      <w:tr>
        <w:trPr>
          <w:trHeight w:val="311"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个月后全部解除</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限售</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高管离任申报半</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年后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w:t>
            </w:r>
          </w:p>
        </w:tc>
      </w:tr>
      <w:tr>
        <w:trPr>
          <w:trHeight w:val="62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167,850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167,850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609"/>
              <w:jc w:val="right"/>
              <w:rPr>
                <w:rFonts w:ascii="宋体" w:hAnsi="宋体" w:cs="宋体" w:eastAsia="宋体" w:hint="default"/>
                <w:sz w:val="18"/>
                <w:szCs w:val="18"/>
              </w:rPr>
            </w:pPr>
            <w:r>
              <w:rPr>
                <w:rFonts w:ascii="宋体" w:hAnsi="宋体" w:cs="宋体" w:eastAsia="宋体" w:hint="default"/>
                <w:sz w:val="18"/>
                <w:szCs w:val="18"/>
              </w:rPr>
              <w:t>董事持股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2"/>
              <w:jc w:val="left"/>
              <w:rPr>
                <w:rFonts w:ascii="宋体" w:hAnsi="宋体" w:cs="宋体" w:eastAsia="宋体" w:hint="default"/>
                <w:sz w:val="18"/>
                <w:szCs w:val="18"/>
              </w:rPr>
            </w:pPr>
            <w:r>
              <w:rPr>
                <w:rFonts w:ascii="宋体" w:hAnsi="宋体" w:cs="宋体" w:eastAsia="宋体" w:hint="default"/>
                <w:sz w:val="18"/>
                <w:szCs w:val="18"/>
              </w:rPr>
              <w:t>限售，离任申报 六个月后的十二</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个月后全部解除</w:t>
            </w:r>
          </w:p>
        </w:tc>
      </w:tr>
      <w:tr>
        <w:trPr>
          <w:trHeight w:val="35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565,350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610,849,437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611,414,787</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614"/>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二、证券发行与上市情况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、报告期内证券发行（不含优先股）情况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、公司股份总数及股东结构的变动、公司资产和负债结构的变动情况说明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、现存的内部职工股情况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三、股东和实际控制人情况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、公司股东数量及持股情况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单位：股</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5"/>
        <w:gridCol w:w="274"/>
        <w:gridCol w:w="923"/>
        <w:gridCol w:w="488"/>
        <w:gridCol w:w="749"/>
        <w:gridCol w:w="826"/>
        <w:gridCol w:w="329"/>
        <w:gridCol w:w="461"/>
        <w:gridCol w:w="761"/>
        <w:gridCol w:w="866"/>
        <w:gridCol w:w="306"/>
        <w:gridCol w:w="1043"/>
        <w:gridCol w:w="151"/>
        <w:gridCol w:w="1198"/>
      </w:tblGrid>
      <w:tr>
        <w:trPr>
          <w:trHeight w:val="196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65,228</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60,505</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5"/>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4"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49" w:type="dxa"/>
            <w:vMerge/>
            <w:tcBorders>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43.24%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662,126,7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-2,420,00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496,595,0</w:t>
            </w:r>
          </w:p>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sz w:val="18"/>
              </w:rPr>
              <w:t>97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165,531,6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373,456,859</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152,339,1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-11,950,0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114,254,3</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40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38,084,78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69"/>
        <w:gridCol w:w="1411"/>
        <w:gridCol w:w="790"/>
        <w:gridCol w:w="785"/>
        <w:gridCol w:w="790"/>
        <w:gridCol w:w="787"/>
        <w:gridCol w:w="840"/>
        <w:gridCol w:w="1349"/>
        <w:gridCol w:w="1349"/>
      </w:tblGrid>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红塔红土基金－ 浙商银行－渤海 国际信托－美盈 森平层投资单一 资金信托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46,877,57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-30,626,4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46,877,57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中国国际金融股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17,180,11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-16,883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17,180,11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顺长城精选蓝筹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12,000,09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12,000,09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景顺长城基金－ 建设银行－中国 人寿－中国人寿 委托景顺长城基 金股票型组合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10,500,01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10,500,01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景顺长城基金－ 民生银行－景顺 长城基金－汇利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0.46%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6,999,973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6,999,973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6,999,973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池小贵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6,961,601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2,213,701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6,961,601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9" w:type="dxa"/>
            <w:gridSpan w:val="7"/>
            <w:vMerge w:val="restart"/>
            <w:tcBorders>
              <w:top w:val="single" w:sz="4" w:space="0" w:color="000000"/>
              <w:left w:val="single" w:sz="4" w:space="0" w:color="000000"/>
              <w:right w:val="single" w:sz="4" w:space="0" w:color="000000"/>
            </w:tcBorders>
          </w:tcPr>
          <w:p>
            <w:pPr>
              <w:pStyle w:val="TableParagraph"/>
              <w:spacing w:line="314" w:lineRule="auto" w:before="51"/>
              <w:ind w:left="26" w:right="18"/>
              <w:jc w:val="both"/>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顺长城基金－建设银行－中国人寿－中国人寿委托景顺长城基金股票型组合、景顺长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城基金－民生银行－景顺长城基金－汇利</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号资产管理计划同属景顺长城基金管理有 </w:t>
            </w:r>
            <w:r>
              <w:rPr>
                <w:rFonts w:ascii="宋体" w:hAnsi="宋体" w:cs="宋体" w:eastAsia="宋体" w:hint="default"/>
                <w:spacing w:val="-1"/>
                <w:sz w:val="18"/>
                <w:szCs w:val="18"/>
              </w:rPr>
              <w:t>限公司旗下基金；除此之外，公司未知其他股东之间是否存在关联关系，也未知其他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股东之间是否属于《上市公司收购管理办法》中规定的一致行动人。</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9" w:type="dxa"/>
            <w:gridSpan w:val="7"/>
            <w:vMerge/>
            <w:tcBorders>
              <w:left w:val="single" w:sz="4" w:space="0" w:color="000000"/>
              <w:right w:val="single" w:sz="4" w:space="0" w:color="000000"/>
            </w:tcBorders>
          </w:tcPr>
          <w:p>
            <w:pPr/>
          </w:p>
        </w:tc>
      </w:tr>
      <w:tr>
        <w:trPr>
          <w:trHeight w:val="629"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9" w:type="dxa"/>
            <w:gridSpan w:val="7"/>
            <w:vMerge/>
            <w:tcBorders>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53"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880"/>
        <w:gridCol w:w="3991"/>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165,531,699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165,531,699</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红塔红土基金－浙商银行－渤海国 际信托－美盈森平层投资单一资金 信托</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46,877,574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46,877,574</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38,084,780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38,084,780</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23,976,960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23,976,960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17,180,117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17,180,117</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中国工商银行股份有限公司－景顺 长城精选蓝筹混合型证券投资基金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中国农业银行股份有限公司－景顺 长城核心竞争力混合型证券投资基 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12,000,092</w:t>
            </w:r>
          </w:p>
        </w:tc>
      </w:tr>
      <w:tr>
        <w:trPr>
          <w:trHeight w:val="102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景顺长城基金－建设银行－中国人 寿－中国人寿委托景顺长城基金股 票型组合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10,500,012</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景顺长城基金－民生银行－景顺长 城基金－汇利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6,999,973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6,999,973</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池小贵</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6,961,601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6,961,601</w:t>
            </w:r>
          </w:p>
        </w:tc>
      </w:tr>
      <w:tr>
        <w:trPr>
          <w:trHeight w:val="1963"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8"/>
              <w:jc w:val="both"/>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顺长城基金－建设银行－中国人寿－中国人寿委托景顺长城基金股票型组合、景顺长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城基金－民生银行－景顺长城基金－汇利</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号资产管理计划同属景顺长城基金管理有 </w:t>
            </w:r>
            <w:r>
              <w:rPr>
                <w:rFonts w:ascii="宋体" w:hAnsi="宋体" w:cs="宋体" w:eastAsia="宋体" w:hint="default"/>
                <w:spacing w:val="-1"/>
                <w:sz w:val="18"/>
                <w:szCs w:val="18"/>
              </w:rPr>
              <w:t>限公司旗下基金；除此之外，公司未知其他股东之间是否存在关联关系，也未知其他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股东之间是否属于《上市公司收购管理办法》中规定的一致行动人。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、公司控股股东情况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8594"/>
        <w:jc w:val="left"/>
      </w:pPr>
      <w:r>
        <w:rPr/>
        <w:t>控股股东性质：自然人控股 控股股东类型：自然人</w:t>
      </w:r>
    </w:p>
    <w:tbl>
      <w:tblPr>
        <w:tblW w:w="0" w:type="auto"/>
        <w:jc w:val="left"/>
        <w:tblInd w:w="147" w:type="dxa"/>
        <w:tblLayout w:type="fixed"/>
        <w:tblCellMar>
          <w:top w:w="0" w:type="dxa"/>
          <w:left w:w="0" w:type="dxa"/>
          <w:bottom w:w="0" w:type="dxa"/>
          <w:right w:w="0" w:type="dxa"/>
        </w:tblCellMar>
        <w:tblLook w:val="01E0"/>
      </w:tblPr>
      <w:tblGrid>
        <w:gridCol w:w="3418"/>
        <w:gridCol w:w="2302"/>
        <w:gridCol w:w="3850"/>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6"/>
        <w:gridCol w:w="6151"/>
      </w:tblGrid>
      <w:tr>
        <w:trPr>
          <w:trHeight w:val="1337"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年创办公司前身深圳市美盈森环保包装技术有限公司并历任董事长，现任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中共美盈森集团股份有限公司委员会书记、公司董事长、东莞市环保包装行业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协会会长，并兼任香港美盈森董事、广东佳宝隆科技有限公司董事、中大绿谷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董事长兼总经理、美达科技董事。</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控股股东报告期内变更</w:t>
      </w:r>
    </w:p>
    <w:p>
      <w:pPr>
        <w:pStyle w:val="BodyText"/>
        <w:spacing w:line="340" w:lineRule="auto" w:before="115"/>
        <w:ind w:right="77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、公司实际控制人及其一致行动人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7"/>
        <w:ind w:left="0" w:right="1149"/>
        <w:jc w:val="right"/>
      </w:pPr>
      <w:r>
        <w:rPr/>
        <w:pict>
          <v:shape style="position:absolute;margin-left:56.399998pt;margin-top:-179.518295pt;width:479.2pt;height:332.4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王国太</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王海鹏先生：</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年创办公司前身深圳市美盈森环保包装技术有限公司并历任董事长，现</w:t>
                        </w:r>
                      </w:p>
                    </w:tc>
                  </w:tr>
                  <w:tr>
                    <w:trPr>
                      <w:trHeight w:val="310"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任中共美盈森集团股份有限公司委员会书记、公司董事长、东莞市环保包装行业协会会长</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2"/>
                            <w:sz w:val="18"/>
                            <w:szCs w:val="18"/>
                          </w:rPr>
                          <w:t>并兼任香港美盈森董事、广东佳宝隆科技有限公司董事、中大绿谷董事长兼总经理、美达科</w:t>
                        </w:r>
                      </w:p>
                    </w:tc>
                  </w:tr>
                  <w:tr>
                    <w:trPr>
                      <w:trHeight w:val="254"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技董事。</w:t>
                        </w:r>
                      </w:p>
                    </w:tc>
                  </w:tr>
                  <w:tr>
                    <w:trPr>
                      <w:trHeight w:val="197"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1" w:lineRule="exact"/>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nil" w:sz="6" w:space="0" w:color="auto"/>
                          <w:left w:val="single" w:sz="4" w:space="0" w:color="000000"/>
                          <w:bottom w:val="nil" w:sz="6" w:space="0" w:color="auto"/>
                          <w:right w:val="single" w:sz="4" w:space="0" w:color="000000"/>
                        </w:tcBorders>
                      </w:tcPr>
                      <w:p>
                        <w:pPr/>
                      </w:p>
                    </w:tc>
                  </w:tr>
                  <w:tr>
                    <w:trPr>
                      <w:trHeight w:val="256"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王海鹏与王治军（持有公司 </w:t>
                        </w:r>
                        <w:r>
                          <w:rPr>
                            <w:rFonts w:ascii="Times New Roman" w:hAnsi="Times New Roman" w:cs="Times New Roman" w:eastAsia="Times New Roman" w:hint="default"/>
                            <w:spacing w:val="-5"/>
                            <w:sz w:val="18"/>
                            <w:szCs w:val="18"/>
                          </w:rPr>
                          <w:t>9.95%</w:t>
                        </w:r>
                        <w:r>
                          <w:rPr>
                            <w:rFonts w:ascii="宋体" w:hAnsi="宋体" w:cs="宋体" w:eastAsia="宋体" w:hint="default"/>
                            <w:spacing w:val="-5"/>
                            <w:sz w:val="18"/>
                            <w:szCs w:val="18"/>
                          </w:rPr>
                          <w:t>股份）为兄弟关系，王海鹏与王丽（持有公司</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股份</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为兄妹关系，王国太（持有公司</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0.002%</w:t>
                        </w:r>
                        <w:r>
                          <w:rPr>
                            <w:rFonts w:ascii="宋体" w:hAnsi="宋体" w:cs="宋体" w:eastAsia="宋体" w:hint="default"/>
                            <w:sz w:val="18"/>
                            <w:szCs w:val="18"/>
                          </w:rPr>
                          <w:t>股份）与王海鹏为父子关系，按照《上市公司收购</w:t>
                        </w:r>
                      </w:p>
                    </w:tc>
                  </w:tr>
                  <w:tr>
                    <w:trPr>
                      <w:trHeight w:val="311"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
                    </w:tc>
                    <w:tc>
                      <w:tcPr>
                        <w:tcW w:w="717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管理办法》第八十三条关于一致行动人的认定，王治军、王丽、王国太为公司控股股东、实</w:t>
                        </w:r>
                      </w:p>
                    </w:tc>
                  </w:tr>
                  <w:tr>
                    <w:trPr>
                      <w:trHeight w:val="350" w:hRule="exact"/>
                    </w:trPr>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7176"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际控制人王海鹏的一致行动人。</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7"/>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7"/>
        <w:ind w:right="0"/>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after="0" w:line="35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6405" w:lineRule="exact"/>
        <w:ind w:left="1355" w:right="0" w:firstLine="0"/>
        <w:rPr>
          <w:rFonts w:ascii="宋体" w:hAnsi="宋体" w:cs="宋体" w:eastAsia="宋体" w:hint="default"/>
          <w:sz w:val="20"/>
          <w:szCs w:val="20"/>
        </w:rPr>
      </w:pPr>
      <w:r>
        <w:rPr>
          <w:rFonts w:ascii="宋体" w:hAnsi="宋体" w:cs="宋体" w:eastAsia="宋体" w:hint="default"/>
          <w:position w:val="-127"/>
          <w:sz w:val="20"/>
          <w:szCs w:val="20"/>
        </w:rPr>
        <w:drawing>
          <wp:inline distT="0" distB="0" distL="0" distR="0">
            <wp:extent cx="4591381" cy="4067175"/>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33" cstate="print"/>
                    <a:stretch>
                      <a:fillRect/>
                    </a:stretch>
                  </pic:blipFill>
                  <pic:spPr>
                    <a:xfrm>
                      <a:off x="0" y="0"/>
                      <a:ext cx="4591381" cy="4067175"/>
                    </a:xfrm>
                    <a:prstGeom prst="rect">
                      <a:avLst/>
                    </a:prstGeom>
                  </pic:spPr>
                </pic:pic>
              </a:graphicData>
            </a:graphic>
          </wp:inline>
        </w:drawing>
      </w:r>
      <w:r>
        <w:rPr>
          <w:rFonts w:ascii="宋体" w:hAnsi="宋体" w:cs="宋体" w:eastAsia="宋体" w:hint="default"/>
          <w:position w:val="-127"/>
          <w:sz w:val="20"/>
          <w:szCs w:val="20"/>
        </w:rPr>
      </w:r>
    </w:p>
    <w:p>
      <w:pPr>
        <w:spacing w:line="240" w:lineRule="auto" w:before="11"/>
        <w:rPr>
          <w:rFonts w:ascii="宋体" w:hAnsi="宋体" w:cs="宋体" w:eastAsia="宋体" w:hint="default"/>
          <w:sz w:val="16"/>
          <w:szCs w:val="16"/>
        </w:rPr>
      </w:pPr>
    </w:p>
    <w:p>
      <w:pPr>
        <w:pStyle w:val="Heading3"/>
        <w:spacing w:line="240" w:lineRule="auto" w:before="1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、其他持股在</w:t>
      </w:r>
      <w:r>
        <w:rPr>
          <w:spacing w:val="-68"/>
        </w:rPr>
        <w:t> </w:t>
      </w:r>
      <w:r>
        <w:rPr>
          <w:rFonts w:ascii="Tahoma" w:hAnsi="Tahoma" w:cs="Tahoma" w:eastAsia="Tahoma" w:hint="default"/>
        </w:rPr>
        <w:t>10%</w:t>
      </w:r>
      <w:r>
        <w:rPr/>
        <w:t>以上的法人股东</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、控股股东、实际控制人、重组方及其他承诺主体股份限制减持情况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3464" w:right="0"/>
        <w:jc w:val="left"/>
        <w:rPr>
          <w:rFonts w:ascii="Tahoma" w:hAnsi="Tahoma" w:cs="Tahoma" w:eastAsia="Tahoma" w:hint="default"/>
        </w:rPr>
      </w:pPr>
      <w:bookmarkStart w:name="_TOC_250005" w:id="7"/>
      <w:r>
        <w:rPr/>
        <w:t>第七节优先股相关情况</w:t>
      </w:r>
      <w:r>
        <w:rPr>
          <w:rFonts w:ascii="Tahoma" w:hAnsi="Tahoma" w:cs="Tahoma" w:eastAsia="Tahoma" w:hint="default"/>
          <w:w w:val="80"/>
        </w:rPr>
        <w:t> </w:t>
      </w:r>
      <w:bookmarkEnd w:id="7"/>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4"/>
          <w:szCs w:val="24"/>
        </w:rPr>
      </w:pPr>
    </w:p>
    <w:p>
      <w:pPr>
        <w:pStyle w:val="BodyText"/>
        <w:spacing w:line="338" w:lineRule="auto" w:before="3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338" w:lineRule="auto"/>
        <w:jc w:val="left"/>
        <w:sectPr>
          <w:footerReference w:type="default" r:id="rId34"/>
          <w:pgSz w:w="11910" w:h="16840"/>
          <w:pgMar w:footer="982" w:header="753" w:top="1060" w:bottom="1180" w:left="980" w:right="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2862" w:right="0"/>
        <w:jc w:val="left"/>
        <w:rPr>
          <w:rFonts w:ascii="Tahoma" w:hAnsi="Tahoma" w:cs="Tahoma" w:eastAsia="Tahoma" w:hint="default"/>
        </w:rPr>
      </w:pPr>
      <w:bookmarkStart w:name="_TOC_250004" w:id="8"/>
      <w:r>
        <w:rPr/>
        <w:t>第八节可转换公司债券相关情况</w:t>
      </w:r>
      <w:r>
        <w:rPr>
          <w:rFonts w:ascii="Tahoma" w:hAnsi="Tahoma" w:cs="Tahoma" w:eastAsia="Tahoma" w:hint="default"/>
          <w:w w:val="80"/>
        </w:rPr>
        <w:t> </w:t>
      </w:r>
      <w:bookmarkEnd w:id="8"/>
      <w:r>
        <w:rPr>
          <w:rFonts w:ascii="Tahoma" w:hAnsi="Tahoma" w:cs="Tahoma" w:eastAsia="Tahoma" w:hint="default"/>
        </w:rPr>
      </w:r>
    </w:p>
    <w:p>
      <w:pPr>
        <w:spacing w:line="240" w:lineRule="auto" w:before="0"/>
        <w:rPr>
          <w:rFonts w:ascii="Tahoma" w:hAnsi="Tahoma" w:cs="Tahoma" w:eastAsia="Tahoma" w:hint="default"/>
          <w:sz w:val="30"/>
          <w:szCs w:val="30"/>
        </w:rPr>
      </w:pPr>
    </w:p>
    <w:p>
      <w:pPr>
        <w:pStyle w:val="BodyText"/>
        <w:spacing w:line="338" w:lineRule="auto" w:before="206"/>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报告期公司不存在可转换公司债券。</w:t>
      </w:r>
    </w:p>
    <w:p>
      <w:pPr>
        <w:spacing w:after="0" w:line="338"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0"/>
        <w:jc w:val="left"/>
        <w:rPr>
          <w:rFonts w:ascii="Tahoma" w:hAnsi="Tahoma" w:cs="Tahoma" w:eastAsia="Tahoma" w:hint="default"/>
        </w:rPr>
      </w:pPr>
      <w:bookmarkStart w:name="_TOC_250003" w:id="9"/>
      <w:r>
        <w:rPr/>
        <w:t>第九节董事、监事、高级管理人员和员工情况</w:t>
      </w:r>
      <w:r>
        <w:rPr>
          <w:rFonts w:ascii="Tahoma" w:hAnsi="Tahoma" w:cs="Tahoma" w:eastAsia="Tahoma" w:hint="default"/>
          <w:w w:val="79"/>
        </w:rPr>
        <w:t> </w:t>
      </w:r>
      <w:bookmarkEnd w:id="9"/>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3"/>
        <w:spacing w:line="240" w:lineRule="auto"/>
        <w:ind w:right="0"/>
        <w:jc w:val="left"/>
        <w:rPr>
          <w:rFonts w:ascii="Tahoma" w:hAnsi="Tahoma" w:cs="Tahoma" w:eastAsia="Tahoma" w:hint="default"/>
        </w:rPr>
      </w:pPr>
      <w:r>
        <w:rPr/>
        <w:pict>
          <v:shape style="position:absolute;margin-left:489.511353pt;margin-top:32.975639pt;width:45.6pt;height:50.9pt;mso-position-horizontal-relative:page;mso-position-vertical-relative:paragraph;z-index:-1538728" type="#_x0000_t202" filled="false" stroked="false">
            <v:textbox inset="0,0,0,0">
              <w:txbxContent>
                <w:p>
                  <w:pPr>
                    <w:spacing w:line="240" w:lineRule="auto" w:before="0"/>
                    <w:rPr>
                      <w:rFonts w:ascii="Tahoma" w:hAnsi="Tahoma" w:cs="Tahoma" w:eastAsia="Tahoma" w:hint="default"/>
                      <w:sz w:val="18"/>
                      <w:szCs w:val="18"/>
                    </w:rPr>
                  </w:pPr>
                </w:p>
                <w:p>
                  <w:pPr>
                    <w:spacing w:line="240" w:lineRule="auto" w:before="10"/>
                    <w:rPr>
                      <w:rFonts w:ascii="Tahoma" w:hAnsi="Tahoma" w:cs="Tahoma" w:eastAsia="Tahoma" w:hint="default"/>
                      <w:sz w:val="24"/>
                      <w:szCs w:val="24"/>
                    </w:rPr>
                  </w:pPr>
                </w:p>
                <w:p>
                  <w:pPr>
                    <w:pStyle w:val="BodyText"/>
                    <w:spacing w:line="240" w:lineRule="auto"/>
                    <w:ind w:left="0" w:right="0"/>
                    <w:jc w:val="left"/>
                  </w:pPr>
                  <w:r>
                    <w:rPr/>
                    <w:t>）</w:t>
                  </w:r>
                </w:p>
              </w:txbxContent>
            </v:textbox>
            <w10:wrap type="none"/>
          </v:shape>
        </w:pict>
      </w:r>
      <w:r>
        <w:rPr/>
        <w:t>一、董事、监事和高级管理人员持股变动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3" w:right="33"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664,546,7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662,126,7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152,339,1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223,800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223,800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530,000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530,000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谭伟</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李泽宇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3" w:footer="982" w:top="1060" w:bottom="1180" w:left="980" w:right="0"/>
        </w:sect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49"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49"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书</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w:t>
            </w:r>
          </w:p>
        </w:tc>
      </w:tr>
      <w:tr>
        <w:trPr>
          <w:trHeight w:val="349"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829,589,7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14,370,00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815,219,7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7"/>
        <w:rPr>
          <w:rFonts w:ascii="Tahoma" w:hAnsi="Tahoma" w:cs="Tahoma" w:eastAsia="Tahoma" w:hint="default"/>
          <w:sz w:val="19"/>
          <w:szCs w:val="19"/>
        </w:rPr>
      </w:pPr>
    </w:p>
    <w:p>
      <w:pPr>
        <w:spacing w:before="26"/>
        <w:ind w:left="152" w:right="0" w:firstLine="0"/>
        <w:jc w:val="left"/>
        <w:rPr>
          <w:rFonts w:ascii="Tahoma" w:hAnsi="Tahoma" w:cs="Tahoma" w:eastAsia="Tahoma" w:hint="default"/>
          <w:sz w:val="24"/>
          <w:szCs w:val="24"/>
        </w:rPr>
      </w:pPr>
      <w:r>
        <w:rPr>
          <w:rFonts w:ascii="宋体" w:hAnsi="宋体" w:cs="宋体" w:eastAsia="宋体" w:hint="default"/>
          <w:sz w:val="24"/>
          <w:szCs w:val="24"/>
        </w:rPr>
        <w:t>二、公司董事、监事、高级管理人员变动情况</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李泽宇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rFonts w:ascii="Tahoma" w:hAnsi="Tahoma" w:cs="Tahoma" w:eastAsia="Tahoma" w:hint="default"/>
        </w:rPr>
      </w:pPr>
      <w:r>
        <w:rPr/>
        <w:t>三、任职情况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公司现任董事、监事、高级管理人员专业背景、主要工作经历以及目前在公司的主要职责</w:t>
      </w:r>
    </w:p>
    <w:p>
      <w:pPr>
        <w:pStyle w:val="BodyText"/>
        <w:spacing w:line="312" w:lineRule="auto" w:before="115"/>
        <w:ind w:right="1034"/>
        <w:jc w:val="left"/>
      </w:pPr>
      <w:r>
        <w:rPr>
          <w:rFonts w:ascii="Times New Roman" w:hAnsi="Times New Roman" w:cs="Times New Roman" w:eastAsia="Times New Roman" w:hint="default"/>
        </w:rPr>
        <w:t>1</w:t>
      </w:r>
      <w:r>
        <w:rPr/>
        <w:t>、董事会成员 </w:t>
      </w:r>
      <w:r>
        <w:rPr>
          <w:spacing w:val="-2"/>
        </w:rPr>
        <w:t>王海鹏先生，</w:t>
      </w:r>
      <w:r>
        <w:rPr>
          <w:rFonts w:ascii="Times New Roman" w:hAnsi="Times New Roman" w:cs="Times New Roman" w:eastAsia="Times New Roman" w:hint="default"/>
          <w:spacing w:val="-2"/>
        </w:rPr>
        <w:t>1971</w:t>
      </w:r>
      <w:r>
        <w:rPr>
          <w:spacing w:val="-2"/>
        </w:rPr>
        <w:t>年生，中国国籍，无永久境外居留权，工商管理硕士。</w:t>
      </w:r>
      <w:r>
        <w:rPr>
          <w:rFonts w:ascii="Times New Roman" w:hAnsi="Times New Roman" w:cs="Times New Roman" w:eastAsia="Times New Roman" w:hint="default"/>
          <w:spacing w:val="-2"/>
        </w:rPr>
        <w:t>2000</w:t>
      </w:r>
      <w:r>
        <w:rPr>
          <w:spacing w:val="-2"/>
        </w:rPr>
        <w:t>年创办公司前身深圳市美盈森环保包装技术有</w:t>
      </w:r>
      <w:r>
        <w:rPr>
          <w:spacing w:val="-64"/>
        </w:rPr>
        <w:t> </w:t>
      </w:r>
      <w:r>
        <w:rPr>
          <w:spacing w:val="-64"/>
        </w:rPr>
      </w:r>
      <w:r>
        <w:rPr>
          <w:spacing w:val="-2"/>
        </w:rPr>
        <w:t>限公司并历任董事长，现任中共美盈森集团股份有限公司委员会书记、公司董事长、东莞市环保包装行业协会会长，并兼任</w:t>
      </w:r>
      <w:r>
        <w:rPr>
          <w:spacing w:val="-65"/>
        </w:rPr>
        <w:t> </w:t>
      </w:r>
      <w:r>
        <w:rPr>
          <w:spacing w:val="-65"/>
        </w:rPr>
      </w:r>
      <w:r>
        <w:rPr/>
        <w:t>香港美盈森董事、广东佳宝隆科技有限公司董事、中大绿谷董事长兼总经理、美达科技董事。 </w:t>
      </w:r>
      <w:r>
        <w:rPr>
          <w:spacing w:val="-2"/>
        </w:rPr>
        <w:t>王治军先生，</w:t>
      </w:r>
      <w:r>
        <w:rPr>
          <w:rFonts w:ascii="Times New Roman" w:hAnsi="Times New Roman" w:cs="Times New Roman" w:eastAsia="Times New Roman" w:hint="default"/>
          <w:spacing w:val="-2"/>
        </w:rPr>
        <w:t>1978</w:t>
      </w:r>
      <w:r>
        <w:rPr>
          <w:spacing w:val="-2"/>
        </w:rPr>
        <w:t>年生，中国国籍，无永久境外居留权，工商管理硕士。曾任公司及公司前身深圳市美盈森环保包装技术有</w:t>
      </w:r>
      <w:r>
        <w:rPr>
          <w:spacing w:val="-67"/>
        </w:rPr>
        <w:t> </w:t>
      </w:r>
      <w:r>
        <w:rPr>
          <w:spacing w:val="-67"/>
        </w:rPr>
      </w:r>
      <w:r>
        <w:rPr/>
        <w:t>限公司董事，现任公司董事、总裁、香港美盈森董事、东莞美芯龙执行董事、美之兰执行董事、中国包装联合会副会长。 </w:t>
      </w:r>
      <w:r>
        <w:rPr>
          <w:spacing w:val="-2"/>
        </w:rPr>
        <w:t>张珍义先生，</w:t>
      </w:r>
      <w:r>
        <w:rPr>
          <w:rFonts w:ascii="Times New Roman" w:hAnsi="Times New Roman" w:cs="Times New Roman" w:eastAsia="Times New Roman" w:hint="default"/>
          <w:spacing w:val="-2"/>
        </w:rPr>
        <w:t>1958</w:t>
      </w:r>
      <w:r>
        <w:rPr>
          <w:spacing w:val="-2"/>
        </w:rPr>
        <w:t>年生，中国国籍，无境外永久居留权，中专学历。</w:t>
      </w:r>
      <w:r>
        <w:rPr>
          <w:rFonts w:ascii="Times New Roman" w:hAnsi="Times New Roman" w:cs="Times New Roman" w:eastAsia="Times New Roman" w:hint="default"/>
          <w:spacing w:val="-2"/>
        </w:rPr>
        <w:t>2002</w:t>
      </w:r>
      <w:r>
        <w:rPr>
          <w:spacing w:val="-2"/>
        </w:rPr>
        <w:t>年加入公司，历任公司业务负责人、董事长兼总经</w:t>
      </w:r>
      <w:r>
        <w:rPr>
          <w:spacing w:val="-65"/>
        </w:rPr>
        <w:t> </w:t>
      </w:r>
      <w:r>
        <w:rPr>
          <w:spacing w:val="-65"/>
        </w:rPr>
      </w:r>
      <w:r>
        <w:rPr>
          <w:spacing w:val="-4"/>
        </w:rPr>
        <w:t>理，现任公司副董事长，兼任苏州美盈森执行董事兼总经理、武汉美盈森执行董事兼总经理、郑州美盈森执行董事兼总经理、</w:t>
      </w:r>
      <w:r>
        <w:rPr>
          <w:spacing w:val="-46"/>
        </w:rPr>
        <w:t> </w:t>
      </w:r>
      <w:r>
        <w:rPr>
          <w:spacing w:val="-46"/>
        </w:rPr>
      </w:r>
      <w:r>
        <w:rPr>
          <w:spacing w:val="-4"/>
        </w:rPr>
        <w:t>天津美盈森执行董事兼总经理、长沙美盈森董事长兼总经理、中山美盈森执行董事兼总经理、成都美盈森执行董事兼总经理、</w:t>
      </w:r>
      <w:r>
        <w:rPr>
          <w:spacing w:val="-44"/>
        </w:rPr>
        <w:t> </w:t>
      </w:r>
      <w:r>
        <w:rPr>
          <w:spacing w:val="-44"/>
        </w:rPr>
      </w:r>
      <w:r>
        <w:rPr>
          <w:spacing w:val="-4"/>
        </w:rPr>
        <w:t>重庆美盈森执行董事、宜美供应链执行董事、中大绿谷董事、佛山美盈森执行董事兼总经理、湖南美盈森执行董事兼总经理、</w:t>
      </w:r>
      <w:r>
        <w:rPr>
          <w:spacing w:val="-46"/>
        </w:rPr>
        <w:t> </w:t>
      </w:r>
      <w:r>
        <w:rPr>
          <w:spacing w:val="-46"/>
        </w:rPr>
      </w:r>
      <w:r>
        <w:rPr>
          <w:spacing w:val="-2"/>
        </w:rPr>
        <w:t>越南美盈森董事兼总经理、同奈美盈森执行董事兼总经理、小美集执行董事兼总经理、西安美盈森执行董事兼总经理、泸美</w:t>
      </w:r>
      <w:r>
        <w:rPr>
          <w:spacing w:val="-64"/>
        </w:rPr>
        <w:t> </w:t>
      </w:r>
      <w:r>
        <w:rPr>
          <w:spacing w:val="-64"/>
        </w:rPr>
      </w:r>
      <w:r>
        <w:rPr/>
        <w:t>供应链执行董事兼总经理、福建美盈森执行董事兼总经理、青岛美盈森执行董事兼总经理、习水美盈森执行董事兼总经理、 美达科技董事。 </w:t>
      </w:r>
      <w:r>
        <w:rPr>
          <w:spacing w:val="-4"/>
        </w:rPr>
        <w:t>黄琳女士，</w:t>
      </w:r>
      <w:r>
        <w:rPr>
          <w:rFonts w:ascii="Times New Roman" w:hAnsi="Times New Roman" w:cs="Times New Roman" w:eastAsia="Times New Roman" w:hint="default"/>
          <w:spacing w:val="-4"/>
        </w:rPr>
        <w:t>1969</w:t>
      </w:r>
      <w:r>
        <w:rPr>
          <w:spacing w:val="-4"/>
        </w:rPr>
        <w:t>年生，中国国籍，无境外永久居留权，大学本科学历。</w:t>
      </w:r>
      <w:r>
        <w:rPr>
          <w:rFonts w:ascii="Times New Roman" w:hAnsi="Times New Roman" w:cs="Times New Roman" w:eastAsia="Times New Roman" w:hint="default"/>
          <w:spacing w:val="-4"/>
        </w:rPr>
        <w:t>2000</w:t>
      </w:r>
      <w:r>
        <w:rPr>
          <w:spacing w:val="-4"/>
        </w:rPr>
        <w:t>年加入公司，历任公司管理者代表、品质部经理、</w:t>
      </w:r>
      <w:r>
        <w:rPr>
          <w:spacing w:val="-33"/>
        </w:rPr>
        <w:t> </w:t>
      </w:r>
      <w:r>
        <w:rPr>
          <w:spacing w:val="-33"/>
        </w:rPr>
      </w:r>
      <w:r>
        <w:rPr>
          <w:spacing w:val="-2"/>
        </w:rPr>
        <w:t>副总经理兼董事会秘书。现任公司副董事长，兼任重庆美盈森监事、金之彩董事、中大绿谷董事、西安美盈森监事、广州信</w:t>
      </w:r>
      <w:r>
        <w:rPr>
          <w:spacing w:val="-68"/>
        </w:rPr>
        <w:t> </w:t>
      </w:r>
      <w:r>
        <w:rPr>
          <w:spacing w:val="-68"/>
        </w:rPr>
      </w:r>
      <w:r>
        <w:rPr/>
        <w:t>联智通实业股份有限公司董事、文麻生物董事长兼总经理。 郭万达先生，</w:t>
      </w:r>
      <w:r>
        <w:rPr>
          <w:rFonts w:ascii="Times New Roman" w:hAnsi="Times New Roman" w:cs="Times New Roman" w:eastAsia="Times New Roman" w:hint="default"/>
        </w:rPr>
        <w:t>1965</w:t>
      </w:r>
      <w:r>
        <w:rPr/>
        <w:t>年出生，中国国籍，经济学博士，研究员，无境外永久居留权。现为综合开发研究院</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副院长、 </w:t>
      </w:r>
      <w:r>
        <w:rPr>
          <w:spacing w:val="-2"/>
        </w:rPr>
        <w:t>公司独立董事，兼任方大集团股份有限公司独立董事、深圳奥特迅电力设备股份有限公司独立董事、深圳市海格物流股份有</w:t>
      </w:r>
      <w:r>
        <w:rPr>
          <w:spacing w:val="-62"/>
        </w:rPr>
        <w:t> </w:t>
      </w:r>
      <w:r>
        <w:rPr>
          <w:spacing w:val="-62"/>
        </w:rPr>
      </w:r>
      <w:r>
        <w:rPr/>
        <w:t>限公司独立董事。 </w:t>
      </w:r>
      <w:r>
        <w:rPr>
          <w:spacing w:val="-2"/>
        </w:rPr>
        <w:t>刘纯斌先生，</w:t>
      </w:r>
      <w:r>
        <w:rPr>
          <w:rFonts w:ascii="Times New Roman" w:hAnsi="Times New Roman" w:cs="Times New Roman" w:eastAsia="Times New Roman" w:hint="default"/>
          <w:spacing w:val="-2"/>
        </w:rPr>
        <w:t>1971</w:t>
      </w:r>
      <w:r>
        <w:rPr>
          <w:spacing w:val="-2"/>
        </w:rPr>
        <w:t>年出生，中国国籍，硕士学历，注册会计师、律师、中级经济师，无境外永久居留权。历任交通银行深圳</w:t>
      </w:r>
      <w:r>
        <w:rPr>
          <w:spacing w:val="-61"/>
        </w:rPr>
        <w:t> </w:t>
      </w:r>
      <w:r>
        <w:rPr>
          <w:spacing w:val="-61"/>
        </w:rPr>
      </w:r>
      <w:r>
        <w:rPr>
          <w:spacing w:val="-2"/>
        </w:rPr>
        <w:t>分行财会处财务主管、交通银行深圳分行大信大厦支行行长，深圳市明星康桥投资发展有限公司董事长兼总经理，中诚国际</w:t>
      </w:r>
    </w:p>
    <w:p>
      <w:pPr>
        <w:pStyle w:val="BodyText"/>
        <w:spacing w:line="240" w:lineRule="auto" w:before="22"/>
        <w:ind w:right="0"/>
        <w:jc w:val="left"/>
      </w:pPr>
      <w:r>
        <w:rPr/>
        <w:t>（香港）有限公司副总裁，龙门茶排铅锌矿有限公司财务总监，深圳中金投资管理有限公司财务总监，北京卡酷七色光文化</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4" w:lineRule="auto" w:before="37"/>
        <w:ind w:right="0"/>
        <w:jc w:val="left"/>
      </w:pPr>
      <w:r>
        <w:rPr>
          <w:spacing w:val="-4"/>
        </w:rPr>
        <w:t>有限责任公司董事、前海开源基金管理有限公司监事、深圳华强实业股份有限公司独立董事、纳思达股份有限公司独立董事。</w:t>
      </w:r>
      <w:r>
        <w:rPr>
          <w:spacing w:val="-44"/>
        </w:rPr>
        <w:t> </w:t>
      </w:r>
      <w:r>
        <w:rPr>
          <w:spacing w:val="-44"/>
        </w:rPr>
      </w:r>
      <w:r>
        <w:rPr>
          <w:spacing w:val="-2"/>
        </w:rPr>
        <w:t>现任成大沿海产业（大连）基金管理有限公司总经理，深圳市新翔实业发展有限公司总经理，浙银前源（杭州）资本管理有</w:t>
      </w:r>
      <w:r>
        <w:rPr>
          <w:spacing w:val="-68"/>
        </w:rPr>
        <w:t> </w:t>
      </w:r>
      <w:r>
        <w:rPr>
          <w:spacing w:val="-68"/>
        </w:rPr>
      </w:r>
      <w:r>
        <w:rPr/>
        <w:t>限公司总经理及公司独立董事。 谭伟先生，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5</w:t>
      </w:r>
      <w:r>
        <w:rPr/>
        <w:t>月出生，中共党员，理学学士，法学博士，法学教授，博士生导师，无境外永久居留权。曾任湖南工业 </w:t>
      </w:r>
      <w:r>
        <w:rPr>
          <w:spacing w:val="-2"/>
        </w:rPr>
        <w:t>大学团委书记、学生处副处长、经济管理学院党总支副书记、后勤总公司党总支书记、科技学院党委书记、后勤总公司总经</w:t>
      </w:r>
      <w:r>
        <w:rPr>
          <w:spacing w:val="-69"/>
        </w:rPr>
        <w:t> </w:t>
      </w:r>
      <w:r>
        <w:rPr>
          <w:spacing w:val="-69"/>
        </w:rPr>
      </w:r>
      <w:r>
        <w:rPr>
          <w:spacing w:val="-2"/>
        </w:rPr>
        <w:t>理、株洲市明德教育有限公司执行董事，现任湖南工业大学东莞包装学院教授、公司独立董事，兼任全国包装标准化技术委</w:t>
      </w:r>
      <w:r>
        <w:rPr>
          <w:spacing w:val="-66"/>
        </w:rPr>
        <w:t> </w:t>
      </w:r>
      <w:r>
        <w:rPr>
          <w:spacing w:val="-66"/>
        </w:rPr>
      </w:r>
      <w:r>
        <w:rPr>
          <w:spacing w:val="-2"/>
        </w:rPr>
        <w:t>员会包装与环境分技术委员会委员、国家社科基金通讯评审专家、湖南省法学会工程法研究会副会长、中国法学会环境资源</w:t>
      </w:r>
      <w:r>
        <w:rPr>
          <w:spacing w:val="-62"/>
        </w:rPr>
        <w:t> </w:t>
      </w:r>
      <w:r>
        <w:rPr>
          <w:spacing w:val="-62"/>
        </w:rPr>
      </w:r>
      <w:r>
        <w:rPr/>
        <w:t>法研究会常务理事。</w:t>
      </w:r>
    </w:p>
    <w:p>
      <w:pPr>
        <w:pStyle w:val="BodyText"/>
        <w:spacing w:line="240" w:lineRule="auto" w:before="20"/>
        <w:ind w:right="0"/>
        <w:jc w:val="left"/>
      </w:pPr>
      <w:r>
        <w:rPr>
          <w:rFonts w:ascii="Times New Roman" w:hAnsi="Times New Roman" w:cs="Times New Roman" w:eastAsia="Times New Roman" w:hint="default"/>
        </w:rPr>
        <w:t>2</w:t>
      </w:r>
      <w:r>
        <w:rPr/>
        <w:t>、监事会成员</w:t>
      </w:r>
    </w:p>
    <w:p>
      <w:pPr>
        <w:pStyle w:val="BodyText"/>
        <w:spacing w:line="300" w:lineRule="auto" w:before="63"/>
        <w:ind w:right="1029"/>
        <w:jc w:val="left"/>
      </w:pPr>
      <w:r>
        <w:rPr/>
        <w:t>陈利科先生，</w:t>
      </w:r>
      <w:r>
        <w:rPr>
          <w:rFonts w:ascii="Times New Roman" w:hAnsi="Times New Roman" w:cs="Times New Roman" w:eastAsia="Times New Roman" w:hint="default"/>
        </w:rPr>
        <w:t>1976 </w:t>
      </w:r>
      <w:r>
        <w:rPr>
          <w:spacing w:val="-4"/>
        </w:rPr>
        <w:t>年生，中国国籍，无境外永久居留权，本科学历。</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9"/>
        </w:rPr>
        <w:t> </w:t>
      </w:r>
      <w:r>
        <w:rPr/>
        <w:t>年加入公司，现任公司监事会主席、研发部总监， 兼任东莞美盈森监事、中山美盈森监事、福建美盈森监事。</w:t>
      </w:r>
    </w:p>
    <w:p>
      <w:pPr>
        <w:pStyle w:val="BodyText"/>
        <w:spacing w:line="300" w:lineRule="auto" w:before="31"/>
        <w:ind w:right="1029"/>
        <w:jc w:val="left"/>
      </w:pPr>
      <w:r>
        <w:rPr/>
        <w:t>李泽宇女士，</w:t>
      </w:r>
      <w:r>
        <w:rPr>
          <w:rFonts w:ascii="Times New Roman" w:hAnsi="Times New Roman" w:cs="Times New Roman" w:eastAsia="Times New Roman" w:hint="default"/>
        </w:rPr>
        <w:t>1994 </w:t>
      </w:r>
      <w:r>
        <w:rPr>
          <w:spacing w:val="-4"/>
        </w:rPr>
        <w:t>年生，中国国籍，无永久境外居留权，本科学历。</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9"/>
        </w:rPr>
        <w:t> </w:t>
      </w:r>
      <w:r>
        <w:rPr/>
        <w:t>年加入公司，现任公司监事、总经办秘书处主任， 兼任习水美盈森监事。</w:t>
      </w:r>
    </w:p>
    <w:p>
      <w:pPr>
        <w:pStyle w:val="BodyText"/>
        <w:spacing w:line="309" w:lineRule="auto" w:before="31"/>
        <w:ind w:right="1146"/>
        <w:jc w:val="left"/>
      </w:pPr>
      <w:r>
        <w:rPr/>
        <w:t>刘兰芳女士，</w:t>
      </w:r>
      <w:r>
        <w:rPr>
          <w:rFonts w:ascii="Times New Roman" w:hAnsi="Times New Roman" w:cs="Times New Roman" w:eastAsia="Times New Roman" w:hint="default"/>
        </w:rPr>
        <w:t>1984</w:t>
      </w:r>
      <w:r>
        <w:rPr/>
        <w:t>年生，中国国籍，无境外永久居留权，大学本科学历。</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t>年加入公司。现任公司职工监事、报关部经 理，中共美盈森集团股份有限公司委员会委员、工会主席，兼任苏州智谷监事、安徽美盈森监事、湖南美盈森监事。 </w:t>
      </w:r>
      <w:r>
        <w:rPr>
          <w:rFonts w:ascii="Times New Roman" w:hAnsi="Times New Roman" w:cs="Times New Roman" w:eastAsia="Times New Roman" w:hint="default"/>
        </w:rPr>
        <w:t>3</w:t>
      </w:r>
      <w:r>
        <w:rPr/>
        <w:t>、高级管理人员王治军先生，任本公司总裁，详见前述董事会成员简历。</w:t>
      </w:r>
    </w:p>
    <w:p>
      <w:pPr>
        <w:pStyle w:val="BodyText"/>
        <w:spacing w:line="300" w:lineRule="auto" w:before="5"/>
        <w:ind w:right="1144"/>
        <w:jc w:val="left"/>
      </w:pPr>
      <w:r>
        <w:rPr/>
        <w:t>冯达昌先生，</w:t>
      </w:r>
      <w:r>
        <w:rPr>
          <w:rFonts w:ascii="Times New Roman" w:hAnsi="Times New Roman" w:cs="Times New Roman" w:eastAsia="Times New Roman" w:hint="default"/>
        </w:rPr>
        <w:t>1962</w:t>
      </w:r>
      <w:r>
        <w:rPr>
          <w:rFonts w:ascii="Times New Roman" w:hAnsi="Times New Roman" w:cs="Times New Roman" w:eastAsia="Times New Roman" w:hint="default"/>
          <w:spacing w:val="25"/>
        </w:rPr>
        <w:t> </w:t>
      </w:r>
      <w:r>
        <w:rPr/>
        <w:t>年生，中国香港籍，工商管理硕士。曾任美福瓦通纸品（深圳）有限公司营销总监。现任公司副总裁， 兼任香港美盈森董事、常富润企业董事长、常富润科技（深圳）有限公司执行董事和总经理。</w:t>
      </w:r>
    </w:p>
    <w:p>
      <w:pPr>
        <w:pStyle w:val="BodyText"/>
        <w:spacing w:line="300" w:lineRule="auto" w:before="31"/>
        <w:ind w:right="1158"/>
        <w:jc w:val="both"/>
      </w:pPr>
      <w:r>
        <w:rPr/>
        <w:t>袁宏贵先生，</w:t>
      </w:r>
      <w:r>
        <w:rPr>
          <w:rFonts w:ascii="Times New Roman" w:hAnsi="Times New Roman" w:cs="Times New Roman" w:eastAsia="Times New Roman" w:hint="default"/>
        </w:rPr>
        <w:t>1979</w:t>
      </w:r>
      <w:r>
        <w:rPr>
          <w:rFonts w:ascii="Times New Roman" w:hAnsi="Times New Roman" w:cs="Times New Roman" w:eastAsia="Times New Roman" w:hint="default"/>
          <w:spacing w:val="25"/>
        </w:rPr>
        <w:t> </w:t>
      </w:r>
      <w:r>
        <w:rPr/>
        <w:t>年出生，中国国籍，无永久境外居留权，大学专科学历，中国注册会计师协会非执业会员，曾任职深圳 市鼎益投资有限公司、同方股份有限公司。</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年加入公司，曾任审计部经理，现任公司财务总监，兼任小美集监事、美 莲检测监事、东莞美之兰监事、中大绿谷监事。</w:t>
      </w:r>
    </w:p>
    <w:p>
      <w:pPr>
        <w:pStyle w:val="BodyText"/>
        <w:spacing w:line="300" w:lineRule="auto" w:before="31"/>
        <w:ind w:right="1117"/>
        <w:jc w:val="left"/>
      </w:pPr>
      <w:r>
        <w:rPr/>
        <w:t>刘会丰先生，</w:t>
      </w:r>
      <w:r>
        <w:rPr>
          <w:rFonts w:ascii="Times New Roman" w:hAnsi="Times New Roman" w:cs="Times New Roman" w:eastAsia="Times New Roman" w:hint="default"/>
        </w:rPr>
        <w:t>1984 </w:t>
      </w:r>
      <w:r>
        <w:rPr/>
        <w:t>年出生，中国国籍，无永久境外居留权，大学本科学历，</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年加入公司，现任公司副总裁、董事会秘 书，兼任中大绿谷董事。</w:t>
      </w:r>
    </w:p>
    <w:p>
      <w:pPr>
        <w:pStyle w:val="BodyText"/>
        <w:spacing w:line="240" w:lineRule="auto" w:before="72"/>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7"/>
        <w:ind w:left="0" w:right="1137"/>
        <w:jc w:val="right"/>
      </w:pPr>
      <w:r>
        <w:rPr/>
        <w:pict>
          <v:shape style="position:absolute;margin-left:56.399998pt;margin-top:-72.478279pt;width:479.2pt;height:107.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8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6" w:right="105"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、公司控股股东王海鹏、第二大股东王治军分别持有广州信联智通实业股份有限公司</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9.5%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的股份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、上述任期终止日期是指本届任期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7"/>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综合开发研究院</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方大集团股份有限公司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深圳奥特迅电力设备股份有限公司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深圳市海格物流股份有限公司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成大沿海产业（大连）基金管理有限公司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深圳市新翔实业发展有限公司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浙银前源（杭州）资本管理有限公司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湖南工业大学东莞包装学院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上述任期终止日期指本届任期。</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四、董事、监事、高级管理人员报酬情况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董事、监事、高级管理人员报酬的决策程序、确定依据、实际支付情况</w:t>
      </w:r>
    </w:p>
    <w:p>
      <w:pPr>
        <w:pStyle w:val="BodyText"/>
        <w:spacing w:line="300" w:lineRule="auto" w:before="117"/>
        <w:ind w:right="1124"/>
        <w:jc w:val="left"/>
      </w:pPr>
      <w:r>
        <w:rPr>
          <w:rFonts w:ascii="Times New Roman" w:hAnsi="Times New Roman" w:cs="Times New Roman" w:eastAsia="Times New Roman" w:hint="default"/>
        </w:rPr>
        <w:t>1</w:t>
      </w:r>
      <w:r>
        <w:rPr/>
        <w:t>、决策程序：根据《公司章程》的有关规定，公司董事、监事的津贴由股东大会审议决定；公司高管的报酬由董事会审议 决定。</w:t>
      </w:r>
    </w:p>
    <w:p>
      <w:pPr>
        <w:pStyle w:val="BodyText"/>
        <w:spacing w:line="340" w:lineRule="auto" w:before="31"/>
        <w:ind w:right="2024"/>
        <w:jc w:val="left"/>
      </w:pPr>
      <w:r>
        <w:rPr>
          <w:rFonts w:ascii="Times New Roman" w:hAnsi="Times New Roman" w:cs="Times New Roman" w:eastAsia="Times New Roman" w:hint="default"/>
        </w:rPr>
        <w:t>2</w:t>
      </w:r>
      <w:r>
        <w:rPr/>
        <w:t>、确定依据：公司董事、监事、高管人员的报酬综合考虑公司经营情况、同行上市公司及地区薪酬标准确定。 公司报告期内董事、监事和高级管理人员报酬情况</w:t>
      </w:r>
    </w:p>
    <w:p>
      <w:pPr>
        <w:pStyle w:val="BodyText"/>
        <w:spacing w:line="240" w:lineRule="auto" w:before="39"/>
        <w:ind w:left="0" w:right="1133"/>
        <w:jc w:val="right"/>
      </w:pPr>
      <w:r>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李泽宇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刘会丰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9"/>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668.15</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五、公司员工情况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、员工数量、专业构成及教育程度</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r>
    </w:tbl>
    <w:p>
      <w:pPr>
        <w:spacing w:after="0" w:line="240" w:lineRule="auto"/>
        <w:jc w:val="righ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10"/>
        <w:rPr>
          <w:rFonts w:ascii="Tahoma" w:hAnsi="Tahoma" w:cs="Tahoma" w:eastAsia="Tahoma" w:hint="default"/>
          <w:sz w:val="26"/>
          <w:szCs w:val="26"/>
        </w:rPr>
      </w:pPr>
    </w:p>
    <w:p>
      <w:pPr>
        <w:spacing w:before="36"/>
        <w:ind w:left="152" w:right="0" w:firstLine="0"/>
        <w:jc w:val="left"/>
        <w:rPr>
          <w:rFonts w:ascii="Tahoma" w:hAnsi="Tahoma" w:cs="Tahoma" w:eastAsia="Tahoma" w:hint="default"/>
          <w:sz w:val="21"/>
          <w:szCs w:val="21"/>
        </w:rPr>
      </w:pPr>
      <w:r>
        <w:rPr>
          <w:rFonts w:ascii="Tahoma" w:hAnsi="Tahoma" w:cs="Tahoma" w:eastAsia="Tahoma" w:hint="default"/>
          <w:sz w:val="21"/>
          <w:szCs w:val="21"/>
        </w:rPr>
        <w:t>2</w:t>
      </w:r>
      <w:r>
        <w:rPr>
          <w:rFonts w:ascii="宋体" w:hAnsi="宋体" w:cs="宋体" w:eastAsia="宋体" w:hint="default"/>
          <w:sz w:val="21"/>
          <w:szCs w:val="21"/>
        </w:rPr>
        <w:t>、薪酬政策</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16" w:lineRule="auto"/>
        <w:ind w:right="4454"/>
        <w:jc w:val="left"/>
      </w:pPr>
      <w:r>
        <w:rPr/>
        <w:t>薪资福利： 公司提供有市场竞争力的薪酬待遇，并依绩效考核结果每年提供一次加薪机会。 福利及保险： 公司为员工提供医疗保险、养老保险、失业保险、住房公积金及其他相关福利。</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、培训计划</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7" w:lineRule="auto"/>
        <w:ind w:right="1126"/>
        <w:jc w:val="left"/>
      </w:pPr>
      <w:r>
        <w:rPr/>
        <w:t>教育培训： </w:t>
      </w:r>
      <w:r>
        <w:rPr>
          <w:spacing w:val="-2"/>
        </w:rPr>
        <w:t>公司高度重视员工的培训工作，在加强对全体员工高素质培训的同时，有重点有选择地对优秀员工进行培养，并大力支持对</w:t>
      </w:r>
      <w:r>
        <w:rPr>
          <w:spacing w:val="-62"/>
        </w:rPr>
        <w:t> </w:t>
      </w:r>
      <w:r>
        <w:rPr>
          <w:spacing w:val="-62"/>
        </w:rPr>
      </w:r>
      <w:r>
        <w:rPr>
          <w:sz w:val="20"/>
          <w:szCs w:val="20"/>
        </w:rPr>
        <w:t>管理和技术人员的各类高级培训，努力构建学习型企业。</w:t>
      </w:r>
      <w:r>
        <w:rPr>
          <w:w w:val="99"/>
          <w:sz w:val="20"/>
          <w:szCs w:val="20"/>
        </w:rPr>
        <w:t> </w:t>
      </w:r>
      <w:r>
        <w:rPr/>
        <w:t>对于新加入的大学生，公司为其提供全方位培训计划，包括集中培训学习、不同岗位实习、岗位实践等。</w:t>
      </w:r>
    </w:p>
    <w:p>
      <w:pPr>
        <w:pStyle w:val="BodyText"/>
        <w:spacing w:line="316" w:lineRule="auto" w:before="26"/>
        <w:ind w:right="4094"/>
        <w:jc w:val="left"/>
      </w:pPr>
      <w:r>
        <w:rPr/>
        <w:t>职业发展： 公司重视员工职业发展，不断完善员工的职业发展体系，建立有效的绩效评估管理。</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、劳务外包情况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0" w:right="905"/>
        <w:jc w:val="center"/>
        <w:rPr>
          <w:rFonts w:ascii="Tahoma" w:hAnsi="Tahoma" w:cs="Tahoma" w:eastAsia="Tahoma" w:hint="default"/>
        </w:rPr>
      </w:pPr>
      <w:bookmarkStart w:name="_TOC_250002" w:id="10"/>
      <w:r>
        <w:rPr/>
        <w:t>第十节公司治理</w:t>
      </w:r>
      <w:r>
        <w:rPr>
          <w:rFonts w:ascii="Tahoma" w:hAnsi="Tahoma" w:cs="Tahoma" w:eastAsia="Tahoma" w:hint="default"/>
          <w:w w:val="80"/>
        </w:rPr>
        <w:t> </w:t>
      </w:r>
      <w:bookmarkEnd w:id="10"/>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1"/>
          <w:szCs w:val="21"/>
        </w:rPr>
      </w:pPr>
    </w:p>
    <w:p>
      <w:pPr>
        <w:pStyle w:val="Heading3"/>
        <w:spacing w:line="240" w:lineRule="auto" w:before="26"/>
        <w:ind w:right="0"/>
        <w:jc w:val="left"/>
        <w:rPr>
          <w:rFonts w:ascii="Tahoma" w:hAnsi="Tahoma" w:cs="Tahoma" w:eastAsia="Tahoma" w:hint="default"/>
        </w:rPr>
      </w:pPr>
      <w:r>
        <w:rPr/>
        <w:t>一、公司治理的基本状况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4" w:firstLine="300"/>
        <w:jc w:val="both"/>
      </w:pPr>
      <w:r>
        <w:rPr>
          <w:spacing w:val="-1"/>
        </w:rPr>
        <w:t>公司上市以来，严格按照《公司法》、《证券法》、《上市公司治理准则》和深圳证券交易所《股票上市规则》及《上</w:t>
      </w:r>
      <w:r>
        <w:rPr/>
        <w:t> </w:t>
      </w:r>
      <w:r>
        <w:rPr>
          <w:spacing w:val="-2"/>
        </w:rPr>
        <w:t>市公司规范运作指引》等相关法律、法规的规定，认真学习和落实中国证监会、深圳证监局、深圳证券交易所等监管机构的</w:t>
      </w:r>
      <w:r>
        <w:rPr>
          <w:spacing w:val="-69"/>
        </w:rPr>
        <w:t> </w:t>
      </w:r>
      <w:r>
        <w:rPr>
          <w:spacing w:val="-69"/>
        </w:rPr>
      </w:r>
      <w:r>
        <w:rPr/>
        <w:t>相关要求，不断完善公司法人治理结构，建立现代企业制度，持续深入规范公司运作。</w:t>
      </w:r>
    </w:p>
    <w:p>
      <w:pPr>
        <w:pStyle w:val="BodyText"/>
        <w:spacing w:line="240" w:lineRule="auto" w:before="139"/>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984"/>
        <w:gridCol w:w="2974"/>
        <w:gridCol w:w="3708"/>
        <w:gridCol w:w="2189"/>
      </w:tblGrid>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ahoma" w:hAnsi="Tahoma" w:cs="Tahoma" w:eastAsia="Tahoma" w:hint="default"/>
                <w:sz w:val="18"/>
                <w:szCs w:val="18"/>
              </w:rPr>
            </w:pPr>
            <w:r>
              <w:rPr>
                <w:rFonts w:ascii="宋体" w:hAnsi="宋体" w:cs="宋体" w:eastAsia="宋体" w:hint="default"/>
                <w:sz w:val="18"/>
                <w:szCs w:val="18"/>
              </w:rPr>
              <w:t>序号</w:t>
            </w:r>
            <w:r>
              <w:rPr>
                <w:rFonts w:ascii="Tahoma" w:hAnsi="Tahoma" w:cs="Tahoma" w:eastAsia="Tahoma" w:hint="default"/>
                <w:w w:val="80"/>
                <w:sz w:val="18"/>
                <w:szCs w:val="18"/>
              </w:rPr>
              <w:t> </w:t>
            </w:r>
            <w:r>
              <w:rPr>
                <w:rFonts w:ascii="Tahoma" w:hAnsi="Tahoma" w:cs="Tahoma" w:eastAsia="Tahoma" w:hint="default"/>
                <w:sz w:val="18"/>
                <w:szCs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ahoma" w:hAnsi="Tahoma" w:cs="Tahoma" w:eastAsia="Tahoma" w:hint="default"/>
                <w:sz w:val="18"/>
                <w:szCs w:val="18"/>
              </w:rPr>
            </w:pPr>
            <w:r>
              <w:rPr>
                <w:rFonts w:ascii="宋体" w:hAnsi="宋体" w:cs="宋体" w:eastAsia="宋体" w:hint="default"/>
                <w:sz w:val="18"/>
                <w:szCs w:val="18"/>
              </w:rPr>
              <w:t>制度名称</w:t>
            </w:r>
            <w:r>
              <w:rPr>
                <w:rFonts w:ascii="Tahoma" w:hAnsi="Tahoma" w:cs="Tahoma" w:eastAsia="Tahoma" w:hint="default"/>
                <w:w w:val="80"/>
                <w:sz w:val="18"/>
                <w:szCs w:val="18"/>
              </w:rPr>
              <w:t> </w:t>
            </w:r>
            <w:r>
              <w:rPr>
                <w:rFonts w:ascii="Tahoma" w:hAnsi="Tahoma" w:cs="Tahoma" w:eastAsia="Tahoma" w:hint="default"/>
                <w:sz w:val="18"/>
                <w:szCs w:val="18"/>
              </w:rPr>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ahoma" w:hAnsi="Tahoma" w:cs="Tahoma" w:eastAsia="Tahoma" w:hint="default"/>
                <w:sz w:val="18"/>
                <w:szCs w:val="18"/>
              </w:rPr>
            </w:pPr>
            <w:r>
              <w:rPr>
                <w:rFonts w:ascii="宋体" w:hAnsi="宋体" w:cs="宋体" w:eastAsia="宋体" w:hint="default"/>
                <w:sz w:val="18"/>
                <w:szCs w:val="18"/>
              </w:rPr>
              <w:t>公开信息披露情况</w:t>
            </w:r>
            <w:r>
              <w:rPr>
                <w:rFonts w:ascii="Tahoma" w:hAnsi="Tahoma" w:cs="Tahoma" w:eastAsia="Tahoma" w:hint="default"/>
                <w:w w:val="80"/>
                <w:sz w:val="18"/>
                <w:szCs w:val="18"/>
              </w:rPr>
              <w:t> </w:t>
            </w:r>
            <w:r>
              <w:rPr>
                <w:rFonts w:ascii="Tahoma" w:hAnsi="Tahoma" w:cs="Tahoma" w:eastAsia="Tahoma" w:hint="default"/>
                <w:sz w:val="18"/>
                <w:szCs w:val="18"/>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ahoma" w:hAnsi="Tahoma" w:cs="Tahoma" w:eastAsia="Tahoma" w:hint="default"/>
                <w:sz w:val="18"/>
                <w:szCs w:val="18"/>
              </w:rPr>
            </w:pPr>
            <w:r>
              <w:rPr>
                <w:rFonts w:ascii="宋体" w:hAnsi="宋体" w:cs="宋体" w:eastAsia="宋体" w:hint="default"/>
                <w:sz w:val="18"/>
                <w:szCs w:val="18"/>
              </w:rPr>
              <w:t>生效时间</w:t>
            </w:r>
            <w:r>
              <w:rPr>
                <w:rFonts w:ascii="Tahoma" w:hAnsi="Tahoma" w:cs="Tahoma" w:eastAsia="Tahoma" w:hint="default"/>
                <w:w w:val="80"/>
                <w:sz w:val="18"/>
                <w:szCs w:val="18"/>
              </w:rPr>
              <w:t> </w:t>
            </w:r>
            <w:r>
              <w:rPr>
                <w:rFonts w:ascii="Tahoma" w:hAnsi="Tahoma" w:cs="Tahoma" w:eastAsia="Tahoma" w:hint="default"/>
                <w:sz w:val="18"/>
                <w:szCs w:val="18"/>
              </w:rPr>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经第一届董事会第八次会议制定</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2009.1.18</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2009.11.15</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2009.11.15</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2009.12.24</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2009.12.24</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4"/>
              <w:jc w:val="left"/>
              <w:rPr>
                <w:rFonts w:ascii="宋体" w:hAnsi="宋体" w:cs="宋体" w:eastAsia="宋体" w:hint="default"/>
                <w:sz w:val="18"/>
                <w:szCs w:val="18"/>
              </w:rPr>
            </w:pPr>
            <w:r>
              <w:rPr>
                <w:rFonts w:ascii="宋体" w:hAnsi="宋体" w:cs="宋体" w:eastAsia="宋体" w:hint="default"/>
                <w:sz w:val="18"/>
                <w:szCs w:val="18"/>
              </w:rPr>
              <w:t>董事、监事、高管人员所持本公司股 份及其变动管理制度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2010.1.10</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经第二届董事会第二次会议制定并公告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2010.10.26</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2010.2.9</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2010.3.23</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2010.3.23</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远期结售汇交易内部控制制度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经第一届董事会第十五次会议制定并公告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2010.4.14</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年第五届董事会第一次（临时）会议修 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2019.11.26</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2010.9.21</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4"/>
              <w:jc w:val="left"/>
              <w:rPr>
                <w:rFonts w:ascii="宋体" w:hAnsi="宋体" w:cs="宋体" w:eastAsia="宋体" w:hint="default"/>
                <w:sz w:val="18"/>
                <w:szCs w:val="18"/>
              </w:rPr>
            </w:pPr>
            <w:r>
              <w:rPr>
                <w:rFonts w:ascii="宋体" w:hAnsi="宋体" w:cs="宋体" w:eastAsia="宋体" w:hint="default"/>
                <w:sz w:val="18"/>
                <w:szCs w:val="18"/>
              </w:rPr>
              <w:t>可能接触内幕信息的关键岗位人员买 卖公司股票相关规定</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经第二届董事会第四次（临时）会议制定并公 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2011.1.26</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4"/>
              <w:jc w:val="left"/>
              <w:rPr>
                <w:rFonts w:ascii="宋体" w:hAnsi="宋体" w:cs="宋体" w:eastAsia="宋体" w:hint="default"/>
                <w:sz w:val="18"/>
                <w:szCs w:val="18"/>
              </w:rPr>
            </w:pPr>
            <w:r>
              <w:rPr>
                <w:rFonts w:ascii="宋体" w:hAnsi="宋体" w:cs="宋体" w:eastAsia="宋体" w:hint="default"/>
                <w:sz w:val="18"/>
                <w:szCs w:val="18"/>
              </w:rPr>
              <w:t>防范控股股东及关联方资金占用管理 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经第二届董事会第六次会议制定并公告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2011.4.25</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经第二届董事会第十次（临时）会议修订并公</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2011.9.17</w:t>
            </w:r>
          </w:p>
        </w:tc>
      </w:tr>
    </w:tbl>
    <w:p>
      <w:pPr>
        <w:spacing w:after="0" w:line="240" w:lineRule="auto"/>
        <w:jc w:val="left"/>
        <w:rPr>
          <w:rFonts w:ascii="Times New Roman" w:hAnsi="Times New Roman" w:cs="Times New Roman" w:eastAsia="Times New Roman" w:hint="default"/>
          <w:sz w:val="18"/>
          <w:szCs w:val="18"/>
        </w:rPr>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984"/>
        <w:gridCol w:w="2974"/>
        <w:gridCol w:w="3708"/>
        <w:gridCol w:w="2189"/>
      </w:tblGrid>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
        </w:tc>
        <w:tc>
          <w:tcPr>
            <w:tcW w:w="2974" w:type="dxa"/>
            <w:tcBorders>
              <w:top w:val="single" w:sz="6" w:space="0" w:color="000000"/>
              <w:left w:val="single" w:sz="6" w:space="0" w:color="000000"/>
              <w:bottom w:val="single" w:sz="6" w:space="0" w:color="000000"/>
              <w:right w:val="single" w:sz="6" w:space="0" w:color="000000"/>
            </w:tcBorders>
          </w:tcPr>
          <w:p>
            <w:pP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189" w:type="dxa"/>
            <w:tcBorders>
              <w:top w:val="single" w:sz="6" w:space="0" w:color="000000"/>
              <w:left w:val="single" w:sz="6" w:space="0" w:color="000000"/>
              <w:bottom w:val="single" w:sz="6" w:space="0" w:color="000000"/>
              <w:right w:val="single" w:sz="6" w:space="0" w:color="000000"/>
            </w:tcBorders>
          </w:tcPr>
          <w:p>
            <w:pP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内幕信息知情人报备及登记管理制度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经第二届董事会第十三次（临时）会议修订并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2012.1.15</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财务会计相关负责人管理制度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2012.4.23</w:t>
            </w:r>
          </w:p>
        </w:tc>
      </w:tr>
      <w:tr>
        <w:trPr>
          <w:trHeight w:val="780"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 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2012.8.3</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投资理财管理制度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经第三届董事会第四次会议制定并公告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2014.3.27</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未来三年股东回报规划（</w:t>
            </w:r>
            <w:r>
              <w:rPr>
                <w:rFonts w:ascii="Times New Roman" w:hAnsi="Times New Roman" w:cs="Times New Roman" w:eastAsia="Times New Roman" w:hint="default"/>
                <w:sz w:val="18"/>
                <w:szCs w:val="18"/>
              </w:rPr>
              <w:t>2018-2020</w:t>
            </w:r>
            <w:r>
              <w:rPr>
                <w:rFonts w:ascii="宋体" w:hAnsi="宋体" w:cs="宋体" w:eastAsia="宋体" w:hint="default"/>
                <w:sz w:val="18"/>
                <w:szCs w:val="18"/>
              </w:rPr>
              <w:t>）</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2018.4.23</w:t>
            </w:r>
          </w:p>
        </w:tc>
      </w:tr>
      <w:tr>
        <w:trPr>
          <w:trHeight w:val="77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28</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6"/>
              <w:jc w:val="left"/>
              <w:rPr>
                <w:rFonts w:ascii="宋体" w:hAnsi="宋体" w:cs="宋体" w:eastAsia="宋体" w:hint="default"/>
                <w:sz w:val="18"/>
                <w:szCs w:val="18"/>
              </w:rPr>
            </w:pPr>
            <w:r>
              <w:rPr>
                <w:rFonts w:ascii="宋体" w:hAnsi="宋体" w:cs="宋体" w:eastAsia="宋体" w:hint="default"/>
                <w:sz w:val="18"/>
                <w:szCs w:val="18"/>
              </w:rPr>
              <w:t>经第三届董事会第二十三次（临时）会议修订 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2016.3.12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29</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30</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信息披露委员会实施细则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经第四届董事会第一次会议制订并公告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31</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年第二次临时股东大会修订并公告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2016.11.22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32</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经第四届董事会第十四次会议修订并公告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2018.5.8</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33</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经第四届董事会第十四次会议修订并公告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2018.5.8</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34</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35</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36</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2018.5.22</w:t>
            </w:r>
          </w:p>
        </w:tc>
      </w:tr>
      <w:tr>
        <w:trPr>
          <w:trHeight w:val="468"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37</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年度第一次临时股东大会修订并公告</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2020.2.10</w:t>
            </w:r>
          </w:p>
        </w:tc>
      </w:tr>
    </w:tbl>
    <w:p>
      <w:pPr>
        <w:pStyle w:val="BodyText"/>
        <w:spacing w:line="316" w:lineRule="auto" w:before="8"/>
        <w:ind w:right="1132" w:firstLine="288"/>
        <w:jc w:val="both"/>
      </w:pPr>
      <w:r>
        <w:rPr>
          <w:spacing w:val="-1"/>
        </w:rPr>
        <w:t>截至报告期末，公司认为，公司治理的实际情况基本符合规范性文件的要求，已经形成了决策机构、监督机构与管理层</w:t>
      </w:r>
      <w:r>
        <w:rPr/>
        <w:t> 之间权责分明、各司其职、相互制衡、科学决策、协调运作的法人治理结构。</w:t>
      </w:r>
    </w:p>
    <w:p>
      <w:pPr>
        <w:pStyle w:val="BodyText"/>
        <w:spacing w:line="240" w:lineRule="auto" w:before="19"/>
        <w:ind w:right="0"/>
        <w:jc w:val="left"/>
        <w:rPr>
          <w:rFonts w:ascii="Tahoma" w:hAnsi="Tahoma" w:cs="Tahoma" w:eastAsia="Tahoma" w:hint="default"/>
        </w:rPr>
      </w:pPr>
      <w:r>
        <w:rPr>
          <w:rFonts w:ascii="Tahoma" w:hAnsi="Tahoma" w:cs="Tahoma" w:eastAsia="Tahoma" w:hint="default"/>
        </w:rPr>
        <w:t>1</w:t>
      </w:r>
      <w:r>
        <w:rPr/>
        <w:t>、关于股东与股东大会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1132" w:firstLine="300"/>
        <w:jc w:val="both"/>
      </w:pPr>
      <w:r>
        <w:rPr>
          <w:spacing w:val="-1"/>
        </w:rPr>
        <w:t>报告期内，公司严格按照《公司法》、《上市公司股东大会规则》、《公司章程》、《股东大会议事规则》等法律法规</w:t>
      </w:r>
      <w:r>
        <w:rPr/>
        <w:t> </w:t>
      </w:r>
      <w:r>
        <w:rPr>
          <w:spacing w:val="-2"/>
        </w:rPr>
        <w:t>的要求，规范股东大会的召集、召开及表决程序，确保所有股东享有平等地位，充分行使自己权利，并通过聘请律师见证保</w:t>
      </w:r>
      <w:r>
        <w:rPr>
          <w:spacing w:val="-69"/>
        </w:rPr>
        <w:t> </w:t>
      </w:r>
      <w:r>
        <w:rPr>
          <w:spacing w:val="-69"/>
        </w:rPr>
      </w:r>
      <w:r>
        <w:rPr/>
        <w:t>证会议召集、召开和表决程序的合法性，维护了公司和股东的合法权益。</w:t>
      </w:r>
    </w:p>
    <w:p>
      <w:pPr>
        <w:spacing w:after="0" w:line="316" w:lineRule="auto"/>
        <w:jc w:val="both"/>
        <w:sectPr>
          <w:footerReference w:type="default" r:id="rId35"/>
          <w:pgSz w:w="11910" w:h="16840"/>
          <w:pgMar w:footer="982" w:header="753" w:top="1060" w:bottom="1180" w:left="980" w:right="0"/>
          <w:pgNumType w:start="10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rPr>
          <w:rFonts w:ascii="Tahoma" w:hAnsi="Tahoma" w:cs="Tahoma" w:eastAsia="Tahoma" w:hint="default"/>
        </w:rPr>
      </w:pPr>
      <w:r>
        <w:rPr>
          <w:rFonts w:ascii="Tahoma" w:hAnsi="Tahoma" w:cs="Tahoma" w:eastAsia="Tahoma" w:hint="default"/>
        </w:rPr>
        <w:t>2</w:t>
      </w:r>
      <w:r>
        <w:rPr/>
        <w:t>、关于控股股东与公司关系</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1130" w:firstLine="300"/>
        <w:jc w:val="both"/>
      </w:pPr>
      <w:r>
        <w:rPr>
          <w:spacing w:val="-1"/>
        </w:rPr>
        <w:t>公司控股股东为自然人王海鹏先生，作为控股股东，王海鹏先生对公司依法通过股东大会行使出资人的权利；王海鹏先</w:t>
      </w:r>
      <w:r>
        <w:rPr/>
        <w:t> </w:t>
      </w:r>
      <w:r>
        <w:rPr>
          <w:spacing w:val="-2"/>
        </w:rPr>
        <w:t>生还担任公司董事长。在任职期间，王海鹏先生严格履行公司有关制度所赋予的权利和义务，参与日常经营管理。公司重大</w:t>
      </w:r>
      <w:r>
        <w:rPr>
          <w:spacing w:val="-65"/>
        </w:rPr>
        <w:t> </w:t>
      </w:r>
      <w:r>
        <w:rPr>
          <w:spacing w:val="-65"/>
        </w:rPr>
      </w:r>
      <w:r>
        <w:rPr>
          <w:spacing w:val="-2"/>
        </w:rPr>
        <w:t>事项及生产经营相关决策均按照公司内部控制制度由公司经营层、董事会、股东大会讨论决定，不存在控股股东及实际控制</w:t>
      </w:r>
      <w:r>
        <w:rPr>
          <w:spacing w:val="-65"/>
        </w:rPr>
        <w:t> </w:t>
      </w:r>
      <w:r>
        <w:rPr>
          <w:spacing w:val="-65"/>
        </w:rPr>
      </w:r>
      <w:r>
        <w:rPr/>
        <w:t>人控制公司的情况。</w:t>
      </w:r>
    </w:p>
    <w:p>
      <w:pPr>
        <w:pStyle w:val="BodyText"/>
        <w:spacing w:line="240" w:lineRule="auto" w:before="139"/>
        <w:ind w:right="0"/>
        <w:jc w:val="left"/>
        <w:rPr>
          <w:rFonts w:ascii="Tahoma" w:hAnsi="Tahoma" w:cs="Tahoma" w:eastAsia="Tahoma" w:hint="default"/>
        </w:rPr>
      </w:pPr>
      <w:r>
        <w:rPr>
          <w:rFonts w:ascii="Tahoma" w:hAnsi="Tahoma" w:cs="Tahoma" w:eastAsia="Tahoma" w:hint="default"/>
        </w:rPr>
        <w:t>3</w:t>
      </w:r>
      <w:r>
        <w:rPr/>
        <w:t>、关于董事与董事会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09" w:lineRule="auto"/>
        <w:ind w:right="1108" w:firstLine="300"/>
        <w:jc w:val="both"/>
      </w:pPr>
      <w:r>
        <w:rPr/>
        <w:t>报告期内，公司董事会成员</w:t>
      </w:r>
      <w:r>
        <w:rPr>
          <w:rFonts w:ascii="Times New Roman" w:hAnsi="Times New Roman" w:cs="Times New Roman" w:eastAsia="Times New Roman" w:hint="default"/>
        </w:rPr>
        <w:t>7</w:t>
      </w:r>
      <w:r>
        <w:rPr/>
        <w:t>人，其中独立董事</w:t>
      </w:r>
      <w:r>
        <w:rPr>
          <w:rFonts w:ascii="Times New Roman" w:hAnsi="Times New Roman" w:cs="Times New Roman" w:eastAsia="Times New Roman" w:hint="default"/>
        </w:rPr>
        <w:t>3</w:t>
      </w:r>
      <w:r>
        <w:rPr/>
        <w:t>人，董事会的人数及人员构成符合法律、法规和《公司章程》的要求。 </w:t>
      </w:r>
      <w:r>
        <w:rPr>
          <w:spacing w:val="-2"/>
        </w:rPr>
        <w:t>公司全体董事能够依据《董事会议事规则》《深圳证券交易所上市公司规范运作指引》等法律法规开展工作，认真出席董事</w:t>
      </w:r>
      <w:r>
        <w:rPr>
          <w:spacing w:val="-69"/>
        </w:rPr>
        <w:t> </w:t>
      </w:r>
      <w:r>
        <w:rPr>
          <w:spacing w:val="-69"/>
        </w:rPr>
      </w:r>
      <w:r>
        <w:rPr/>
        <w:t>会和股东大会，积极参加培训，学习有关法律法规。独立董事能够不受影响地独立履行职责。</w:t>
      </w:r>
    </w:p>
    <w:p>
      <w:pPr>
        <w:pStyle w:val="BodyText"/>
        <w:spacing w:line="316" w:lineRule="auto" w:before="144"/>
        <w:ind w:right="1134" w:firstLine="300"/>
        <w:jc w:val="both"/>
      </w:pPr>
      <w:r>
        <w:rPr>
          <w:spacing w:val="-1"/>
        </w:rPr>
        <w:t>截至报告期末，公司董事会下设四个专门委员会，即审计委员会、提名委员会、薪酬与考核委员会及战略委员会，并制</w:t>
      </w:r>
      <w:r>
        <w:rPr/>
        <w:t> 定各委员会议事规则，指导各委员会有效运行。</w:t>
      </w:r>
    </w:p>
    <w:p>
      <w:pPr>
        <w:pStyle w:val="BodyText"/>
        <w:spacing w:line="240" w:lineRule="auto" w:before="139"/>
        <w:ind w:right="0"/>
        <w:jc w:val="left"/>
        <w:rPr>
          <w:rFonts w:ascii="Tahoma" w:hAnsi="Tahoma" w:cs="Tahoma" w:eastAsia="Tahoma" w:hint="default"/>
        </w:rPr>
      </w:pPr>
      <w:r>
        <w:rPr>
          <w:rFonts w:ascii="Tahoma" w:hAnsi="Tahoma" w:cs="Tahoma" w:eastAsia="Tahoma" w:hint="default"/>
        </w:rPr>
        <w:t>4</w:t>
      </w:r>
      <w:r>
        <w:rPr/>
        <w:t>、关于监事与监事会</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09" w:lineRule="auto"/>
        <w:ind w:right="0" w:firstLine="300"/>
        <w:jc w:val="left"/>
      </w:pPr>
      <w:r>
        <w:rPr>
          <w:spacing w:val="-4"/>
        </w:rPr>
        <w:t>报告期内，公司监事会成员</w:t>
      </w:r>
      <w:r>
        <w:rPr>
          <w:rFonts w:ascii="Times New Roman" w:hAnsi="Times New Roman" w:cs="Times New Roman" w:eastAsia="Times New Roman" w:hint="default"/>
          <w:spacing w:val="-4"/>
        </w:rPr>
        <w:t>3</w:t>
      </w:r>
      <w:r>
        <w:rPr>
          <w:spacing w:val="-4"/>
        </w:rPr>
        <w:t>人，其中</w:t>
      </w:r>
      <w:r>
        <w:rPr>
          <w:rFonts w:ascii="Times New Roman" w:hAnsi="Times New Roman" w:cs="Times New Roman" w:eastAsia="Times New Roman" w:hint="default"/>
          <w:spacing w:val="-4"/>
        </w:rPr>
        <w:t>1</w:t>
      </w:r>
      <w:r>
        <w:rPr>
          <w:spacing w:val="-4"/>
        </w:rPr>
        <w:t>人为职工代表，监事会的人数及构成符合法律、法规的要求。公司监事会依据《公</w:t>
      </w:r>
      <w:r>
        <w:rPr/>
        <w:t> </w:t>
      </w:r>
      <w:r>
        <w:rPr>
          <w:spacing w:val="-4"/>
        </w:rPr>
        <w:t>司章程》、《监事会议事规则》等法律法规认真履行自己的职责，按规定的程序召开了监事会，对公司重大事项、财务状况、</w:t>
      </w:r>
      <w:r>
        <w:rPr>
          <w:spacing w:val="-44"/>
        </w:rPr>
        <w:t> </w:t>
      </w:r>
      <w:r>
        <w:rPr>
          <w:spacing w:val="-44"/>
        </w:rPr>
      </w:r>
      <w:r>
        <w:rPr/>
        <w:t>募集资金使用、董事和高级管理人员履行职责的合法合规性进行监督，维护公司及股东的合法权益。</w:t>
      </w:r>
    </w:p>
    <w:p>
      <w:pPr>
        <w:pStyle w:val="BodyText"/>
        <w:spacing w:line="240" w:lineRule="auto" w:before="144"/>
        <w:ind w:right="0"/>
        <w:jc w:val="left"/>
        <w:rPr>
          <w:rFonts w:ascii="Tahoma" w:hAnsi="Tahoma" w:cs="Tahoma" w:eastAsia="Tahoma" w:hint="default"/>
        </w:rPr>
      </w:pPr>
      <w:r>
        <w:rPr>
          <w:rFonts w:ascii="Tahoma" w:hAnsi="Tahoma" w:cs="Tahoma" w:eastAsia="Tahoma" w:hint="default"/>
        </w:rPr>
        <w:t>5</w:t>
      </w:r>
      <w:r>
        <w:rPr/>
        <w:t>、关于绩效评价与激励约束机制</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1134" w:firstLine="300"/>
        <w:jc w:val="both"/>
      </w:pPr>
      <w:r>
        <w:rPr>
          <w:spacing w:val="-1"/>
        </w:rPr>
        <w:t>公司董事、监事和高级管理人员的聘任公开、透明，符合相关法律法规的规定，并已初步建立董事、监事和高级管理人</w:t>
      </w:r>
      <w:r>
        <w:rPr/>
        <w:t> 员的绩效评价标准和激励约束机制。</w:t>
      </w:r>
    </w:p>
    <w:p>
      <w:pPr>
        <w:pStyle w:val="BodyText"/>
        <w:spacing w:line="240" w:lineRule="auto" w:before="139"/>
        <w:ind w:right="0"/>
        <w:jc w:val="left"/>
        <w:rPr>
          <w:rFonts w:ascii="Tahoma" w:hAnsi="Tahoma" w:cs="Tahoma" w:eastAsia="Tahoma" w:hint="default"/>
        </w:rPr>
      </w:pPr>
      <w:r>
        <w:rPr>
          <w:rFonts w:ascii="Tahoma" w:hAnsi="Tahoma" w:cs="Tahoma" w:eastAsia="Tahoma" w:hint="default"/>
        </w:rPr>
        <w:t>6</w:t>
      </w:r>
      <w:r>
        <w:rPr/>
        <w:t>、关于相关利益者</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316" w:lineRule="auto"/>
        <w:ind w:right="1034" w:firstLine="480"/>
        <w:jc w:val="left"/>
      </w:pPr>
      <w:r>
        <w:rPr/>
        <w:t>公司充分尊重和维护相关利益者的合法权益，加强与各方的沟通与交流，实现社会、股东、公司、员工等各方面利益 </w:t>
      </w:r>
      <w:r>
        <w:rPr>
          <w:spacing w:val="-4"/>
        </w:rPr>
        <w:t>的协调平衡，诚信对待客户和供应商，认真培养每一位员工，坚持与相关利益者互利共赢的原则，共同推动公司持续、健康、</w:t>
      </w:r>
      <w:r>
        <w:rPr>
          <w:spacing w:val="-46"/>
        </w:rPr>
        <w:t> </w:t>
      </w:r>
      <w:r>
        <w:rPr>
          <w:spacing w:val="-46"/>
        </w:rPr>
      </w:r>
      <w:r>
        <w:rPr/>
        <w:t>快速发展。</w:t>
      </w:r>
    </w:p>
    <w:p>
      <w:pPr>
        <w:pStyle w:val="BodyText"/>
        <w:spacing w:line="240" w:lineRule="auto" w:before="139"/>
        <w:ind w:right="0"/>
        <w:jc w:val="left"/>
        <w:rPr>
          <w:rFonts w:ascii="Tahoma" w:hAnsi="Tahoma" w:cs="Tahoma" w:eastAsia="Tahoma" w:hint="default"/>
        </w:rPr>
      </w:pPr>
      <w:r>
        <w:rPr>
          <w:rFonts w:ascii="Tahoma" w:hAnsi="Tahoma" w:cs="Tahoma" w:eastAsia="Tahoma" w:hint="default"/>
        </w:rPr>
        <w:t>7</w:t>
      </w:r>
      <w:r>
        <w:rPr/>
        <w:t>、关于信息披露与透明度</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15"/>
          <w:szCs w:val="15"/>
        </w:rPr>
      </w:pPr>
    </w:p>
    <w:p>
      <w:pPr>
        <w:pStyle w:val="BodyText"/>
        <w:spacing w:line="240" w:lineRule="auto"/>
        <w:ind w:left="452" w:right="0"/>
        <w:jc w:val="left"/>
      </w:pPr>
      <w:r>
        <w:rPr/>
        <w:t>公司严格按照有关法律法规及公司《信息披露管理办法》、《投资者关系管理制度》、《信息披露委员会实施细则》、</w:t>
      </w:r>
    </w:p>
    <w:p>
      <w:pPr>
        <w:pStyle w:val="BodyText"/>
        <w:spacing w:line="316" w:lineRule="auto" w:before="76"/>
        <w:ind w:right="0"/>
        <w:jc w:val="left"/>
      </w:pPr>
      <w:r>
        <w:rPr>
          <w:spacing w:val="-2"/>
        </w:rPr>
        <w:t>《内幕信息知情人报备和登记管理制度》等系列制度的要求，真实、准确、完整、及时、公平地披露信息，确保所有股东有</w:t>
      </w:r>
      <w:r>
        <w:rPr>
          <w:spacing w:val="-65"/>
        </w:rPr>
        <w:t> </w:t>
      </w:r>
      <w:r>
        <w:rPr>
          <w:spacing w:val="-65"/>
        </w:rPr>
      </w:r>
      <w:r>
        <w:rPr/>
        <w:t>平等的机会获得信息。</w:t>
      </w:r>
    </w:p>
    <w:p>
      <w:pPr>
        <w:pStyle w:val="BodyText"/>
        <w:spacing w:line="316" w:lineRule="auto" w:before="139"/>
        <w:ind w:right="1132"/>
        <w:jc w:val="both"/>
      </w:pPr>
      <w:r>
        <w:rPr>
          <w:spacing w:val="-2"/>
        </w:rPr>
        <w:t>公司指定董事会秘书负责公司的信息披露事务与投资者关系的管理，证券部为信息披露事务和投资者关系管理执行部门。公</w:t>
      </w:r>
      <w:r>
        <w:rPr>
          <w:spacing w:val="-64"/>
        </w:rPr>
        <w:t> </w:t>
      </w:r>
      <w:r>
        <w:rPr>
          <w:spacing w:val="-64"/>
        </w:rPr>
      </w:r>
      <w:r>
        <w:rPr>
          <w:spacing w:val="-2"/>
        </w:rPr>
        <w:t>司注重与投资者沟通交流，通过电话、电子邮件、投资者关系互动平台、现场调研等各种方式，加强与投资者的沟通。公司</w:t>
      </w:r>
      <w:r>
        <w:rPr>
          <w:spacing w:val="-67"/>
        </w:rPr>
        <w:t> </w:t>
      </w:r>
      <w:r>
        <w:rPr>
          <w:spacing w:val="-67"/>
        </w:rPr>
      </w:r>
      <w:r>
        <w:rPr>
          <w:spacing w:val="-2"/>
        </w:rPr>
        <w:t>指定《证券时报》和巨潮资讯网为公司信息披露媒体，接受各方监督，不断加强信息披露管理，确保信息披露的透明度、完</w:t>
      </w:r>
      <w:r>
        <w:rPr>
          <w:spacing w:val="-71"/>
        </w:rPr>
        <w:t> </w:t>
      </w:r>
      <w:r>
        <w:rPr>
          <w:spacing w:val="-71"/>
        </w:rPr>
      </w:r>
      <w:r>
        <w:rPr/>
        <w:t>整性和公平性。</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二、公司相对于控股股东在业务、人员、资产、机构、财务等方面的独立情况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126"/>
        <w:jc w:val="left"/>
      </w:pPr>
      <w:r>
        <w:rPr>
          <w:rFonts w:ascii="Times New Roman" w:hAnsi="Times New Roman" w:cs="Times New Roman" w:eastAsia="Times New Roman" w:hint="default"/>
        </w:rPr>
        <w:t>1</w:t>
      </w:r>
      <w:r>
        <w:rPr/>
        <w:t>、资产独立 </w:t>
      </w:r>
      <w:r>
        <w:rPr>
          <w:spacing w:val="-2"/>
        </w:rPr>
        <w:t>本公司资产独立，不存在资产、资金被控股股东占用的情形，不存在以资产、权益为控股股东担保的情形，本公司现有的资</w:t>
      </w:r>
      <w:r>
        <w:rPr>
          <w:spacing w:val="-69"/>
        </w:rPr>
        <w:t> </w:t>
      </w:r>
      <w:r>
        <w:rPr>
          <w:spacing w:val="-69"/>
        </w:rPr>
      </w:r>
      <w:r>
        <w:rPr/>
        <w:t>产独立、完整，没有以其资产为股东或个人债务以及其他法人或自然人提供任何形式的担保。</w:t>
      </w:r>
    </w:p>
    <w:p>
      <w:pPr>
        <w:spacing w:after="0" w:line="309"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312" w:lineRule="auto" w:before="37"/>
        <w:ind w:right="1126"/>
        <w:jc w:val="left"/>
      </w:pPr>
      <w:r>
        <w:rPr>
          <w:rFonts w:ascii="Times New Roman" w:hAnsi="Times New Roman" w:cs="Times New Roman" w:eastAsia="Times New Roman" w:hint="default"/>
        </w:rPr>
        <w:t>2</w:t>
      </w:r>
      <w:r>
        <w:rPr/>
        <w:t>、人员独立 </w:t>
      </w:r>
      <w:r>
        <w:rPr>
          <w:spacing w:val="-2"/>
        </w:rPr>
        <w:t>本公司总裁、副总裁、财务总监、董事会秘书等高级管理人员专职在公司工作、领取薪酬，不存在在控股股东及其控制的其</w:t>
      </w:r>
      <w:r>
        <w:rPr>
          <w:spacing w:val="-69"/>
        </w:rPr>
        <w:t> </w:t>
      </w:r>
      <w:r>
        <w:rPr>
          <w:spacing w:val="-69"/>
        </w:rPr>
      </w:r>
      <w:r>
        <w:rPr>
          <w:spacing w:val="-2"/>
        </w:rPr>
        <w:t>他企业中兼任除董事、监事之外职务及领取薪酬的情形。本公司财务人员不存在在控股股东及其控制的其他企业中兼职的情</w:t>
      </w:r>
      <w:r>
        <w:rPr>
          <w:spacing w:val="-64"/>
        </w:rPr>
        <w:t> </w:t>
      </w:r>
      <w:r>
        <w:rPr>
          <w:spacing w:val="-64"/>
        </w:rPr>
      </w:r>
      <w:r>
        <w:rPr/>
        <w:t>形。</w:t>
      </w:r>
    </w:p>
    <w:p>
      <w:pPr>
        <w:pStyle w:val="BodyText"/>
        <w:spacing w:line="309" w:lineRule="auto" w:before="22"/>
        <w:ind w:right="1126"/>
        <w:jc w:val="left"/>
      </w:pPr>
      <w:r>
        <w:rPr>
          <w:rFonts w:ascii="Times New Roman" w:hAnsi="Times New Roman" w:cs="Times New Roman" w:eastAsia="Times New Roman" w:hint="default"/>
        </w:rPr>
        <w:t>3</w:t>
      </w:r>
      <w:r>
        <w:rPr/>
        <w:t>、财务独立 </w:t>
      </w:r>
      <w:r>
        <w:rPr>
          <w:spacing w:val="-2"/>
        </w:rPr>
        <w:t>本公司设有独立的财务会计部门，配备了专门的财务人员，建立了独立的会计核算体系和财务管理制度。本公司独立在银行</w:t>
      </w:r>
      <w:r>
        <w:rPr>
          <w:spacing w:val="-64"/>
        </w:rPr>
        <w:t> </w:t>
      </w:r>
      <w:r>
        <w:rPr>
          <w:spacing w:val="-64"/>
        </w:rPr>
      </w:r>
      <w:r>
        <w:rPr/>
        <w:t>开户，依法独立纳税，独立做出财务决策，不存在资金被控股股东及其控制的其他企业占用的情形。</w:t>
      </w:r>
    </w:p>
    <w:p>
      <w:pPr>
        <w:pStyle w:val="BodyText"/>
        <w:spacing w:line="309" w:lineRule="auto" w:before="24"/>
        <w:ind w:right="1034"/>
        <w:jc w:val="left"/>
      </w:pPr>
      <w:r>
        <w:rPr>
          <w:rFonts w:ascii="Times New Roman" w:hAnsi="Times New Roman" w:cs="Times New Roman" w:eastAsia="Times New Roman" w:hint="default"/>
        </w:rPr>
        <w:t>4</w:t>
      </w:r>
      <w:r>
        <w:rPr/>
        <w:t>、机构独立 </w:t>
      </w:r>
      <w:r>
        <w:rPr>
          <w:spacing w:val="-4"/>
        </w:rPr>
        <w:t>本公司依法设立股东大会、董事会、监事会等机构，各项规章制度完善，法人治理结构规范有效。本公司建立了独立于股东、</w:t>
      </w:r>
      <w:r>
        <w:rPr>
          <w:spacing w:val="-45"/>
        </w:rPr>
        <w:t> </w:t>
      </w:r>
      <w:r>
        <w:rPr>
          <w:spacing w:val="-45"/>
        </w:rPr>
      </w:r>
      <w:r>
        <w:rPr/>
        <w:t>适应自身发展需要的组织机构，各部门职能明确，形成了独立且完善的管理机构。</w:t>
      </w:r>
    </w:p>
    <w:p>
      <w:pPr>
        <w:pStyle w:val="BodyText"/>
        <w:spacing w:line="328" w:lineRule="auto" w:before="24"/>
        <w:ind w:right="1126"/>
        <w:jc w:val="left"/>
      </w:pPr>
      <w:r>
        <w:rPr>
          <w:rFonts w:ascii="Times New Roman" w:hAnsi="Times New Roman" w:cs="Times New Roman" w:eastAsia="Times New Roman" w:hint="default"/>
        </w:rPr>
        <w:t>5</w:t>
      </w:r>
      <w:r>
        <w:rPr/>
        <w:t>、业务独立 </w:t>
      </w:r>
      <w:r>
        <w:rPr>
          <w:spacing w:val="-2"/>
        </w:rPr>
        <w:t>本公司具有独立完整的业务体系和直接面向市场经营的能力，拥有独立的生产经营场所，独立对外签订合同，开展业务，不</w:t>
      </w:r>
      <w:r>
        <w:rPr>
          <w:spacing w:val="-65"/>
        </w:rPr>
        <w:t> </w:t>
      </w:r>
      <w:r>
        <w:rPr>
          <w:spacing w:val="-65"/>
        </w:rPr>
      </w:r>
      <w:r>
        <w:rPr/>
        <w:t>存在对公司控股股东及其控制的其他企业或者第三方重大依赖的情形，与控股股东及其控制的其他企业不存在同业竞争。</w:t>
      </w:r>
    </w:p>
    <w:p>
      <w:pPr>
        <w:spacing w:line="240" w:lineRule="auto" w:before="13"/>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三、同业竞争情况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rFonts w:ascii="Tahoma" w:hAnsi="Tahoma" w:cs="Tahoma" w:eastAsia="Tahoma" w:hint="default"/>
        </w:rPr>
      </w:pPr>
      <w:r>
        <w:rPr/>
        <w:t>四、报告期内召开的年度股东大会和临时股东大会的有关情况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、本报告期股东大会情况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9"/>
        <w:rPr>
          <w:rFonts w:ascii="Tahoma" w:hAnsi="Tahoma" w:cs="Tahoma" w:eastAsia="Tahoma" w:hint="default"/>
          <w:sz w:val="17"/>
          <w:szCs w:val="17"/>
        </w:rPr>
      </w:pPr>
    </w:p>
    <w:p>
      <w:pPr>
        <w:pStyle w:val="BodyText"/>
        <w:spacing w:line="240" w:lineRule="auto"/>
        <w:ind w:left="0" w:right="1159"/>
        <w:jc w:val="right"/>
      </w:pPr>
      <w:r>
        <w:rPr/>
        <w:pict>
          <v:shape style="position:absolute;margin-left:56.399998pt;margin-top:-54.2883pt;width:479.05pt;height:248.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6">
                          <w:r>
                            <w:rPr>
                              <w:rFonts w:ascii="Times New Roman" w:hAnsi="Times New Roman" w:cs="Times New Roman" w:eastAsia="Times New Roman" w:hint="default"/>
                              <w:sz w:val="18"/>
                              <w:szCs w:val="18"/>
                            </w:rPr>
                            <w:t>www.cninfo.com.</w:t>
                          </w:r>
                        </w:hyperlink>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）及《证券时报</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5"/>
                          <w:jc w:val="right"/>
                          <w:rPr>
                            <w:rFonts w:ascii="Times New Roman" w:hAnsi="Times New Roman" w:cs="Times New Roman" w:eastAsia="Times New Roman" w:hint="default"/>
                            <w:sz w:val="18"/>
                            <w:szCs w:val="18"/>
                          </w:rPr>
                        </w:pPr>
                        <w:r>
                          <w:rPr>
                            <w:rFonts w:ascii="Times New Roman"/>
                            <w:sz w:val="18"/>
                          </w:rPr>
                          <w:t>54.48%</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5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2019-044</w:t>
                        </w:r>
                        <w:r>
                          <w:rPr>
                            <w:rFonts w:ascii="宋体" w:hAnsi="宋体" w:cs="宋体" w:eastAsia="宋体" w:hint="default"/>
                            <w:sz w:val="18"/>
                            <w:szCs w:val="18"/>
                          </w:rPr>
                          <w:t>）</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6">
                          <w:r>
                            <w:rPr>
                              <w:rFonts w:ascii="Times New Roman" w:hAnsi="Times New Roman" w:cs="Times New Roman" w:eastAsia="Times New Roman" w:hint="default"/>
                              <w:sz w:val="18"/>
                              <w:szCs w:val="18"/>
                            </w:rPr>
                            <w:t>www.cninfo.com.</w:t>
                          </w:r>
                        </w:hyperlink>
                      </w:p>
                    </w:tc>
                  </w:tr>
                  <w:tr>
                    <w:trPr>
                      <w:trHeight w:val="93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5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z w:val="18"/>
                          </w:rPr>
                          <w:t>53.43%</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2"/>
                          <w:ind w:left="24"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2019-119</w:t>
                        </w:r>
                        <w:r>
                          <w:rPr>
                            <w:rFonts w:ascii="宋体" w:hAnsi="宋体" w:cs="宋体" w:eastAsia="宋体" w:hint="default"/>
                            <w:sz w:val="18"/>
                            <w:szCs w:val="18"/>
                          </w:rPr>
                          <w:t>）</w:t>
                        </w:r>
                      </w:p>
                    </w:tc>
                  </w:tr>
                </w:tbl>
                <w:p>
                  <w:pPr/>
                </w:p>
              </w:txbxContent>
            </v:textbox>
            <w10:wrap type="none"/>
          </v:shape>
        </w:pict>
      </w:r>
      <w:r>
        <w:rPr/>
        <w:t>》</w:t>
      </w:r>
    </w:p>
    <w:p>
      <w:pPr>
        <w:spacing w:line="240" w:lineRule="auto" w:before="11"/>
        <w:rPr>
          <w:rFonts w:ascii="宋体" w:hAnsi="宋体" w:cs="宋体" w:eastAsia="宋体" w:hint="default"/>
          <w:sz w:val="26"/>
          <w:szCs w:val="26"/>
        </w:rPr>
      </w:pPr>
    </w:p>
    <w:p>
      <w:pPr>
        <w:pStyle w:val="BodyText"/>
        <w:spacing w:line="240" w:lineRule="auto" w:before="37"/>
        <w:ind w:left="0" w:right="114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7"/>
        <w:ind w:left="0" w:right="1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、表决权恢复的优先股股东请求召开临时股东大会</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五、报告期内独立董事履行职责的情况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、独立董事出席董事会及股东大会的情况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8" w:right="3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07" w:right="33"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6" w:right="3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487" w:right="33"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刘纯斌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、独立董事对公司有关事项提出异议的情况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、独立董事履行职责的其他说明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 独立董事对公司有关建议被采纳或未被采纳的说明</w:t>
      </w:r>
    </w:p>
    <w:p>
      <w:pPr>
        <w:pStyle w:val="BodyText"/>
        <w:spacing w:line="309" w:lineRule="auto" w:before="39"/>
        <w:ind w:right="0"/>
        <w:jc w:val="left"/>
      </w:pPr>
      <w:r>
        <w:rPr>
          <w:spacing w:val="-2"/>
        </w:rPr>
        <w:t>报告期内，公司独立董事忠实勤勉、依法严格履行了职责，亲自出席了公司召开的董事会会议并独立、客观的发表独立董事</w:t>
      </w:r>
      <w:r>
        <w:rPr>
          <w:spacing w:val="-64"/>
        </w:rPr>
        <w:t> </w:t>
      </w:r>
      <w:r>
        <w:rPr>
          <w:spacing w:val="-64"/>
        </w:rPr>
      </w:r>
      <w:r>
        <w:rPr>
          <w:spacing w:val="-2"/>
        </w:rPr>
        <w:t>意见；定期了解公司经营情况，关注外部环境变化对公司造成的影响，对公司的发展战略、内部控制、重大经营决策等提供</w:t>
      </w:r>
      <w:r>
        <w:rPr>
          <w:spacing w:val="-69"/>
        </w:rPr>
        <w:t> </w:t>
      </w:r>
      <w:r>
        <w:rPr>
          <w:spacing w:val="-69"/>
        </w:rPr>
      </w:r>
      <w:r>
        <w:rPr/>
        <w:t>了专业性意见，提高了决策的科学性。 </w:t>
      </w:r>
      <w:r>
        <w:rPr>
          <w:spacing w:val="-2"/>
        </w:rPr>
        <w:t>报告期内，独立董事张建军、李伟东对公司累计和当期对外担保情况、关于</w:t>
      </w:r>
      <w:r>
        <w:rPr>
          <w:rFonts w:ascii="Times New Roman" w:hAnsi="Times New Roman" w:cs="Times New Roman" w:eastAsia="Times New Roman" w:hint="default"/>
          <w:spacing w:val="-2"/>
        </w:rPr>
        <w:t>2018</w:t>
      </w:r>
      <w:r>
        <w:rPr>
          <w:spacing w:val="-2"/>
        </w:rPr>
        <w:t>年度内部控制自我评价报告、</w:t>
      </w:r>
      <w:r>
        <w:rPr>
          <w:rFonts w:ascii="Times New Roman" w:hAnsi="Times New Roman" w:cs="Times New Roman" w:eastAsia="Times New Roman" w:hint="default"/>
          <w:spacing w:val="-2"/>
        </w:rPr>
        <w:t>2018</w:t>
      </w:r>
      <w:r>
        <w:rPr>
          <w:spacing w:val="-2"/>
        </w:rPr>
        <w:t>年度募集</w:t>
      </w:r>
      <w:r>
        <w:rPr>
          <w:spacing w:val="-59"/>
        </w:rPr>
        <w:t> </w:t>
      </w:r>
      <w:r>
        <w:rPr>
          <w:spacing w:val="-59"/>
        </w:rPr>
      </w:r>
      <w:r>
        <w:rPr>
          <w:spacing w:val="-2"/>
        </w:rPr>
        <w:t>资金存放与使用、实际控制人与其他关联方占用资金情况、</w:t>
      </w:r>
      <w:r>
        <w:rPr>
          <w:rFonts w:ascii="Times New Roman" w:hAnsi="Times New Roman" w:cs="Times New Roman" w:eastAsia="Times New Roman" w:hint="default"/>
          <w:spacing w:val="-2"/>
        </w:rPr>
        <w:t>2018</w:t>
      </w:r>
      <w:r>
        <w:rPr>
          <w:spacing w:val="-2"/>
        </w:rPr>
        <w:t>年度利润分配预案、续聘会计师事务所、公司高级管理人员</w:t>
      </w:r>
      <w:r>
        <w:rPr>
          <w:spacing w:val="-63"/>
        </w:rPr>
        <w:t> </w:t>
      </w:r>
      <w:r>
        <w:rPr>
          <w:spacing w:val="-63"/>
        </w:rPr>
      </w:r>
      <w:r>
        <w:rPr>
          <w:rFonts w:ascii="Times New Roman" w:hAnsi="Times New Roman" w:cs="Times New Roman" w:eastAsia="Times New Roman" w:hint="default"/>
          <w:spacing w:val="-2"/>
        </w:rPr>
        <w:t>2018</w:t>
      </w:r>
      <w:r>
        <w:rPr>
          <w:spacing w:val="-2"/>
        </w:rPr>
        <w:t>年度绩效薪酬的议案、关于</w:t>
      </w:r>
      <w:r>
        <w:rPr>
          <w:rFonts w:ascii="Times New Roman" w:hAnsi="Times New Roman" w:cs="Times New Roman" w:eastAsia="Times New Roman" w:hint="default"/>
          <w:spacing w:val="-2"/>
        </w:rPr>
        <w:t>2019</w:t>
      </w:r>
      <w:r>
        <w:rPr>
          <w:spacing w:val="-2"/>
        </w:rPr>
        <w:t>年半年度募集资金存放与使用、关于使用部分闲置募集资金购买理财产品事项、关于使</w:t>
      </w:r>
      <w:r>
        <w:rPr>
          <w:spacing w:val="-58"/>
        </w:rPr>
        <w:t> </w:t>
      </w:r>
      <w:r>
        <w:rPr>
          <w:spacing w:val="-58"/>
        </w:rPr>
      </w:r>
      <w:r>
        <w:rPr>
          <w:spacing w:val="-2"/>
        </w:rPr>
        <w:t>用暂时闲置自有资金购买理财产品事项、关于使用部分暂时闲置募集资金暂时补充流动资金的事项、关于第五届董事会董事</w:t>
      </w:r>
      <w:r>
        <w:rPr>
          <w:spacing w:val="-64"/>
        </w:rPr>
        <w:t> </w:t>
      </w:r>
      <w:r>
        <w:rPr>
          <w:spacing w:val="-64"/>
        </w:rPr>
      </w:r>
      <w:r>
        <w:rPr/>
        <w:t>候选人的事项、关于第五届董事会董事薪酬、津贴的事项等发表了独立意见。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left"/>
        <w:rPr>
          <w:rFonts w:ascii="Tahoma" w:hAnsi="Tahoma" w:cs="Tahoma" w:eastAsia="Tahoma" w:hint="default"/>
        </w:rPr>
      </w:pPr>
      <w:r>
        <w:rPr/>
        <w:t>六、董事会下设专门委员会在报告期内履行职责情况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1</w:t>
      </w:r>
      <w:r>
        <w:rPr/>
        <w:t>、提名委员会履职情况</w:t>
      </w:r>
    </w:p>
    <w:p>
      <w:pPr>
        <w:pStyle w:val="BodyText"/>
        <w:spacing w:line="240" w:lineRule="auto" w:before="63"/>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日召开提名委员会</w:t>
      </w:r>
      <w:r>
        <w:rPr>
          <w:rFonts w:ascii="Times New Roman" w:hAnsi="Times New Roman" w:cs="Times New Roman" w:eastAsia="Times New Roman" w:hint="default"/>
        </w:rPr>
        <w:t>2019</w:t>
      </w:r>
      <w:r>
        <w:rPr/>
        <w:t>年第一次会议，审议通过如下议案：</w:t>
      </w:r>
    </w:p>
    <w:p>
      <w:pPr>
        <w:pStyle w:val="BodyText"/>
        <w:spacing w:line="240" w:lineRule="auto" w:before="63"/>
        <w:ind w:right="0"/>
        <w:jc w:val="left"/>
      </w:pPr>
      <w:r>
        <w:rPr>
          <w:rFonts w:ascii="Times New Roman" w:hAnsi="Times New Roman" w:cs="Times New Roman" w:eastAsia="Times New Roman" w:hint="default"/>
        </w:rPr>
        <w:t>A</w:t>
      </w:r>
      <w:r>
        <w:rPr/>
        <w:t>《关于提名第五届董事会非独立董事候选人的议案》；</w:t>
      </w:r>
    </w:p>
    <w:p>
      <w:pPr>
        <w:spacing w:after="0" w:line="240" w:lineRule="auto"/>
        <w:jc w:val="left"/>
        <w:sectPr>
          <w:pgSz w:w="11910" w:h="16840"/>
          <w:pgMar w:header="753" w:footer="982" w:top="1060" w:bottom="1180" w:left="980" w:right="0"/>
        </w:sectPr>
      </w:pPr>
    </w:p>
    <w:p>
      <w:pPr>
        <w:spacing w:line="240" w:lineRule="auto" w:before="4"/>
        <w:rPr>
          <w:rFonts w:ascii="宋体" w:hAnsi="宋体" w:cs="宋体" w:eastAsia="宋体" w:hint="default"/>
          <w:sz w:val="26"/>
          <w:szCs w:val="26"/>
        </w:rPr>
      </w:pPr>
    </w:p>
    <w:p>
      <w:pPr>
        <w:pStyle w:val="BodyText"/>
        <w:spacing w:line="240" w:lineRule="auto" w:before="37"/>
        <w:ind w:right="0"/>
        <w:jc w:val="left"/>
      </w:pPr>
      <w:r>
        <w:rPr>
          <w:rFonts w:ascii="Times New Roman" w:hAnsi="Times New Roman" w:cs="Times New Roman" w:eastAsia="Times New Roman" w:hint="default"/>
        </w:rPr>
        <w:t>B</w:t>
      </w:r>
      <w:r>
        <w:rPr/>
        <w:t>《关于提名第五届董事会独立董事候选人的议案》</w:t>
      </w:r>
    </w:p>
    <w:p>
      <w:pPr>
        <w:pStyle w:val="BodyText"/>
        <w:spacing w:line="240" w:lineRule="auto" w:before="63"/>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日召开提名委员会</w:t>
      </w:r>
      <w:r>
        <w:rPr>
          <w:rFonts w:ascii="Times New Roman" w:hAnsi="Times New Roman" w:cs="Times New Roman" w:eastAsia="Times New Roman" w:hint="default"/>
        </w:rPr>
        <w:t>2019</w:t>
      </w:r>
      <w:r>
        <w:rPr/>
        <w:t>年第二次会议，审议通过了《关于提名公司高级管理人员的议案》。</w:t>
      </w:r>
    </w:p>
    <w:p>
      <w:pPr>
        <w:pStyle w:val="BodyText"/>
        <w:spacing w:line="240" w:lineRule="auto" w:before="63"/>
        <w:ind w:right="0"/>
        <w:jc w:val="left"/>
      </w:pPr>
      <w:r>
        <w:rPr>
          <w:rFonts w:ascii="Times New Roman" w:hAnsi="Times New Roman" w:cs="Times New Roman" w:eastAsia="Times New Roman" w:hint="default"/>
        </w:rPr>
        <w:t>2</w:t>
      </w:r>
      <w:r>
        <w:rPr/>
        <w:t>、审计委员会的履职情况</w:t>
      </w:r>
    </w:p>
    <w:p>
      <w:pPr>
        <w:pStyle w:val="BodyText"/>
        <w:spacing w:line="240" w:lineRule="auto" w:before="63"/>
        <w:ind w:right="0"/>
        <w:jc w:val="left"/>
      </w:pPr>
      <w:r>
        <w:rPr/>
        <w:t>（</w:t>
      </w:r>
      <w:r>
        <w:rPr>
          <w:rFonts w:ascii="Times New Roman" w:hAnsi="Times New Roman" w:cs="Times New Roman" w:eastAsia="Times New Roman" w:hint="default"/>
        </w:rPr>
        <w:t>1</w:t>
      </w:r>
      <w:r>
        <w:rPr/>
        <w:t>）报告期召开会议的情况</w:t>
      </w:r>
    </w:p>
    <w:p>
      <w:pPr>
        <w:pStyle w:val="BodyText"/>
        <w:spacing w:line="240" w:lineRule="auto" w:before="63"/>
        <w:ind w:right="0"/>
        <w:jc w:val="left"/>
      </w:pPr>
      <w:r>
        <w:rPr>
          <w:rFonts w:ascii="Times New Roman" w:hAnsi="Times New Roman" w:cs="Times New Roman" w:eastAsia="Times New Roman" w:hint="default"/>
        </w:rPr>
        <w:t>2019</w:t>
      </w:r>
      <w:r>
        <w:rPr/>
        <w:t>年，董事会审计委员会共召开</w:t>
      </w:r>
      <w:r>
        <w:rPr>
          <w:rFonts w:ascii="Times New Roman" w:hAnsi="Times New Roman" w:cs="Times New Roman" w:eastAsia="Times New Roman" w:hint="default"/>
        </w:rPr>
        <w:t>4</w:t>
      </w:r>
      <w:r>
        <w:rPr/>
        <w:t>次会议，分别如下：</w:t>
      </w:r>
    </w:p>
    <w:p>
      <w:pPr>
        <w:pStyle w:val="BodyText"/>
        <w:spacing w:line="300" w:lineRule="auto" w:before="63"/>
        <w:ind w:right="445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日召开第四届董事会审计委员会第十五次会议，审议通过以下议案：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t>年年度财务报告》</w:t>
      </w:r>
    </w:p>
    <w:p>
      <w:pPr>
        <w:pStyle w:val="BodyText"/>
        <w:spacing w:line="300" w:lineRule="auto" w:before="13"/>
        <w:ind w:right="436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2018</w:t>
      </w:r>
      <w:r>
        <w:rPr/>
        <w:t>年第四季度有关事项的检查报告》 </w:t>
      </w:r>
      <w:r>
        <w:rPr>
          <w:rFonts w:ascii="Times New Roman" w:hAnsi="Times New Roman" w:cs="Times New Roman" w:eastAsia="Times New Roman" w:hint="default"/>
        </w:rPr>
        <w:t>C</w:t>
      </w:r>
      <w:r>
        <w:rPr/>
        <w:t>《关于大信会计师事务所（特殊普通合伙）</w:t>
      </w:r>
      <w:r>
        <w:rPr>
          <w:rFonts w:ascii="Times New Roman" w:hAnsi="Times New Roman" w:cs="Times New Roman" w:eastAsia="Times New Roman" w:hint="default"/>
        </w:rPr>
        <w:t>2018</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2018</w:t>
      </w:r>
      <w:r>
        <w:rPr/>
        <w:t>年度内部控制自我评价报告》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日召开第四届董事会审计委员会第十六次会议，审议通过以下议案：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2019</w:t>
      </w:r>
      <w:r>
        <w:rPr/>
        <w:t>年第一季度财务报告》</w:t>
      </w:r>
    </w:p>
    <w:p>
      <w:pPr>
        <w:pStyle w:val="BodyText"/>
        <w:spacing w:line="300" w:lineRule="auto" w:before="13"/>
        <w:ind w:right="436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2019</w:t>
      </w:r>
      <w:r>
        <w:rPr/>
        <w:t>年第一季度有关事项的检查报告》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2019</w:t>
      </w:r>
      <w:r>
        <w:rPr/>
        <w:t>年一季度工作总结及</w:t>
      </w:r>
      <w:r>
        <w:rPr>
          <w:rFonts w:ascii="Times New Roman" w:hAnsi="Times New Roman" w:cs="Times New Roman" w:eastAsia="Times New Roman" w:hint="default"/>
        </w:rPr>
        <w:t>2019</w:t>
      </w:r>
      <w:r>
        <w:rPr/>
        <w:t>年二季度工作计划》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日召开第四届董事会审计委员会第十七次会议，审议通过以下议案：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2019</w:t>
      </w:r>
      <w:r>
        <w:rPr/>
        <w:t>年半年度财务报告》</w:t>
      </w:r>
    </w:p>
    <w:p>
      <w:pPr>
        <w:pStyle w:val="BodyText"/>
        <w:spacing w:line="300" w:lineRule="auto" w:before="13"/>
        <w:ind w:right="427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2019</w:t>
      </w:r>
      <w:r>
        <w:rPr/>
        <w:t>年第二季度有关事项的检查报告》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2019</w:t>
      </w:r>
      <w:r>
        <w:rPr/>
        <w:t>年二季度工作总结及</w:t>
      </w:r>
      <w:r>
        <w:rPr>
          <w:rFonts w:ascii="Times New Roman" w:hAnsi="Times New Roman" w:cs="Times New Roman" w:eastAsia="Times New Roman" w:hint="default"/>
        </w:rPr>
        <w:t>2019</w:t>
      </w:r>
      <w:r>
        <w:rPr/>
        <w:t>年三季度工作计划》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日召开第四届董事会审计委员会第十八次会议，审议通过以下议案：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2019</w:t>
      </w:r>
      <w:r>
        <w:rPr/>
        <w:t>年第三季度财务报告》</w:t>
      </w:r>
    </w:p>
    <w:p>
      <w:pPr>
        <w:pStyle w:val="BodyText"/>
        <w:spacing w:line="300" w:lineRule="auto" w:before="13"/>
        <w:ind w:right="595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2019</w:t>
      </w:r>
      <w:r>
        <w:rPr/>
        <w:t>年第三季度有关事项的检查报告》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2019</w:t>
      </w:r>
      <w:r>
        <w:rPr/>
        <w:t>年三季度工作总结及</w:t>
      </w:r>
      <w:r>
        <w:rPr>
          <w:rFonts w:ascii="Times New Roman" w:hAnsi="Times New Roman" w:cs="Times New Roman" w:eastAsia="Times New Roman" w:hint="default"/>
        </w:rPr>
        <w:t>2019</w:t>
      </w:r>
      <w:r>
        <w:rPr/>
        <w:t>年四季度工作计划》</w:t>
      </w:r>
    </w:p>
    <w:p>
      <w:pPr>
        <w:pStyle w:val="BodyText"/>
        <w:spacing w:line="300" w:lineRule="auto" w:before="13"/>
        <w:ind w:left="368" w:right="1178" w:hanging="216"/>
        <w:jc w:val="left"/>
      </w:pPr>
      <w:r>
        <w:rPr/>
        <w:t>（</w:t>
      </w:r>
      <w:r>
        <w:rPr>
          <w:rFonts w:ascii="Times New Roman" w:hAnsi="Times New Roman" w:cs="Times New Roman" w:eastAsia="Times New Roman" w:hint="default"/>
        </w:rPr>
        <w:t>2</w:t>
      </w:r>
      <w:r>
        <w:rPr/>
        <w:t>）开展年报工作的情况 公司</w:t>
      </w:r>
      <w:r>
        <w:rPr>
          <w:rFonts w:ascii="Times New Roman" w:hAnsi="Times New Roman" w:cs="Times New Roman" w:eastAsia="Times New Roman" w:hint="default"/>
        </w:rPr>
        <w:t>2019</w:t>
      </w:r>
      <w:r>
        <w:rPr/>
        <w:t>年年度报告审计工作期间，公司审计委员会与年报审计会计师事务所高管财务人员就年报审计事项保持沟通，</w:t>
      </w:r>
    </w:p>
    <w:p>
      <w:pPr>
        <w:pStyle w:val="BodyText"/>
        <w:spacing w:line="316" w:lineRule="auto" w:before="13"/>
        <w:ind w:right="1126"/>
        <w:jc w:val="left"/>
      </w:pPr>
      <w:r>
        <w:rPr>
          <w:spacing w:val="-2"/>
        </w:rPr>
        <w:t>并就相关问题深入交换意见。审计委员会分别在年审注册会计师进场前、年审注册会计师出具初步意见后，对报表发表书面</w:t>
      </w:r>
      <w:r>
        <w:rPr>
          <w:spacing w:val="-62"/>
        </w:rPr>
        <w:t> </w:t>
      </w:r>
      <w:r>
        <w:rPr>
          <w:spacing w:val="-62"/>
        </w:rPr>
      </w:r>
      <w:r>
        <w:rPr/>
        <w:t>意见。</w:t>
      </w:r>
    </w:p>
    <w:p>
      <w:pPr>
        <w:pStyle w:val="BodyText"/>
        <w:spacing w:line="312" w:lineRule="auto" w:before="19"/>
        <w:ind w:right="1034"/>
        <w:jc w:val="left"/>
      </w:pPr>
      <w:r>
        <w:rPr/>
        <w:t>（</w:t>
      </w:r>
      <w:r>
        <w:rPr>
          <w:rFonts w:ascii="Times New Roman" w:hAnsi="Times New Roman" w:cs="Times New Roman" w:eastAsia="Times New Roman" w:hint="default"/>
        </w:rPr>
        <w:t>3</w:t>
      </w:r>
      <w:r>
        <w:rPr/>
        <w:t>）关于会计师事务所从事上年度公司审计工作的总结 大信会计师事务所（特殊普通合伙）在为公司提供审计服务的过程中，审计人员能够严格遵守《中国注册会计师审计准则》 相关要求，保持独立性和严谨性，在审计过程中，注册会计师积极保持与审计委员会委员独立董事公司高管等人员的沟通， 坚持以公允客观的态度进行审计，完成了所有必要的审计程序，表现了良好的职业操守和专业素质。</w:t>
      </w:r>
    </w:p>
    <w:p>
      <w:pPr>
        <w:spacing w:line="240" w:lineRule="auto" w:before="2"/>
        <w:rPr>
          <w:rFonts w:ascii="宋体" w:hAnsi="宋体" w:cs="宋体" w:eastAsia="宋体" w:hint="default"/>
          <w:sz w:val="21"/>
          <w:szCs w:val="21"/>
        </w:rPr>
      </w:pPr>
    </w:p>
    <w:p>
      <w:pPr>
        <w:pStyle w:val="Heading3"/>
        <w:spacing w:line="240" w:lineRule="auto"/>
        <w:ind w:right="0"/>
        <w:jc w:val="left"/>
        <w:rPr>
          <w:rFonts w:ascii="Tahoma" w:hAnsi="Tahoma" w:cs="Tahoma" w:eastAsia="Tahoma" w:hint="default"/>
        </w:rPr>
      </w:pPr>
      <w:r>
        <w:rPr/>
        <w:t>七、监事会工作情况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0"/>
        <w:jc w:val="left"/>
        <w:rPr>
          <w:rFonts w:ascii="Tahoma" w:hAnsi="Tahoma" w:cs="Tahoma" w:eastAsia="Tahoma" w:hint="default"/>
        </w:rPr>
      </w:pPr>
      <w:r>
        <w:rPr/>
        <w:t>八、高级管理人员的考评及激励情况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0"/>
        <w:jc w:val="left"/>
      </w:pPr>
      <w:r>
        <w:rPr>
          <w:spacing w:val="-2"/>
        </w:rPr>
        <w:t>公司建立了高级管理人员的选择、考评、激励与约束机制，公司高管人员全部由董事会聘任，对董事会负责，承担董事会下</w:t>
      </w:r>
      <w:r>
        <w:rPr>
          <w:spacing w:val="-66"/>
        </w:rPr>
        <w:t> </w:t>
      </w:r>
      <w:r>
        <w:rPr>
          <w:spacing w:val="-66"/>
        </w:rPr>
      </w:r>
      <w:r>
        <w:rPr/>
        <w:t>达的经营指标，董事会负责对高级管理人员进行考评、确定薪酬。</w:t>
      </w:r>
    </w:p>
    <w:p>
      <w:pPr>
        <w:spacing w:after="0" w:line="316" w:lineRule="auto"/>
        <w:jc w:val="left"/>
        <w:sectPr>
          <w:pgSz w:w="11910" w:h="16840"/>
          <w:pgMar w:header="753" w:footer="982" w:top="1060" w:bottom="118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rFonts w:ascii="Tahoma" w:hAnsi="Tahoma" w:cs="Tahoma" w:eastAsia="Tahoma" w:hint="default"/>
        </w:rPr>
      </w:pPr>
      <w:r>
        <w:rPr/>
        <w:t>九、内部控制评价报告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、报告期内发现的内部控制重大缺陷的具体情况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、内控自我评价报告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27"/>
          <w:szCs w:val="27"/>
        </w:rPr>
      </w:pPr>
    </w:p>
    <w:p>
      <w:pPr>
        <w:pStyle w:val="BodyText"/>
        <w:spacing w:line="240" w:lineRule="auto" w:before="37"/>
        <w:ind w:left="0" w:right="1164"/>
        <w:jc w:val="right"/>
      </w:pPr>
      <w:r>
        <w:rPr/>
        <w:pict>
          <v:shape style="position:absolute;margin-left:56.399998pt;margin-top:-277.558289pt;width:479.2pt;height:506.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80.65%</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98.09%</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4" w:lineRule="auto"/>
                          <w:ind w:left="29" w:right="18"/>
                          <w:jc w:val="left"/>
                          <w:rPr>
                            <w:rFonts w:ascii="宋体" w:hAnsi="宋体" w:cs="宋体" w:eastAsia="宋体" w:hint="default"/>
                            <w:sz w:val="18"/>
                            <w:szCs w:val="18"/>
                          </w:rPr>
                        </w:pPr>
                        <w:r>
                          <w:rPr>
                            <w:rFonts w:ascii="宋体" w:hAnsi="宋体" w:cs="宋体" w:eastAsia="宋体" w:hint="default"/>
                            <w:sz w:val="18"/>
                            <w:szCs w:val="18"/>
                          </w:rPr>
                          <w:t>公司若发生以下情况，则表明可能存在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迹象：</w:t>
                        </w:r>
                        <w:r>
                          <w:rPr>
                            <w:rFonts w:ascii="Times New Roman" w:hAnsi="Times New Roman" w:cs="Times New Roman" w:eastAsia="Times New Roman" w:hint="default"/>
                            <w:sz w:val="18"/>
                            <w:szCs w:val="18"/>
                          </w:rPr>
                          <w:t>A</w:t>
                        </w:r>
                        <w:r>
                          <w:rPr>
                            <w:rFonts w:ascii="宋体" w:hAnsi="宋体" w:cs="宋体" w:eastAsia="宋体" w:hint="default"/>
                            <w:sz w:val="18"/>
                            <w:szCs w:val="18"/>
                          </w:rPr>
                          <w:t>、由于财务工作出现重 大失误，导致对已公布的财务报告进行重 大更正；</w:t>
                        </w:r>
                        <w:r>
                          <w:rPr>
                            <w:rFonts w:ascii="Times New Roman" w:hAnsi="Times New Roman" w:cs="Times New Roman" w:eastAsia="Times New Roman" w:hint="default"/>
                            <w:sz w:val="18"/>
                            <w:szCs w:val="18"/>
                          </w:rPr>
                          <w:t>B</w:t>
                        </w:r>
                        <w:r>
                          <w:rPr>
                            <w:rFonts w:ascii="宋体" w:hAnsi="宋体" w:cs="宋体" w:eastAsia="宋体" w:hint="default"/>
                            <w:sz w:val="18"/>
                            <w:szCs w:val="18"/>
                          </w:rPr>
                          <w:t>、董事、监事和高级管理层的 舞弊行为，给公司造成重大影响；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、审 计委员会对财务报告内部控制监督无效； </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、内部审计职能无效；</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、重大缺陷没有</w:t>
                        </w:r>
                        <w:r>
                          <w:rPr>
                            <w:rFonts w:ascii="宋体" w:hAnsi="宋体" w:cs="宋体" w:eastAsia="宋体" w:hint="default"/>
                            <w:sz w:val="18"/>
                            <w:szCs w:val="18"/>
                          </w:rPr>
                          <w:t> 得到整改。</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18"/>
                          <w:jc w:val="left"/>
                          <w:rPr>
                            <w:rFonts w:ascii="宋体" w:hAnsi="宋体" w:cs="宋体" w:eastAsia="宋体" w:hint="default"/>
                            <w:sz w:val="18"/>
                            <w:szCs w:val="18"/>
                          </w:rPr>
                        </w:pPr>
                        <w:r>
                          <w:rPr>
                            <w:rFonts w:ascii="宋体" w:hAnsi="宋体" w:cs="宋体" w:eastAsia="宋体" w:hint="default"/>
                            <w:spacing w:val="-4"/>
                            <w:sz w:val="18"/>
                            <w:szCs w:val="18"/>
                          </w:rPr>
                          <w:t>公司若存在以下迹象，则表明非财务报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告内部控制可能存在</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r>
                          <w:rPr>
                            <w:rFonts w:ascii="宋体" w:hAnsi="宋体" w:cs="宋体" w:eastAsia="宋体" w:hint="default"/>
                            <w:spacing w:val="-4"/>
                            <w:sz w:val="18"/>
                            <w:szCs w:val="18"/>
                          </w:rPr>
                          <w:t>违反国家法律、法规或规范性文件，造</w:t>
                        </w:r>
                        <w:r>
                          <w:rPr>
                            <w:rFonts w:ascii="宋体" w:hAnsi="宋体" w:cs="宋体" w:eastAsia="宋体" w:hint="default"/>
                            <w:sz w:val="18"/>
                            <w:szCs w:val="18"/>
                          </w:rPr>
                          <w:t> 成恶劣后果；</w:t>
                        </w:r>
                        <w:r>
                          <w:rPr>
                            <w:rFonts w:ascii="Times New Roman" w:hAnsi="Times New Roman" w:cs="Times New Roman" w:eastAsia="Times New Roman" w:hint="default"/>
                            <w:sz w:val="18"/>
                            <w:szCs w:val="18"/>
                          </w:rPr>
                          <w:t>B</w:t>
                        </w:r>
                        <w:r>
                          <w:rPr>
                            <w:rFonts w:ascii="宋体" w:hAnsi="宋体" w:cs="宋体" w:eastAsia="宋体" w:hint="default"/>
                            <w:sz w:val="18"/>
                            <w:szCs w:val="18"/>
                          </w:rPr>
                          <w:t>、重要业务模块缺乏制 </w:t>
                        </w:r>
                        <w:r>
                          <w:rPr>
                            <w:rFonts w:ascii="宋体" w:hAnsi="宋体" w:cs="宋体" w:eastAsia="宋体" w:hint="default"/>
                            <w:spacing w:val="-4"/>
                            <w:sz w:val="18"/>
                            <w:szCs w:val="18"/>
                          </w:rPr>
                          <w:t>度管控或制度系统性失效，导致经营管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理过程中出现重大漏洞，对公司持续经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营能力造成恶劣影响；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、决策程序不 </w:t>
                        </w:r>
                        <w:r>
                          <w:rPr>
                            <w:rFonts w:ascii="宋体" w:hAnsi="宋体" w:cs="宋体" w:eastAsia="宋体" w:hint="default"/>
                            <w:spacing w:val="-1"/>
                            <w:sz w:val="18"/>
                            <w:szCs w:val="18"/>
                          </w:rPr>
                          <w:t>科学导致的重大决策失误；</w:t>
                        </w: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、高级管</w:t>
                        </w:r>
                        <w:r>
                          <w:rPr>
                            <w:rFonts w:ascii="宋体" w:hAnsi="宋体" w:cs="宋体" w:eastAsia="宋体" w:hint="default"/>
                            <w:sz w:val="18"/>
                            <w:szCs w:val="18"/>
                          </w:rPr>
                          <w:t> 理人员及核心技术人员流失异常严重 </w:t>
                        </w:r>
                        <w:r>
                          <w:rPr>
                            <w:rFonts w:ascii="Times New Roman" w:hAnsi="Times New Roman" w:cs="Times New Roman" w:eastAsia="Times New Roman" w:hint="default"/>
                            <w:sz w:val="18"/>
                            <w:szCs w:val="18"/>
                          </w:rPr>
                          <w:t>E</w:t>
                        </w:r>
                        <w:r>
                          <w:rPr>
                            <w:rFonts w:ascii="宋体" w:hAnsi="宋体" w:cs="宋体" w:eastAsia="宋体" w:hint="default"/>
                            <w:sz w:val="18"/>
                            <w:szCs w:val="18"/>
                          </w:rPr>
                          <w:t>、内部审计评价结果为</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的 事项没有得到整改。</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565"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785"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4" w:lineRule="auto" w:before="49"/>
                          <w:ind w:left="29" w:right="-25"/>
                          <w:jc w:val="left"/>
                          <w:rPr>
                            <w:rFonts w:ascii="宋体" w:hAnsi="宋体" w:cs="宋体" w:eastAsia="宋体" w:hint="default"/>
                            <w:sz w:val="18"/>
                            <w:szCs w:val="18"/>
                          </w:rPr>
                        </w:pP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 重要缺陷：资产总额的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资产总额的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w:t>
                        </w:r>
                        <w:r>
                          <w:rPr>
                            <w:rFonts w:ascii="宋体" w:hAnsi="宋体" w:cs="宋体" w:eastAsia="宋体" w:hint="default"/>
                            <w:spacing w:val="-81"/>
                            <w:sz w:val="18"/>
                            <w:szCs w:val="18"/>
                          </w:rPr>
                          <w:t> </w:t>
                        </w:r>
                        <w:r>
                          <w:rPr>
                            <w:rFonts w:ascii="宋体" w:hAnsi="宋体" w:cs="宋体" w:eastAsia="宋体" w:hint="default"/>
                            <w:sz w:val="18"/>
                            <w:szCs w:val="18"/>
                          </w:rPr>
                          <w:t>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。备注：定量标准中所指的 财务指标值均为公司最近一期经审计的合 并报表数据。</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一般缺陷：损失金额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；重要缺陷：营业收入总额的</w:t>
                        </w:r>
                      </w:p>
                      <w:p>
                        <w:pPr>
                          <w:pStyle w:val="TableParagraph"/>
                          <w:spacing w:line="300" w:lineRule="auto" w:before="63"/>
                          <w:ind w:left="26"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重大缺陷：损失金额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785"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7"/>
        <w:ind w:left="0" w:right="1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before="26"/>
        <w:ind w:right="0"/>
        <w:jc w:val="left"/>
        <w:rPr>
          <w:rFonts w:ascii="Tahoma" w:hAnsi="Tahoma" w:cs="Tahoma" w:eastAsia="Tahoma" w:hint="default"/>
        </w:rPr>
      </w:pPr>
      <w:r>
        <w:rPr/>
        <w:t>十、内部控制审计报告或鉴证报告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内部控制鉴证报告</w:t>
      </w:r>
    </w:p>
    <w:p>
      <w:pPr>
        <w:spacing w:after="0" w:line="240" w:lineRule="auto"/>
        <w:jc w:val="left"/>
        <w:sectPr>
          <w:pgSz w:w="11910" w:h="16840"/>
          <w:pgMar w:header="753"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84" w:hRule="exact"/>
        </w:trPr>
        <w:tc>
          <w:tcPr>
            <w:tcW w:w="956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一、管理层对内部控制的责任</w:t>
            </w:r>
          </w:p>
        </w:tc>
      </w:tr>
      <w:tr>
        <w:trPr>
          <w:trHeight w:val="35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按照国家有关法律法规的规定，设计、实施和维护有效的内部控制，并评价其有效性是贵公司管理层的责任。</w:t>
            </w:r>
          </w:p>
        </w:tc>
      </w:tr>
      <w:tr>
        <w:trPr>
          <w:trHeight w:val="35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二、注册会计师的责任</w:t>
            </w:r>
          </w:p>
        </w:tc>
      </w:tr>
      <w:tr>
        <w:trPr>
          <w:trHeight w:val="331"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pacing w:val="-1"/>
                <w:sz w:val="18"/>
                <w:szCs w:val="18"/>
              </w:rPr>
              <w:t>我们的责任是在实施鉴证工作的基础上对内部控制有效性发表鉴证意见。我们按照《中国注册会计师其他鉴证业务准则第</w:t>
            </w:r>
          </w:p>
        </w:tc>
      </w:tr>
      <w:tr>
        <w:trPr>
          <w:trHeight w:val="313"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历史财务信息审计或审阅以外的鉴证业务》的规定执行了鉴证工作。该准则要求我们计划和实施鉴证工作，以对</w:t>
            </w:r>
          </w:p>
        </w:tc>
      </w:tr>
      <w:tr>
        <w:trPr>
          <w:trHeight w:val="311"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
                <w:sz w:val="18"/>
                <w:szCs w:val="18"/>
              </w:rPr>
              <w:t>鉴证对象信息是否不存在重大错报获取合理保证。在鉴证过程中，我们实施了包括了解、测试和评价内部控制设计的合理</w:t>
            </w:r>
          </w:p>
        </w:tc>
      </w:tr>
      <w:tr>
        <w:trPr>
          <w:trHeight w:val="33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性和执行的有效性，以及我们认为必要的其他程序。</w:t>
            </w:r>
          </w:p>
        </w:tc>
      </w:tr>
      <w:tr>
        <w:trPr>
          <w:trHeight w:val="353"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我们相信，我们的鉴证工作为发表意见提供了合理的基础。</w:t>
            </w:r>
          </w:p>
        </w:tc>
      </w:tr>
      <w:tr>
        <w:trPr>
          <w:trHeight w:val="35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三、内部控制的固有局限性</w:t>
            </w:r>
          </w:p>
        </w:tc>
      </w:tr>
      <w:tr>
        <w:trPr>
          <w:trHeight w:val="331"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pacing w:val="-1"/>
                <w:sz w:val="18"/>
                <w:szCs w:val="18"/>
              </w:rPr>
              <w:t>内部控制具有固有限制，存在由于错误或舞弊而导致错报发生而未被发现的可能性。此外，由于情况的变化可能导致内部</w:t>
            </w:r>
          </w:p>
        </w:tc>
      </w:tr>
      <w:tr>
        <w:trPr>
          <w:trHeight w:val="31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
                <w:sz w:val="18"/>
                <w:szCs w:val="18"/>
              </w:rPr>
              <w:t>控制变得不恰当，或降低对控制政策、程序遵循的程度，根据内部控制评价结果推测未来内部控制的有效性具有一定的风</w:t>
            </w:r>
          </w:p>
        </w:tc>
      </w:tr>
      <w:tr>
        <w:trPr>
          <w:trHeight w:val="332"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险。</w:t>
            </w:r>
          </w:p>
        </w:tc>
      </w:tr>
      <w:tr>
        <w:trPr>
          <w:trHeight w:val="353"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四、鉴证意见</w:t>
            </w:r>
          </w:p>
        </w:tc>
      </w:tr>
      <w:tr>
        <w:trPr>
          <w:trHeight w:val="334" w:hRule="exact"/>
        </w:trPr>
        <w:tc>
          <w:tcPr>
            <w:tcW w:w="95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w:t>
            </w:r>
          </w:p>
        </w:tc>
      </w:tr>
      <w:tr>
        <w:trPr>
          <w:trHeight w:val="349" w:hRule="exact"/>
        </w:trPr>
        <w:tc>
          <w:tcPr>
            <w:tcW w:w="9569"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0"/>
        <w:jc w:val="left"/>
        <w:rPr>
          <w:rFonts w:ascii="Tahoma" w:hAnsi="Tahoma" w:cs="Tahoma" w:eastAsia="Tahoma" w:hint="default"/>
        </w:rPr>
      </w:pPr>
      <w:bookmarkStart w:name="_TOC_250001" w:id="11"/>
      <w:r>
        <w:rPr/>
        <w:t>第十一节公司债券相关情况</w:t>
      </w:r>
      <w:r>
        <w:rPr>
          <w:rFonts w:ascii="Tahoma" w:hAnsi="Tahoma" w:cs="Tahoma" w:eastAsia="Tahoma" w:hint="default"/>
          <w:w w:val="80"/>
        </w:rPr>
        <w:t> </w:t>
      </w:r>
      <w:bookmarkEnd w:id="11"/>
      <w:r>
        <w:rPr>
          <w:rFonts w:ascii="Tahoma" w:hAnsi="Tahoma" w:cs="Tahoma" w:eastAsia="Tahoma" w:hint="default"/>
        </w:rPr>
      </w:r>
    </w:p>
    <w:p>
      <w:pPr>
        <w:spacing w:line="240" w:lineRule="auto" w:before="0"/>
        <w:rPr>
          <w:rFonts w:ascii="Tahoma" w:hAnsi="Tahoma" w:cs="Tahoma" w:eastAsia="Tahoma" w:hint="default"/>
          <w:sz w:val="30"/>
          <w:szCs w:val="30"/>
        </w:rPr>
      </w:pPr>
    </w:p>
    <w:p>
      <w:pPr>
        <w:pStyle w:val="BodyText"/>
        <w:spacing w:line="357" w:lineRule="auto" w:before="206"/>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53"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left="3112" w:right="1195"/>
        <w:jc w:val="left"/>
        <w:rPr>
          <w:rFonts w:ascii="Tahoma" w:hAnsi="Tahoma" w:cs="Tahoma" w:eastAsia="Tahoma" w:hint="default"/>
        </w:rPr>
      </w:pPr>
      <w:r>
        <w:rPr/>
        <w:t>第十二节</w:t>
      </w:r>
      <w:r>
        <w:rPr>
          <w:spacing w:val="7"/>
        </w:rPr>
        <w:t> </w:t>
      </w:r>
      <w:r>
        <w:rPr>
          <w:rFonts w:ascii="Tahoma" w:hAnsi="Tahoma" w:cs="Tahoma" w:eastAsia="Tahoma" w:hint="default"/>
          <w:spacing w:val="7"/>
        </w:rPr>
      </w:r>
      <w:r>
        <w:rPr/>
        <w:t>财务报告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20"/>
          <w:szCs w:val="20"/>
        </w:rPr>
      </w:pPr>
    </w:p>
    <w:p>
      <w:pPr>
        <w:pStyle w:val="Heading3"/>
        <w:spacing w:line="240" w:lineRule="auto" w:before="26"/>
        <w:ind w:left="141" w:right="1195"/>
        <w:jc w:val="left"/>
        <w:rPr>
          <w:rFonts w:ascii="Tahoma" w:hAnsi="Tahoma" w:cs="Tahoma" w:eastAsia="Tahoma" w:hint="default"/>
        </w:rPr>
      </w:pPr>
      <w:r>
        <w:rPr/>
        <w:t>一、审计报告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陈菁佩、毛玲玲</w:t>
            </w:r>
          </w:p>
        </w:tc>
      </w:tr>
    </w:tbl>
    <w:p>
      <w:pPr>
        <w:pStyle w:val="BodyText"/>
        <w:spacing w:line="240" w:lineRule="auto" w:before="49"/>
        <w:ind w:left="2220" w:right="3780"/>
        <w:jc w:val="center"/>
      </w:pPr>
      <w:r>
        <w:rPr/>
        <w:t>审计报告正文</w:t>
      </w:r>
    </w:p>
    <w:p>
      <w:pPr>
        <w:spacing w:line="240" w:lineRule="auto" w:before="3"/>
        <w:rPr>
          <w:rFonts w:ascii="宋体" w:hAnsi="宋体" w:cs="宋体" w:eastAsia="宋体" w:hint="default"/>
          <w:sz w:val="24"/>
          <w:szCs w:val="24"/>
        </w:rPr>
      </w:pPr>
    </w:p>
    <w:p>
      <w:pPr>
        <w:pStyle w:val="Heading3"/>
        <w:spacing w:line="240" w:lineRule="auto" w:before="16"/>
        <w:ind w:left="621" w:right="1195"/>
        <w:jc w:val="left"/>
        <w:rPr>
          <w:rFonts w:ascii="宋体" w:hAnsi="宋体" w:cs="宋体" w:eastAsia="宋体" w:hint="default"/>
        </w:rPr>
      </w:pPr>
      <w:r>
        <w:rPr>
          <w:rFonts w:ascii="宋体" w:hAnsi="宋体" w:cs="宋体" w:eastAsia="宋体" w:hint="default"/>
        </w:rPr>
        <w:t>一、审计意见</w:t>
      </w:r>
    </w:p>
    <w:p>
      <w:pPr>
        <w:pStyle w:val="Heading4"/>
        <w:spacing w:line="240" w:lineRule="auto" w:before="189"/>
        <w:ind w:left="561" w:right="1195"/>
        <w:jc w:val="left"/>
      </w:pPr>
      <w:r>
        <w:rPr/>
        <w:t>我们审计了美盈森集团股份有限公司（以下简称“贵公司”）的财务报表，包括</w:t>
      </w:r>
      <w:r>
        <w:rPr>
          <w:spacing w:val="-61"/>
        </w:rPr>
        <w:t> </w:t>
      </w:r>
      <w:r>
        <w:rPr/>
        <w:t>2019</w:t>
      </w:r>
      <w:r>
        <w:rPr>
          <w:spacing w:val="-62"/>
        </w:rPr>
        <w:t> </w:t>
      </w:r>
      <w:r>
        <w:rPr/>
        <w:t>年</w:t>
      </w:r>
    </w:p>
    <w:p>
      <w:pPr>
        <w:spacing w:line="240" w:lineRule="auto" w:before="3"/>
        <w:rPr>
          <w:rFonts w:ascii="宋体" w:hAnsi="宋体" w:cs="宋体" w:eastAsia="宋体" w:hint="default"/>
          <w:sz w:val="14"/>
          <w:szCs w:val="14"/>
        </w:rPr>
      </w:pPr>
    </w:p>
    <w:p>
      <w:pPr>
        <w:spacing w:line="400" w:lineRule="auto" w:before="0"/>
        <w:ind w:left="141" w:right="1195"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宋体" w:hAnsi="宋体" w:cs="宋体" w:eastAsia="宋体" w:hint="default"/>
          <w:sz w:val="21"/>
          <w:szCs w:val="21"/>
        </w:rPr>
        <w:t>31</w:t>
      </w:r>
      <w:r>
        <w:rPr>
          <w:rFonts w:ascii="宋体" w:hAnsi="宋体" w:cs="宋体" w:eastAsia="宋体" w:hint="default"/>
          <w:spacing w:val="-32"/>
          <w:sz w:val="21"/>
          <w:szCs w:val="21"/>
        </w:rPr>
        <w:t> </w:t>
      </w:r>
      <w:r>
        <w:rPr>
          <w:rFonts w:ascii="宋体" w:hAnsi="宋体" w:cs="宋体" w:eastAsia="宋体" w:hint="default"/>
          <w:sz w:val="21"/>
          <w:szCs w:val="21"/>
        </w:rPr>
        <w:t>日的合并及母公司资产负债表，2019</w:t>
      </w:r>
      <w:r>
        <w:rPr>
          <w:rFonts w:ascii="宋体" w:hAnsi="宋体" w:cs="宋体" w:eastAsia="宋体" w:hint="default"/>
          <w:spacing w:val="-28"/>
          <w:sz w:val="21"/>
          <w:szCs w:val="21"/>
        </w:rPr>
        <w:t> </w:t>
      </w:r>
      <w:r>
        <w:rPr>
          <w:rFonts w:ascii="宋体" w:hAnsi="宋体" w:cs="宋体" w:eastAsia="宋体" w:hint="default"/>
          <w:sz w:val="21"/>
          <w:szCs w:val="21"/>
        </w:rPr>
        <w:t>年度的合并及母公司利润表、合并及母公司现</w:t>
      </w:r>
      <w:r>
        <w:rPr>
          <w:rFonts w:ascii="宋体" w:hAnsi="宋体" w:cs="宋体" w:eastAsia="宋体" w:hint="default"/>
          <w:w w:val="100"/>
          <w:sz w:val="21"/>
          <w:szCs w:val="21"/>
        </w:rPr>
        <w:t> </w:t>
      </w:r>
      <w:r>
        <w:rPr>
          <w:rFonts w:ascii="宋体" w:hAnsi="宋体" w:cs="宋体" w:eastAsia="宋体" w:hint="default"/>
          <w:sz w:val="21"/>
          <w:szCs w:val="21"/>
        </w:rPr>
        <w:t>金流量表、合并及母公司股东权益变动表，以及财务报表附注。</w:t>
      </w:r>
    </w:p>
    <w:p>
      <w:pPr>
        <w:spacing w:line="400" w:lineRule="auto" w:before="45"/>
        <w:ind w:left="141" w:right="1695" w:firstLine="420"/>
        <w:jc w:val="both"/>
        <w:rPr>
          <w:rFonts w:ascii="宋体" w:hAnsi="宋体" w:cs="宋体" w:eastAsia="宋体" w:hint="default"/>
          <w:sz w:val="21"/>
          <w:szCs w:val="21"/>
        </w:rPr>
      </w:pPr>
      <w:r>
        <w:rPr>
          <w:rFonts w:ascii="宋体" w:hAnsi="宋体" w:cs="宋体" w:eastAsia="宋体" w:hint="default"/>
          <w:sz w:val="21"/>
          <w:szCs w:val="21"/>
        </w:rPr>
        <w:t>我们认为，后附的财务报表在所有重大方面按照企业会计准则的规定编制，公允反映了</w:t>
      </w:r>
      <w:r>
        <w:rPr>
          <w:rFonts w:ascii="宋体" w:hAnsi="宋体" w:cs="宋体" w:eastAsia="宋体" w:hint="default"/>
          <w:w w:val="100"/>
          <w:sz w:val="21"/>
          <w:szCs w:val="21"/>
        </w:rPr>
        <w:t> </w:t>
      </w:r>
      <w:r>
        <w:rPr>
          <w:rFonts w:ascii="宋体" w:hAnsi="宋体" w:cs="宋体" w:eastAsia="宋体" w:hint="default"/>
          <w:sz w:val="21"/>
          <w:szCs w:val="21"/>
        </w:rPr>
        <w:t>贵公司</w:t>
      </w:r>
      <w:r>
        <w:rPr>
          <w:rFonts w:ascii="宋体" w:hAnsi="宋体" w:cs="宋体" w:eastAsia="宋体" w:hint="default"/>
          <w:spacing w:val="-40"/>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40"/>
          <w:sz w:val="21"/>
          <w:szCs w:val="21"/>
        </w:rPr>
        <w:t> </w:t>
      </w:r>
      <w:r>
        <w:rPr>
          <w:rFonts w:ascii="宋体" w:hAnsi="宋体" w:cs="宋体" w:eastAsia="宋体" w:hint="default"/>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年度的合并及母公司经营成果</w:t>
      </w:r>
      <w:r>
        <w:rPr>
          <w:rFonts w:ascii="宋体" w:hAnsi="宋体" w:cs="宋体" w:eastAsia="宋体" w:hint="default"/>
          <w:w w:val="100"/>
          <w:sz w:val="21"/>
          <w:szCs w:val="21"/>
        </w:rPr>
        <w:t> </w:t>
      </w:r>
      <w:r>
        <w:rPr>
          <w:rFonts w:ascii="宋体" w:hAnsi="宋体" w:cs="宋体" w:eastAsia="宋体" w:hint="default"/>
          <w:sz w:val="21"/>
          <w:szCs w:val="21"/>
        </w:rPr>
        <w:t>和现金流量。</w:t>
      </w:r>
    </w:p>
    <w:p>
      <w:pPr>
        <w:spacing w:line="240" w:lineRule="auto" w:before="12"/>
        <w:rPr>
          <w:rFonts w:ascii="宋体" w:hAnsi="宋体" w:cs="宋体" w:eastAsia="宋体" w:hint="default"/>
          <w:sz w:val="23"/>
          <w:szCs w:val="23"/>
        </w:rPr>
      </w:pPr>
    </w:p>
    <w:p>
      <w:pPr>
        <w:spacing w:before="0"/>
        <w:ind w:left="561" w:right="1195" w:firstLine="0"/>
        <w:jc w:val="left"/>
        <w:rPr>
          <w:rFonts w:ascii="宋体" w:hAnsi="宋体" w:cs="宋体" w:eastAsia="宋体" w:hint="default"/>
          <w:sz w:val="24"/>
          <w:szCs w:val="24"/>
        </w:rPr>
      </w:pPr>
      <w:r>
        <w:rPr>
          <w:rFonts w:ascii="宋体" w:hAnsi="宋体" w:cs="宋体" w:eastAsia="宋体" w:hint="default"/>
          <w:sz w:val="24"/>
          <w:szCs w:val="24"/>
        </w:rPr>
        <w:t>二、形成审计意见的基础</w:t>
      </w:r>
    </w:p>
    <w:p>
      <w:pPr>
        <w:spacing w:line="400" w:lineRule="auto" w:before="191"/>
        <w:ind w:left="141" w:right="1695" w:firstLine="420"/>
        <w:jc w:val="both"/>
        <w:rPr>
          <w:rFonts w:ascii="宋体" w:hAnsi="宋体" w:cs="宋体" w:eastAsia="宋体" w:hint="default"/>
          <w:sz w:val="21"/>
          <w:szCs w:val="21"/>
        </w:rPr>
      </w:pPr>
      <w:r>
        <w:rPr>
          <w:rFonts w:ascii="宋体" w:hAnsi="宋体" w:cs="宋体" w:eastAsia="宋体" w:hint="default"/>
          <w:sz w:val="21"/>
          <w:szCs w:val="21"/>
        </w:rPr>
        <w:t>我们按照中国注册会计师审计准则的规定执行了审计工作。审计报告的“注册会计师对</w:t>
      </w:r>
      <w:r>
        <w:rPr>
          <w:rFonts w:ascii="宋体" w:hAnsi="宋体" w:cs="宋体" w:eastAsia="宋体" w:hint="default"/>
          <w:w w:val="100"/>
          <w:sz w:val="21"/>
          <w:szCs w:val="21"/>
        </w:rPr>
        <w:t> </w:t>
      </w:r>
      <w:r>
        <w:rPr>
          <w:rFonts w:ascii="宋体" w:hAnsi="宋体" w:cs="宋体" w:eastAsia="宋体" w:hint="default"/>
          <w:sz w:val="21"/>
          <w:szCs w:val="21"/>
        </w:rPr>
        <w:t>财务报表审计的责任”部分进一步阐述了我们在这些准则下的责任。按照中国注册会计师职</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业道德守则，我们独立于贵公司，并履行了职业道德方面的其他责任。</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61" w:right="1195" w:firstLine="0"/>
        <w:jc w:val="left"/>
        <w:rPr>
          <w:rFonts w:ascii="宋体" w:hAnsi="宋体" w:cs="宋体" w:eastAsia="宋体" w:hint="default"/>
          <w:sz w:val="24"/>
          <w:szCs w:val="24"/>
        </w:rPr>
      </w:pPr>
      <w:r>
        <w:rPr>
          <w:rFonts w:ascii="宋体" w:hAnsi="宋体" w:cs="宋体" w:eastAsia="宋体" w:hint="default"/>
          <w:sz w:val="24"/>
          <w:szCs w:val="24"/>
        </w:rPr>
        <w:t>三、关键审计事项</w:t>
      </w:r>
    </w:p>
    <w:p>
      <w:pPr>
        <w:spacing w:line="400" w:lineRule="auto" w:before="191"/>
        <w:ind w:left="141" w:right="1695" w:firstLine="420"/>
        <w:jc w:val="both"/>
        <w:rPr>
          <w:rFonts w:ascii="宋体" w:hAnsi="宋体" w:cs="宋体" w:eastAsia="宋体" w:hint="default"/>
          <w:sz w:val="21"/>
          <w:szCs w:val="21"/>
        </w:rPr>
      </w:pPr>
      <w:r>
        <w:rPr>
          <w:rFonts w:ascii="宋体" w:hAnsi="宋体" w:cs="宋体" w:eastAsia="宋体" w:hint="default"/>
          <w:sz w:val="21"/>
          <w:szCs w:val="21"/>
        </w:rPr>
        <w:t>关键审计事项是我们根据职业判断，认为对本期财务报表审计最为重要的事项。这些事</w:t>
      </w:r>
      <w:r>
        <w:rPr>
          <w:rFonts w:ascii="宋体" w:hAnsi="宋体" w:cs="宋体" w:eastAsia="宋体" w:hint="default"/>
          <w:w w:val="100"/>
          <w:sz w:val="21"/>
          <w:szCs w:val="21"/>
        </w:rPr>
        <w:t> </w:t>
      </w:r>
      <w:r>
        <w:rPr>
          <w:rFonts w:ascii="宋体" w:hAnsi="宋体" w:cs="宋体" w:eastAsia="宋体" w:hint="default"/>
          <w:sz w:val="21"/>
          <w:szCs w:val="21"/>
        </w:rPr>
        <w:t>项的应对以对财务报表整体进行审计并形成审计意见为背景，我们不对这些事项单独发表意</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见。</w:t>
      </w:r>
    </w:p>
    <w:p>
      <w:pPr>
        <w:spacing w:line="403" w:lineRule="auto" w:before="45"/>
        <w:ind w:left="561" w:right="7884" w:firstLine="0"/>
        <w:jc w:val="left"/>
        <w:rPr>
          <w:rFonts w:ascii="宋体" w:hAnsi="宋体" w:cs="宋体" w:eastAsia="宋体" w:hint="default"/>
          <w:sz w:val="21"/>
          <w:szCs w:val="21"/>
        </w:rPr>
      </w:pPr>
      <w:r>
        <w:rPr>
          <w:rFonts w:ascii="宋体" w:hAnsi="宋体" w:cs="宋体" w:eastAsia="宋体" w:hint="default"/>
          <w:spacing w:val="-1"/>
          <w:sz w:val="21"/>
          <w:szCs w:val="21"/>
        </w:rPr>
        <w:t>（一）营业收入确认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1、事项描述</w:t>
      </w:r>
    </w:p>
    <w:p>
      <w:pPr>
        <w:spacing w:after="0" w:line="403" w:lineRule="auto"/>
        <w:jc w:val="left"/>
        <w:rPr>
          <w:rFonts w:ascii="宋体" w:hAnsi="宋体" w:cs="宋体" w:eastAsia="宋体" w:hint="default"/>
          <w:sz w:val="21"/>
          <w:szCs w:val="21"/>
        </w:rPr>
        <w:sectPr>
          <w:headerReference w:type="default" r:id="rId37"/>
          <w:footerReference w:type="default" r:id="rId38"/>
          <w:pgSz w:w="11910" w:h="16840"/>
          <w:pgMar w:header="885" w:footer="1123" w:top="1100" w:bottom="1320" w:left="15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0" w:lineRule="auto" w:before="27"/>
        <w:ind w:left="141" w:right="1195" w:firstLine="420"/>
        <w:jc w:val="left"/>
        <w:rPr>
          <w:rFonts w:ascii="宋体" w:hAnsi="宋体" w:cs="宋体" w:eastAsia="宋体" w:hint="default"/>
          <w:sz w:val="21"/>
          <w:szCs w:val="21"/>
        </w:rPr>
      </w:pPr>
      <w:r>
        <w:rPr>
          <w:rFonts w:ascii="宋体" w:hAnsi="宋体" w:cs="宋体" w:eastAsia="宋体" w:hint="default"/>
          <w:sz w:val="21"/>
          <w:szCs w:val="21"/>
        </w:rPr>
        <w:t>如贵公司财务报表附注五（三十三）所述，贵公司</w:t>
      </w:r>
      <w:r>
        <w:rPr>
          <w:rFonts w:ascii="宋体" w:hAnsi="宋体" w:cs="宋体" w:eastAsia="宋体" w:hint="default"/>
          <w:spacing w:val="-59"/>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年度实现营业收入</w:t>
      </w:r>
      <w:r>
        <w:rPr>
          <w:rFonts w:ascii="宋体" w:hAnsi="宋体" w:cs="宋体" w:eastAsia="宋体" w:hint="default"/>
          <w:spacing w:val="-55"/>
          <w:sz w:val="21"/>
          <w:szCs w:val="21"/>
        </w:rPr>
        <w:t> </w:t>
      </w:r>
      <w:r>
        <w:rPr>
          <w:rFonts w:ascii="宋体" w:hAnsi="宋体" w:cs="宋体" w:eastAsia="宋体" w:hint="default"/>
          <w:sz w:val="21"/>
          <w:szCs w:val="21"/>
        </w:rPr>
        <w:t>339,213.26</w:t>
      </w:r>
      <w:r>
        <w:rPr>
          <w:rFonts w:ascii="宋体" w:hAnsi="宋体" w:cs="宋体" w:eastAsia="宋体" w:hint="default"/>
          <w:w w:val="100"/>
          <w:sz w:val="21"/>
          <w:szCs w:val="21"/>
        </w:rPr>
        <w:t> </w:t>
      </w:r>
      <w:r>
        <w:rPr>
          <w:rFonts w:ascii="宋体" w:hAnsi="宋体" w:cs="宋体" w:eastAsia="宋体" w:hint="default"/>
          <w:spacing w:val="-4"/>
          <w:sz w:val="21"/>
          <w:szCs w:val="21"/>
        </w:rPr>
        <w:t>万元，较上年同期增长 </w:t>
      </w:r>
      <w:r>
        <w:rPr>
          <w:rFonts w:ascii="宋体" w:hAnsi="宋体" w:cs="宋体" w:eastAsia="宋体" w:hint="default"/>
          <w:spacing w:val="-3"/>
          <w:sz w:val="21"/>
          <w:szCs w:val="21"/>
        </w:rPr>
        <w:t>4.41%。由于营业收入是贵公司的关键业绩指标之一，且收入规模继续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扩大，产生错报的固有风险较高，因此我们将营业收入确认确定为关键审计事项。</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2、审计应对</w:t>
      </w:r>
    </w:p>
    <w:p>
      <w:pPr>
        <w:spacing w:line="240" w:lineRule="auto" w:before="0"/>
        <w:rPr>
          <w:rFonts w:ascii="宋体" w:hAnsi="宋体" w:cs="宋体" w:eastAsia="宋体" w:hint="default"/>
          <w:sz w:val="14"/>
          <w:szCs w:val="14"/>
        </w:rPr>
      </w:pPr>
    </w:p>
    <w:p>
      <w:pPr>
        <w:spacing w:line="403" w:lineRule="auto" w:before="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（1）对贵公司销售与收款内部控制循环实施控制测试，评价控制的设计有效性，并执行</w:t>
      </w:r>
      <w:r>
        <w:rPr>
          <w:rFonts w:ascii="宋体" w:hAnsi="宋体" w:cs="宋体" w:eastAsia="宋体" w:hint="default"/>
          <w:w w:val="100"/>
          <w:sz w:val="21"/>
          <w:szCs w:val="21"/>
        </w:rPr>
        <w:t> </w:t>
      </w:r>
      <w:r>
        <w:rPr>
          <w:rFonts w:ascii="宋体" w:hAnsi="宋体" w:cs="宋体" w:eastAsia="宋体" w:hint="default"/>
          <w:sz w:val="21"/>
          <w:szCs w:val="21"/>
        </w:rPr>
        <w:t>测试程序，确定相关控制是否得到有效执行；</w:t>
      </w:r>
    </w:p>
    <w:p>
      <w:pPr>
        <w:spacing w:line="400" w:lineRule="auto" w:before="43"/>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（2）了解贵公司的财务核算制度的设计和执行情况，复核收入确认政策，检查贵公司报</w:t>
      </w:r>
      <w:r>
        <w:rPr>
          <w:rFonts w:ascii="宋体" w:hAnsi="宋体" w:cs="宋体" w:eastAsia="宋体" w:hint="default"/>
          <w:w w:val="100"/>
          <w:sz w:val="21"/>
          <w:szCs w:val="21"/>
        </w:rPr>
        <w:t> </w:t>
      </w:r>
      <w:r>
        <w:rPr>
          <w:rFonts w:ascii="宋体" w:hAnsi="宋体" w:cs="宋体" w:eastAsia="宋体" w:hint="default"/>
          <w:sz w:val="21"/>
          <w:szCs w:val="21"/>
        </w:rPr>
        <w:t>告期内财务核算政策、收入确认政策的一贯性；</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（3）了解行业动态，分析前后端市场的变化对公司所处行业的总体影响；</w:t>
      </w:r>
    </w:p>
    <w:p>
      <w:pPr>
        <w:spacing w:line="240" w:lineRule="auto" w:before="3"/>
        <w:rPr>
          <w:rFonts w:ascii="宋体" w:hAnsi="宋体" w:cs="宋体" w:eastAsia="宋体" w:hint="default"/>
          <w:sz w:val="14"/>
          <w:szCs w:val="14"/>
        </w:rPr>
      </w:pPr>
    </w:p>
    <w:p>
      <w:pPr>
        <w:spacing w:line="400" w:lineRule="auto" w:before="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（4）对营业收入实施分析性程序，结合销售合同、订单所销售的产品类别，对比分析营</w:t>
      </w:r>
      <w:r>
        <w:rPr>
          <w:rFonts w:ascii="宋体" w:hAnsi="宋体" w:cs="宋体" w:eastAsia="宋体" w:hint="default"/>
          <w:w w:val="100"/>
          <w:sz w:val="21"/>
          <w:szCs w:val="21"/>
        </w:rPr>
        <w:t> </w:t>
      </w:r>
      <w:r>
        <w:rPr>
          <w:rFonts w:ascii="宋体" w:hAnsi="宋体" w:cs="宋体" w:eastAsia="宋体" w:hint="default"/>
          <w:sz w:val="21"/>
          <w:szCs w:val="21"/>
        </w:rPr>
        <w:t>业收入的月份、年度、分产品、分客户的变化，分析主要产品的售价、成本及毛利变动的合</w:t>
      </w:r>
      <w:r>
        <w:rPr>
          <w:rFonts w:ascii="宋体" w:hAnsi="宋体" w:cs="宋体" w:eastAsia="宋体" w:hint="default"/>
          <w:w w:val="100"/>
          <w:sz w:val="21"/>
          <w:szCs w:val="21"/>
        </w:rPr>
        <w:t> </w:t>
      </w:r>
      <w:r>
        <w:rPr>
          <w:rFonts w:ascii="宋体" w:hAnsi="宋体" w:cs="宋体" w:eastAsia="宋体" w:hint="default"/>
          <w:sz w:val="21"/>
          <w:szCs w:val="21"/>
        </w:rPr>
        <w:t>理性；</w:t>
      </w:r>
    </w:p>
    <w:p>
      <w:pPr>
        <w:spacing w:line="400" w:lineRule="auto" w:before="45"/>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（5）结合对应收账款的审计，选择主要客户对报告期销售额实施独立函证程序，并结合</w:t>
      </w:r>
      <w:r>
        <w:rPr>
          <w:rFonts w:ascii="宋体" w:hAnsi="宋体" w:cs="宋体" w:eastAsia="宋体" w:hint="default"/>
          <w:w w:val="100"/>
          <w:sz w:val="21"/>
          <w:szCs w:val="21"/>
        </w:rPr>
        <w:t> </w:t>
      </w:r>
      <w:r>
        <w:rPr>
          <w:rFonts w:ascii="宋体" w:hAnsi="宋体" w:cs="宋体" w:eastAsia="宋体" w:hint="default"/>
          <w:sz w:val="21"/>
          <w:szCs w:val="21"/>
        </w:rPr>
        <w:t>期后回款等分析其真实性；</w:t>
      </w:r>
    </w:p>
    <w:p>
      <w:pPr>
        <w:spacing w:line="400" w:lineRule="auto" w:before="45"/>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（6）采用抽样测试方式抽取检查样本，依据抽样总体、实际执行的重要性水平、保证系</w:t>
      </w:r>
      <w:r>
        <w:rPr>
          <w:rFonts w:ascii="宋体" w:hAnsi="宋体" w:cs="宋体" w:eastAsia="宋体" w:hint="default"/>
          <w:w w:val="100"/>
          <w:sz w:val="21"/>
          <w:szCs w:val="21"/>
        </w:rPr>
        <w:t> </w:t>
      </w:r>
      <w:r>
        <w:rPr>
          <w:rFonts w:ascii="宋体" w:hAnsi="宋体" w:cs="宋体" w:eastAsia="宋体" w:hint="default"/>
          <w:sz w:val="21"/>
          <w:szCs w:val="21"/>
        </w:rPr>
        <w:t>数等测算抽样规模，抽样检查产品的出库单、运输单、客户签收单、报关单、发票等内外部</w:t>
      </w:r>
      <w:r>
        <w:rPr>
          <w:rFonts w:ascii="宋体" w:hAnsi="宋体" w:cs="宋体" w:eastAsia="宋体" w:hint="default"/>
          <w:w w:val="100"/>
          <w:sz w:val="21"/>
          <w:szCs w:val="21"/>
        </w:rPr>
        <w:t> </w:t>
      </w:r>
      <w:r>
        <w:rPr>
          <w:rFonts w:ascii="宋体" w:hAnsi="宋体" w:cs="宋体" w:eastAsia="宋体" w:hint="default"/>
          <w:sz w:val="21"/>
          <w:szCs w:val="21"/>
        </w:rPr>
        <w:t>证据，对营业收入的真实性、完整性及是否存在收入跨期现象等执行细节测试。选取样本检</w:t>
      </w:r>
      <w:r>
        <w:rPr>
          <w:rFonts w:ascii="宋体" w:hAnsi="宋体" w:cs="宋体" w:eastAsia="宋体" w:hint="default"/>
          <w:w w:val="100"/>
          <w:sz w:val="21"/>
          <w:szCs w:val="21"/>
        </w:rPr>
        <w:t> </w:t>
      </w:r>
      <w:r>
        <w:rPr>
          <w:rFonts w:ascii="宋体" w:hAnsi="宋体" w:cs="宋体" w:eastAsia="宋体" w:hint="default"/>
          <w:sz w:val="21"/>
          <w:szCs w:val="21"/>
        </w:rPr>
        <w:t>查销售合同或订单，识别与商品所有权上的风险和报酬转移相关的合同条款与条件，评价营</w:t>
      </w:r>
      <w:r>
        <w:rPr>
          <w:rFonts w:ascii="宋体" w:hAnsi="宋体" w:cs="宋体" w:eastAsia="宋体" w:hint="default"/>
          <w:w w:val="100"/>
          <w:sz w:val="21"/>
          <w:szCs w:val="21"/>
        </w:rPr>
        <w:t> </w:t>
      </w:r>
      <w:r>
        <w:rPr>
          <w:rFonts w:ascii="宋体" w:hAnsi="宋体" w:cs="宋体" w:eastAsia="宋体" w:hint="default"/>
          <w:sz w:val="21"/>
          <w:szCs w:val="21"/>
        </w:rPr>
        <w:t>业收入确认时点是否符合企业会计准则的相关规定。</w:t>
      </w:r>
    </w:p>
    <w:p>
      <w:pPr>
        <w:spacing w:line="403" w:lineRule="auto" w:before="43"/>
        <w:ind w:left="561" w:right="6570" w:firstLine="0"/>
        <w:jc w:val="left"/>
        <w:rPr>
          <w:rFonts w:ascii="宋体" w:hAnsi="宋体" w:cs="宋体" w:eastAsia="宋体" w:hint="default"/>
          <w:sz w:val="21"/>
          <w:szCs w:val="21"/>
        </w:rPr>
      </w:pPr>
      <w:r>
        <w:rPr>
          <w:rFonts w:ascii="宋体" w:hAnsi="宋体" w:cs="宋体" w:eastAsia="宋体" w:hint="default"/>
          <w:spacing w:val="-2"/>
          <w:sz w:val="21"/>
          <w:szCs w:val="21"/>
        </w:rPr>
        <w:t>（二）存货的账面价值</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1、事项描述</w:t>
      </w:r>
    </w:p>
    <w:p>
      <w:pPr>
        <w:spacing w:line="400" w:lineRule="auto" w:before="43"/>
        <w:ind w:left="141" w:right="1195" w:firstLine="420"/>
        <w:jc w:val="left"/>
        <w:rPr>
          <w:rFonts w:ascii="宋体" w:hAnsi="宋体" w:cs="宋体" w:eastAsia="宋体" w:hint="default"/>
          <w:sz w:val="21"/>
          <w:szCs w:val="21"/>
        </w:rPr>
      </w:pPr>
      <w:r>
        <w:rPr>
          <w:rFonts w:ascii="宋体" w:hAnsi="宋体" w:cs="宋体" w:eastAsia="宋体" w:hint="default"/>
          <w:sz w:val="21"/>
          <w:szCs w:val="21"/>
        </w:rPr>
        <w:t>如贵公司财务报表附注五（七）所述，贵公司</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日存货余额为</w:t>
      </w:r>
      <w:r>
        <w:rPr>
          <w:rFonts w:ascii="宋体" w:hAnsi="宋体" w:cs="宋体" w:eastAsia="宋体" w:hint="default"/>
          <w:spacing w:val="-56"/>
          <w:sz w:val="21"/>
          <w:szCs w:val="21"/>
        </w:rPr>
        <w:t> </w:t>
      </w:r>
      <w:r>
        <w:rPr>
          <w:rFonts w:ascii="宋体" w:hAnsi="宋体" w:cs="宋体" w:eastAsia="宋体" w:hint="default"/>
          <w:sz w:val="21"/>
          <w:szCs w:val="21"/>
        </w:rPr>
        <w:t>72,860.87</w:t>
      </w:r>
      <w:r>
        <w:rPr>
          <w:rFonts w:ascii="宋体" w:hAnsi="宋体" w:cs="宋体" w:eastAsia="宋体" w:hint="default"/>
          <w:w w:val="100"/>
          <w:sz w:val="21"/>
          <w:szCs w:val="21"/>
        </w:rPr>
        <w:t> </w:t>
      </w:r>
      <w:r>
        <w:rPr>
          <w:rFonts w:ascii="宋体" w:hAnsi="宋体" w:cs="宋体" w:eastAsia="宋体" w:hint="default"/>
          <w:spacing w:val="-4"/>
          <w:sz w:val="21"/>
          <w:szCs w:val="21"/>
        </w:rPr>
        <w:t>万元，较年初增加 </w:t>
      </w:r>
      <w:r>
        <w:rPr>
          <w:rFonts w:ascii="宋体" w:hAnsi="宋体" w:cs="宋体" w:eastAsia="宋体" w:hint="default"/>
          <w:spacing w:val="-3"/>
          <w:sz w:val="21"/>
          <w:szCs w:val="21"/>
        </w:rPr>
        <w:t>9.20%。由于贵公司的存货期末余额较大，是否与贵公司仓储能力及生产能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力相匹配，与收入对应的销售成本结转是否完整准确，存货的存在认定是否可以确认，因此，</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我们将存货的存在性、计价和分摊确定为关键审计事项。</w:t>
      </w:r>
    </w:p>
    <w:p>
      <w:pPr>
        <w:spacing w:before="43"/>
        <w:ind w:left="561" w:right="1195" w:firstLine="0"/>
        <w:jc w:val="left"/>
        <w:rPr>
          <w:rFonts w:ascii="宋体" w:hAnsi="宋体" w:cs="宋体" w:eastAsia="宋体" w:hint="default"/>
          <w:sz w:val="21"/>
          <w:szCs w:val="21"/>
        </w:rPr>
      </w:pPr>
      <w:r>
        <w:rPr>
          <w:rFonts w:ascii="宋体" w:hAnsi="宋体" w:cs="宋体" w:eastAsia="宋体" w:hint="default"/>
          <w:sz w:val="21"/>
          <w:szCs w:val="21"/>
        </w:rPr>
        <w:t>2、审计应对</w:t>
      </w:r>
    </w:p>
    <w:p>
      <w:pPr>
        <w:spacing w:line="240" w:lineRule="auto" w:before="3"/>
        <w:rPr>
          <w:rFonts w:ascii="宋体" w:hAnsi="宋体" w:cs="宋体" w:eastAsia="宋体" w:hint="default"/>
          <w:sz w:val="14"/>
          <w:szCs w:val="14"/>
        </w:rPr>
      </w:pPr>
    </w:p>
    <w:p>
      <w:pPr>
        <w:spacing w:line="403" w:lineRule="auto" w:before="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（1）对贵公司采购与付款循环、生产与仓储等内部控制循环实施控制测试，评价控制的</w:t>
      </w:r>
      <w:r>
        <w:rPr>
          <w:rFonts w:ascii="宋体" w:hAnsi="宋体" w:cs="宋体" w:eastAsia="宋体" w:hint="default"/>
          <w:w w:val="100"/>
          <w:sz w:val="21"/>
          <w:szCs w:val="21"/>
        </w:rPr>
        <w:t> </w:t>
      </w:r>
      <w:r>
        <w:rPr>
          <w:rFonts w:ascii="宋体" w:hAnsi="宋体" w:cs="宋体" w:eastAsia="宋体" w:hint="default"/>
          <w:sz w:val="21"/>
          <w:szCs w:val="21"/>
        </w:rPr>
        <w:t>设计有效性，并执行测试程序，确定相关控制是否得到有效执行；</w:t>
      </w:r>
    </w:p>
    <w:p>
      <w:pPr>
        <w:spacing w:after="0" w:line="403" w:lineRule="auto"/>
        <w:jc w:val="left"/>
        <w:rPr>
          <w:rFonts w:ascii="宋体" w:hAnsi="宋体" w:cs="宋体" w:eastAsia="宋体" w:hint="default"/>
          <w:sz w:val="21"/>
          <w:szCs w:val="21"/>
        </w:rPr>
        <w:sectPr>
          <w:pgSz w:w="11910" w:h="16840"/>
          <w:pgMar w:header="885" w:footer="1123" w:top="1100" w:bottom="13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0" w:lineRule="auto" w:before="27"/>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（2）根据贵公司所处的行业状况，前端供应链、后端销售链条对其存货采购的影响，结</w:t>
      </w:r>
      <w:r>
        <w:rPr>
          <w:rFonts w:ascii="宋体" w:hAnsi="宋体" w:cs="宋体" w:eastAsia="宋体" w:hint="default"/>
          <w:w w:val="100"/>
          <w:sz w:val="21"/>
          <w:szCs w:val="21"/>
        </w:rPr>
        <w:t> </w:t>
      </w:r>
      <w:r>
        <w:rPr>
          <w:rFonts w:ascii="宋体" w:hAnsi="宋体" w:cs="宋体" w:eastAsia="宋体" w:hint="default"/>
          <w:sz w:val="21"/>
          <w:szCs w:val="21"/>
        </w:rPr>
        <w:t>合贵公司存货的分类构成情况，分析存货前后期结构变化情况是否合理；</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（3）对贵公司期末存货执行监盘程序；</w:t>
      </w:r>
    </w:p>
    <w:p>
      <w:pPr>
        <w:spacing w:line="240" w:lineRule="auto" w:before="3"/>
        <w:rPr>
          <w:rFonts w:ascii="宋体" w:hAnsi="宋体" w:cs="宋体" w:eastAsia="宋体" w:hint="default"/>
          <w:sz w:val="14"/>
          <w:szCs w:val="14"/>
        </w:rPr>
      </w:pPr>
    </w:p>
    <w:p>
      <w:pPr>
        <w:spacing w:line="400" w:lineRule="auto" w:before="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（4）查阅公司使用主要原材料的市场价格变化情况，结合应付账款审计，核实采购成本</w:t>
      </w:r>
      <w:r>
        <w:rPr>
          <w:rFonts w:ascii="宋体" w:hAnsi="宋体" w:cs="宋体" w:eastAsia="宋体" w:hint="default"/>
          <w:w w:val="100"/>
          <w:sz w:val="21"/>
          <w:szCs w:val="21"/>
        </w:rPr>
        <w:t> </w:t>
      </w:r>
      <w:r>
        <w:rPr>
          <w:rFonts w:ascii="宋体" w:hAnsi="宋体" w:cs="宋体" w:eastAsia="宋体" w:hint="default"/>
          <w:sz w:val="21"/>
          <w:szCs w:val="21"/>
        </w:rPr>
        <w:t>的正确性以及期末存货的合理性；</w:t>
      </w:r>
    </w:p>
    <w:p>
      <w:pPr>
        <w:spacing w:line="403" w:lineRule="auto" w:before="45"/>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（5）根据签署的销售合同、订单情况，结合公司的销售计划、生产能力、生产周期、客</w:t>
      </w:r>
      <w:r>
        <w:rPr>
          <w:rFonts w:ascii="宋体" w:hAnsi="宋体" w:cs="宋体" w:eastAsia="宋体" w:hint="default"/>
          <w:w w:val="100"/>
          <w:sz w:val="21"/>
          <w:szCs w:val="21"/>
        </w:rPr>
        <w:t> </w:t>
      </w:r>
      <w:r>
        <w:rPr>
          <w:rFonts w:ascii="宋体" w:hAnsi="宋体" w:cs="宋体" w:eastAsia="宋体" w:hint="default"/>
          <w:sz w:val="21"/>
          <w:szCs w:val="21"/>
        </w:rPr>
        <w:t>户备货需求，分析公司前后各期的主要库存产品周转率，核实期末存货的合理性；</w:t>
      </w:r>
    </w:p>
    <w:p>
      <w:pPr>
        <w:spacing w:line="403" w:lineRule="auto" w:before="4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（6）对贵公司各项存货入库及出库执行截止性测试，选取样本，对各项存货的发出进行</w:t>
      </w:r>
      <w:r>
        <w:rPr>
          <w:rFonts w:ascii="宋体" w:hAnsi="宋体" w:cs="宋体" w:eastAsia="宋体" w:hint="default"/>
          <w:w w:val="100"/>
          <w:sz w:val="21"/>
          <w:szCs w:val="21"/>
        </w:rPr>
        <w:t> </w:t>
      </w:r>
      <w:r>
        <w:rPr>
          <w:rFonts w:ascii="宋体" w:hAnsi="宋体" w:cs="宋体" w:eastAsia="宋体" w:hint="default"/>
          <w:sz w:val="21"/>
          <w:szCs w:val="21"/>
        </w:rPr>
        <w:t>计价测试；</w:t>
      </w:r>
    </w:p>
    <w:p>
      <w:pPr>
        <w:spacing w:line="400" w:lineRule="auto" w:before="43"/>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（7）复核贵公司的生产成本计算过程及销售成本结转过程，关注存货结转和销售出库是</w:t>
      </w:r>
      <w:r>
        <w:rPr>
          <w:rFonts w:ascii="宋体" w:hAnsi="宋体" w:cs="宋体" w:eastAsia="宋体" w:hint="default"/>
          <w:w w:val="100"/>
          <w:sz w:val="21"/>
          <w:szCs w:val="21"/>
        </w:rPr>
        <w:t> </w:t>
      </w:r>
      <w:r>
        <w:rPr>
          <w:rFonts w:ascii="宋体" w:hAnsi="宋体" w:cs="宋体" w:eastAsia="宋体" w:hint="default"/>
          <w:sz w:val="21"/>
          <w:szCs w:val="21"/>
        </w:rPr>
        <w:t>否匹配之情形；</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（8）结合监盘程序和存货计价测试程序，对贵公司期末存货执行减值测试。</w:t>
      </w:r>
    </w:p>
    <w:p>
      <w:pPr>
        <w:spacing w:line="240" w:lineRule="auto" w:before="3"/>
        <w:rPr>
          <w:rFonts w:ascii="宋体" w:hAnsi="宋体" w:cs="宋体" w:eastAsia="宋体" w:hint="default"/>
          <w:sz w:val="14"/>
          <w:szCs w:val="14"/>
        </w:rPr>
      </w:pPr>
    </w:p>
    <w:p>
      <w:pPr>
        <w:spacing w:line="400" w:lineRule="auto" w:before="0"/>
        <w:ind w:left="561" w:right="6570" w:firstLine="0"/>
        <w:jc w:val="left"/>
        <w:rPr>
          <w:rFonts w:ascii="宋体" w:hAnsi="宋体" w:cs="宋体" w:eastAsia="宋体" w:hint="default"/>
          <w:sz w:val="21"/>
          <w:szCs w:val="21"/>
        </w:rPr>
      </w:pPr>
      <w:r>
        <w:rPr>
          <w:rFonts w:ascii="宋体" w:hAnsi="宋体" w:cs="宋体" w:eastAsia="宋体" w:hint="default"/>
          <w:spacing w:val="-2"/>
          <w:sz w:val="21"/>
          <w:szCs w:val="21"/>
        </w:rPr>
        <w:t>（三）投资性房地产的估值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1、事项描述</w:t>
      </w:r>
    </w:p>
    <w:p>
      <w:pPr>
        <w:spacing w:line="400" w:lineRule="auto" w:before="45"/>
        <w:ind w:left="141" w:right="1695" w:firstLine="420"/>
        <w:jc w:val="left"/>
        <w:rPr>
          <w:rFonts w:ascii="宋体" w:hAnsi="宋体" w:cs="宋体" w:eastAsia="宋体" w:hint="default"/>
          <w:sz w:val="21"/>
          <w:szCs w:val="21"/>
        </w:rPr>
      </w:pPr>
      <w:r>
        <w:rPr>
          <w:rFonts w:ascii="宋体" w:hAnsi="宋体" w:cs="宋体" w:eastAsia="宋体" w:hint="default"/>
          <w:sz w:val="21"/>
          <w:szCs w:val="21"/>
        </w:rPr>
        <w:t>如贵公司财务报表附注五（十一）所述，贵公司投资性房地产期末余额为</w:t>
      </w:r>
      <w:r>
        <w:rPr>
          <w:rFonts w:ascii="宋体" w:hAnsi="宋体" w:cs="宋体" w:eastAsia="宋体" w:hint="default"/>
          <w:spacing w:val="-59"/>
          <w:sz w:val="21"/>
          <w:szCs w:val="21"/>
        </w:rPr>
        <w:t> </w:t>
      </w:r>
      <w:r>
        <w:rPr>
          <w:rFonts w:ascii="宋体" w:hAnsi="宋体" w:cs="宋体" w:eastAsia="宋体" w:hint="default"/>
          <w:sz w:val="21"/>
          <w:szCs w:val="21"/>
        </w:rPr>
        <w:t>147,645.53</w:t>
      </w:r>
      <w:r>
        <w:rPr>
          <w:rFonts w:ascii="宋体" w:hAnsi="宋体" w:cs="宋体" w:eastAsia="宋体" w:hint="default"/>
          <w:spacing w:val="-6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元。贵公司投资性房地产采用公允价值模式进行后续计量。公允价值的确定受各种因素的影</w:t>
      </w:r>
      <w:r>
        <w:rPr>
          <w:rFonts w:ascii="宋体" w:hAnsi="宋体" w:cs="宋体" w:eastAsia="宋体" w:hint="default"/>
          <w:w w:val="100"/>
          <w:sz w:val="21"/>
          <w:szCs w:val="21"/>
        </w:rPr>
        <w:t> </w:t>
      </w:r>
      <w:r>
        <w:rPr>
          <w:rFonts w:ascii="宋体" w:hAnsi="宋体" w:cs="宋体" w:eastAsia="宋体" w:hint="default"/>
          <w:sz w:val="21"/>
          <w:szCs w:val="21"/>
        </w:rPr>
        <w:t>响且需要依赖专业评估机构的评估结果，因此，我们将投资性房地产按公允价值变动产生损</w:t>
      </w:r>
      <w:r>
        <w:rPr>
          <w:rFonts w:ascii="宋体" w:hAnsi="宋体" w:cs="宋体" w:eastAsia="宋体" w:hint="default"/>
          <w:w w:val="100"/>
          <w:sz w:val="21"/>
          <w:szCs w:val="21"/>
        </w:rPr>
        <w:t> </w:t>
      </w:r>
      <w:r>
        <w:rPr>
          <w:rFonts w:ascii="宋体" w:hAnsi="宋体" w:cs="宋体" w:eastAsia="宋体" w:hint="default"/>
          <w:sz w:val="21"/>
          <w:szCs w:val="21"/>
        </w:rPr>
        <w:t>益的准确性及合理性确定为关键审计事项。</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2、审计应对</w:t>
      </w:r>
    </w:p>
    <w:p>
      <w:pPr>
        <w:spacing w:line="240" w:lineRule="auto" w:before="0"/>
        <w:rPr>
          <w:rFonts w:ascii="宋体" w:hAnsi="宋体" w:cs="宋体" w:eastAsia="宋体" w:hint="default"/>
          <w:sz w:val="14"/>
          <w:szCs w:val="14"/>
        </w:rPr>
      </w:pPr>
    </w:p>
    <w:p>
      <w:pPr>
        <w:spacing w:line="403" w:lineRule="auto" w:before="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（1）根据贵公司管理层的管理能力和相关意图，检查贵公司对投资性房地产的分类和采</w:t>
      </w:r>
      <w:r>
        <w:rPr>
          <w:rFonts w:ascii="宋体" w:hAnsi="宋体" w:cs="宋体" w:eastAsia="宋体" w:hint="default"/>
          <w:w w:val="100"/>
          <w:sz w:val="21"/>
          <w:szCs w:val="21"/>
        </w:rPr>
        <w:t> </w:t>
      </w:r>
      <w:r>
        <w:rPr>
          <w:rFonts w:ascii="宋体" w:hAnsi="宋体" w:cs="宋体" w:eastAsia="宋体" w:hint="default"/>
          <w:sz w:val="21"/>
          <w:szCs w:val="21"/>
        </w:rPr>
        <w:t>用的计量属性是否适当，是否符合企业会计准则的相关规定；与贵公司管理层讨论投资性房</w:t>
      </w:r>
      <w:r>
        <w:rPr>
          <w:rFonts w:ascii="宋体" w:hAnsi="宋体" w:cs="宋体" w:eastAsia="宋体" w:hint="default"/>
          <w:w w:val="100"/>
          <w:sz w:val="21"/>
          <w:szCs w:val="21"/>
        </w:rPr>
        <w:t> </w:t>
      </w:r>
      <w:r>
        <w:rPr>
          <w:rFonts w:ascii="宋体" w:hAnsi="宋体" w:cs="宋体" w:eastAsia="宋体" w:hint="default"/>
          <w:sz w:val="21"/>
          <w:szCs w:val="21"/>
        </w:rPr>
        <w:t>地产后续计量模式选用的依据是否充分；</w:t>
      </w:r>
    </w:p>
    <w:p>
      <w:pPr>
        <w:spacing w:line="403" w:lineRule="auto" w:before="40"/>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（2）获取投资性房地产明细表，结合实地盘点及查阅产权证书等相关文件资料，检查测</w:t>
      </w:r>
      <w:r>
        <w:rPr>
          <w:rFonts w:ascii="宋体" w:hAnsi="宋体" w:cs="宋体" w:eastAsia="宋体" w:hint="default"/>
          <w:w w:val="100"/>
          <w:sz w:val="21"/>
          <w:szCs w:val="21"/>
        </w:rPr>
        <w:t> </w:t>
      </w:r>
      <w:r>
        <w:rPr>
          <w:rFonts w:ascii="宋体" w:hAnsi="宋体" w:cs="宋体" w:eastAsia="宋体" w:hint="default"/>
          <w:sz w:val="21"/>
          <w:szCs w:val="21"/>
        </w:rPr>
        <w:t>试投资性房地产期末的存在及权利和义务认定；</w:t>
      </w:r>
    </w:p>
    <w:p>
      <w:pPr>
        <w:spacing w:line="400" w:lineRule="auto" w:before="43"/>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（3）评价由贵公司管理层聘请的外部评估机构的独立性、客观性、经验、资质及专业胜</w:t>
      </w:r>
      <w:r>
        <w:rPr>
          <w:rFonts w:ascii="宋体" w:hAnsi="宋体" w:cs="宋体" w:eastAsia="宋体" w:hint="default"/>
          <w:w w:val="100"/>
          <w:sz w:val="21"/>
          <w:szCs w:val="21"/>
        </w:rPr>
        <w:t> </w:t>
      </w:r>
      <w:r>
        <w:rPr>
          <w:rFonts w:ascii="宋体" w:hAnsi="宋体" w:cs="宋体" w:eastAsia="宋体" w:hint="default"/>
          <w:sz w:val="21"/>
          <w:szCs w:val="21"/>
        </w:rPr>
        <w:t>任能力等；</w:t>
      </w:r>
    </w:p>
    <w:p>
      <w:pPr>
        <w:spacing w:line="400" w:lineRule="auto" w:before="45"/>
        <w:ind w:left="141" w:right="1195" w:firstLine="420"/>
        <w:jc w:val="left"/>
        <w:rPr>
          <w:rFonts w:ascii="宋体" w:hAnsi="宋体" w:cs="宋体" w:eastAsia="宋体" w:hint="default"/>
          <w:sz w:val="21"/>
          <w:szCs w:val="21"/>
        </w:rPr>
      </w:pPr>
      <w:r>
        <w:rPr>
          <w:rFonts w:ascii="宋体" w:hAnsi="宋体" w:cs="宋体" w:eastAsia="宋体" w:hint="default"/>
          <w:spacing w:val="-2"/>
          <w:sz w:val="21"/>
          <w:szCs w:val="21"/>
        </w:rPr>
        <w:t>（4）获取并复核沃克森（北京）国际资产评估有限公司出具的评估报告，对评估选用的</w:t>
      </w:r>
      <w:r>
        <w:rPr>
          <w:rFonts w:ascii="宋体" w:hAnsi="宋体" w:cs="宋体" w:eastAsia="宋体" w:hint="default"/>
          <w:w w:val="100"/>
          <w:sz w:val="21"/>
          <w:szCs w:val="21"/>
        </w:rPr>
        <w:t> </w:t>
      </w:r>
      <w:r>
        <w:rPr>
          <w:rFonts w:ascii="宋体" w:hAnsi="宋体" w:cs="宋体" w:eastAsia="宋体" w:hint="default"/>
          <w:sz w:val="21"/>
          <w:szCs w:val="21"/>
        </w:rPr>
        <w:t>评估方法及重要的评估参数与评估师进行沟通，并结合当地房地产市场的实际情况了解公允</w:t>
      </w:r>
      <w:r>
        <w:rPr>
          <w:rFonts w:ascii="宋体" w:hAnsi="宋体" w:cs="宋体" w:eastAsia="宋体" w:hint="default"/>
          <w:w w:val="100"/>
          <w:sz w:val="21"/>
          <w:szCs w:val="21"/>
        </w:rPr>
        <w:t> </w:t>
      </w:r>
      <w:r>
        <w:rPr>
          <w:rFonts w:ascii="宋体" w:hAnsi="宋体" w:cs="宋体" w:eastAsia="宋体" w:hint="default"/>
          <w:sz w:val="21"/>
          <w:szCs w:val="21"/>
        </w:rPr>
        <w:t>价值的确定依据是否充分、合理；</w:t>
      </w:r>
    </w:p>
    <w:p>
      <w:pPr>
        <w:spacing w:after="0" w:line="400" w:lineRule="auto"/>
        <w:jc w:val="left"/>
        <w:rPr>
          <w:rFonts w:ascii="宋体" w:hAnsi="宋体" w:cs="宋体" w:eastAsia="宋体" w:hint="default"/>
          <w:sz w:val="21"/>
          <w:szCs w:val="21"/>
        </w:rPr>
        <w:sectPr>
          <w:pgSz w:w="11910" w:h="16840"/>
          <w:pgMar w:header="885" w:footer="1123" w:top="1100" w:bottom="13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27"/>
        <w:ind w:left="561" w:right="1195" w:firstLine="0"/>
        <w:jc w:val="left"/>
        <w:rPr>
          <w:rFonts w:ascii="宋体" w:hAnsi="宋体" w:cs="宋体" w:eastAsia="宋体" w:hint="default"/>
          <w:sz w:val="21"/>
          <w:szCs w:val="21"/>
        </w:rPr>
      </w:pPr>
      <w:r>
        <w:rPr>
          <w:rFonts w:ascii="宋体" w:hAnsi="宋体" w:cs="宋体" w:eastAsia="宋体" w:hint="default"/>
          <w:sz w:val="21"/>
          <w:szCs w:val="21"/>
        </w:rPr>
        <w:t>（5）评估管理层对投资性房地产的估计结果，以及在财务报表附注中披露的充分性。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61" w:right="1195" w:firstLine="0"/>
        <w:jc w:val="left"/>
        <w:rPr>
          <w:rFonts w:ascii="宋体" w:hAnsi="宋体" w:cs="宋体" w:eastAsia="宋体" w:hint="default"/>
          <w:sz w:val="24"/>
          <w:szCs w:val="24"/>
        </w:rPr>
      </w:pPr>
      <w:r>
        <w:rPr>
          <w:rFonts w:ascii="宋体" w:hAnsi="宋体" w:cs="宋体" w:eastAsia="宋体" w:hint="default"/>
          <w:sz w:val="24"/>
          <w:szCs w:val="24"/>
        </w:rPr>
        <w:t>四、其他信息</w:t>
      </w:r>
    </w:p>
    <w:p>
      <w:pPr>
        <w:spacing w:line="403" w:lineRule="auto" w:before="191"/>
        <w:ind w:left="141" w:right="1697" w:firstLine="420"/>
        <w:jc w:val="left"/>
        <w:rPr>
          <w:rFonts w:ascii="宋体" w:hAnsi="宋体" w:cs="宋体" w:eastAsia="宋体" w:hint="default"/>
          <w:sz w:val="21"/>
          <w:szCs w:val="21"/>
        </w:rPr>
      </w:pPr>
      <w:r>
        <w:rPr>
          <w:rFonts w:ascii="宋体" w:hAnsi="宋体" w:cs="宋体" w:eastAsia="宋体" w:hint="default"/>
          <w:sz w:val="21"/>
          <w:szCs w:val="21"/>
        </w:rPr>
        <w:t>贵公司管理层（以下简称管理层）对其他信息负责。其他信息包括贵公司</w:t>
      </w:r>
      <w:r>
        <w:rPr>
          <w:rFonts w:ascii="宋体" w:hAnsi="宋体" w:cs="宋体" w:eastAsia="宋体" w:hint="default"/>
          <w:spacing w:val="-61"/>
          <w:sz w:val="21"/>
          <w:szCs w:val="21"/>
        </w:rPr>
        <w:t> </w:t>
      </w: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年年度报</w:t>
      </w:r>
      <w:r>
        <w:rPr>
          <w:rFonts w:ascii="宋体" w:hAnsi="宋体" w:cs="宋体" w:eastAsia="宋体" w:hint="default"/>
          <w:w w:val="100"/>
          <w:sz w:val="21"/>
          <w:szCs w:val="21"/>
        </w:rPr>
        <w:t> </w:t>
      </w:r>
      <w:r>
        <w:rPr>
          <w:rFonts w:ascii="宋体" w:hAnsi="宋体" w:cs="宋体" w:eastAsia="宋体" w:hint="default"/>
          <w:sz w:val="21"/>
          <w:szCs w:val="21"/>
        </w:rPr>
        <w:t>告中涵盖的信息，但不包括财务报表和我们的审计报告。</w:t>
      </w:r>
    </w:p>
    <w:p>
      <w:pPr>
        <w:spacing w:line="403" w:lineRule="auto" w:before="40"/>
        <w:ind w:left="141" w:right="1195" w:firstLine="420"/>
        <w:jc w:val="left"/>
        <w:rPr>
          <w:rFonts w:ascii="宋体" w:hAnsi="宋体" w:cs="宋体" w:eastAsia="宋体" w:hint="default"/>
          <w:sz w:val="21"/>
          <w:szCs w:val="21"/>
        </w:rPr>
      </w:pPr>
      <w:r>
        <w:rPr>
          <w:rFonts w:ascii="宋体" w:hAnsi="宋体" w:cs="宋体" w:eastAsia="宋体" w:hint="default"/>
          <w:sz w:val="21"/>
          <w:szCs w:val="21"/>
        </w:rPr>
        <w:t>我们对财务报表发表的审计意见并不涵盖其他信息，我们也不对其他信息发表任何形式</w:t>
      </w:r>
      <w:r>
        <w:rPr>
          <w:rFonts w:ascii="宋体" w:hAnsi="宋体" w:cs="宋体" w:eastAsia="宋体" w:hint="default"/>
          <w:w w:val="100"/>
          <w:sz w:val="21"/>
          <w:szCs w:val="21"/>
        </w:rPr>
        <w:t> </w:t>
      </w:r>
      <w:r>
        <w:rPr>
          <w:rFonts w:ascii="宋体" w:hAnsi="宋体" w:cs="宋体" w:eastAsia="宋体" w:hint="default"/>
          <w:sz w:val="21"/>
          <w:szCs w:val="21"/>
        </w:rPr>
        <w:t>的鉴证结论。</w:t>
      </w:r>
    </w:p>
    <w:p>
      <w:pPr>
        <w:spacing w:line="400" w:lineRule="auto" w:before="43"/>
        <w:ind w:left="141" w:right="1195" w:firstLine="420"/>
        <w:jc w:val="left"/>
        <w:rPr>
          <w:rFonts w:ascii="宋体" w:hAnsi="宋体" w:cs="宋体" w:eastAsia="宋体" w:hint="default"/>
          <w:sz w:val="21"/>
          <w:szCs w:val="21"/>
        </w:rPr>
      </w:pPr>
      <w:r>
        <w:rPr>
          <w:rFonts w:ascii="宋体" w:hAnsi="宋体" w:cs="宋体" w:eastAsia="宋体" w:hint="default"/>
          <w:sz w:val="21"/>
          <w:szCs w:val="21"/>
        </w:rPr>
        <w:t>结合我们对财务报表的审计，我们的责任是阅读其他信息，在此过程中，考虑其他信息</w:t>
      </w:r>
      <w:r>
        <w:rPr>
          <w:rFonts w:ascii="宋体" w:hAnsi="宋体" w:cs="宋体" w:eastAsia="宋体" w:hint="default"/>
          <w:w w:val="100"/>
          <w:sz w:val="21"/>
          <w:szCs w:val="21"/>
        </w:rPr>
        <w:t> </w:t>
      </w:r>
      <w:r>
        <w:rPr>
          <w:rFonts w:ascii="宋体" w:hAnsi="宋体" w:cs="宋体" w:eastAsia="宋体" w:hint="default"/>
          <w:sz w:val="21"/>
          <w:szCs w:val="21"/>
        </w:rPr>
        <w:t>是否与财务报表或我们在审计过程中了解到的情况存在重大不一致或者似乎存在重大错报。</w:t>
      </w:r>
    </w:p>
    <w:p>
      <w:pPr>
        <w:spacing w:line="403" w:lineRule="auto" w:before="45"/>
        <w:ind w:left="141" w:right="1195" w:firstLine="420"/>
        <w:jc w:val="left"/>
        <w:rPr>
          <w:rFonts w:ascii="宋体" w:hAnsi="宋体" w:cs="宋体" w:eastAsia="宋体" w:hint="default"/>
          <w:sz w:val="21"/>
          <w:szCs w:val="21"/>
        </w:rPr>
      </w:pPr>
      <w:r>
        <w:rPr>
          <w:rFonts w:ascii="宋体" w:hAnsi="宋体" w:cs="宋体" w:eastAsia="宋体" w:hint="default"/>
          <w:sz w:val="21"/>
          <w:szCs w:val="21"/>
        </w:rPr>
        <w:t>基于我们已执行的工作，如果我们确定其他信息存在重大错报，我们应当报告该事实。</w:t>
      </w:r>
      <w:r>
        <w:rPr>
          <w:rFonts w:ascii="宋体" w:hAnsi="宋体" w:cs="宋体" w:eastAsia="宋体" w:hint="default"/>
          <w:w w:val="100"/>
          <w:sz w:val="21"/>
          <w:szCs w:val="21"/>
        </w:rPr>
        <w:t> </w:t>
      </w:r>
      <w:r>
        <w:rPr>
          <w:rFonts w:ascii="宋体" w:hAnsi="宋体" w:cs="宋体" w:eastAsia="宋体" w:hint="default"/>
          <w:sz w:val="21"/>
          <w:szCs w:val="21"/>
        </w:rPr>
        <w:t>在这方面，我们无任何事项需要报告。</w:t>
      </w:r>
    </w:p>
    <w:p>
      <w:pPr>
        <w:spacing w:line="240" w:lineRule="auto" w:before="7"/>
        <w:rPr>
          <w:rFonts w:ascii="宋体" w:hAnsi="宋体" w:cs="宋体" w:eastAsia="宋体" w:hint="default"/>
          <w:sz w:val="23"/>
          <w:szCs w:val="23"/>
        </w:rPr>
      </w:pPr>
    </w:p>
    <w:p>
      <w:pPr>
        <w:spacing w:before="0"/>
        <w:ind w:left="561" w:right="1195" w:firstLine="0"/>
        <w:jc w:val="left"/>
        <w:rPr>
          <w:rFonts w:ascii="宋体" w:hAnsi="宋体" w:cs="宋体" w:eastAsia="宋体" w:hint="default"/>
          <w:sz w:val="24"/>
          <w:szCs w:val="24"/>
        </w:rPr>
      </w:pPr>
      <w:r>
        <w:rPr>
          <w:rFonts w:ascii="宋体" w:hAnsi="宋体" w:cs="宋体" w:eastAsia="宋体" w:hint="default"/>
          <w:sz w:val="24"/>
          <w:szCs w:val="24"/>
        </w:rPr>
        <w:t>五、管理层和治理层对财务报表的责任</w:t>
      </w:r>
    </w:p>
    <w:p>
      <w:pPr>
        <w:spacing w:line="403" w:lineRule="auto" w:before="191"/>
        <w:ind w:left="141" w:right="1195" w:firstLine="420"/>
        <w:jc w:val="left"/>
        <w:rPr>
          <w:rFonts w:ascii="宋体" w:hAnsi="宋体" w:cs="宋体" w:eastAsia="宋体" w:hint="default"/>
          <w:sz w:val="21"/>
          <w:szCs w:val="21"/>
        </w:rPr>
      </w:pPr>
      <w:r>
        <w:rPr>
          <w:rFonts w:ascii="宋体" w:hAnsi="宋体" w:cs="宋体" w:eastAsia="宋体" w:hint="default"/>
          <w:sz w:val="21"/>
          <w:szCs w:val="21"/>
        </w:rPr>
        <w:t>管理层负责按照企业会计准则的规定编制财务报表，使其实现公允反映，并设计、执行</w:t>
      </w:r>
      <w:r>
        <w:rPr>
          <w:rFonts w:ascii="宋体" w:hAnsi="宋体" w:cs="宋体" w:eastAsia="宋体" w:hint="default"/>
          <w:w w:val="100"/>
          <w:sz w:val="21"/>
          <w:szCs w:val="21"/>
        </w:rPr>
        <w:t> </w:t>
      </w:r>
      <w:r>
        <w:rPr>
          <w:rFonts w:ascii="宋体" w:hAnsi="宋体" w:cs="宋体" w:eastAsia="宋体" w:hint="default"/>
          <w:sz w:val="21"/>
          <w:szCs w:val="21"/>
        </w:rPr>
        <w:t>和维护必要的内部控制，以使财务报表不存在由于舞弊或错误导致的重大错报。</w:t>
      </w:r>
    </w:p>
    <w:p>
      <w:pPr>
        <w:spacing w:line="403" w:lineRule="auto" w:before="40"/>
        <w:ind w:left="141" w:right="1695" w:firstLine="420"/>
        <w:jc w:val="both"/>
        <w:rPr>
          <w:rFonts w:ascii="宋体" w:hAnsi="宋体" w:cs="宋体" w:eastAsia="宋体" w:hint="default"/>
          <w:sz w:val="21"/>
          <w:szCs w:val="21"/>
        </w:rPr>
      </w:pPr>
      <w:r>
        <w:rPr>
          <w:rFonts w:ascii="宋体" w:hAnsi="宋体" w:cs="宋体" w:eastAsia="宋体" w:hint="default"/>
          <w:sz w:val="21"/>
          <w:szCs w:val="21"/>
        </w:rPr>
        <w:t>在编制财务报表时，管理层负责评估贵公司的持续经营能力，披露与持续经营相关的事</w:t>
      </w:r>
      <w:r>
        <w:rPr>
          <w:rFonts w:ascii="宋体" w:hAnsi="宋体" w:cs="宋体" w:eastAsia="宋体" w:hint="default"/>
          <w:w w:val="100"/>
          <w:sz w:val="21"/>
          <w:szCs w:val="21"/>
        </w:rPr>
        <w:t> </w:t>
      </w:r>
      <w:r>
        <w:rPr>
          <w:rFonts w:ascii="宋体" w:hAnsi="宋体" w:cs="宋体" w:eastAsia="宋体" w:hint="default"/>
          <w:sz w:val="21"/>
          <w:szCs w:val="21"/>
        </w:rPr>
        <w:t>项（如适用），并运用持续经营假设，除非管理层计划清算贵公司、终止运营或别无其他现</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实的选择。</w:t>
      </w:r>
    </w:p>
    <w:p>
      <w:pPr>
        <w:spacing w:before="40"/>
        <w:ind w:left="561" w:right="1195" w:firstLine="0"/>
        <w:jc w:val="left"/>
        <w:rPr>
          <w:rFonts w:ascii="宋体" w:hAnsi="宋体" w:cs="宋体" w:eastAsia="宋体" w:hint="default"/>
          <w:sz w:val="21"/>
          <w:szCs w:val="21"/>
        </w:rPr>
      </w:pPr>
      <w:r>
        <w:rPr>
          <w:rFonts w:ascii="宋体" w:hAnsi="宋体" w:cs="宋体" w:eastAsia="宋体" w:hint="default"/>
          <w:sz w:val="21"/>
          <w:szCs w:val="21"/>
        </w:rPr>
        <w:t>治理层负责监督贵公司的财务报告过程。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0"/>
        <w:ind w:left="621" w:right="1195" w:firstLine="0"/>
        <w:jc w:val="left"/>
        <w:rPr>
          <w:rFonts w:ascii="宋体" w:hAnsi="宋体" w:cs="宋体" w:eastAsia="宋体" w:hint="default"/>
          <w:sz w:val="24"/>
          <w:szCs w:val="24"/>
        </w:rPr>
      </w:pPr>
      <w:r>
        <w:rPr>
          <w:rFonts w:ascii="宋体" w:hAnsi="宋体" w:cs="宋体" w:eastAsia="宋体" w:hint="default"/>
          <w:sz w:val="24"/>
          <w:szCs w:val="24"/>
        </w:rPr>
        <w:t>六、注册会计师对财务报表审计的责任</w:t>
      </w:r>
    </w:p>
    <w:p>
      <w:pPr>
        <w:spacing w:line="400" w:lineRule="auto" w:before="189"/>
        <w:ind w:left="141" w:right="1695" w:firstLine="420"/>
        <w:jc w:val="both"/>
        <w:rPr>
          <w:rFonts w:ascii="宋体" w:hAnsi="宋体" w:cs="宋体" w:eastAsia="宋体" w:hint="default"/>
          <w:sz w:val="21"/>
          <w:szCs w:val="21"/>
        </w:rPr>
      </w:pPr>
      <w:r>
        <w:rPr>
          <w:rFonts w:ascii="宋体" w:hAnsi="宋体" w:cs="宋体" w:eastAsia="宋体" w:hint="default"/>
          <w:spacing w:val="6"/>
          <w:sz w:val="21"/>
          <w:szCs w:val="21"/>
        </w:rPr>
        <w:t>我们的目标是对财务报表整体是否不存在由于舞弊或错误导致的重大错报获取合理保</w:t>
      </w:r>
      <w:r>
        <w:rPr>
          <w:rFonts w:ascii="宋体" w:hAnsi="宋体" w:cs="宋体" w:eastAsia="宋体" w:hint="default"/>
          <w:w w:val="100"/>
          <w:sz w:val="21"/>
          <w:szCs w:val="21"/>
        </w:rPr>
        <w:t> </w:t>
      </w:r>
      <w:r>
        <w:rPr>
          <w:rFonts w:ascii="宋体" w:hAnsi="宋体" w:cs="宋体" w:eastAsia="宋体" w:hint="default"/>
          <w:sz w:val="21"/>
          <w:szCs w:val="21"/>
        </w:rPr>
        <w:t>证，并出具包含审计意见的审计报告。合理保证是高水平的保证，但并不能保证按照审计准</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则执行的审计在某一重大错报存在时总能发现。错报可能由于舞弊或错误导致，如果合理预</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期错报单独或汇总起来可能影响财务报表使用者依据财务报表作出的经济决策，则通常认为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错报是重大的。</w:t>
      </w:r>
    </w:p>
    <w:p>
      <w:pPr>
        <w:spacing w:line="400" w:lineRule="auto" w:before="45"/>
        <w:ind w:left="141" w:right="1195" w:firstLine="420"/>
        <w:jc w:val="left"/>
        <w:rPr>
          <w:rFonts w:ascii="宋体" w:hAnsi="宋体" w:cs="宋体" w:eastAsia="宋体" w:hint="default"/>
          <w:sz w:val="21"/>
          <w:szCs w:val="21"/>
        </w:rPr>
      </w:pPr>
      <w:r>
        <w:rPr>
          <w:rFonts w:ascii="宋体" w:hAnsi="宋体" w:cs="宋体" w:eastAsia="宋体" w:hint="default"/>
          <w:sz w:val="21"/>
          <w:szCs w:val="21"/>
        </w:rPr>
        <w:t>在按照审计准则执行审计工作的过程中，我们运用职业判断，并保持职业怀疑。同时，</w:t>
      </w:r>
      <w:r>
        <w:rPr>
          <w:rFonts w:ascii="宋体" w:hAnsi="宋体" w:cs="宋体" w:eastAsia="宋体" w:hint="default"/>
          <w:w w:val="100"/>
          <w:sz w:val="21"/>
          <w:szCs w:val="21"/>
        </w:rPr>
        <w:t> </w:t>
      </w:r>
      <w:r>
        <w:rPr>
          <w:rFonts w:ascii="宋体" w:hAnsi="宋体" w:cs="宋体" w:eastAsia="宋体" w:hint="default"/>
          <w:sz w:val="21"/>
          <w:szCs w:val="21"/>
        </w:rPr>
        <w:t>我们也执行以下工作：</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（一）识别和评估由于舞弊或错误导致的财务报表重大错报风险，设计和实施审计程序</w:t>
      </w:r>
    </w:p>
    <w:p>
      <w:pPr>
        <w:spacing w:after="0"/>
        <w:jc w:val="left"/>
        <w:rPr>
          <w:rFonts w:ascii="宋体" w:hAnsi="宋体" w:cs="宋体" w:eastAsia="宋体" w:hint="default"/>
          <w:sz w:val="21"/>
          <w:szCs w:val="21"/>
        </w:rPr>
        <w:sectPr>
          <w:pgSz w:w="11910" w:h="16840"/>
          <w:pgMar w:header="885" w:footer="1123" w:top="1100" w:bottom="13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400" w:lineRule="auto" w:before="27"/>
        <w:ind w:left="141" w:right="1695" w:firstLine="0"/>
        <w:jc w:val="both"/>
        <w:rPr>
          <w:rFonts w:ascii="宋体" w:hAnsi="宋体" w:cs="宋体" w:eastAsia="宋体" w:hint="default"/>
          <w:sz w:val="21"/>
          <w:szCs w:val="21"/>
        </w:rPr>
      </w:pPr>
      <w:r>
        <w:rPr>
          <w:rFonts w:ascii="宋体" w:hAnsi="宋体" w:cs="宋体" w:eastAsia="宋体" w:hint="default"/>
          <w:sz w:val="21"/>
          <w:szCs w:val="21"/>
        </w:rPr>
        <w:t>以应对这些风险，并获取充分、适当的审计证据，作为发表审计意见的基础。由于舞弊可能</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涉及串通、伪造、故意遗漏、虚假陈述或凌驾于内部控制之上，未能发现由于舞弊导致的重</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大错报的风险高于未能发现由于错误导致的重大错报的风险。</w:t>
      </w:r>
    </w:p>
    <w:p>
      <w:pPr>
        <w:spacing w:before="45"/>
        <w:ind w:left="561" w:right="1195" w:firstLine="0"/>
        <w:jc w:val="left"/>
        <w:rPr>
          <w:rFonts w:ascii="宋体" w:hAnsi="宋体" w:cs="宋体" w:eastAsia="宋体" w:hint="default"/>
          <w:sz w:val="21"/>
          <w:szCs w:val="21"/>
        </w:rPr>
      </w:pPr>
      <w:r>
        <w:rPr>
          <w:rFonts w:ascii="宋体" w:hAnsi="宋体" w:cs="宋体" w:eastAsia="宋体" w:hint="default"/>
          <w:sz w:val="21"/>
          <w:szCs w:val="21"/>
        </w:rPr>
        <w:t>（二）了解与审计相关的内部控制，以设计恰当的审计程序。</w:t>
      </w:r>
    </w:p>
    <w:p>
      <w:pPr>
        <w:spacing w:line="240" w:lineRule="auto" w:before="0"/>
        <w:rPr>
          <w:rFonts w:ascii="宋体" w:hAnsi="宋体" w:cs="宋体" w:eastAsia="宋体" w:hint="default"/>
          <w:sz w:val="14"/>
          <w:szCs w:val="14"/>
        </w:rPr>
      </w:pPr>
    </w:p>
    <w:p>
      <w:pPr>
        <w:spacing w:before="0"/>
        <w:ind w:left="561" w:right="1195" w:firstLine="0"/>
        <w:jc w:val="left"/>
        <w:rPr>
          <w:rFonts w:ascii="宋体" w:hAnsi="宋体" w:cs="宋体" w:eastAsia="宋体" w:hint="default"/>
          <w:sz w:val="21"/>
          <w:szCs w:val="21"/>
        </w:rPr>
      </w:pPr>
      <w:r>
        <w:rPr>
          <w:rFonts w:ascii="宋体" w:hAnsi="宋体" w:cs="宋体" w:eastAsia="宋体" w:hint="default"/>
          <w:sz w:val="21"/>
          <w:szCs w:val="21"/>
        </w:rPr>
        <w:t>（三）评价管理层选用会计政策的恰当性和作出会计估计及相关披露的合理性。</w:t>
      </w:r>
    </w:p>
    <w:p>
      <w:pPr>
        <w:spacing w:line="240" w:lineRule="auto" w:before="3"/>
        <w:rPr>
          <w:rFonts w:ascii="宋体" w:hAnsi="宋体" w:cs="宋体" w:eastAsia="宋体" w:hint="default"/>
          <w:sz w:val="14"/>
          <w:szCs w:val="14"/>
        </w:rPr>
      </w:pPr>
    </w:p>
    <w:p>
      <w:pPr>
        <w:spacing w:line="400" w:lineRule="auto" w:before="0"/>
        <w:ind w:left="141" w:right="1695" w:firstLine="420"/>
        <w:jc w:val="both"/>
        <w:rPr>
          <w:rFonts w:ascii="宋体" w:hAnsi="宋体" w:cs="宋体" w:eastAsia="宋体" w:hint="default"/>
          <w:sz w:val="21"/>
          <w:szCs w:val="21"/>
        </w:rPr>
      </w:pPr>
      <w:r>
        <w:rPr>
          <w:rFonts w:ascii="宋体" w:hAnsi="宋体" w:cs="宋体" w:eastAsia="宋体" w:hint="default"/>
          <w:sz w:val="21"/>
          <w:szCs w:val="21"/>
        </w:rPr>
        <w:t>（四）对管理层使用持续经营假设的恰当性得出结论。同时，根据获取的审计证据，就</w:t>
      </w:r>
      <w:r>
        <w:rPr>
          <w:rFonts w:ascii="宋体" w:hAnsi="宋体" w:cs="宋体" w:eastAsia="宋体" w:hint="default"/>
          <w:w w:val="100"/>
          <w:sz w:val="21"/>
          <w:szCs w:val="21"/>
        </w:rPr>
        <w:t> </w:t>
      </w:r>
      <w:r>
        <w:rPr>
          <w:rFonts w:ascii="宋体" w:hAnsi="宋体" w:cs="宋体" w:eastAsia="宋体" w:hint="default"/>
          <w:spacing w:val="5"/>
          <w:sz w:val="21"/>
          <w:szCs w:val="21"/>
        </w:rPr>
        <w:t>可能导致对贵公司持续经营能力产生重大疑虑的事项或情况是否存在重大不确定性得出结</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论。如果我们得出结论认为存在重大不确定性，审计准则要求我们在审计报告中提请报表使</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用者注意财务报表中的相关披露；如果披露不充分，我们应当发表非无保留意见。我们的结</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论基于截至审计报告日可获得的信息。然而，未来的事项或情况可能导致贵公司不能持续经</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营。</w:t>
      </w:r>
    </w:p>
    <w:p>
      <w:pPr>
        <w:spacing w:line="403" w:lineRule="auto" w:before="45"/>
        <w:ind w:left="141" w:right="1699" w:firstLine="420"/>
        <w:jc w:val="both"/>
        <w:rPr>
          <w:rFonts w:ascii="宋体" w:hAnsi="宋体" w:cs="宋体" w:eastAsia="宋体" w:hint="default"/>
          <w:sz w:val="21"/>
          <w:szCs w:val="21"/>
        </w:rPr>
      </w:pPr>
      <w:r>
        <w:rPr>
          <w:rFonts w:ascii="宋体" w:hAnsi="宋体" w:cs="宋体" w:eastAsia="宋体" w:hint="default"/>
          <w:sz w:val="21"/>
          <w:szCs w:val="21"/>
        </w:rPr>
        <w:t>（五）评价财务报表的总体列报、结构和内容，并评价财务报表是否公允反映相关交易</w:t>
      </w:r>
      <w:r>
        <w:rPr>
          <w:rFonts w:ascii="宋体" w:hAnsi="宋体" w:cs="宋体" w:eastAsia="宋体" w:hint="default"/>
          <w:w w:val="100"/>
          <w:sz w:val="21"/>
          <w:szCs w:val="21"/>
        </w:rPr>
        <w:t> </w:t>
      </w:r>
      <w:r>
        <w:rPr>
          <w:rFonts w:ascii="宋体" w:hAnsi="宋体" w:cs="宋体" w:eastAsia="宋体" w:hint="default"/>
          <w:sz w:val="21"/>
          <w:szCs w:val="21"/>
        </w:rPr>
        <w:t>和事项。</w:t>
      </w:r>
    </w:p>
    <w:p>
      <w:pPr>
        <w:spacing w:line="403" w:lineRule="auto" w:before="40"/>
        <w:ind w:left="141" w:right="1699" w:firstLine="420"/>
        <w:jc w:val="both"/>
        <w:rPr>
          <w:rFonts w:ascii="宋体" w:hAnsi="宋体" w:cs="宋体" w:eastAsia="宋体" w:hint="default"/>
          <w:sz w:val="21"/>
          <w:szCs w:val="21"/>
        </w:rPr>
      </w:pPr>
      <w:r>
        <w:rPr>
          <w:rFonts w:ascii="宋体" w:hAnsi="宋体" w:cs="宋体" w:eastAsia="宋体" w:hint="default"/>
          <w:sz w:val="21"/>
          <w:szCs w:val="21"/>
        </w:rPr>
        <w:t>（六）就贵公司中实体或业务活动的财务信息获取充分、恰当的审计证据，以对财务报</w:t>
      </w:r>
      <w:r>
        <w:rPr>
          <w:rFonts w:ascii="宋体" w:hAnsi="宋体" w:cs="宋体" w:eastAsia="宋体" w:hint="default"/>
          <w:w w:val="100"/>
          <w:sz w:val="21"/>
          <w:szCs w:val="21"/>
        </w:rPr>
        <w:t> </w:t>
      </w:r>
      <w:r>
        <w:rPr>
          <w:rFonts w:ascii="宋体" w:hAnsi="宋体" w:cs="宋体" w:eastAsia="宋体" w:hint="default"/>
          <w:sz w:val="21"/>
          <w:szCs w:val="21"/>
        </w:rPr>
        <w:t>表发表审计意见。我们负责指导、监督和执行集团审计，并对审计意见承担全部责任。</w:t>
      </w:r>
    </w:p>
    <w:p>
      <w:pPr>
        <w:spacing w:line="400" w:lineRule="auto" w:before="43"/>
        <w:ind w:left="141" w:right="1699" w:firstLine="420"/>
        <w:jc w:val="both"/>
        <w:rPr>
          <w:rFonts w:ascii="宋体" w:hAnsi="宋体" w:cs="宋体" w:eastAsia="宋体" w:hint="default"/>
          <w:sz w:val="21"/>
          <w:szCs w:val="21"/>
        </w:rPr>
      </w:pPr>
      <w:r>
        <w:rPr>
          <w:rFonts w:ascii="宋体" w:hAnsi="宋体" w:cs="宋体" w:eastAsia="宋体" w:hint="default"/>
          <w:sz w:val="21"/>
          <w:szCs w:val="21"/>
        </w:rPr>
        <w:t>我们与治理层就计划的审计范围、时间安排和重大审计发现等事项进行沟通，包括沟通</w:t>
      </w:r>
      <w:r>
        <w:rPr>
          <w:rFonts w:ascii="宋体" w:hAnsi="宋体" w:cs="宋体" w:eastAsia="宋体" w:hint="default"/>
          <w:w w:val="100"/>
          <w:sz w:val="21"/>
          <w:szCs w:val="21"/>
        </w:rPr>
        <w:t> </w:t>
      </w:r>
      <w:r>
        <w:rPr>
          <w:rFonts w:ascii="宋体" w:hAnsi="宋体" w:cs="宋体" w:eastAsia="宋体" w:hint="default"/>
          <w:sz w:val="21"/>
          <w:szCs w:val="21"/>
        </w:rPr>
        <w:t>我们在审计中识别出的值得关注的内部控制缺陷。</w:t>
      </w:r>
    </w:p>
    <w:p>
      <w:pPr>
        <w:spacing w:line="403" w:lineRule="auto" w:before="45"/>
        <w:ind w:left="141" w:right="1699" w:firstLine="420"/>
        <w:jc w:val="both"/>
        <w:rPr>
          <w:rFonts w:ascii="宋体" w:hAnsi="宋体" w:cs="宋体" w:eastAsia="宋体" w:hint="default"/>
          <w:sz w:val="21"/>
          <w:szCs w:val="21"/>
        </w:rPr>
      </w:pPr>
      <w:r>
        <w:rPr>
          <w:rFonts w:ascii="宋体" w:hAnsi="宋体" w:cs="宋体" w:eastAsia="宋体" w:hint="default"/>
          <w:sz w:val="21"/>
          <w:szCs w:val="21"/>
        </w:rPr>
        <w:t>我们还就遵守与独立性相关的职业道德要求向治理层提供声明，并与治理层沟通可能被</w:t>
      </w:r>
      <w:r>
        <w:rPr>
          <w:rFonts w:ascii="宋体" w:hAnsi="宋体" w:cs="宋体" w:eastAsia="宋体" w:hint="default"/>
          <w:w w:val="100"/>
          <w:sz w:val="21"/>
          <w:szCs w:val="21"/>
        </w:rPr>
        <w:t> </w:t>
      </w:r>
      <w:r>
        <w:rPr>
          <w:rFonts w:ascii="宋体" w:hAnsi="宋体" w:cs="宋体" w:eastAsia="宋体" w:hint="default"/>
          <w:sz w:val="21"/>
          <w:szCs w:val="21"/>
        </w:rPr>
        <w:t>合理认为影响我们独立性的所有关系和其他事项，以及相关的防范措施（如适用）。</w:t>
      </w:r>
    </w:p>
    <w:p>
      <w:pPr>
        <w:spacing w:line="400" w:lineRule="auto" w:before="40"/>
        <w:ind w:left="141" w:right="1695" w:firstLine="420"/>
        <w:jc w:val="both"/>
        <w:rPr>
          <w:rFonts w:ascii="宋体" w:hAnsi="宋体" w:cs="宋体" w:eastAsia="宋体" w:hint="default"/>
          <w:sz w:val="21"/>
          <w:szCs w:val="21"/>
        </w:rPr>
      </w:pPr>
      <w:r>
        <w:rPr>
          <w:rFonts w:ascii="宋体" w:hAnsi="宋体" w:cs="宋体" w:eastAsia="宋体" w:hint="default"/>
          <w:sz w:val="21"/>
          <w:szCs w:val="21"/>
        </w:rPr>
        <w:t>从与治理层沟通过的事项中，我们确定哪些事项对本期财务报表审计最为重要，因而构</w:t>
      </w:r>
      <w:r>
        <w:rPr>
          <w:rFonts w:ascii="宋体" w:hAnsi="宋体" w:cs="宋体" w:eastAsia="宋体" w:hint="default"/>
          <w:w w:val="100"/>
          <w:sz w:val="21"/>
          <w:szCs w:val="21"/>
        </w:rPr>
        <w:t> </w:t>
      </w:r>
      <w:r>
        <w:rPr>
          <w:rFonts w:ascii="宋体" w:hAnsi="宋体" w:cs="宋体" w:eastAsia="宋体" w:hint="default"/>
          <w:sz w:val="21"/>
          <w:szCs w:val="21"/>
        </w:rPr>
        <w:t>成关键审计事项。我们在审计报告中描述这些事项，除非法律法规禁止公开披露这些事项，</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或在极少数情形下，如果合理预期在审计报告中沟通某事项造成的负面后果超过在公众利益</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方面产生的益处，我们确定不应在审计报告中沟通该事项。</w:t>
      </w:r>
    </w:p>
    <w:p>
      <w:pPr>
        <w:spacing w:after="0" w:line="400" w:lineRule="auto"/>
        <w:jc w:val="both"/>
        <w:rPr>
          <w:rFonts w:ascii="宋体" w:hAnsi="宋体" w:cs="宋体" w:eastAsia="宋体" w:hint="default"/>
          <w:sz w:val="21"/>
          <w:szCs w:val="21"/>
        </w:rPr>
        <w:sectPr>
          <w:pgSz w:w="11910" w:h="16840"/>
          <w:pgMar w:header="885" w:footer="1123" w:top="1100" w:bottom="13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980" w:val="left" w:leader="none"/>
        </w:tabs>
        <w:spacing w:before="164"/>
        <w:ind w:left="566" w:right="1195" w:firstLine="0"/>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大信会计师事务所（特殊普通合伙）</w:t>
        <w:tab/>
        <w:t>中国注册会计师：</w:t>
      </w:r>
    </w:p>
    <w:p>
      <w:pPr>
        <w:spacing w:line="240" w:lineRule="auto" w:before="3"/>
        <w:rPr>
          <w:rFonts w:ascii="宋体" w:hAnsi="宋体" w:cs="宋体" w:eastAsia="宋体" w:hint="default"/>
          <w:sz w:val="14"/>
          <w:szCs w:val="14"/>
        </w:rPr>
      </w:pPr>
    </w:p>
    <w:p>
      <w:pPr>
        <w:spacing w:before="0"/>
        <w:ind w:left="3833" w:right="2557" w:firstLine="0"/>
        <w:jc w:val="center"/>
        <w:rPr>
          <w:rFonts w:ascii="宋体" w:hAnsi="宋体" w:cs="宋体" w:eastAsia="宋体" w:hint="default"/>
          <w:sz w:val="21"/>
          <w:szCs w:val="21"/>
        </w:rPr>
      </w:pPr>
      <w:r>
        <w:rPr>
          <w:rFonts w:ascii="宋体" w:hAnsi="宋体" w:cs="宋体" w:eastAsia="宋体" w:hint="default"/>
          <w:sz w:val="21"/>
          <w:szCs w:val="21"/>
        </w:rPr>
        <w:t>（项目合伙人）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tabs>
          <w:tab w:pos="5078" w:val="left" w:leader="none"/>
        </w:tabs>
        <w:spacing w:before="0"/>
        <w:ind w:left="1401" w:right="1195" w:firstLine="0"/>
        <w:jc w:val="left"/>
        <w:rPr>
          <w:rFonts w:ascii="宋体" w:hAnsi="宋体" w:cs="宋体" w:eastAsia="宋体" w:hint="default"/>
          <w:sz w:val="21"/>
          <w:szCs w:val="21"/>
        </w:rPr>
      </w:pPr>
      <w:r>
        <w:rPr>
          <w:rFonts w:ascii="宋体" w:hAnsi="宋体" w:cs="宋体" w:eastAsia="宋体" w:hint="default"/>
          <w:spacing w:val="-1"/>
          <w:sz w:val="21"/>
          <w:szCs w:val="21"/>
        </w:rPr>
        <w:t>中国·北京</w:t>
        <w:tab/>
      </w:r>
      <w:r>
        <w:rPr>
          <w:rFonts w:ascii="宋体" w:hAnsi="宋体" w:cs="宋体" w:eastAsia="宋体" w:hint="default"/>
          <w:spacing w:val="-2"/>
          <w:sz w:val="21"/>
          <w:szCs w:val="21"/>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0"/>
        <w:ind w:left="6333" w:right="1195" w:firstLine="0"/>
        <w:jc w:val="left"/>
        <w:rPr>
          <w:rFonts w:ascii="宋体" w:hAnsi="宋体" w:cs="宋体" w:eastAsia="宋体" w:hint="default"/>
          <w:sz w:val="21"/>
          <w:szCs w:val="21"/>
        </w:rPr>
      </w:pPr>
      <w:r>
        <w:rPr>
          <w:rFonts w:ascii="宋体" w:hAnsi="宋体" w:cs="宋体" w:eastAsia="宋体" w:hint="default"/>
          <w:sz w:val="21"/>
          <w:szCs w:val="21"/>
        </w:rPr>
        <w:t>二○二○年三月二十六日</w:t>
      </w:r>
    </w:p>
    <w:p>
      <w:pPr>
        <w:spacing w:after="0"/>
        <w:jc w:val="left"/>
        <w:rPr>
          <w:rFonts w:ascii="宋体" w:hAnsi="宋体" w:cs="宋体" w:eastAsia="宋体" w:hint="default"/>
          <w:sz w:val="21"/>
          <w:szCs w:val="21"/>
        </w:rPr>
        <w:sectPr>
          <w:pgSz w:w="11910" w:h="16840"/>
          <w:pgMar w:header="885" w:footer="1123" w:top="1100" w:bottom="13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0"/>
        <w:jc w:val="left"/>
        <w:rPr>
          <w:rFonts w:ascii="Tahoma" w:hAnsi="Tahoma" w:cs="Tahoma" w:eastAsia="Tahoma" w:hint="default"/>
        </w:rPr>
      </w:pPr>
      <w:r>
        <w:rPr/>
        <w:t>二、财务报表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rFonts w:ascii="Tahoma" w:hAnsi="Tahoma" w:cs="Tahoma" w:eastAsia="Tahoma" w:hint="default"/>
        </w:rPr>
      </w:pPr>
      <w:r>
        <w:rPr>
          <w:rFonts w:ascii="Tahoma" w:hAnsi="Tahoma" w:cs="Tahoma" w:eastAsia="Tahoma" w:hint="default"/>
        </w:rPr>
        <w:t>1</w:t>
      </w:r>
      <w:r>
        <w:rPr/>
        <w:t>、合并资产负债表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headerReference w:type="default" r:id="rId39"/>
          <w:footerReference w:type="default" r:id="rId40"/>
          <w:pgSz w:w="11910" w:h="16840"/>
          <w:pgMar w:header="885" w:footer="982" w:top="1100" w:bottom="1180" w:left="980" w:right="0"/>
          <w:pgNumType w:start="7"/>
        </w:sectPr>
      </w:pPr>
    </w:p>
    <w:p>
      <w:pPr>
        <w:pStyle w:val="BodyText"/>
        <w:spacing w:line="240" w:lineRule="auto" w:before="37"/>
        <w:ind w:right="-20"/>
        <w:jc w:val="left"/>
      </w:pPr>
      <w:r>
        <w:rPr/>
        <w:t>编制单位：美盈森集团股份有限公司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4"/>
        <w:ind w:right="-15"/>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3" w:equalWidth="0">
            <w:col w:w="3033" w:space="1042"/>
            <w:col w:w="1641" w:space="3202"/>
            <w:col w:w="201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1,016,858,752.99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508,908,643.58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84,560,739.17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82,564,300.79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1,088,781,408.55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998,117,661.52</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19,445,223.04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10,432,849.35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93,467,618.53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62,064,165.55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4,129,312.56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728,608,688.26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667,198,889.53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100,810,439.62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834,823,280.60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3,641,441,513.74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3,644,712,648.16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31,728,554.67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1,476,455,255.79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506,898,981.88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1,249,979,254.47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1,219,297,623.63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265,996,461.39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316,579,242.27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3,144,831.32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2,193,167.57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517,803,063.72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418,615,032.91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20,648,927.50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17,960,376.84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14,859,797.60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15,395,055.68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46,375,290.65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227,257,564.10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3,627,991,437.11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2,725,197,044.88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7,269,432,950.85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6,369,909,693.04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461,154,106.48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605,387,333.73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517,588,314.52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600,157,464.57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629,341,765.09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14,504,544.75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17,838,529.73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43,125,152.99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36,901,696.03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30,358,926.62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38,879,868.72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31,101,251.31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18,868,068.27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1,785,788,780.45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1,658,418,242.36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100,412,297.38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94,495,789.66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129,527,776.98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29,367,629.61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229,940,074.36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123,863,419.27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2,015,728,854.81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1,782,281,661.63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1,531,323,685.00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1,243,220,158.45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1,243,220,158.45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513,420,293.10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71,680,309.56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183,247,899.94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163,895,427.21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1,676,028,446.38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1,466,366,406.97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5,147,240,482.87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4,476,485,987.19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106,463,613.17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111,142,044.22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5,253,704,096.04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4,587,628,031.41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7,269,432,950.85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6,369,909,693.04</w:t>
            </w:r>
          </w:p>
        </w:tc>
      </w:tr>
    </w:tbl>
    <w:p>
      <w:pPr>
        <w:spacing w:line="240" w:lineRule="auto" w:before="7"/>
        <w:rPr>
          <w:rFonts w:ascii="Times New Roman" w:hAnsi="Times New Roman" w:cs="Times New Roman" w:eastAsia="Times New Roman" w:hint="default"/>
          <w:sz w:val="23"/>
          <w:szCs w:val="23"/>
        </w:rPr>
      </w:pPr>
    </w:p>
    <w:p>
      <w:pPr>
        <w:pStyle w:val="BodyText"/>
        <w:tabs>
          <w:tab w:pos="3424" w:val="left" w:leader="none"/>
          <w:tab w:pos="7567" w:val="left" w:leader="none"/>
        </w:tabs>
        <w:spacing w:line="240" w:lineRule="auto" w:before="37"/>
        <w:ind w:left="0" w:right="1224"/>
        <w:jc w:val="right"/>
      </w:pPr>
      <w:r>
        <w:rPr/>
        <w:t>法定代表人：王海鹏</w:t>
        <w:tab/>
      </w:r>
      <w:r>
        <w:rPr>
          <w:spacing w:val="-1"/>
        </w:rPr>
        <w:t>主管会计工作负责人：袁宏贵</w:t>
        <w:tab/>
      </w:r>
      <w:r>
        <w:rPr/>
        <w:t>会计机构负责人：袁宏贵</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2</w:t>
      </w:r>
      <w:r>
        <w:rPr/>
        <w:t>、母公司资产负债表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215,781,093.62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159,419,430.50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10,066,670.97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48,791,751.89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52,760,172.07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326,679,903.68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376,432,146.31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218,956.48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636,088.60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127,709,158.30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154,678,569.64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3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771,659.04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151,875,911.68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145,159,578.83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1"/>
          <w:pgSz w:w="11910" w:h="16840"/>
          <w:pgMar w:footer="982" w:header="885" w:top="1100" w:bottom="1180" w:left="980" w:right="0"/>
          <w:pgNumType w:start="1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11,088,855.66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11,703,471.89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892,212,302.28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900,789,457.84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3,058,518,800.55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2,993,760,245.88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1,284,123,817.60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432,733,859.20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35,843,982.26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245,631,446.05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578,789.81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1,964,449.05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10,389,965.57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3,393,226.68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2,440,467.91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4,111,474.45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3,938,349.30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727,719.87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4,378,826.77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4,389,683,470.46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3,694,851,950.49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5,281,895,772.74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4,595,641,408.33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212,154,106.48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211,791,312.04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339,349,415.72</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383,618,867.83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271,147,871.45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4,123,182.34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8,402,054.28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11,435,736.94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10,649,429.60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2,153,187.39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8,050,390.68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203,805,131.25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37,355,809.74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1,029,081,524.27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740,954,971.47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7,085,334.41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7,815,334.37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119,402,621.34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24,668,139.68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126,487,955.75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32,483,474.05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1,155,569,480.02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773,438,445.52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1,531,323,685.00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1,242,337,832.55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1,242,337,832.55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463,541,312.95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46,677,973.38</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183,247,899.94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163,895,427.21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705,875,562.28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837,968,044.67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4,126,326,292.72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3,822,202,962.81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5,281,895,772.74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4,595,641,408.33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、合并利润表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3,392,132,631.63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3,248,945,549.35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3,392,132,631.63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3,248,945,549.35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2,946,250,346.44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2,782,920,959.14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2,304,110,212.24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2,196,210,059.84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34,388,140.13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36,415,790.55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242,189,532.19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238,380,120.95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211,253,807.49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204,079,870.59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147,391,163.22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127,081,637.14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6,917,491.17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-19,246,519.93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0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17,480,112.59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16,165,646.29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0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13,048,320.60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19,732,308.16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13,818,826.52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11,322,409.50</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16,010,387.99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12,908,667.30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204.121124pt;margin-top:143.87999pt;width:166.8pt;height:19.6pt;mso-position-horizontal-relative:page;mso-position-vertical-relative:page;z-index:-153860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04.841125pt;margin-top:402.839996pt;width:166.1pt;height:19.6pt;mso-position-horizontal-relative:page;mso-position-vertical-relative:page;z-index:-153858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10.960007pt;margin-top:402.839996pt;width:160pt;height:19.6pt;mso-position-horizontal-relative:page;mso-position-vertical-relative:page;z-index:-1538560" coordorigin="4219,8057" coordsize="3200,392">
            <v:shape style="position:absolute;left:4219;top:8057;width:3200;height:392" coordorigin="4219,8057" coordsize="3200,392" path="m4219,8057l7418,8057,7418,8448,4219,8448,4219,8057xe" filled="true" fillcolor="#ffffff" stroked="false">
              <v:path arrowok="t"/>
              <v:fill type="solid"/>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1,328,554.67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6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391"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60pt;height:19.6pt;mso-position-horizontal-relative:char;mso-position-vertical-relative:line" coordorigin="0,0" coordsize="3200,392">
                  <v:group style="position:absolute;left:0;top:0;width:3200;height:392" coordorigin="0,0" coordsize="3200,392">
                    <v:shape style="position:absolute;left:0;top:0;width:3200;height:392" coordorigin="0,0" coordsize="3200,392" path="m0,0l3199,0,3199,391,0,391,0,0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153,583,500.61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42,352,887.72</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8"/>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-9,715,767.03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8"/>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-2,891,526.70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-57,640,422.15</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8"/>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44,323.11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-969,614.68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616,732,029.69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473,998,517.90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4,539,301.27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748,528.51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5,393,514.34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6,484,189.09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615,877,816.62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468,262,857.32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85,276,998.53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75,806,933.56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530,600,818.09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392,455,923.76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530,711,814.46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391,523,782.60</w:t>
            </w:r>
          </w:p>
        </w:tc>
      </w:tr>
      <w:tr>
        <w:trPr>
          <w:trHeight w:val="714"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-110,996.37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932,141.16</w:t>
            </w:r>
          </w:p>
        </w:tc>
      </w:tr>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535,279,249.14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401,205,568.76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-4,678,431.05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-8,749,645.00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441,739,983.54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6,188,784.39</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6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441,739,983.54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6,188,784.39</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079"/>
        <w:gridCol w:w="3211"/>
        <w:gridCol w:w="3276"/>
      </w:tblGrid>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441,739,983.54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6,188,784.39</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2,442,354.21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2,924,626.65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439,297,629.33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3,264,157.74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972,340,801.63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398,644,708.15</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977,019,232.68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407,394,353.15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-4,678,431.05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-8,749,645.00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0.2608</w:t>
            </w:r>
          </w:p>
        </w:tc>
      </w:tr>
    </w:tbl>
    <w:p>
      <w:pPr>
        <w:pStyle w:val="BodyText"/>
        <w:tabs>
          <w:tab w:pos="3577" w:val="left" w:leader="none"/>
          <w:tab w:pos="7719" w:val="left" w:leader="none"/>
        </w:tabs>
        <w:spacing w:line="588" w:lineRule="auto" w:before="49"/>
        <w:ind w:right="122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法定代表人：王海鹏</w:t>
        <w:tab/>
      </w:r>
      <w:r>
        <w:rPr>
          <w:spacing w:val="-1"/>
        </w:rPr>
        <w:t>主管会计工作负责人：袁宏贵</w:t>
        <w:tab/>
      </w:r>
      <w:r>
        <w:rPr/>
        <w:t>会计机构负责人：袁宏贵</w:t>
      </w:r>
    </w:p>
    <w:p>
      <w:pPr>
        <w:spacing w:after="0" w:line="588"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w:t>
      </w:r>
      <w:r>
        <w:rPr/>
        <w:t>、母公司利润表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1,103,713,841.23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1,012,287,403.46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848,976,808.72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740,591,013.58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6,091,777.69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5,428,232.19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67,475,494.47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65,687,768.28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54,970,294.60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47,455,290.11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42,914,119.97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35,455,764.61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4,549,912.47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-1,642,702.45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4,649,605.30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8,154,231.44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2,868,894.20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3,164,088.37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5,174,187.44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3,974,463.02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1,832,289.48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461,722,446.28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1,328,554.67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5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141,135,752.70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32,542,117.20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-1,235,948.23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-1,332,753.75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-184,005,880.71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96,261.28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224,429,960.95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433,641,444.21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424,800.89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103,915.99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1,206,131.20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303,669.44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223,648,630.64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433,441,690.76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30,123,903.30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19,677,832.89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193,524,727.34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413,763,857.87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193,524,727.34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413,763,857.87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416,863,339.57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416,863,339.57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416,863,339.57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610,388,066.91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413,763,857.87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5</w:t>
      </w:r>
      <w:r>
        <w:rPr/>
        <w:t>、合并现金流量表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3,410,871,470.79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3,256,972,278.16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41,575,730.03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16,976,678.52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81,230,449.85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104,203,781.13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3,533,677,650.67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3,378,152,737.81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2,197,330,500.93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2,228,362,800.27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465,953,859.68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440,107,690.70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186,925,747.47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220,733,216.90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242,337,196.27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215,022,462.56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3,092,547,304.35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3,104,226,170.43</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441,130,346.32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273,926,567.38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1,708,980,000.00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848,953,949.78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18,813,019.26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10,555,191.76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1,055,818.00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5,233,182.79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1,728,848,837.26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864,742,324.33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379,147,477.40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582,751,591.38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1,509,380,000.00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1,570,500,001.00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34,583,200.96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1,923,110,678.36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2,153,251,592.38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-194,261,841.10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-1,288,509,268.05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528,600,753.48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480,158,060.93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530,600,753.48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480,158,060.93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353,833,483.99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321,448,152.76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222,002,690.37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139,508.17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61,102,523.12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790,587,660.93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636,938,697.48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-259,986,907.45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-156,780,636.55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2,823,449.68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7,577,628.09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-10,294,952.55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-1,163,785,709.13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989,511,500.82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979,216,548.27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6</w:t>
      </w:r>
      <w:r>
        <w:rPr/>
        <w:t>、母公司现金流量表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1,151,232,416.24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977,274,387.68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32,735.92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31,958,924.86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22,795,256.47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1,183,191,341.10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1,000,102,380.07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623,794,883.53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691,031,974.68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86,531,172.44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76,324,659.24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40,891,297.91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51,578,222.13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79,623,596.14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87,739,634.78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830,840,950.02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906,674,490.83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352,350,391.08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93,427,889.24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892,997,500.00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463,287.67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461,722,446.28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50,463,287.67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1,354,916,946.28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21,940,703.89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37,877,109.12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123,430,000.00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1,233,469,404.35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229,778,200.96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644,141,358.70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375,148,904.85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1,915,487,872.17</w:t>
            </w:r>
          </w:p>
        </w:tc>
      </w:tr>
    </w:tbl>
    <w:p>
      <w:pPr>
        <w:spacing w:after="0" w:line="240" w:lineRule="auto"/>
        <w:jc w:val="right"/>
        <w:rPr>
          <w:rFonts w:ascii="Times New Roman" w:hAnsi="Times New Roman" w:cs="Times New Roman" w:eastAsia="Times New Roman" w:hint="default"/>
          <w:sz w:val="18"/>
          <w:szCs w:val="18"/>
        </w:rPr>
        <w:sectPr>
          <w:footerReference w:type="default" r:id="rId42"/>
          <w:pgSz w:w="11910" w:h="16840"/>
          <w:pgMar w:footer="982" w:header="885" w:top="1100" w:bottom="1180" w:left="980" w:right="0"/>
          <w:pgNumType w:start="2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-324,685,617.18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-560,570,925.89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209,600,753.48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93,772,226.41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443,196,129.84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752,727,375.73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652,796,883.32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846,499,602.14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303,833,483.99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310,371,862.49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209,803,771.80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139,508.17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61,102,523.12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659,511,370.66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574,739,778.91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-6,714,487.34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271,759,823.23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427,404.94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1,259,308.22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21,377,691.50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-194,123,905.20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159,419,430.50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353,543,335.70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180,797,122.00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159,419,430.50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7</w:t>
      </w:r>
      <w:r>
        <w:rPr/>
        <w:t>、合并所有者权益变动表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t>本期金额</w:t>
      </w:r>
    </w:p>
    <w:p>
      <w:pPr>
        <w:pStyle w:val="BodyText"/>
        <w:spacing w:line="240" w:lineRule="auto" w:before="11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3"/>
        <w:gridCol w:w="586"/>
        <w:gridCol w:w="583"/>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1"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3D3D3"/>
          </w:tcPr>
          <w:p>
            <w:pPr/>
          </w:p>
        </w:tc>
        <w:tc>
          <w:tcPr>
            <w:tcW w:w="714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3D3D3"/>
          </w:tcPr>
          <w:p>
            <w:pPr/>
          </w:p>
        </w:tc>
        <w:tc>
          <w:tcPr>
            <w:tcW w:w="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3D3D3"/>
          </w:tcPr>
          <w:p>
            <w:pPr/>
          </w:p>
        </w:tc>
        <w:tc>
          <w:tcPr>
            <w:tcW w:w="494" w:type="dxa"/>
            <w:vMerge/>
            <w:tcBorders>
              <w:left w:val="single" w:sz="4" w:space="0" w:color="000000"/>
              <w:bottom w:val="single" w:sz="4" w:space="0" w:color="000000"/>
              <w:right w:val="single" w:sz="4" w:space="0" w:color="000000"/>
            </w:tcBorders>
            <w:shd w:val="clear" w:color="auto" w:fill="D3D3D3"/>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1,243,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220,15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163,89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5,427.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6.97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4,476,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485,98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pacing w:val="-3"/>
                <w:sz w:val="18"/>
              </w:rPr>
              <w:t>111,14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4,587,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628,03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1.41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3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1,243,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220,15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163,89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5,427.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6.97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4,476,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485,98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pacing w:val="-3"/>
                <w:sz w:val="18"/>
              </w:rPr>
              <w:t>111,14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4,587,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628,03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1.41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441,73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9,983.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209,66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670,75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4,495.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-4,678,</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431.05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666,07</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6,064.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441,73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9,983.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535,27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9,249.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977,01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9,232.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-4,678,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431.05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972,34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0,801.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-325,6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17,209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64,737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64,737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8"/>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64,737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64,737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64,737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0"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2"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0"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2"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64" w:hRule="exact"/>
        </w:trPr>
        <w:tc>
          <w:tcPr>
            <w:tcW w:w="12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1" w:hRule="exact"/>
        </w:trPr>
        <w:tc>
          <w:tcPr>
            <w:tcW w:w="12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0" w:hRule="exact"/>
        </w:trPr>
        <w:tc>
          <w:tcPr>
            <w:tcW w:w="12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1,243,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220,15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513,42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0,293.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183,24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1,676,</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028,44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6.38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5,147,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240,48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106,46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5,253,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704,09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6.04</w:t>
            </w:r>
          </w:p>
        </w:tc>
      </w:tr>
    </w:tbl>
    <w:p>
      <w:pPr>
        <w:pStyle w:val="BodyText"/>
        <w:spacing w:line="240" w:lineRule="auto" w:before="49"/>
        <w:ind w:right="0"/>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6"/>
        <w:gridCol w:w="569"/>
        <w:gridCol w:w="641"/>
        <w:gridCol w:w="653"/>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7"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2" w:type="dxa"/>
            <w:vMerge/>
            <w:tcBorders>
              <w:left w:val="single" w:sz="4" w:space="0" w:color="000000"/>
              <w:right w:val="single" w:sz="4" w:space="0" w:color="000000"/>
            </w:tcBorders>
            <w:shd w:val="clear" w:color="auto" w:fill="D3D3D3"/>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7"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2" w:type="dxa"/>
            <w:vMerge/>
            <w:tcBorders>
              <w:left w:val="single" w:sz="4" w:space="0" w:color="000000"/>
              <w:right w:val="single" w:sz="4" w:space="0" w:color="000000"/>
            </w:tcBorders>
            <w:shd w:val="clear" w:color="auto" w:fill="D3D3D3"/>
          </w:tcPr>
          <w:p>
            <w:pPr/>
          </w:p>
        </w:tc>
        <w:tc>
          <w:tcPr>
            <w:tcW w:w="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20"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r>
      <w:tr>
        <w:trPr>
          <w:trHeight w:val="715" w:hRule="exact"/>
        </w:trPr>
        <w:tc>
          <w:tcPr>
            <w:tcW w:w="1212" w:type="dxa"/>
            <w:vMerge/>
            <w:tcBorders>
              <w:left w:val="single" w:sz="4" w:space="0" w:color="000000"/>
              <w:bottom w:val="single" w:sz="4" w:space="0" w:color="000000"/>
              <w:right w:val="single" w:sz="4" w:space="0" w:color="000000"/>
            </w:tcBorders>
            <w:shd w:val="clear" w:color="auto" w:fill="D3D3D3"/>
          </w:tcPr>
          <w:p>
            <w:pPr/>
          </w:p>
        </w:tc>
        <w:tc>
          <w:tcPr>
            <w:tcW w:w="490" w:type="dxa"/>
            <w:vMerge/>
            <w:tcBorders>
              <w:left w:val="single" w:sz="4" w:space="0" w:color="000000"/>
              <w:bottom w:val="single" w:sz="4" w:space="0" w:color="000000"/>
              <w:right w:val="single" w:sz="4" w:space="0" w:color="000000"/>
            </w:tcBorders>
            <w:shd w:val="clear" w:color="auto" w:fill="D3D3D3"/>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88"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569" w:type="dxa"/>
            <w:vMerge/>
            <w:tcBorders>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1,292,</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346,24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122,51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9,041.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039,30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719,80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,426.12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1,292,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346,24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122,51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9,041.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039,30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719,80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,426.12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-49,12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6,091.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6,188,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784.39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159,32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7,103.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146,76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6,183.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-14,564</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,381.90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132,201</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,801.13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6,188,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784.39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401,20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5,568.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407,39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-8,749,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645.00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398,644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,708.15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8,416.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-61,00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8,416.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411.00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-65,940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,827.97</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8,416.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8,416.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411.00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-65,940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,827.97</w:t>
            </w:r>
          </w:p>
        </w:tc>
      </w:tr>
      <w:tr>
        <w:trPr>
          <w:trHeight w:val="365"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0"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2"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4"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0"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78,464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02,079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2,079.0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41,376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-41,37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6,385.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-200,5</w:t>
            </w: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-200,5</w:t>
            </w:r>
          </w:p>
        </w:tc>
        <w:tc>
          <w:tcPr>
            <w:tcW w:w="641" w:type="dxa"/>
            <w:vMerge w:val="restart"/>
            <w:tcBorders>
              <w:top w:val="single" w:sz="4" w:space="0" w:color="000000"/>
              <w:left w:val="single" w:sz="4" w:space="0" w:color="000000"/>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-200,50</w:t>
            </w: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（或股东）的</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02,079</w:t>
            </w: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02,079</w:t>
            </w:r>
          </w:p>
        </w:tc>
        <w:tc>
          <w:tcPr>
            <w:tcW w:w="641" w:type="dxa"/>
            <w:vMerge/>
            <w:tcBorders>
              <w:left w:val="single" w:sz="4" w:space="0" w:color="000000"/>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2,079.0</w:t>
            </w:r>
          </w:p>
        </w:tc>
      </w:tr>
      <w:tr>
        <w:trPr>
          <w:trHeight w:val="351"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18"/>
              <w:jc w:val="right"/>
              <w:rPr>
                <w:rFonts w:ascii="Times New Roman" w:hAnsi="Times New Roman" w:cs="Times New Roman" w:eastAsia="Times New Roman" w:hint="default"/>
                <w:sz w:val="18"/>
                <w:szCs w:val="18"/>
              </w:rPr>
            </w:pPr>
            <w:r>
              <w:rPr>
                <w:rFonts w:ascii="Times New Roman"/>
                <w:sz w:val="18"/>
              </w:rPr>
              <w:t>.05</w:t>
            </w: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.05</w:t>
            </w:r>
          </w:p>
        </w:tc>
        <w:tc>
          <w:tcPr>
            <w:tcW w:w="641" w:type="dxa"/>
            <w:vMerge/>
            <w:tcBorders>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5.90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0"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2"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4"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0"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0"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5"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0"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2"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5.90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5.90</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1,243,</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220,15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8.45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163,89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5,427.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6.97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4,476,</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485,98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pacing w:val="-3"/>
                <w:sz w:val="18"/>
              </w:rPr>
              <w:t>111,142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,044.22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28,031.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8</w:t>
      </w:r>
      <w:r>
        <w:rPr/>
        <w:t>、母公司所有者权益变动表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06"/>
        <w:gridCol w:w="629"/>
        <w:gridCol w:w="605"/>
        <w:gridCol w:w="602"/>
        <w:gridCol w:w="605"/>
        <w:gridCol w:w="727"/>
        <w:gridCol w:w="727"/>
        <w:gridCol w:w="725"/>
        <w:gridCol w:w="727"/>
        <w:gridCol w:w="727"/>
        <w:gridCol w:w="614"/>
        <w:gridCol w:w="710"/>
        <w:gridCol w:w="862"/>
      </w:tblGrid>
      <w:tr>
        <w:trPr>
          <w:trHeight w:val="403" w:hRule="exact"/>
        </w:trPr>
        <w:tc>
          <w:tcPr>
            <w:tcW w:w="13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306" w:type="dxa"/>
            <w:vMerge/>
            <w:tcBorders>
              <w:left w:val="single" w:sz="4" w:space="0" w:color="000000"/>
              <w:right w:val="single" w:sz="4" w:space="0" w:color="000000"/>
            </w:tcBorders>
            <w:shd w:val="clear" w:color="auto" w:fill="D3D3D3"/>
          </w:tcPr>
          <w:p>
            <w:pPr/>
          </w:p>
        </w:tc>
        <w:tc>
          <w:tcPr>
            <w:tcW w:w="6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56"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306" w:type="dxa"/>
            <w:vMerge/>
            <w:tcBorders>
              <w:left w:val="single" w:sz="4" w:space="0" w:color="000000"/>
              <w:bottom w:val="single" w:sz="4" w:space="0" w:color="000000"/>
              <w:right w:val="single" w:sz="4" w:space="0" w:color="000000"/>
            </w:tcBorders>
            <w:shd w:val="clear" w:color="auto" w:fill="D3D3D3"/>
          </w:tcPr>
          <w:p>
            <w:pPr/>
          </w:p>
        </w:tc>
        <w:tc>
          <w:tcPr>
            <w:tcW w:w="629" w:type="dxa"/>
            <w:vMerge/>
            <w:tcBorders>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5"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614" w:type="dxa"/>
            <w:vMerge/>
            <w:tcBorders>
              <w:left w:val="single" w:sz="4" w:space="0" w:color="000000"/>
              <w:bottom w:val="single" w:sz="4" w:space="0" w:color="000000"/>
              <w:right w:val="single" w:sz="4" w:space="0" w:color="000000"/>
            </w:tcBorders>
            <w:shd w:val="clear" w:color="auto" w:fill="D3D3D3"/>
          </w:tcPr>
          <w:p>
            <w:pPr/>
          </w:p>
        </w:tc>
        <w:tc>
          <w:tcPr>
            <w:tcW w:w="710"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8"/>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23,685.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1,242,33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7,832.55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46,677,9</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73.38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163,895,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427.21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837,96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8,044.6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3,822,202,</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962.81</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8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8"/>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23,685.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1,242,33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7,832.55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46,677,9</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73.38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163,895,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427.21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837,96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8,044.6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3,822,202,</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962.81</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416,863,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339.57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19,352,4</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72.73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2,482.3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304,123,3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29.91</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8"/>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416,863,</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339.57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4,727.3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610,388,0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66.91</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8"/>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19,352,4</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72.73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7,209.7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-306,264,7</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37.00</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19,352,4</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72.73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-19,352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,472.73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4,737.0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-306,264,7</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37.00</w:t>
            </w: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8"/>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8"/>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23,685.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1,242,33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7,832.55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463,541,</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312.95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183,247,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899.94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705,87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5,562.2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4,126,326,</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292.72</w:t>
            </w:r>
          </w:p>
        </w:tc>
      </w:tr>
    </w:tbl>
    <w:p>
      <w:pPr>
        <w:pStyle w:val="BodyText"/>
        <w:spacing w:line="240" w:lineRule="auto" w:before="49"/>
        <w:ind w:right="0"/>
        <w:jc w:val="left"/>
      </w:pPr>
      <w:r>
        <w:rPr/>
        <w:t>上期金额</w:t>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31"/>
        <w:gridCol w:w="593"/>
        <w:gridCol w:w="574"/>
        <w:gridCol w:w="571"/>
        <w:gridCol w:w="571"/>
        <w:gridCol w:w="686"/>
        <w:gridCol w:w="686"/>
        <w:gridCol w:w="684"/>
        <w:gridCol w:w="782"/>
        <w:gridCol w:w="665"/>
        <w:gridCol w:w="797"/>
        <w:gridCol w:w="797"/>
        <w:gridCol w:w="931"/>
      </w:tblGrid>
      <w:tr>
        <w:trPr>
          <w:trHeight w:val="403" w:hRule="exact"/>
        </w:trPr>
        <w:tc>
          <w:tcPr>
            <w:tcW w:w="12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1" w:type="dxa"/>
            <w:vMerge/>
            <w:tcBorders>
              <w:left w:val="single" w:sz="4" w:space="0" w:color="000000"/>
              <w:right w:val="single" w:sz="4" w:space="0" w:color="000000"/>
            </w:tcBorders>
            <w:shd w:val="clear" w:color="auto" w:fill="D3D3D3"/>
          </w:tcPr>
          <w:p>
            <w:pPr/>
          </w:p>
        </w:tc>
        <w:tc>
          <w:tcPr>
            <w:tcW w:w="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shd w:val="clear" w:color="auto" w:fill="D3D3D3"/>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2"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46,677,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973.38</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,041.42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666,082,6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51.64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3,669,949,6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00.96</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1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46,677,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973.38</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,041.42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666,082,6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51.64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3,669,949,6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00.96</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-50,008,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416.97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171,885,3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93.03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152,253,36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1.85</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413,763,8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57.87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413,763,85</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7.87</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-50,008,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416.97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-61,008,416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-50,008,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416.97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-61,008,416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.97</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385.79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-241,878,</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464.84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-200,502,07</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9.05</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41,376,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385.79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-41,376,3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85.79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-200,502,</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079.05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-200,502,07</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9.05</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37,832.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46,677,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973.38</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163,895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,427.21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837,968,0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3,822,202,9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62.81</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rFonts w:ascii="Tahoma" w:hAnsi="Tahoma" w:cs="Tahoma" w:eastAsia="Tahoma" w:hint="default"/>
        </w:rPr>
      </w:pPr>
      <w:r>
        <w:rPr/>
        <w:t>三、公司基本情况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132" w:firstLine="360"/>
        <w:jc w:val="both"/>
      </w:pPr>
      <w:r>
        <w:rPr>
          <w:spacing w:val="-1"/>
        </w:rPr>
        <w:t>美盈森集团股份有限公司（以下简称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）是由深圳市美盈森环保包装技术有限公司整体变更设立的股份</w:t>
      </w:r>
      <w:r>
        <w:rPr/>
        <w:t> </w:t>
      </w:r>
      <w:r>
        <w:rPr>
          <w:spacing w:val="-1"/>
        </w:rPr>
        <w:t>有限公司，公司设立时股本为</w:t>
      </w:r>
      <w:r>
        <w:rPr>
          <w:rFonts w:ascii="Times New Roman" w:hAnsi="Times New Roman" w:cs="Times New Roman" w:eastAsia="Times New Roman" w:hint="default"/>
          <w:spacing w:val="-1"/>
        </w:rPr>
        <w:t>13,380.00</w:t>
      </w:r>
      <w:r>
        <w:rPr>
          <w:spacing w:val="-1"/>
        </w:rPr>
        <w:t>万股</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自然人股东王海鹏持有</w:t>
      </w:r>
      <w:r>
        <w:rPr>
          <w:rFonts w:ascii="Times New Roman" w:hAnsi="Times New Roman" w:cs="Times New Roman" w:eastAsia="Times New Roman" w:hint="default"/>
          <w:spacing w:val="-1"/>
        </w:rPr>
        <w:t>8,857.56</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66.20%,</w:t>
      </w:r>
      <w:r>
        <w:rPr>
          <w:spacing w:val="-1"/>
        </w:rPr>
        <w:t>为公司的实际控制</w:t>
      </w:r>
      <w:r>
        <w:rPr>
          <w:spacing w:val="-49"/>
        </w:rPr>
        <w:t> </w:t>
      </w:r>
      <w:r>
        <w:rPr>
          <w:spacing w:val="-49"/>
        </w:rPr>
      </w:r>
      <w:r>
        <w:rPr>
          <w:spacing w:val="-1"/>
        </w:rPr>
        <w:t>人</w:t>
      </w:r>
      <w:r>
        <w:rPr>
          <w:rFonts w:ascii="Times New Roman" w:hAnsi="Times New Roman" w:cs="Times New Roman" w:eastAsia="Times New Roman" w:hint="default"/>
          <w:spacing w:val="-1"/>
        </w:rPr>
        <w:t>;</w:t>
      </w:r>
      <w:r>
        <w:rPr>
          <w:spacing w:val="-1"/>
        </w:rPr>
        <w:t>王治军、王丽等</w:t>
      </w:r>
      <w:r>
        <w:rPr>
          <w:rFonts w:ascii="Times New Roman" w:hAnsi="Times New Roman" w:cs="Times New Roman" w:eastAsia="Times New Roman" w:hint="default"/>
          <w:spacing w:val="-1"/>
        </w:rPr>
        <w:t>23</w:t>
      </w:r>
      <w:r>
        <w:rPr>
          <w:spacing w:val="-1"/>
        </w:rPr>
        <w:t>名自然人股东持有</w:t>
      </w:r>
      <w:r>
        <w:rPr>
          <w:rFonts w:ascii="Times New Roman" w:hAnsi="Times New Roman" w:cs="Times New Roman" w:eastAsia="Times New Roman" w:hint="default"/>
          <w:spacing w:val="-1"/>
        </w:rPr>
        <w:t>4,522.44</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33.80%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日取得深圳市工商行政管理局颁发</w:t>
      </w:r>
      <w:r>
        <w:rPr>
          <w:spacing w:val="-54"/>
        </w:rPr>
        <w:t> </w:t>
      </w:r>
      <w:r>
        <w:rPr>
          <w:spacing w:val="-54"/>
        </w:rPr>
      </w:r>
      <w:r>
        <w:rPr/>
        <w:t>的企业法人营业执照。</w:t>
      </w:r>
    </w:p>
    <w:p>
      <w:pPr>
        <w:pStyle w:val="BodyText"/>
        <w:spacing w:line="300" w:lineRule="auto" w:before="31"/>
        <w:ind w:right="1164" w:firstLine="288"/>
        <w:jc w:val="left"/>
      </w:pPr>
      <w:r>
        <w:rPr/>
        <w:t>经中国证券监督管理委员会证监许可</w:t>
      </w:r>
      <w:r>
        <w:rPr>
          <w:rFonts w:ascii="Times New Roman" w:hAnsi="Times New Roman" w:cs="Times New Roman" w:eastAsia="Times New Roman" w:hint="default"/>
        </w:rPr>
        <w:t>[2009]1013</w:t>
      </w:r>
      <w:r>
        <w:rPr/>
        <w:t>号文核准，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日公司向社会公众公开发行人民币普通股 </w:t>
      </w:r>
      <w:r>
        <w:rPr>
          <w:rFonts w:ascii="Times New Roman" w:hAnsi="Times New Roman" w:cs="Times New Roman" w:eastAsia="Times New Roman" w:hint="default"/>
        </w:rPr>
        <w:t>4,500.00</w:t>
      </w:r>
      <w:r>
        <w:rPr/>
        <w:t>万股，每股发行价格为</w:t>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每股面值为</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发行后公司股本变更为</w:t>
      </w:r>
      <w:r>
        <w:rPr>
          <w:rFonts w:ascii="Times New Roman" w:hAnsi="Times New Roman" w:cs="Times New Roman" w:eastAsia="Times New Roman" w:hint="default"/>
        </w:rPr>
        <w:t>17,880.00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日公司股票在深 圳证劵交易所挂牌交易。股票简称</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。股票发行后，自然人股东王海鹏持有公司股票</w:t>
      </w:r>
      <w:r>
        <w:rPr>
          <w:rFonts w:ascii="Times New Roman" w:hAnsi="Times New Roman" w:cs="Times New Roman" w:eastAsia="Times New Roman" w:hint="default"/>
        </w:rPr>
        <w:t>8,857.56</w:t>
      </w:r>
      <w:r>
        <w:rPr/>
        <w:t>万 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49.54%,</w:t>
      </w:r>
      <w:r>
        <w:rPr/>
        <w:t>为公司的实际控制人。</w:t>
      </w:r>
    </w:p>
    <w:p>
      <w:pPr>
        <w:pStyle w:val="BodyText"/>
        <w:spacing w:line="300" w:lineRule="auto" w:before="13"/>
        <w:ind w:right="1124" w:firstLine="288"/>
        <w:jc w:val="left"/>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日第二届董事会第二十二次会议决议并经股东大会审议批准，同意公司以截止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 司的总股本</w:t>
      </w:r>
      <w:r>
        <w:rPr>
          <w:rFonts w:ascii="Times New Roman" w:hAnsi="Times New Roman" w:cs="Times New Roman" w:eastAsia="Times New Roman" w:hint="default"/>
        </w:rPr>
        <w:t>178,800,000</w:t>
      </w:r>
      <w:r>
        <w:rPr/>
        <w:t>股为基数，进行资本公积转增资本，向全体股东每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股，并对公司经营范围进行变更。 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日第三届董事会第四次会议决议并经股东大会审议批准，同意公司以截止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 </w:t>
      </w:r>
      <w:r>
        <w:rPr>
          <w:spacing w:val="-2"/>
        </w:rPr>
        <w:t>本为基数，进行资本公积金转增股本，向全体股东每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357,600,000</w:t>
      </w:r>
      <w:r>
        <w:rPr>
          <w:spacing w:val="-2"/>
        </w:rPr>
        <w:t>股，转增后公司总股本增加至</w:t>
      </w:r>
      <w:r>
        <w:rPr>
          <w:spacing w:val="-57"/>
        </w:rPr>
        <w:t> </w:t>
      </w:r>
      <w:r>
        <w:rPr>
          <w:spacing w:val="-57"/>
        </w:rPr>
      </w:r>
      <w:r>
        <w:rPr>
          <w:rFonts w:ascii="Times New Roman" w:hAnsi="Times New Roman" w:cs="Times New Roman" w:eastAsia="Times New Roman" w:hint="default"/>
        </w:rPr>
        <w:t>715,200,000</w:t>
      </w:r>
      <w:r>
        <w:rPr/>
        <w:t>股。本次变更已向深圳市市场监督管理局备案。 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日第三届董事会第十二次会议决议并经股东大会审议批准，同意公司以截止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 股本为基数，以未分配利润向全体股东每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股；同时，以资本公积金向全体 股东每股转增</w:t>
      </w:r>
      <w:r>
        <w:rPr>
          <w:rFonts w:ascii="Times New Roman" w:hAnsi="Times New Roman" w:cs="Times New Roman" w:eastAsia="Times New Roman" w:hint="default"/>
        </w:rPr>
        <w:t>7</w:t>
      </w:r>
      <w:r>
        <w:rPr/>
        <w:t>股</w:t>
      </w:r>
      <w:r>
        <w:rPr>
          <w:rFonts w:ascii="Times New Roman" w:hAnsi="Times New Roman" w:cs="Times New Roman" w:eastAsia="Times New Roman" w:hint="default"/>
        </w:rPr>
        <w:t>,</w:t>
      </w:r>
      <w:r>
        <w:rPr/>
        <w:t>共计转增股本</w:t>
      </w:r>
      <w:r>
        <w:rPr>
          <w:rFonts w:ascii="Times New Roman" w:hAnsi="Times New Roman" w:cs="Times New Roman" w:eastAsia="Times New Roman" w:hint="default"/>
        </w:rPr>
        <w:t>500,640,000</w:t>
      </w:r>
      <w:r>
        <w:rPr/>
        <w:t>股。本次利润分配及资本公积金转增方案实施后公司总股本将增加至 </w:t>
      </w:r>
      <w:r>
        <w:rPr>
          <w:rFonts w:ascii="Times New Roman" w:hAnsi="Times New Roman" w:cs="Times New Roman" w:eastAsia="Times New Roman" w:hint="default"/>
        </w:rPr>
        <w:t>1,430,400,000</w:t>
      </w:r>
      <w:r>
        <w:rPr/>
        <w:t>股。</w:t>
      </w:r>
    </w:p>
    <w:p>
      <w:pPr>
        <w:pStyle w:val="BodyText"/>
        <w:spacing w:line="300" w:lineRule="auto" w:before="13"/>
        <w:ind w:right="1039" w:firstLine="360"/>
        <w:jc w:val="left"/>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日第三届董事会第二十次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2015</w:t>
      </w:r>
      <w:r>
        <w:rPr/>
        <w:t>年第三次临时股东大会决议，审议批 准《关于公司向特定对象非公开发行股票方案的议案》；</w:t>
      </w:r>
      <w:r>
        <w:rPr>
          <w:rFonts w:ascii="Times New Roman" w:hAnsi="Times New Roman" w:cs="Times New Roman" w:eastAsia="Times New Roman" w:hint="default"/>
        </w:rPr>
        <w:t>2016</w:t>
      </w:r>
      <w:r>
        <w:rPr/>
        <w:t>年公司取得中国证监会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[2016]1225</w:t>
      </w:r>
      <w:r>
        <w:rPr/>
        <w:t>号</w:t>
      </w:r>
      <w:r>
        <w:rPr>
          <w:rFonts w:ascii="Times New Roman" w:hAnsi="Times New Roman" w:cs="Times New Roman" w:eastAsia="Times New Roman" w:hint="default"/>
        </w:rPr>
        <w:t>”</w:t>
      </w:r>
      <w:r>
        <w:rPr/>
        <w:t>《关于核准美 盈森集团股份有限公司非公开发行股票的批复》，核准公司非公开发行不超过</w:t>
      </w:r>
      <w:r>
        <w:rPr>
          <w:rFonts w:ascii="Times New Roman" w:hAnsi="Times New Roman" w:cs="Times New Roman" w:eastAsia="Times New Roman" w:hint="default"/>
        </w:rPr>
        <w:t>257,936,507</w:t>
      </w:r>
      <w:r>
        <w:rPr>
          <w:rFonts w:ascii="Times New Roman" w:hAnsi="Times New Roman" w:cs="Times New Roman" w:eastAsia="Times New Roman" w:hint="default"/>
          <w:spacing w:val="24"/>
        </w:rPr>
        <w:t> </w:t>
      </w:r>
      <w:r>
        <w:rPr/>
        <w:t>股新股。公司采用向询价对象询 价配售的方式，非公开发行了普通股（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111,923,685</w:t>
      </w:r>
      <w:r>
        <w:rPr/>
        <w:t>股，每股发行价格为人民币</w:t>
      </w:r>
      <w:r>
        <w:rPr>
          <w:rFonts w:ascii="Times New Roman" w:hAnsi="Times New Roman" w:cs="Times New Roman" w:eastAsia="Times New Roman" w:hint="default"/>
        </w:rPr>
        <w:t>12.58</w:t>
      </w:r>
      <w:r>
        <w:rPr/>
        <w:t>元。本次非公开发行完成后， 公司总股本由</w:t>
      </w:r>
      <w:r>
        <w:rPr>
          <w:rFonts w:ascii="Times New Roman" w:hAnsi="Times New Roman" w:cs="Times New Roman" w:eastAsia="Times New Roman" w:hint="default"/>
        </w:rPr>
        <w:t>1,430,400,000</w:t>
      </w:r>
      <w:r>
        <w:rPr/>
        <w:t>股增加至</w:t>
      </w:r>
      <w:r>
        <w:rPr>
          <w:rFonts w:ascii="Times New Roman" w:hAnsi="Times New Roman" w:cs="Times New Roman" w:eastAsia="Times New Roman" w:hint="default"/>
        </w:rPr>
        <w:t>1,542,323,685</w:t>
      </w:r>
      <w:r>
        <w:rPr/>
        <w:t>股，本次变更已向深圳市市场监督管理局备案。 </w:t>
      </w: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日召开的</w:t>
      </w:r>
      <w:r>
        <w:rPr>
          <w:rFonts w:ascii="Times New Roman" w:hAnsi="Times New Roman" w:cs="Times New Roman" w:eastAsia="Times New Roman" w:hint="default"/>
          <w:spacing w:val="-2"/>
        </w:rPr>
        <w:t>2018</w:t>
      </w:r>
      <w:r>
        <w:rPr>
          <w:spacing w:val="-2"/>
        </w:rPr>
        <w:t>年第二次临时股东大会审议通过了回购股份事项的相关议案。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日，股份回购</w:t>
      </w:r>
      <w:r>
        <w:rPr>
          <w:spacing w:val="-58"/>
        </w:rPr>
        <w:t> </w:t>
      </w:r>
      <w:r>
        <w:rPr>
          <w:spacing w:val="-58"/>
        </w:rPr>
      </w:r>
      <w:r>
        <w:rPr/>
        <w:t>事项实施完毕，股份回购实施结果为：回购股份数量</w:t>
      </w:r>
      <w:r>
        <w:rPr>
          <w:rFonts w:ascii="Times New Roman" w:hAnsi="Times New Roman" w:cs="Times New Roman" w:eastAsia="Times New Roman" w:hint="default"/>
        </w:rPr>
        <w:t>11,000,000</w:t>
      </w:r>
      <w:r>
        <w:rPr/>
        <w:t>股，占回购股份方案实施前公司总股本的</w:t>
      </w:r>
      <w:r>
        <w:rPr>
          <w:rFonts w:ascii="Times New Roman" w:hAnsi="Times New Roman" w:cs="Times New Roman" w:eastAsia="Times New Roman" w:hint="default"/>
        </w:rPr>
        <w:t>0.7132%</w:t>
      </w:r>
      <w:r>
        <w:rPr/>
        <w:t>，最高成 交价为</w:t>
      </w:r>
      <w:r>
        <w:rPr>
          <w:rFonts w:ascii="Times New Roman" w:hAnsi="Times New Roman" w:cs="Times New Roman" w:eastAsia="Times New Roman" w:hint="default"/>
        </w:rPr>
        <w:t>5.79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5.32</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61,008,416.97</w:t>
      </w:r>
      <w:r>
        <w:rPr>
          <w:rFonts w:ascii="Times New Roman" w:hAnsi="Times New Roman" w:cs="Times New Roman" w:eastAsia="Times New Roman" w:hint="default"/>
          <w:spacing w:val="23"/>
        </w:rPr>
        <w:t> </w:t>
      </w:r>
      <w:r>
        <w:rPr/>
        <w:t>元（含交易费用）。上述股份已于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 </w:t>
      </w:r>
      <w:r>
        <w:rPr/>
        <w:t>日完成注销。本次股份回购完成后，公司总股本由</w:t>
      </w:r>
      <w:r>
        <w:rPr>
          <w:rFonts w:ascii="Times New Roman" w:hAnsi="Times New Roman" w:cs="Times New Roman" w:eastAsia="Times New Roman" w:hint="default"/>
        </w:rPr>
        <w:t>1,542,323,685</w:t>
      </w:r>
      <w:r>
        <w:rPr/>
        <w:t>股减少至</w:t>
      </w:r>
      <w:r>
        <w:rPr>
          <w:rFonts w:ascii="Times New Roman" w:hAnsi="Times New Roman" w:cs="Times New Roman" w:eastAsia="Times New Roman" w:hint="default"/>
        </w:rPr>
        <w:t>1,531,323,685</w:t>
      </w:r>
      <w:r>
        <w:rPr/>
        <w:t>股。</w:t>
      </w:r>
    </w:p>
    <w:p>
      <w:pPr>
        <w:pStyle w:val="BodyText"/>
        <w:spacing w:line="316" w:lineRule="auto" w:before="13"/>
        <w:ind w:left="512" w:right="5674" w:hanging="360"/>
        <w:jc w:val="left"/>
        <w:rPr>
          <w:rFonts w:ascii="Times New Roman" w:hAnsi="Times New Roman" w:cs="Times New Roman" w:eastAsia="Times New Roman" w:hint="default"/>
        </w:rPr>
      </w:pPr>
      <w:r>
        <w:rPr/>
        <w:t>目前的公司工商登记情况如下： 企业法人营业执照统一社会信用代码：</w:t>
      </w:r>
      <w:r>
        <w:rPr>
          <w:rFonts w:ascii="Times New Roman" w:hAnsi="Times New Roman" w:cs="Times New Roman" w:eastAsia="Times New Roman" w:hint="default"/>
        </w:rPr>
        <w:t>91440300723000100A</w:t>
      </w:r>
    </w:p>
    <w:p>
      <w:pPr>
        <w:spacing w:after="0" w:line="316" w:lineRule="auto"/>
        <w:jc w:val="left"/>
        <w:rPr>
          <w:rFonts w:ascii="Times New Roman" w:hAnsi="Times New Roman" w:cs="Times New Roman" w:eastAsia="Times New Roman" w:hint="default"/>
        </w:rPr>
        <w:sectPr>
          <w:pgSz w:w="11910" w:h="16840"/>
          <w:pgMar w:header="885" w:footer="982" w:top="1100" w:bottom="1180" w:left="980" w:right="0"/>
        </w:sectPr>
      </w:pPr>
    </w:p>
    <w:p>
      <w:pPr>
        <w:spacing w:line="240" w:lineRule="auto" w:before="5"/>
        <w:rPr>
          <w:rFonts w:ascii="Times New Roman" w:hAnsi="Times New Roman" w:cs="Times New Roman" w:eastAsia="Times New Roman" w:hint="default"/>
          <w:sz w:val="25"/>
          <w:szCs w:val="25"/>
        </w:rPr>
      </w:pPr>
    </w:p>
    <w:p>
      <w:pPr>
        <w:pStyle w:val="BodyText"/>
        <w:spacing w:line="300" w:lineRule="auto" w:before="37"/>
        <w:ind w:right="7024"/>
        <w:jc w:val="left"/>
      </w:pPr>
      <w:r>
        <w:rPr/>
        <w:t>住所：深圳市光明新区新陂头村美盈森厂区</w:t>
      </w:r>
      <w:r>
        <w:rPr>
          <w:rFonts w:ascii="Times New Roman" w:hAnsi="Times New Roman" w:cs="Times New Roman" w:eastAsia="Times New Roman" w:hint="default"/>
        </w:rPr>
        <w:t>A</w:t>
      </w:r>
      <w:r>
        <w:rPr/>
        <w:t>栋 法定代表人：王海鹏</w:t>
      </w:r>
    </w:p>
    <w:p>
      <w:pPr>
        <w:pStyle w:val="BodyText"/>
        <w:spacing w:line="360" w:lineRule="auto" w:before="31"/>
        <w:ind w:left="512" w:right="0"/>
        <w:jc w:val="left"/>
      </w:pPr>
      <w:r>
        <w:rPr/>
        <w:t>注册资本：人民币壹拾伍亿叁仟壹佰叁拾贰万叁仟陆佰捌拾伍圆整 </w:t>
      </w:r>
      <w:r>
        <w:rPr>
          <w:spacing w:val="-2"/>
        </w:rPr>
        <w:t>经营范围：一般经营项目是：轻型环保包装制品、重型环保包装制品、包装材料、包装机械的技术开发及销售；一体化</w:t>
      </w:r>
    </w:p>
    <w:p>
      <w:pPr>
        <w:pStyle w:val="BodyText"/>
        <w:spacing w:line="222" w:lineRule="exact"/>
        <w:ind w:right="0"/>
        <w:jc w:val="left"/>
      </w:pPr>
      <w:r>
        <w:rPr/>
        <w:t>包装方案的技术开发；隐藏信息防伪技术的开发，特种标签材质的精密模切，智能卡终端读写设备的开发与销售；货物及技</w:t>
      </w:r>
    </w:p>
    <w:p>
      <w:pPr>
        <w:pStyle w:val="BodyText"/>
        <w:spacing w:line="316" w:lineRule="auto" w:before="76"/>
        <w:ind w:right="1034"/>
        <w:jc w:val="left"/>
      </w:pPr>
      <w:r>
        <w:rPr>
          <w:spacing w:val="-2"/>
        </w:rPr>
        <w:t>术进出口；纸制品休闲家居、办公用品、玩具用品的研发、销售；自有房屋租赁、物业管理；检测技术研发、咨询；模具的</w:t>
      </w:r>
      <w:r>
        <w:rPr>
          <w:spacing w:val="-68"/>
        </w:rPr>
        <w:t> </w:t>
      </w:r>
      <w:r>
        <w:rPr>
          <w:spacing w:val="-68"/>
        </w:rPr>
      </w:r>
      <w:r>
        <w:rPr/>
        <w:t>研发、销售；防霉剂的销售。（以上均不含法律、行政法规、国务院决定禁止及规定需前置审批项目），许可经营项目是： </w:t>
      </w:r>
      <w:r>
        <w:rPr>
          <w:spacing w:val="-2"/>
        </w:rPr>
        <w:t>纸制品休闲家居、办公用品、玩具用品的生产；模具的生产；防霉剂的生产；纸箱、木箱的生产及销售；无线射频标签、高</w:t>
      </w:r>
      <w:r>
        <w:rPr>
          <w:spacing w:val="-62"/>
        </w:rPr>
        <w:t> </w:t>
      </w:r>
      <w:r>
        <w:rPr>
          <w:spacing w:val="-62"/>
        </w:rPr>
      </w:r>
      <w:r>
        <w:rPr/>
        <w:t>新材料的研发与生产；包装装潢印刷品、其他印刷品印刷；从事普通货运。</w:t>
      </w:r>
    </w:p>
    <w:p>
      <w:pPr>
        <w:spacing w:line="240" w:lineRule="auto" w:before="0"/>
        <w:rPr>
          <w:rFonts w:ascii="宋体" w:hAnsi="宋体" w:cs="宋体" w:eastAsia="宋体" w:hint="default"/>
          <w:sz w:val="18"/>
          <w:szCs w:val="18"/>
        </w:rPr>
      </w:pPr>
    </w:p>
    <w:p>
      <w:pPr>
        <w:pStyle w:val="BodyText"/>
        <w:spacing w:line="316" w:lineRule="auto" w:before="133"/>
        <w:ind w:right="0"/>
        <w:jc w:val="left"/>
      </w:pPr>
      <w:r>
        <w:rPr>
          <w:spacing w:val="-2"/>
        </w:rPr>
        <w:t>在上年度财务报告编制的基础上，公司本年度将福建美盈森、青岛美盈森、文麻生物、同奈美盈森、越南包装技术、美达科</w:t>
      </w:r>
      <w:r>
        <w:rPr>
          <w:spacing w:val="-68"/>
        </w:rPr>
        <w:t> </w:t>
      </w:r>
      <w:r>
        <w:rPr>
          <w:spacing w:val="-68"/>
        </w:rPr>
      </w:r>
      <w:r>
        <w:rPr>
          <w:spacing w:val="-4"/>
        </w:rPr>
        <w:t>技纳入合并报表范围；本年度深圳市汇天云网科技有限公司完成注销登记，合并报表范围减少深圳市汇天云网科技有限公司。</w:t>
      </w:r>
    </w:p>
    <w:p>
      <w:pPr>
        <w:pStyle w:val="BodyText"/>
        <w:spacing w:line="300" w:lineRule="auto" w:before="19"/>
        <w:ind w:right="1124"/>
        <w:jc w:val="left"/>
      </w:pPr>
      <w:r>
        <w:rPr/>
        <w:t>（</w:t>
      </w:r>
      <w:r>
        <w:rPr>
          <w:rFonts w:ascii="Times New Roman" w:hAnsi="Times New Roman" w:cs="Times New Roman" w:eastAsia="Times New Roman" w:hint="default"/>
        </w:rPr>
        <w:t>1</w:t>
      </w:r>
      <w:r>
        <w:rPr/>
        <w:t>）本期公司设立福建美盈森环保科技有限公司，于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24</w:t>
      </w:r>
      <w:r>
        <w:rPr/>
        <w:t>日完成办理工商设立登记手续，并取得统一社会信用代 码为</w:t>
      </w:r>
      <w:r>
        <w:rPr>
          <w:rFonts w:ascii="Times New Roman" w:hAnsi="Times New Roman" w:cs="Times New Roman" w:eastAsia="Times New Roman" w:hint="default"/>
        </w:rPr>
        <w:t>91350181MA32FLXY12</w:t>
      </w:r>
      <w:r>
        <w:rPr/>
        <w:t>的企业法人营业执照；按照相应的会计编制规则，公司本期将福建美盈森纳入合并报表范围。</w:t>
      </w:r>
    </w:p>
    <w:p>
      <w:pPr>
        <w:pStyle w:val="BodyText"/>
        <w:spacing w:line="300" w:lineRule="auto" w:before="13"/>
        <w:ind w:right="1124"/>
        <w:jc w:val="left"/>
      </w:pPr>
      <w:r>
        <w:rPr/>
        <w:t>（</w:t>
      </w:r>
      <w:r>
        <w:rPr>
          <w:rFonts w:ascii="Times New Roman" w:hAnsi="Times New Roman" w:cs="Times New Roman" w:eastAsia="Times New Roman" w:hint="default"/>
        </w:rPr>
        <w:t>2</w:t>
      </w:r>
      <w:r>
        <w:rPr/>
        <w:t>）本期公司设立青岛美盈森智谷科技有限公司，于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日完成办理工商设立登记手续，并取得统一社会信用代 码为</w:t>
      </w:r>
      <w:r>
        <w:rPr>
          <w:rFonts w:ascii="Times New Roman" w:hAnsi="Times New Roman" w:cs="Times New Roman" w:eastAsia="Times New Roman" w:hint="default"/>
        </w:rPr>
        <w:t>91370211MA3PRH8U53</w:t>
      </w:r>
      <w:r>
        <w:rPr/>
        <w:t>的企业法人营业执照；按照相应的会计编制规则，公司本期将青岛美盈森纳入合并报表范围。</w:t>
      </w:r>
    </w:p>
    <w:p>
      <w:pPr>
        <w:pStyle w:val="BodyText"/>
        <w:spacing w:line="300" w:lineRule="auto" w:before="13"/>
        <w:ind w:right="1132"/>
        <w:jc w:val="both"/>
      </w:pPr>
      <w:r>
        <w:rPr/>
        <w:t>（</w:t>
      </w:r>
      <w:r>
        <w:rPr>
          <w:rFonts w:ascii="Times New Roman" w:hAnsi="Times New Roman" w:cs="Times New Roman" w:eastAsia="Times New Roman" w:hint="default"/>
        </w:rPr>
        <w:t>3</w:t>
      </w:r>
      <w:r>
        <w:rPr/>
        <w:t>）本期由公司合资设立云南文麻生物科技有限公司，于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06</w:t>
      </w:r>
      <w:r>
        <w:rPr/>
        <w:t>日完成办理工商设立登记手续，并取得统一社会信 用代码为</w:t>
      </w:r>
      <w:r>
        <w:rPr>
          <w:rFonts w:ascii="Times New Roman" w:hAnsi="Times New Roman" w:cs="Times New Roman" w:eastAsia="Times New Roman" w:hint="default"/>
        </w:rPr>
        <w:t>91532600MA6NULCB6X</w:t>
      </w:r>
      <w:r>
        <w:rPr/>
        <w:t>的企业法人营业执照，该公司注册资本</w:t>
      </w:r>
      <w:r>
        <w:rPr>
          <w:rFonts w:ascii="Times New Roman" w:hAnsi="Times New Roman" w:cs="Times New Roman" w:eastAsia="Times New Roman" w:hint="default"/>
        </w:rPr>
        <w:t>5000</w:t>
      </w:r>
      <w:r>
        <w:rPr/>
        <w:t>万元，公司持股</w:t>
      </w:r>
      <w:r>
        <w:rPr>
          <w:rFonts w:ascii="Times New Roman" w:hAnsi="Times New Roman" w:cs="Times New Roman" w:eastAsia="Times New Roman" w:hint="default"/>
        </w:rPr>
        <w:t>70%</w:t>
      </w:r>
      <w:r>
        <w:rPr/>
        <w:t>；按照相应的会计报表编 制规则，公司本期将文麻生物纳入合并报表范围。</w:t>
      </w:r>
    </w:p>
    <w:p>
      <w:pPr>
        <w:pStyle w:val="BodyText"/>
        <w:spacing w:line="300" w:lineRule="auto" w:before="31"/>
        <w:ind w:right="1121"/>
        <w:jc w:val="left"/>
      </w:pPr>
      <w:r>
        <w:rPr/>
        <w:t>（</w:t>
      </w:r>
      <w:r>
        <w:rPr>
          <w:rFonts w:ascii="Times New Roman" w:hAnsi="Times New Roman" w:cs="Times New Roman" w:eastAsia="Times New Roman" w:hint="default"/>
        </w:rPr>
        <w:t>4</w:t>
      </w:r>
      <w:r>
        <w:rPr/>
        <w:t>）本期由公司全资子公司越南美盈森设立：</w:t>
      </w:r>
      <w:r>
        <w:rPr>
          <w:rFonts w:ascii="Times New Roman" w:hAnsi="Times New Roman" w:cs="Times New Roman" w:eastAsia="Times New Roman" w:hint="default"/>
        </w:rPr>
        <w:t>MYS</w:t>
      </w:r>
      <w:r>
        <w:rPr/>
        <w:t>（</w:t>
      </w:r>
      <w:r>
        <w:rPr>
          <w:rFonts w:ascii="Times New Roman" w:hAnsi="Times New Roman" w:cs="Times New Roman" w:eastAsia="Times New Roman" w:hint="default"/>
        </w:rPr>
        <w:t>DONG NAI</w:t>
      </w:r>
      <w:r>
        <w:rPr/>
        <w:t>） </w:t>
      </w:r>
      <w:r>
        <w:rPr>
          <w:rFonts w:ascii="Times New Roman" w:hAnsi="Times New Roman" w:cs="Times New Roman" w:eastAsia="Times New Roman" w:hint="default"/>
        </w:rPr>
        <w:t>PACKAGING TECHNOLOGY COMPANY</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 取得越南同奈省投资计划局颁发的《营业登记证明书》和越南同奈省工业区管理委员会颁发的《投资证书》，于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4</w:t>
      </w:r>
      <w:r>
        <w:rPr/>
        <w:t>日完成办理设立登记手续，并取得编号为</w:t>
      </w:r>
      <w:r>
        <w:rPr>
          <w:rFonts w:ascii="Times New Roman" w:hAnsi="Times New Roman" w:cs="Times New Roman" w:eastAsia="Times New Roman" w:hint="default"/>
        </w:rPr>
        <w:t>3603672568</w:t>
      </w:r>
      <w:r>
        <w:rPr/>
        <w:t>的企业注册证书，该公司注册资本：</w:t>
      </w:r>
      <w:r>
        <w:rPr>
          <w:rFonts w:ascii="Times New Roman" w:hAnsi="Times New Roman" w:cs="Times New Roman" w:eastAsia="Times New Roman" w:hint="default"/>
        </w:rPr>
        <w:t>232.80</w:t>
      </w:r>
      <w:r>
        <w:rPr/>
        <w:t>亿越南盾，越南美盈森 持股</w:t>
      </w:r>
      <w:r>
        <w:rPr>
          <w:rFonts w:ascii="Times New Roman" w:hAnsi="Times New Roman" w:cs="Times New Roman" w:eastAsia="Times New Roman" w:hint="default"/>
        </w:rPr>
        <w:t>100%</w:t>
      </w:r>
      <w:r>
        <w:rPr/>
        <w:t>；按照相应的会计报表编制规则，公司本期将同奈美盈森纳入合并报表范围。</w:t>
      </w:r>
    </w:p>
    <w:p>
      <w:pPr>
        <w:pStyle w:val="BodyText"/>
        <w:spacing w:line="300" w:lineRule="auto" w:before="13"/>
        <w:ind w:right="1064"/>
        <w:jc w:val="left"/>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0"/>
        </w:rPr>
        <w:t> </w:t>
      </w:r>
      <w:r>
        <w:rPr>
          <w:rFonts w:ascii="Times New Roman" w:hAnsi="Times New Roman" w:cs="Times New Roman" w:eastAsia="Times New Roman" w:hint="default"/>
        </w:rPr>
        <w:t>(VIETNAM)</w:t>
      </w:r>
      <w:r>
        <w:rPr>
          <w:rFonts w:ascii="Times New Roman" w:hAnsi="Times New Roman" w:cs="Times New Roman" w:eastAsia="Times New Roman" w:hint="default"/>
          <w:spacing w:val="-12"/>
        </w:rPr>
        <w:t> </w:t>
      </w:r>
      <w:r>
        <w:rPr>
          <w:rFonts w:ascii="Times New Roman" w:hAnsi="Times New Roman" w:cs="Times New Roman" w:eastAsia="Times New Roman" w:hint="default"/>
        </w:rPr>
        <w:t>PACKING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THCHNOLOGY</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，取得由越南 河南省计划与投资局商业登记室颁发的《营业登记证明书》，于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日完成办理设立登记手续，并取得编号为 </w:t>
      </w:r>
      <w:r>
        <w:rPr>
          <w:rFonts w:ascii="Times New Roman" w:hAnsi="Times New Roman" w:cs="Times New Roman" w:eastAsia="Times New Roman" w:hint="default"/>
        </w:rPr>
        <w:t>0700834402</w:t>
      </w:r>
      <w:r>
        <w:rPr/>
        <w:t>的企业注册证书，该公司注册资本：</w:t>
      </w:r>
      <w:r>
        <w:rPr>
          <w:rFonts w:ascii="Times New Roman" w:hAnsi="Times New Roman" w:cs="Times New Roman" w:eastAsia="Times New Roman" w:hint="default"/>
        </w:rPr>
        <w:t>4,861.50</w:t>
      </w:r>
      <w:r>
        <w:rPr/>
        <w:t>亿越南盾，香港美盈森持股</w:t>
      </w:r>
      <w:r>
        <w:rPr>
          <w:rFonts w:ascii="Times New Roman" w:hAnsi="Times New Roman" w:cs="Times New Roman" w:eastAsia="Times New Roman" w:hint="default"/>
        </w:rPr>
        <w:t>100%</w:t>
      </w:r>
      <w:r>
        <w:rPr/>
        <w:t>；按照相应的会计报表编制规则， 公司本期将越南包装技术纳入合并报表范围。</w:t>
      </w:r>
    </w:p>
    <w:p>
      <w:pPr>
        <w:pStyle w:val="BodyText"/>
        <w:spacing w:line="300" w:lineRule="auto" w:before="31"/>
        <w:ind w:right="1124"/>
        <w:jc w:val="left"/>
      </w:pPr>
      <w:r>
        <w:rPr/>
        <w:t>（</w:t>
      </w:r>
      <w:r>
        <w:rPr>
          <w:rFonts w:ascii="Times New Roman" w:hAnsi="Times New Roman" w:cs="Times New Roman" w:eastAsia="Times New Roman" w:hint="default"/>
        </w:rPr>
        <w:t>6</w:t>
      </w:r>
      <w:r>
        <w:rPr/>
        <w:t>）本期由公司全资子公司香港美盈森与源胜国际有限公司、陶亚峰、陶元生、葛长帅分别以</w:t>
      </w:r>
      <w:r>
        <w:rPr>
          <w:rFonts w:ascii="Times New Roman" w:hAnsi="Times New Roman" w:cs="Times New Roman" w:eastAsia="Times New Roman" w:hint="default"/>
        </w:rPr>
        <w:t>58%</w:t>
      </w:r>
      <w:r>
        <w:rPr/>
        <w:t>、</w:t>
      </w:r>
      <w:r>
        <w:rPr>
          <w:rFonts w:ascii="Times New Roman" w:hAnsi="Times New Roman" w:cs="Times New Roman" w:eastAsia="Times New Roman" w:hint="default"/>
        </w:rPr>
        <w:t>37%</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spacing w:val="-2"/>
        </w:rPr>
        <w:t>的比例于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日共同在泰国春武里府设立了美达科技包装（泰国）有限公司，于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日完成办理设立登记</w:t>
      </w:r>
      <w:r>
        <w:rPr>
          <w:spacing w:val="-58"/>
        </w:rPr>
        <w:t> </w:t>
      </w:r>
      <w:r>
        <w:rPr>
          <w:spacing w:val="-58"/>
        </w:rPr>
      </w:r>
      <w:r>
        <w:rPr/>
        <w:t>手续，并取得编号为</w:t>
      </w:r>
      <w:r>
        <w:rPr>
          <w:rFonts w:ascii="Times New Roman" w:hAnsi="Times New Roman" w:cs="Times New Roman" w:eastAsia="Times New Roman" w:hint="default"/>
        </w:rPr>
        <w:t>0205562046651</w:t>
      </w:r>
      <w:r>
        <w:rPr/>
        <w:t>的企业法人营业执照，该公司注册资本</w:t>
      </w:r>
      <w:r>
        <w:rPr>
          <w:rFonts w:ascii="Times New Roman" w:hAnsi="Times New Roman" w:cs="Times New Roman" w:eastAsia="Times New Roman" w:hint="default"/>
        </w:rPr>
        <w:t>9000</w:t>
      </w:r>
      <w:r>
        <w:rPr/>
        <w:t>万泰铢；按照相应的会计报表编制规则，公 司本期将美达科技纳入合并报表范围。</w:t>
      </w:r>
    </w:p>
    <w:p>
      <w:pPr>
        <w:pStyle w:val="BodyText"/>
        <w:spacing w:line="300" w:lineRule="auto" w:before="31"/>
        <w:ind w:right="1134"/>
        <w:jc w:val="both"/>
      </w:pPr>
      <w:r>
        <w:rPr>
          <w:spacing w:val="-2"/>
        </w:rPr>
        <w:t>（</w:t>
      </w:r>
      <w:r>
        <w:rPr>
          <w:rFonts w:ascii="Times New Roman" w:hAnsi="Times New Roman" w:cs="Times New Roman" w:eastAsia="Times New Roman" w:hint="default"/>
          <w:spacing w:val="-2"/>
        </w:rPr>
        <w:t>7</w:t>
      </w:r>
      <w:r>
        <w:rPr>
          <w:spacing w:val="-2"/>
        </w:rPr>
        <w:t>）本期公司的下属全资子公司深圳市汇天云网科技有限公司申请注销登记，于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月取得深圳市市场监督管理局</w:t>
      </w:r>
      <w:r>
        <w:rPr>
          <w:spacing w:val="-65"/>
        </w:rPr>
        <w:t> </w:t>
      </w:r>
      <w:r>
        <w:rPr>
          <w:spacing w:val="-65"/>
        </w:rPr>
      </w:r>
      <w:r>
        <w:rPr/>
        <w:t>的《企业注销通知书》核准公司注销登记。按照相应的会计报表编制规则，自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日之后，公司的合并范围减少子 公司深圳市汇天云网科技有限公司。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0"/>
        <w:jc w:val="left"/>
        <w:rPr>
          <w:rFonts w:ascii="Tahoma" w:hAnsi="Tahoma" w:cs="Tahoma" w:eastAsia="Tahoma" w:hint="default"/>
        </w:rPr>
      </w:pPr>
      <w:r>
        <w:rPr/>
        <w:t>四、财务报表的编制基础</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、编制基础</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130" w:firstLine="360"/>
        <w:jc w:val="both"/>
      </w:pPr>
      <w:r>
        <w:rPr/>
        <w:t>本公司财务报表以持续经营假设为基础，根据实际发生的交易和事项，按照财政部颁布的《企业会计准则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和具体会计准则，以及企业会计准则应用指南、企业会计准则解释及其他规定，并基于以下所述重要会计政策、会计估计进</w:t>
      </w:r>
      <w:r>
        <w:rPr>
          <w:spacing w:val="-66"/>
        </w:rPr>
        <w:t> </w:t>
      </w:r>
      <w:r>
        <w:rPr>
          <w:spacing w:val="-66"/>
        </w:rPr>
      </w:r>
      <w:r>
        <w:rPr/>
        <w:t>行编制。</w:t>
      </w:r>
    </w:p>
    <w:p>
      <w:pPr>
        <w:spacing w:after="0" w:line="309" w:lineRule="auto"/>
        <w:jc w:val="both"/>
        <w:sectPr>
          <w:footerReference w:type="default" r:id="rId43"/>
          <w:pgSz w:w="11910" w:h="16840"/>
          <w:pgMar w:footer="982" w:header="885" w:top="1100" w:bottom="1180" w:left="980" w:right="0"/>
          <w:pgNumType w:start="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before="36"/>
        <w:ind w:right="0"/>
        <w:jc w:val="both"/>
        <w:rPr>
          <w:rFonts w:ascii="Tahoma" w:hAnsi="Tahoma" w:cs="Tahoma" w:eastAsia="Tahoma" w:hint="default"/>
        </w:rPr>
      </w:pPr>
      <w:r>
        <w:rPr>
          <w:rFonts w:ascii="Tahoma" w:hAnsi="Tahoma" w:cs="Tahoma" w:eastAsia="Tahoma" w:hint="default"/>
        </w:rPr>
        <w:t>2</w:t>
      </w:r>
      <w:r>
        <w:rPr/>
        <w:t>、持续经营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130" w:firstLine="271"/>
        <w:jc w:val="both"/>
      </w:pPr>
      <w:r>
        <w:rPr>
          <w:spacing w:val="-1"/>
        </w:rPr>
        <w:t>本公司无影响持续经营能力的事项，预计未来</w:t>
      </w:r>
      <w:r>
        <w:rPr>
          <w:rFonts w:ascii="Times New Roman" w:hAnsi="Times New Roman" w:cs="Times New Roman" w:eastAsia="Times New Roman" w:hint="default"/>
          <w:spacing w:val="-1"/>
        </w:rPr>
        <w:t>12</w:t>
      </w:r>
      <w:r>
        <w:rPr>
          <w:spacing w:val="-1"/>
        </w:rPr>
        <w:t>个月内具备持续经营的能力</w:t>
      </w:r>
      <w:r>
        <w:rPr>
          <w:rFonts w:ascii="Times New Roman" w:hAnsi="Times New Roman" w:cs="Times New Roman" w:eastAsia="Times New Roman" w:hint="default"/>
          <w:spacing w:val="-1"/>
        </w:rPr>
        <w:t>,</w:t>
      </w:r>
      <w:r>
        <w:rPr>
          <w:spacing w:val="-1"/>
        </w:rPr>
        <w:t>本公司的财务报表系在持续经营为假设的基</w:t>
      </w:r>
      <w:r>
        <w:rPr/>
        <w:t> 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0"/>
        <w:jc w:val="both"/>
        <w:rPr>
          <w:rFonts w:ascii="Tahoma" w:hAnsi="Tahoma" w:cs="Tahoma" w:eastAsia="Tahoma" w:hint="default"/>
        </w:rPr>
      </w:pPr>
      <w:r>
        <w:rPr/>
        <w:t>五、重要会计政策及会计估计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t>具体会计政策和会计估计提示：</w:t>
      </w:r>
    </w:p>
    <w:p>
      <w:pPr>
        <w:pStyle w:val="BodyText"/>
        <w:spacing w:line="300" w:lineRule="auto" w:before="117"/>
        <w:ind w:right="1130"/>
        <w:jc w:val="both"/>
      </w:pPr>
      <w:r>
        <w:rPr>
          <w:spacing w:val="-2"/>
        </w:rPr>
        <w:t>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基本准则》和各项具体会计准则、企业会计准则应</w:t>
      </w:r>
      <w:r>
        <w:rPr>
          <w:spacing w:val="-65"/>
        </w:rPr>
        <w:t> </w:t>
      </w:r>
      <w:r>
        <w:rPr>
          <w:spacing w:val="-65"/>
        </w:rPr>
      </w:r>
      <w:r>
        <w:rPr>
          <w:spacing w:val="-2"/>
        </w:rPr>
        <w:t>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w:t>
      </w:r>
      <w:r>
        <w:rPr>
          <w:rFonts w:ascii="Times New Roman" w:hAnsi="Times New Roman" w:cs="Times New Roman" w:eastAsia="Times New Roman" w:hint="default"/>
          <w:spacing w:val="-2"/>
        </w:rPr>
        <w:t>2014</w:t>
      </w:r>
      <w:r>
        <w:rPr>
          <w:spacing w:val="-2"/>
        </w:rPr>
        <w:t>年修订的《公</w:t>
      </w:r>
      <w:r>
        <w:rPr>
          <w:spacing w:val="-44"/>
        </w:rPr>
        <w:t> </w:t>
      </w:r>
      <w:r>
        <w:rPr>
          <w:spacing w:val="-44"/>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财务报告的一般规定》的披露要求编制财务报表。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both"/>
        <w:rPr>
          <w:rFonts w:ascii="Tahoma" w:hAnsi="Tahoma" w:cs="Tahoma" w:eastAsia="Tahoma" w:hint="default"/>
        </w:rPr>
      </w:pPr>
      <w:r>
        <w:rPr>
          <w:rFonts w:ascii="Tahoma" w:hAnsi="Tahoma" w:cs="Tahoma" w:eastAsia="Tahoma" w:hint="default"/>
        </w:rPr>
        <w:t>1</w:t>
      </w:r>
      <w:r>
        <w:rPr/>
        <w:t>、遵循企业会计准则的声明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130" w:firstLine="18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2019</w:t>
      </w:r>
      <w:r>
        <w:rPr>
          <w:spacing w:val="-2"/>
        </w:rPr>
        <w:t>年度的经</w:t>
      </w:r>
      <w:r>
        <w:rPr/>
        <w:t> </w:t>
      </w:r>
      <w:r>
        <w:rPr>
          <w:spacing w:val="-2"/>
        </w:rPr>
        <w:t>营成果和现金流量等有关信息。此外，本公司的财务报表所有重大方面符合中国证券监督管理委员会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3"/>
        </w:rPr>
        <w:t> </w:t>
      </w:r>
      <w:r>
        <w:rPr>
          <w:spacing w:val="-63"/>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4"/>
        <w:rPr>
          <w:rFonts w:ascii="宋体" w:hAnsi="宋体" w:cs="宋体" w:eastAsia="宋体" w:hint="default"/>
          <w:sz w:val="22"/>
          <w:szCs w:val="22"/>
        </w:rPr>
      </w:pPr>
    </w:p>
    <w:p>
      <w:pPr>
        <w:pStyle w:val="Heading4"/>
        <w:spacing w:line="240" w:lineRule="auto"/>
        <w:ind w:right="0"/>
        <w:jc w:val="both"/>
        <w:rPr>
          <w:rFonts w:ascii="Tahoma" w:hAnsi="Tahoma" w:cs="Tahoma" w:eastAsia="Tahoma" w:hint="default"/>
        </w:rPr>
      </w:pPr>
      <w:r>
        <w:rPr>
          <w:rFonts w:ascii="Tahoma" w:hAnsi="Tahoma" w:cs="Tahoma" w:eastAsia="Tahoma" w:hint="default"/>
        </w:rPr>
        <w:t>2</w:t>
      </w:r>
      <w:r>
        <w:rPr/>
        <w:t>、会计期间</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43" w:right="0"/>
        <w:jc w:val="both"/>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both"/>
        <w:rPr>
          <w:rFonts w:ascii="Tahoma" w:hAnsi="Tahoma" w:cs="Tahoma" w:eastAsia="Tahoma" w:hint="default"/>
        </w:rPr>
      </w:pPr>
      <w:r>
        <w:rPr>
          <w:rFonts w:ascii="Tahoma" w:hAnsi="Tahoma" w:cs="Tahoma" w:eastAsia="Tahoma" w:hint="default"/>
        </w:rPr>
        <w:t>3</w:t>
      </w:r>
      <w:r>
        <w:rPr/>
        <w:t>、营业周期</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243" w:right="0"/>
        <w:jc w:val="both"/>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both"/>
        <w:rPr>
          <w:rFonts w:ascii="Tahoma" w:hAnsi="Tahoma" w:cs="Tahoma" w:eastAsia="Tahoma" w:hint="default"/>
        </w:rPr>
      </w:pPr>
      <w:r>
        <w:rPr>
          <w:rFonts w:ascii="Tahoma" w:hAnsi="Tahoma" w:cs="Tahoma" w:eastAsia="Tahoma" w:hint="default"/>
        </w:rPr>
        <w:t>4</w:t>
      </w:r>
      <w:r>
        <w:rPr/>
        <w:t>、记账本位币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43" w:right="0"/>
        <w:jc w:val="both"/>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4"/>
        <w:spacing w:line="240" w:lineRule="auto"/>
        <w:ind w:right="0"/>
        <w:jc w:val="both"/>
        <w:rPr>
          <w:rFonts w:ascii="Tahoma" w:hAnsi="Tahoma" w:cs="Tahoma" w:eastAsia="Tahoma" w:hint="default"/>
        </w:rPr>
      </w:pPr>
      <w:r>
        <w:rPr>
          <w:rFonts w:ascii="Tahoma" w:hAnsi="Tahoma" w:cs="Tahoma" w:eastAsia="Tahoma" w:hint="default"/>
        </w:rPr>
        <w:t>5</w:t>
      </w:r>
      <w:r>
        <w:rPr/>
        <w:t>、同一控制下和非同一控制下企业合并的会计处理方法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40" w:firstLine="271"/>
        <w:jc w:val="both"/>
      </w:pPr>
      <w:r>
        <w:rPr/>
        <w:t>企业合并，是指将两个或两个以上单独的企业合并形成一个报告主体的交易或事项。企业合并分为同一控制下企业合并 和非同一控制下企业合并。</w:t>
      </w:r>
    </w:p>
    <w:p>
      <w:pPr>
        <w:pStyle w:val="BodyText"/>
        <w:spacing w:line="300" w:lineRule="auto" w:before="19"/>
        <w:ind w:left="440" w:right="0" w:hanging="108"/>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240" w:lineRule="auto" w:before="31"/>
        <w:ind w:right="0"/>
        <w:jc w:val="both"/>
      </w:pPr>
      <w:r>
        <w:rPr>
          <w:spacing w:val="-4"/>
        </w:rPr>
        <w:t>一控制下的企业合并，在合并日取得对其他参与合并企业控制权的一方为合并方，参与合并的其他企业为被合并方。合并日，</w:t>
      </w:r>
    </w:p>
    <w:p>
      <w:pPr>
        <w:spacing w:after="0" w:line="240" w:lineRule="auto"/>
        <w:jc w:val="both"/>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16" w:lineRule="auto" w:before="37"/>
        <w:ind w:left="440" w:right="0" w:hanging="288"/>
        <w:jc w:val="left"/>
      </w:pPr>
      <w:r>
        <w:rPr/>
        <w:t>是指合并方实际取得对被合并方控制权的日期。 </w:t>
      </w:r>
      <w:r>
        <w:rPr>
          <w:spacing w:val="-1"/>
        </w:rPr>
        <w:t>合并方取得的资产和负债均按合并日在被合并方的账面价值计量。合并方取得的净资产账面价值与支付的合并对价账面</w:t>
      </w:r>
    </w:p>
    <w:p>
      <w:pPr>
        <w:pStyle w:val="BodyText"/>
        <w:spacing w:line="316" w:lineRule="auto" w:before="19"/>
        <w:ind w:left="440" w:right="1034" w:hanging="288"/>
        <w:jc w:val="left"/>
      </w:pPr>
      <w:r>
        <w:rPr/>
        <w:t>价值（或发行股份面值总额）的差额，调整资本公积（股本溢价）；资本公积（股本溢价）不足以冲减的，调整留存收益。 合并方为进行企业合并发生的各项直接费用，于发生时计入当期损益。</w:t>
      </w:r>
    </w:p>
    <w:p>
      <w:pPr>
        <w:pStyle w:val="BodyText"/>
        <w:spacing w:line="300" w:lineRule="auto" w:before="19"/>
        <w:ind w:left="440" w:right="0" w:hanging="72"/>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31"/>
        <w:ind w:right="1130"/>
        <w:jc w:val="both"/>
      </w:pPr>
      <w:r>
        <w:rPr>
          <w:spacing w:val="-2"/>
        </w:rPr>
        <w:t>并，在购买日取得对其他参与合并企业控制权的一方为购买方，参与合并的其他企业为被购买方。购买日，是指为购买方实</w:t>
      </w:r>
      <w:r>
        <w:rPr>
          <w:spacing w:val="-65"/>
        </w:rPr>
        <w:t> </w:t>
      </w:r>
      <w:r>
        <w:rPr>
          <w:spacing w:val="-65"/>
        </w:rPr>
      </w:r>
      <w:r>
        <w:rPr/>
        <w:t>际取得对被购买方控制权的日期。</w:t>
      </w:r>
    </w:p>
    <w:p>
      <w:pPr>
        <w:pStyle w:val="BodyText"/>
        <w:spacing w:line="316" w:lineRule="auto" w:before="19"/>
        <w:ind w:right="1132" w:firstLine="288"/>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4"/>
        </w:rPr>
        <w:t> </w:t>
      </w:r>
      <w:r>
        <w:rPr>
          <w:spacing w:val="-64"/>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4"/>
        </w:rPr>
        <w:t> </w:t>
      </w:r>
      <w:r>
        <w:rPr>
          <w:spacing w:val="-64"/>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4"/>
        </w:rPr>
        <w:t> </w:t>
      </w:r>
      <w:r>
        <w:rPr>
          <w:spacing w:val="-64"/>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32" w:firstLine="288"/>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9"/>
        </w:rPr>
        <w:t> </w:t>
      </w:r>
      <w:r>
        <w:rPr>
          <w:spacing w:val="-69"/>
        </w:rPr>
      </w:r>
      <w:r>
        <w:rPr/>
        <w:t>外，确认与企业合并相关的递延所得税资产的，计入当期损益。</w:t>
      </w:r>
    </w:p>
    <w:p>
      <w:pPr>
        <w:pStyle w:val="BodyText"/>
        <w:spacing w:line="300" w:lineRule="auto" w:before="22"/>
        <w:ind w:right="0" w:firstLine="288"/>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5"/>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0" w:firstLine="288"/>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9"/>
        <w:ind w:right="1130"/>
        <w:jc w:val="both"/>
      </w:pPr>
      <w:r>
        <w:rPr>
          <w:spacing w:val="-2"/>
        </w:rPr>
        <w:t>在合并财务报表中，对于购买日之前持有的被购买方的股权，按照该股权在购买日的公允价值进行重新计量，公允价值与其</w:t>
      </w:r>
      <w:r>
        <w:rPr>
          <w:spacing w:val="-62"/>
        </w:rPr>
        <w:t> </w:t>
      </w:r>
      <w:r>
        <w:rPr>
          <w:spacing w:val="-62"/>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0"/>
        <w:jc w:val="left"/>
        <w:rPr>
          <w:rFonts w:ascii="Tahoma" w:hAnsi="Tahoma" w:cs="Tahoma" w:eastAsia="Tahoma" w:hint="default"/>
        </w:rPr>
      </w:pPr>
      <w:r>
        <w:rPr>
          <w:rFonts w:ascii="Tahoma" w:hAnsi="Tahoma" w:cs="Tahoma" w:eastAsia="Tahoma" w:hint="default"/>
        </w:rPr>
        <w:t>6</w:t>
      </w:r>
      <w:r>
        <w:rPr/>
        <w:t>、合并财务报表的编制方法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0" w:firstLine="420"/>
        <w:jc w:val="left"/>
      </w:pPr>
      <w:r>
        <w:rPr/>
        <w:t>本公司将全部子公司（包括本公司所控制的单独主体）纳入合并财务报表范围，包括被本公司控制的企业、被投资单 位中可分割的部分以及结构化主体。</w:t>
      </w:r>
    </w:p>
    <w:p>
      <w:pPr>
        <w:pStyle w:val="BodyText"/>
        <w:spacing w:line="300" w:lineRule="auto" w:before="19"/>
        <w:ind w:right="1034" w:firstLine="420"/>
        <w:jc w:val="left"/>
      </w:pPr>
      <w:r>
        <w:rPr/>
        <w:t>本公司合并财务报表按照《企业会计准则第</w:t>
      </w:r>
      <w:r>
        <w:rPr>
          <w:rFonts w:ascii="Times New Roman" w:hAnsi="Times New Roman" w:cs="Times New Roman" w:eastAsia="Times New Roman" w:hint="default"/>
        </w:rPr>
        <w:t>33</w:t>
      </w:r>
      <w:r>
        <w:rPr/>
        <w:t>号－合并财务报表》及相关规定的要求编制，合并时抵销合并范围内的 所有重大内部交易和往来。子公司的股东权益中不属于母公司所拥有的部分作为少数股东权益在合并财务报表中单独列示。</w:t>
      </w:r>
    </w:p>
    <w:p>
      <w:pPr>
        <w:pStyle w:val="BodyText"/>
        <w:spacing w:line="316" w:lineRule="auto" w:before="31"/>
        <w:ind w:right="0" w:firstLine="420"/>
        <w:jc w:val="left"/>
      </w:pPr>
      <w:r>
        <w:rPr/>
        <w:t>子公司与本公司采用的会计政策或会计期间不一致的，在编制合并财务报表时，按照本公司的会计政策或会计期间对 子公司财务报表进行必要的调整。</w:t>
      </w:r>
    </w:p>
    <w:p>
      <w:pPr>
        <w:pStyle w:val="BodyText"/>
        <w:spacing w:line="240" w:lineRule="auto" w:before="19"/>
        <w:ind w:left="572" w:right="0"/>
        <w:jc w:val="left"/>
      </w:pPr>
      <w:r>
        <w:rPr/>
        <w:t>合并财务报表以母公司和子公司的资产负债表为基础，已抵销了母公司与子公司、子公司相互之间发生的内部交易。</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09" w:lineRule="auto" w:before="37"/>
        <w:ind w:right="113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spacing w:val="-2"/>
        </w:rPr>
        <w:t>项目列示。子公司持有母公司的长期股权投资，视为企业集团的库存股，作为所有者权益的减项，在合并资产负债表中所有</w:t>
      </w:r>
      <w:r>
        <w:rPr>
          <w:spacing w:val="-66"/>
        </w:rPr>
        <w:t> </w:t>
      </w:r>
      <w:r>
        <w:rPr>
          <w:spacing w:val="-66"/>
        </w:rPr>
      </w: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5"/>
        <w:ind w:right="1130" w:firstLine="420"/>
        <w:jc w:val="both"/>
      </w:pPr>
      <w:r>
        <w:rPr/>
        <w:t>对于同一控制下企业合并取得的子公司，视同该企业合并于自最终控制方开始实时控制时已经发生，从合并当期的期 </w:t>
      </w:r>
      <w:r>
        <w:rPr>
          <w:spacing w:val="-2"/>
        </w:rPr>
        <w:t>初起将其资产、负债、经营成果和现金流量纳入合并财务报表；对于非同一控制下企业合并取得的子公司，在编制合并财务</w:t>
      </w:r>
      <w:r>
        <w:rPr>
          <w:spacing w:val="-65"/>
        </w:rPr>
        <w:t> </w:t>
      </w:r>
      <w:r>
        <w:rPr>
          <w:spacing w:val="-65"/>
        </w:rPr>
      </w:r>
      <w:r>
        <w:rPr/>
        <w:t>报表时，以购买日可辨认净资产公允价值为基础对其个别财务报表进行调整。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rFonts w:ascii="Tahoma" w:hAnsi="Tahoma" w:cs="Tahoma" w:eastAsia="Tahoma" w:hint="default"/>
        </w:rPr>
      </w:pPr>
      <w:r>
        <w:rPr>
          <w:rFonts w:ascii="Tahoma" w:hAnsi="Tahoma" w:cs="Tahoma" w:eastAsia="Tahoma" w:hint="default"/>
        </w:rPr>
        <w:t>7</w:t>
      </w:r>
      <w:r>
        <w:rPr/>
        <w:t>、合营安排分类及共同经营会计处理方法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left="440" w:right="0" w:hanging="288"/>
        <w:jc w:val="left"/>
      </w:pPr>
      <w:r>
        <w:rPr>
          <w:rFonts w:ascii="Times New Roman" w:hAnsi="Times New Roman" w:cs="Times New Roman" w:eastAsia="Times New Roman" w:hint="default"/>
        </w:rPr>
        <w:t>1</w:t>
      </w:r>
      <w:r>
        <w:rPr/>
        <w:t>、合营安排的分类 </w:t>
      </w:r>
      <w:r>
        <w:rPr>
          <w:spacing w:val="-1"/>
        </w:rPr>
        <w:t>合营安排分为共同经营和合营企业。未通过单独主体达成的合营安排，划分为共同经营。单独主体，是指具有单独可辨</w:t>
      </w:r>
    </w:p>
    <w:p>
      <w:pPr>
        <w:pStyle w:val="BodyText"/>
        <w:spacing w:line="316" w:lineRule="auto" w:before="2"/>
        <w:ind w:right="1130"/>
        <w:jc w:val="both"/>
      </w:pPr>
      <w:r>
        <w:rPr>
          <w:spacing w:val="-2"/>
        </w:rPr>
        <w:t>认的财务架构的主体，包括单独的法人主体和不具备法人主体资格但法律认可的主体。通过单独主体达成的合营安排，通常</w:t>
      </w:r>
      <w:r>
        <w:rPr>
          <w:spacing w:val="-62"/>
        </w:rPr>
        <w:t> </w:t>
      </w:r>
      <w:r>
        <w:rPr>
          <w:spacing w:val="-62"/>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40" w:lineRule="auto" w:before="59"/>
        <w:ind w:left="440" w:right="0" w:hanging="216"/>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共同经营参与方应当确认其与共同经营中利益份额相关的下列项目，并按照相关企业会计准则的规定进行会计处理：确</w:t>
      </w:r>
    </w:p>
    <w:p>
      <w:pPr>
        <w:pStyle w:val="BodyText"/>
        <w:spacing w:line="316" w:lineRule="auto" w:before="1"/>
        <w:ind w:right="0"/>
        <w:jc w:val="left"/>
      </w:pPr>
      <w:r>
        <w:rPr>
          <w:spacing w:val="-4"/>
        </w:rPr>
        <w:t>认单独所持有的资产或负债，以及按其份额确认共同持有的资产或负债；确认出售其享有的共同经营产出份额所产生的收入；</w:t>
      </w:r>
      <w:r>
        <w:rPr>
          <w:spacing w:val="-44"/>
        </w:rPr>
        <w:t> </w:t>
      </w:r>
      <w:r>
        <w:rPr>
          <w:spacing w:val="-44"/>
        </w:rPr>
      </w:r>
      <w:r>
        <w:rPr/>
        <w:t>按其份额确认共同经营因出售产出所产生的收入；确认单独所发生的费用，以及按其份额确认共同经营发生的费用。</w:t>
      </w:r>
    </w:p>
    <w:p>
      <w:pPr>
        <w:pStyle w:val="BodyText"/>
        <w:spacing w:line="316" w:lineRule="auto" w:before="57"/>
        <w:ind w:right="0"/>
        <w:jc w:val="left"/>
      </w:pPr>
      <w:r>
        <w:rPr>
          <w:spacing w:val="-2"/>
        </w:rPr>
        <w:t>对共同经营不享有共同控制的参与方，如果享有该共同经营相关资产且承担该共同经营相关负债的，参照共同经营参与方的</w:t>
      </w:r>
      <w:r>
        <w:rPr>
          <w:spacing w:val="-64"/>
        </w:rPr>
        <w:t> </w:t>
      </w:r>
      <w:r>
        <w:rPr>
          <w:spacing w:val="-64"/>
        </w:rPr>
      </w:r>
      <w:r>
        <w:rPr/>
        <w:t>规定进行会计处理；否则，应当按照相关企业会计准则的规定进行会计处理。</w:t>
      </w:r>
    </w:p>
    <w:p>
      <w:pPr>
        <w:pStyle w:val="BodyText"/>
        <w:spacing w:line="340" w:lineRule="auto" w:before="59"/>
        <w:ind w:left="512" w:right="1124" w:hanging="216"/>
        <w:jc w:val="left"/>
      </w:pPr>
      <w:r>
        <w:rPr>
          <w:rFonts w:ascii="Times New Roman" w:hAnsi="Times New Roman" w:cs="Times New Roman" w:eastAsia="Times New Roman" w:hint="default"/>
        </w:rPr>
        <w:t>3</w:t>
      </w:r>
      <w:r>
        <w:rPr/>
        <w:t>、合营企业的会计处理 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长期股权投资》的规定对合营企业的投资进行会计处理，不享有共同</w:t>
      </w:r>
    </w:p>
    <w:p>
      <w:pPr>
        <w:pStyle w:val="BodyText"/>
        <w:spacing w:line="215" w:lineRule="exact"/>
        <w:ind w:right="0"/>
        <w:jc w:val="left"/>
      </w:pPr>
      <w:r>
        <w:rPr/>
        <w:t>控制的参与方应当根据其对该合营企业的影响程度进行会计处理。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0"/>
        <w:jc w:val="left"/>
        <w:rPr>
          <w:rFonts w:ascii="Tahoma" w:hAnsi="Tahoma" w:cs="Tahoma" w:eastAsia="Tahoma" w:hint="default"/>
        </w:rPr>
      </w:pPr>
      <w:r>
        <w:rPr>
          <w:rFonts w:ascii="Tahoma" w:hAnsi="Tahoma" w:cs="Tahoma" w:eastAsia="Tahoma" w:hint="default"/>
        </w:rPr>
        <w:t>8</w:t>
      </w:r>
      <w:r>
        <w:rPr/>
        <w:t>、现金及现金等价物的确定标准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0"/>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本公司在编制现金流量表时所确定的现金等价物，是指本公司持有的期限短、流动性强、易于转换为已知金额现金、价值变</w:t>
      </w:r>
      <w:r>
        <w:rPr>
          <w:spacing w:val="-64"/>
        </w:rPr>
        <w:t> </w:t>
      </w:r>
      <w:r>
        <w:rPr>
          <w:spacing w:val="-64"/>
        </w:rPr>
      </w:r>
      <w:r>
        <w:rPr/>
        <w:t>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0"/>
        <w:jc w:val="left"/>
        <w:rPr>
          <w:rFonts w:ascii="Tahoma" w:hAnsi="Tahoma" w:cs="Tahoma" w:eastAsia="Tahoma" w:hint="default"/>
        </w:rPr>
      </w:pPr>
      <w:r>
        <w:rPr>
          <w:rFonts w:ascii="Tahoma" w:hAnsi="Tahoma" w:cs="Tahoma" w:eastAsia="Tahoma" w:hint="default"/>
        </w:rPr>
        <w:t>9</w:t>
      </w:r>
      <w:r>
        <w:rPr/>
        <w:t>、外币业务和外币报表折算</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）外币业务</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430" w:lineRule="atLeast" w:before="149"/>
        <w:ind w:left="572" w:right="0"/>
        <w:jc w:val="left"/>
      </w:pPr>
      <w:r>
        <w:rPr/>
        <w:t>本公司对发生的外币交易，采用与交易发生日即期汇率折合本位币入账。 资产负债表日，外币货币性项目按资产负债表日即期汇率折算，因该日的即期汇率与初始确认时或者前一资产负债表</w:t>
      </w:r>
    </w:p>
    <w:p>
      <w:pPr>
        <w:pStyle w:val="BodyText"/>
        <w:spacing w:line="316" w:lineRule="auto" w:before="76"/>
        <w:ind w:right="0"/>
        <w:jc w:val="left"/>
      </w:pPr>
      <w:r>
        <w:rPr>
          <w:spacing w:val="-2"/>
        </w:rPr>
        <w:t>日即期汇率不同而产生的汇兑差额，除符合资本化条件的外币专门借款的汇兑差额在资本化期间予以资本化计入相关资产的</w:t>
      </w:r>
      <w:r>
        <w:rPr>
          <w:spacing w:val="-63"/>
        </w:rPr>
        <w:t> </w:t>
      </w:r>
      <w:r>
        <w:rPr>
          <w:spacing w:val="-63"/>
        </w:rPr>
      </w:r>
      <w:r>
        <w:rPr/>
        <w:t>成本外，均计入当期损益。</w:t>
      </w:r>
    </w:p>
    <w:p>
      <w:pPr>
        <w:pStyle w:val="BodyText"/>
        <w:spacing w:line="240" w:lineRule="auto" w:before="139"/>
        <w:ind w:left="512" w:right="0"/>
        <w:jc w:val="left"/>
      </w:pPr>
      <w:r>
        <w:rPr/>
        <w:t>以历史成本计量的外币非货币性项目，仍采用交易发生日的即期汇率折算，不改变其记账本位币金额。以公允价值计量</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16" w:lineRule="auto" w:before="37"/>
        <w:ind w:right="1130"/>
        <w:jc w:val="both"/>
      </w:pPr>
      <w:r>
        <w:rPr>
          <w:spacing w:val="-2"/>
        </w:rPr>
        <w:t>的外币非货币性项目，采用公允价值确定日的即期汇率折算，折算后的记账本位币金额与原记账本位币金额的差额，作为公</w:t>
      </w:r>
      <w:r>
        <w:rPr>
          <w:spacing w:val="-62"/>
        </w:rPr>
        <w:t> </w:t>
      </w:r>
      <w:r>
        <w:rPr>
          <w:spacing w:val="-62"/>
        </w:rPr>
      </w: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处理，计入当期损益或确认为其他综合收益并计入资本公积。</w:t>
      </w:r>
    </w:p>
    <w:p>
      <w:pPr>
        <w:spacing w:line="240" w:lineRule="auto" w:before="6"/>
        <w:rPr>
          <w:rFonts w:ascii="宋体" w:hAnsi="宋体" w:cs="宋体" w:eastAsia="宋体" w:hint="default"/>
          <w:sz w:val="21"/>
          <w:szCs w:val="21"/>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2</w:t>
      </w:r>
      <w:r>
        <w:rPr/>
        <w:t>）外币财务报表的折算</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1135" w:firstLine="420"/>
        <w:jc w:val="both"/>
      </w:pPr>
      <w:r>
        <w:rPr/>
        <w:t>本公司的控股子公司、合营企业、联营企业等，若采用与本公司不同的记账本位币，需对其外币财务报表折算后，再 进行会计核算及合并财务报表的编报。</w:t>
      </w:r>
    </w:p>
    <w:p>
      <w:pPr>
        <w:pStyle w:val="BodyText"/>
        <w:spacing w:line="309" w:lineRule="auto" w:before="139"/>
        <w:ind w:right="113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项目采用发生时的即期汇率折算。利润表中的收入和费用项目，采用交易发生日的近似汇率折算。折算产生的外币财务报表</w:t>
      </w:r>
      <w:r>
        <w:rPr>
          <w:spacing w:val="-62"/>
        </w:rPr>
        <w:t> </w:t>
      </w:r>
      <w:r>
        <w:rPr>
          <w:spacing w:val="-62"/>
        </w:rPr>
      </w:r>
      <w:r>
        <w:rPr/>
        <w:t>折算差额，在资产负债表中所有者权益项目下单独列示。</w:t>
      </w:r>
    </w:p>
    <w:p>
      <w:pPr>
        <w:pStyle w:val="BodyText"/>
        <w:spacing w:line="316" w:lineRule="auto" w:before="144"/>
        <w:ind w:right="1135" w:firstLine="420"/>
        <w:jc w:val="both"/>
      </w:pPr>
      <w:r>
        <w:rPr/>
        <w:t>外币现金流量按照系统合理方法确定的，采用交易发生日的即期汇率的近似汇率折算。汇率变动对现金的影响额，在 现金流量表中单独列示。</w:t>
      </w:r>
    </w:p>
    <w:p>
      <w:pPr>
        <w:pStyle w:val="BodyText"/>
        <w:spacing w:line="240" w:lineRule="auto" w:before="139"/>
        <w:ind w:right="0"/>
        <w:jc w:val="both"/>
      </w:pPr>
      <w:r>
        <w:rPr/>
        <w:t>处置境外经营时，与该境外经营有关的外币报表折算差额，全部或按处置该境外经营的比例转入处置当期损益。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0"/>
        <w:jc w:val="both"/>
        <w:rPr>
          <w:rFonts w:ascii="Tahoma" w:hAnsi="Tahoma" w:cs="Tahoma" w:eastAsia="Tahoma" w:hint="default"/>
        </w:rPr>
      </w:pPr>
      <w:r>
        <w:rPr>
          <w:rFonts w:ascii="Tahoma" w:hAnsi="Tahoma" w:cs="Tahoma" w:eastAsia="Tahoma" w:hint="default"/>
        </w:rPr>
        <w:t>10</w:t>
      </w:r>
      <w:r>
        <w:rPr/>
        <w:t>、金融工具</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）金融工具的分类</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60" w:lineRule="auto"/>
        <w:ind w:left="423" w:right="1123"/>
        <w:jc w:val="left"/>
      </w:pPr>
      <w:r>
        <w:rPr/>
        <w:t>金融工具划分为金融资产或金融负债。本公司成为金融工具合同的一方时，确认为一项金融资产或金融负债。 本公司根据管理金融资产的业务模式和金融资产的合同现金流量特征，将金融资产分类为以摊余成本计量的金融资产、</w:t>
      </w:r>
    </w:p>
    <w:p>
      <w:pPr>
        <w:pStyle w:val="BodyText"/>
        <w:spacing w:line="222" w:lineRule="exact"/>
        <w:ind w:right="0"/>
        <w:jc w:val="both"/>
      </w:pPr>
      <w:r>
        <w:rPr/>
        <w:t>以公允价值计量且其变动计入其他综合收益的金融资产、以公允价值计量且其变动计入当期损益的金融资产。</w:t>
      </w:r>
    </w:p>
    <w:p>
      <w:pPr>
        <w:pStyle w:val="BodyText"/>
        <w:spacing w:line="357" w:lineRule="auto" w:before="117"/>
        <w:ind w:left="423" w:right="1123"/>
        <w:jc w:val="left"/>
      </w:pPr>
      <w:r>
        <w:rPr/>
        <w:t>金融负债于初始确认时分类为：以摊余成本计量的金融负债与以公允价值计量且其变动计入当期损益的金融负债。 符合以下条件之一的金融负债可在初始计量时指定为以公允价值计量且其变动计入当期损益的金融负债：①该项指定能</w:t>
      </w:r>
    </w:p>
    <w:p>
      <w:pPr>
        <w:pStyle w:val="BodyText"/>
        <w:spacing w:line="224" w:lineRule="exact"/>
        <w:ind w:right="0"/>
        <w:jc w:val="both"/>
      </w:pPr>
      <w:r>
        <w:rPr/>
        <w:t>够消除或显著减少会计错配；②根据正式书面文件载明的公司风险管理或投资策略，以公允价值为基础对金融负债组合或金</w:t>
      </w:r>
    </w:p>
    <w:p>
      <w:pPr>
        <w:pStyle w:val="BodyText"/>
        <w:spacing w:line="316" w:lineRule="auto" w:before="76"/>
        <w:ind w:right="1132"/>
        <w:jc w:val="both"/>
      </w:pPr>
      <w:r>
        <w:rPr>
          <w:spacing w:val="-2"/>
        </w:rPr>
        <w:t>融资产和金融负债组合进行管理和业绩评价，并在公司内部以此为基础向关键管理人员报告；③其他金融负债，采用实际利</w:t>
      </w:r>
      <w:r>
        <w:rPr>
          <w:spacing w:val="-64"/>
        </w:rPr>
        <w:t> </w:t>
      </w:r>
      <w:r>
        <w:rPr>
          <w:spacing w:val="-64"/>
        </w:rPr>
      </w:r>
      <w:r>
        <w:rPr/>
        <w:t>率法，按照推余成本进行后续计量。</w:t>
      </w:r>
    </w:p>
    <w:p>
      <w:pPr>
        <w:spacing w:line="240" w:lineRule="auto" w:before="13"/>
        <w:rPr>
          <w:rFonts w:ascii="宋体" w:hAnsi="宋体" w:cs="宋体" w:eastAsia="宋体" w:hint="default"/>
          <w:sz w:val="22"/>
          <w:szCs w:val="22"/>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2</w:t>
      </w:r>
      <w:r>
        <w:rPr/>
        <w:t>）金融工具的确认依据和计量方法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40" w:lineRule="auto"/>
        <w:ind w:left="423" w:right="1123"/>
        <w:jc w:val="left"/>
      </w:pPr>
      <w:r>
        <w:rPr/>
        <w:t>（</w:t>
      </w:r>
      <w:r>
        <w:rPr>
          <w:rFonts w:ascii="Times New Roman" w:hAnsi="Times New Roman" w:cs="Times New Roman" w:eastAsia="Times New Roman" w:hint="default"/>
        </w:rPr>
        <w:t>1</w:t>
      </w:r>
      <w:r>
        <w:rPr/>
        <w:t>）以摊余成本计量的金融资产 以摊余成本计量的金融资产包括应收票据及应收账款、其他应收款、长期应收款、债权投资等，按公允价值进行初始计</w:t>
      </w:r>
    </w:p>
    <w:p>
      <w:pPr>
        <w:pStyle w:val="BodyText"/>
        <w:spacing w:line="316" w:lineRule="auto" w:before="1"/>
        <w:ind w:right="1130"/>
        <w:jc w:val="both"/>
      </w:pPr>
      <w:r>
        <w:rPr>
          <w:spacing w:val="-2"/>
        </w:rPr>
        <w:t>量，相关交易费用计入初始确认金额；不包含重大融资成分的应收账款以及本公司决定不考虑不超过一年的融资成分的应收</w:t>
      </w:r>
      <w:r>
        <w:rPr>
          <w:spacing w:val="-64"/>
        </w:rPr>
        <w:t> </w:t>
      </w:r>
      <w:r>
        <w:rPr>
          <w:spacing w:val="-64"/>
        </w:rPr>
      </w:r>
      <w:r>
        <w:rPr>
          <w:spacing w:val="-2"/>
        </w:rPr>
        <w:t>账款，以合同交易价格进行初始计量。持有期间采用实际利率法计算的利息计入当期损益。收回或处置时，将取得的价款与</w:t>
      </w:r>
      <w:r>
        <w:rPr>
          <w:spacing w:val="-65"/>
        </w:rPr>
        <w:t> </w:t>
      </w:r>
      <w:r>
        <w:rPr>
          <w:spacing w:val="-65"/>
        </w:rPr>
      </w:r>
      <w:r>
        <w:rPr/>
        <w:t>该金融资产账面价值之间的差额计入当期损益。</w:t>
      </w:r>
    </w:p>
    <w:p>
      <w:pPr>
        <w:pStyle w:val="BodyText"/>
        <w:spacing w:line="338" w:lineRule="auto" w:before="59"/>
        <w:ind w:left="423" w:right="1123"/>
        <w:jc w:val="left"/>
      </w:pPr>
      <w:r>
        <w:rPr/>
        <w:t>（</w:t>
      </w:r>
      <w:r>
        <w:rPr>
          <w:rFonts w:ascii="Times New Roman" w:hAnsi="Times New Roman" w:cs="Times New Roman" w:eastAsia="Times New Roman" w:hint="default"/>
        </w:rPr>
        <w:t>2</w:t>
      </w:r>
      <w:r>
        <w:rPr/>
        <w:t>）以公允价值计量且其变动计入其他综合收益的金融资产 以公允价值计量且其变动计入其他综合收益的金融资产包括其他债权投资等，按公允价值进行初始计量，相关交易费用</w:t>
      </w:r>
    </w:p>
    <w:p>
      <w:pPr>
        <w:pStyle w:val="BodyText"/>
        <w:spacing w:line="316" w:lineRule="auto" w:before="2"/>
        <w:ind w:right="1130"/>
        <w:jc w:val="both"/>
      </w:pPr>
      <w:r>
        <w:rPr>
          <w:spacing w:val="-2"/>
        </w:rPr>
        <w:t>计入初始确认金额。该金融资产按公允价值进行后续计量，公允价值变动除采用实际利率法计算的利息、减值损失或利得和</w:t>
      </w:r>
      <w:r>
        <w:rPr>
          <w:spacing w:val="-62"/>
        </w:rPr>
        <w:t> </w:t>
      </w:r>
      <w:r>
        <w:rPr>
          <w:spacing w:val="-62"/>
        </w:rPr>
      </w:r>
      <w:r>
        <w:rPr>
          <w:spacing w:val="-2"/>
        </w:rPr>
        <w:t>汇兑损益之外，均计入其他综合收益。终止确认时，之前计入其他综合收益的累计利得或损失从其他综合收益中转出，计入</w:t>
      </w:r>
      <w:r>
        <w:rPr>
          <w:spacing w:val="-64"/>
        </w:rPr>
        <w:t> </w:t>
      </w:r>
      <w:r>
        <w:rPr>
          <w:spacing w:val="-64"/>
        </w:rPr>
      </w:r>
      <w:r>
        <w:rPr/>
        <w:t>当期损益。</w:t>
      </w:r>
    </w:p>
    <w:p>
      <w:pPr>
        <w:pStyle w:val="BodyText"/>
        <w:spacing w:line="338" w:lineRule="auto" w:before="59"/>
        <w:ind w:left="423" w:right="1123"/>
        <w:jc w:val="left"/>
      </w:pPr>
      <w:r>
        <w:rPr/>
        <w:t>（</w:t>
      </w:r>
      <w:r>
        <w:rPr>
          <w:rFonts w:ascii="Times New Roman" w:hAnsi="Times New Roman" w:cs="Times New Roman" w:eastAsia="Times New Roman" w:hint="default"/>
        </w:rPr>
        <w:t>3</w:t>
      </w:r>
      <w:r>
        <w:rPr/>
        <w:t>）以公允价值计量且其变动计入当期损益的金融资产 以公允价值计量且其变动计入当期损益的金融资产包括交易性金融资产等，按公允价值进行初始计量，相关交易费用计</w:t>
      </w:r>
    </w:p>
    <w:p>
      <w:pPr>
        <w:spacing w:after="0" w:line="338"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16" w:lineRule="auto" w:before="37"/>
        <w:ind w:right="0"/>
        <w:jc w:val="left"/>
      </w:pPr>
      <w:r>
        <w:rPr>
          <w:spacing w:val="-2"/>
        </w:rPr>
        <w:t>入当期损益。该金融资产按公允价值进行后续计量，公允价值变动计入当期损益。终止确认时，其公允价值与初始入账金额</w:t>
      </w:r>
      <w:r>
        <w:rPr>
          <w:spacing w:val="-66"/>
        </w:rPr>
        <w:t> </w:t>
      </w:r>
      <w:r>
        <w:rPr>
          <w:spacing w:val="-66"/>
        </w:rPr>
      </w:r>
      <w:r>
        <w:rPr/>
        <w:t>之间的差额确认为投资收益，同时调整公允价值变动损益。</w:t>
      </w:r>
    </w:p>
    <w:p>
      <w:pPr>
        <w:pStyle w:val="BodyText"/>
        <w:spacing w:line="338" w:lineRule="auto" w:before="59"/>
        <w:ind w:left="423" w:right="1123"/>
        <w:jc w:val="left"/>
      </w:pPr>
      <w:r>
        <w:rPr/>
        <w:t>（</w:t>
      </w:r>
      <w:r>
        <w:rPr>
          <w:rFonts w:ascii="Times New Roman" w:hAnsi="Times New Roman" w:cs="Times New Roman" w:eastAsia="Times New Roman" w:hint="default"/>
        </w:rPr>
        <w:t>4</w:t>
      </w:r>
      <w:r>
        <w:rPr/>
        <w:t>）以公允价值计量且其变动计入当期损益的金融负债 以公允价值计量且其变动计入当期损益的金融负债包括交易性金融负债等，按公允价值进行初始计量，相关交易费用计</w:t>
      </w:r>
    </w:p>
    <w:p>
      <w:pPr>
        <w:pStyle w:val="BodyText"/>
        <w:spacing w:line="316" w:lineRule="auto" w:before="2"/>
        <w:ind w:right="0"/>
        <w:jc w:val="left"/>
      </w:pPr>
      <w:r>
        <w:rPr>
          <w:spacing w:val="-2"/>
        </w:rPr>
        <w:t>入当期损益。该金融负债按公允价值进行后续计量，公允价值变动计入当期损益。终止确认时，其公允价值与初始入账金额</w:t>
      </w:r>
      <w:r>
        <w:rPr>
          <w:spacing w:val="-66"/>
        </w:rPr>
        <w:t> </w:t>
      </w:r>
      <w:r>
        <w:rPr>
          <w:spacing w:val="-66"/>
        </w:rPr>
      </w:r>
      <w:r>
        <w:rPr/>
        <w:t>之间的差额确认为投资收益，同时调整公允价值变动损益。</w:t>
      </w:r>
    </w:p>
    <w:p>
      <w:pPr>
        <w:pStyle w:val="BodyText"/>
        <w:spacing w:line="340" w:lineRule="auto" w:before="59"/>
        <w:ind w:left="423" w:right="1123"/>
        <w:jc w:val="left"/>
      </w:pPr>
      <w:r>
        <w:rPr/>
        <w:t>（</w:t>
      </w:r>
      <w:r>
        <w:rPr>
          <w:rFonts w:ascii="Times New Roman" w:hAnsi="Times New Roman" w:cs="Times New Roman" w:eastAsia="Times New Roman" w:hint="default"/>
        </w:rPr>
        <w:t>5</w:t>
      </w:r>
      <w:r>
        <w:rPr/>
        <w:t>）以摊余成本计量的金融负债 以摊余成本计量的金融负债包括短期借款、应付票据及应付账款、其他应付款、长期借款、应付债券、长期应付款，按</w:t>
      </w:r>
    </w:p>
    <w:p>
      <w:pPr>
        <w:pStyle w:val="BodyText"/>
        <w:spacing w:line="316" w:lineRule="auto" w:before="1"/>
        <w:ind w:right="0"/>
        <w:jc w:val="left"/>
      </w:pPr>
      <w:r>
        <w:rPr>
          <w:spacing w:val="-4"/>
        </w:rPr>
        <w:t>公允价值进行初始计量，相关交易费用计入初始确认金额。持有期间采用实际利率法计算的利息计入当期损益。终止确认时，</w:t>
      </w:r>
      <w:r>
        <w:rPr>
          <w:spacing w:val="-44"/>
        </w:rPr>
        <w:t> </w:t>
      </w:r>
      <w:r>
        <w:rPr>
          <w:spacing w:val="-44"/>
        </w:rPr>
      </w:r>
      <w:r>
        <w:rPr/>
        <w:t>将支付的对价与该金融负债账面价值之间的差额计入当期损益。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）本公司对金融资产和金融负债的公允价值的确认方法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360"/>
        <w:jc w:val="both"/>
      </w:pPr>
      <w:r>
        <w:rPr>
          <w:spacing w:val="-2"/>
        </w:rPr>
        <w:t>存在活跃市场的金融工具，以活跃市场中的报价确定其公允价值。不存在活跃市场的金融工具，采用估值技术确定其公</w:t>
      </w:r>
      <w:r>
        <w:rPr/>
        <w:t> </w:t>
      </w:r>
      <w:r>
        <w:rPr>
          <w:spacing w:val="-2"/>
        </w:rPr>
        <w:t>允价值。在估值时，本公司采用在当前情况下适用并且有足够可利用数据和其他信息支持的估值技术，选择与市场参与者在</w:t>
      </w:r>
      <w:r>
        <w:rPr>
          <w:spacing w:val="-65"/>
        </w:rPr>
        <w:t> </w:t>
      </w:r>
      <w:r>
        <w:rPr>
          <w:spacing w:val="-65"/>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）金融资产转移的确认依据和计量方法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0" w:firstLine="360"/>
        <w:jc w:val="left"/>
      </w:pPr>
      <w:r>
        <w:rPr>
          <w:spacing w:val="-2"/>
        </w:rPr>
        <w:t>公司发生金融资产转移时，如已将金融资产所有权上几乎所有的风险和报酬转移给转入方，则终止确认该金融资产；如</w:t>
      </w:r>
      <w:r>
        <w:rPr/>
        <w:t> </w:t>
      </w:r>
      <w:r>
        <w:rPr>
          <w:spacing w:val="-2"/>
        </w:rPr>
        <w:t>保留了金融资产所有权上几乎所有的风险和报酬的，则不终止确认该金融资产。在判断金融资产转移是否满足上述金融资产</w:t>
      </w:r>
      <w:r>
        <w:rPr>
          <w:spacing w:val="-64"/>
        </w:rPr>
        <w:t> </w:t>
      </w:r>
      <w:r>
        <w:rPr>
          <w:spacing w:val="-64"/>
        </w:rPr>
      </w:r>
      <w:r>
        <w:rPr/>
        <w:t>终止确认条件时，采用实质重于形式的原则。公司将金融资产转移区分为金融资产整体转移和部分转移。 金融资产整体转移满足终止确认条件的，将下列两项金额的差额计入当期损益：</w:t>
      </w:r>
    </w:p>
    <w:p>
      <w:pPr>
        <w:pStyle w:val="BodyText"/>
        <w:spacing w:line="240" w:lineRule="auto" w:before="19"/>
        <w:ind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512" w:right="1034" w:hanging="360"/>
        <w:jc w:val="left"/>
      </w:pPr>
      <w:r>
        <w:rPr/>
        <w:t>（</w:t>
      </w:r>
      <w:r>
        <w:rPr>
          <w:rFonts w:ascii="Times New Roman" w:hAnsi="Times New Roman" w:cs="Times New Roman" w:eastAsia="Times New Roman" w:hint="default"/>
        </w:rPr>
        <w:t>2</w:t>
      </w:r>
      <w:r>
        <w:rPr/>
        <w:t>）因转移而收到的对价，与原直接计入其他综合收益的公允价值变动累计利得之和。 金融资产部分转移满足终止确认条件的，将所转移金融资产整体的账面价值，在终止确认部分和未终止确认部分之间，</w:t>
      </w:r>
    </w:p>
    <w:p>
      <w:pPr>
        <w:pStyle w:val="BodyText"/>
        <w:spacing w:line="240" w:lineRule="auto" w:before="31"/>
        <w:ind w:right="0"/>
        <w:jc w:val="left"/>
      </w:pPr>
      <w:r>
        <w:rPr/>
        <w:t>按照各自的相对公允价值进行分摊，并将下列两项金额的差额计入当期损益：</w:t>
      </w:r>
    </w:p>
    <w:p>
      <w:pPr>
        <w:pStyle w:val="BodyText"/>
        <w:spacing w:line="240" w:lineRule="auto" w:before="76"/>
        <w:ind w:right="0"/>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0"/>
        <w:jc w:val="left"/>
      </w:pPr>
      <w:r>
        <w:rPr/>
        <w:t>（</w:t>
      </w:r>
      <w:r>
        <w:rPr>
          <w:rFonts w:ascii="Times New Roman" w:hAnsi="Times New Roman" w:cs="Times New Roman" w:eastAsia="Times New Roman" w:hint="default"/>
        </w:rPr>
        <w:t>2</w:t>
      </w:r>
      <w:r>
        <w:rPr/>
        <w:t>）终止确认部分的对价，与原直接计入其他综合收益的公允价值变动累计额中对应终止确认部分的金额（涉及转移的金</w:t>
      </w:r>
      <w:r>
        <w:rPr>
          <w:spacing w:val="-85"/>
        </w:rPr>
        <w:t> </w:t>
      </w:r>
      <w:r>
        <w:rPr>
          <w:spacing w:val="-85"/>
        </w:rPr>
      </w:r>
      <w:r>
        <w:rPr>
          <w:spacing w:val="-4"/>
        </w:rPr>
        <w:t>融资产为分类为以公允价值计量且其变动计入其他综合收益的金融资产的情形）之和。金融资产转移不满足终止确认条件的，</w:t>
      </w:r>
      <w:r>
        <w:rPr>
          <w:spacing w:val="-44"/>
        </w:rPr>
        <w:t> </w:t>
      </w:r>
      <w:r>
        <w:rPr>
          <w:spacing w:val="-44"/>
        </w:rPr>
      </w:r>
      <w:r>
        <w:rPr/>
        <w:t>继续确认该金融资产，所收到的对价确认为一项金融负债。</w:t>
      </w:r>
    </w:p>
    <w:p>
      <w:pPr>
        <w:spacing w:line="240" w:lineRule="auto" w:before="3"/>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5</w:t>
      </w:r>
      <w:r>
        <w:rPr/>
        <w:t>）金融资产减值测试方法、减值准备计提方法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4" w:lineRule="auto"/>
        <w:ind w:right="1132" w:firstLine="360"/>
        <w:jc w:val="both"/>
      </w:pPr>
      <w:r>
        <w:rPr>
          <w:spacing w:val="-2"/>
        </w:rPr>
        <w:t>本公司考虑所有合理且有依据的信息，包括前瞻性信息，以单项或组合的方式对以摊余成本计量的金融资产和以公允价</w:t>
      </w:r>
      <w:r>
        <w:rPr/>
        <w:t> </w:t>
      </w:r>
      <w:r>
        <w:rPr>
          <w:spacing w:val="-2"/>
        </w:rPr>
        <w:t>值计量且其变动计入其他综合收益的金融资产（债务工具）的预期信用损失进行估计。预期信用损失的计量取决于金融资产</w:t>
      </w:r>
      <w:r>
        <w:rPr>
          <w:spacing w:val="-64"/>
        </w:rPr>
        <w:t> </w:t>
      </w:r>
      <w:r>
        <w:rPr>
          <w:spacing w:val="-64"/>
        </w:rPr>
      </w:r>
      <w:r>
        <w:rPr>
          <w:spacing w:val="-2"/>
        </w:rPr>
        <w:t>自初始确认后是否发生信用风险显著增加。如果该金融工具的信用风险自初始确认后已显著增加，本公司按照相当于该金融</w:t>
      </w:r>
      <w:r>
        <w:rPr>
          <w:spacing w:val="-64"/>
        </w:rPr>
        <w:t> </w:t>
      </w:r>
      <w:r>
        <w:rPr>
          <w:spacing w:val="-64"/>
        </w:rPr>
      </w:r>
      <w:r>
        <w:rPr>
          <w:spacing w:val="-2"/>
        </w:rPr>
        <w:t>工具整个存续期内预期信用损失的金额计量其损失准备；如果该金融工具的信用风险自初始确认后并未显著增加，本公司按</w:t>
      </w:r>
      <w:r>
        <w:rPr>
          <w:spacing w:val="-64"/>
        </w:rPr>
        <w:t> </w:t>
      </w:r>
      <w:r>
        <w:rPr>
          <w:spacing w:val="-64"/>
        </w:rPr>
      </w:r>
      <w:r>
        <w:rPr/>
        <w:t>照相当于该金融工具未来</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个月内预期信用损失的金额计量其损失准备。由此形成的损失准备的增加或转回金额，作为减 值损失或利得计入当期损益。</w:t>
      </w:r>
    </w:p>
    <w:p>
      <w:pPr>
        <w:spacing w:after="0" w:line="314" w:lineRule="auto"/>
        <w:jc w:val="both"/>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11</w:t>
      </w:r>
      <w:r>
        <w:rPr/>
        <w:t>、</w:t>
      </w:r>
      <w:r>
        <w:rPr>
          <w:spacing w:val="-5"/>
        </w:rPr>
        <w:t> </w:t>
      </w:r>
      <w:r>
        <w:rPr>
          <w:rFonts w:ascii="Tahoma" w:hAnsi="Tahoma" w:cs="Tahoma" w:eastAsia="Tahoma" w:hint="default"/>
          <w:spacing w:val="-5"/>
        </w:rPr>
      </w:r>
      <w:r>
        <w:rPr/>
        <w:t>预期信用损失的确定方法及会计处理方法</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）预期信用损失的确定方法</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316" w:lineRule="auto" w:before="44"/>
        <w:ind w:right="1132" w:firstLine="364"/>
        <w:jc w:val="both"/>
      </w:pPr>
      <w:r>
        <w:rPr>
          <w:spacing w:val="-2"/>
        </w:rPr>
        <w:t>本公司以预期信用损失为基础，对以摊余成本计量的金融资产（含应收款项）、分类为以公允价值计量且其变动计入其</w:t>
      </w:r>
      <w:r>
        <w:rPr/>
        <w:t> 他综合收益的金融资产（含应收款项融资）、租赁应收款，进行减值会计处理并确认损失准备。</w:t>
      </w:r>
    </w:p>
    <w:p>
      <w:pPr>
        <w:pStyle w:val="BodyText"/>
        <w:spacing w:line="300" w:lineRule="auto" w:before="19"/>
        <w:ind w:left="517" w:right="0"/>
        <w:jc w:val="left"/>
      </w:pPr>
      <w:r>
        <w:rPr>
          <w:rFonts w:ascii="Times New Roman" w:hAnsi="Times New Roman" w:cs="Times New Roman" w:eastAsia="Times New Roman" w:hint="default"/>
        </w:rPr>
        <w:t>1</w:t>
      </w:r>
      <w:r>
        <w:rPr/>
        <w:t>）较低信用风险的金融工具计量损失准备的方法 </w:t>
      </w:r>
      <w:r>
        <w:rPr>
          <w:spacing w:val="-2"/>
        </w:rPr>
        <w:t>对于在资产负债表日具有较低信用风险的金融工具，本公司可以不用与其初始确认时的信用风险进行比较，而直接做出</w:t>
      </w:r>
    </w:p>
    <w:p>
      <w:pPr>
        <w:pStyle w:val="BodyText"/>
        <w:spacing w:line="316" w:lineRule="auto" w:before="31"/>
        <w:ind w:left="517" w:right="0" w:hanging="365"/>
        <w:jc w:val="left"/>
      </w:pPr>
      <w:r>
        <w:rPr/>
        <w:t>该工具的信用风险自初始确认后未显著增加的假定。 </w:t>
      </w:r>
      <w:r>
        <w:rPr>
          <w:spacing w:val="-2"/>
        </w:rPr>
        <w:t>如果金融工具的违约风险较低，债务人在短期内履行其合同现金流量义务的能力很强，并且即便较长时期内经济形势和</w:t>
      </w:r>
    </w:p>
    <w:p>
      <w:pPr>
        <w:pStyle w:val="BodyText"/>
        <w:spacing w:line="328" w:lineRule="auto" w:before="19"/>
        <w:ind w:left="517" w:right="0" w:hanging="365"/>
        <w:jc w:val="left"/>
      </w:pPr>
      <w:r>
        <w:rPr/>
        <w:t>经营环境存在不利变化但未必一定降低借款人履行其合同现金流量义务的能力，该金融工具被视为具有较低的信用风险。 </w:t>
      </w:r>
      <w:r>
        <w:rPr>
          <w:rFonts w:ascii="Times New Roman" w:hAnsi="Times New Roman" w:cs="Times New Roman" w:eastAsia="Times New Roman" w:hint="default"/>
        </w:rPr>
        <w:t>2</w:t>
      </w:r>
      <w:r>
        <w:rPr/>
        <w:t>）应收款项、租赁应收款计量损失准备的方法 </w:t>
      </w:r>
      <w:r>
        <w:rPr>
          <w:spacing w:val="-2"/>
        </w:rPr>
        <w:t>本公司对于由《企业会计准则第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收入》规范的交易形成的应收款项（无论是否含重大融资成分），以及由《企业</w:t>
      </w:r>
    </w:p>
    <w:p>
      <w:pPr>
        <w:pStyle w:val="BodyText"/>
        <w:spacing w:line="236" w:lineRule="exact"/>
        <w:ind w:right="0"/>
        <w:jc w:val="left"/>
      </w:pPr>
      <w:r>
        <w:rPr/>
        <w:t>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租赁》规范的租赁应收款，均采用简化方法，即始终按整个存续期预期信用损失计量损失准备。</w:t>
      </w:r>
    </w:p>
    <w:p>
      <w:pPr>
        <w:pStyle w:val="BodyText"/>
        <w:spacing w:line="316" w:lineRule="auto" w:before="103"/>
        <w:ind w:right="1130" w:firstLine="364"/>
        <w:jc w:val="both"/>
      </w:pPr>
      <w:r>
        <w:rPr>
          <w:spacing w:val="-2"/>
        </w:rPr>
        <w:t>根据金融工具的性质，本公司以单项金融资产或金融资产组合为基础评估信用风险是否显著增加。除了单项评估信用风</w:t>
      </w:r>
      <w:r>
        <w:rPr/>
        <w:t> </w:t>
      </w:r>
      <w:r>
        <w:rPr>
          <w:spacing w:val="-2"/>
        </w:rPr>
        <w:t>险的应收款项外，本公司根据信用风险特征将应收票据、应收账款划分为若干组合，在组合基础上计算预期信用损失，确定</w:t>
      </w:r>
      <w:r>
        <w:rPr>
          <w:spacing w:val="-65"/>
        </w:rPr>
        <w:t> </w:t>
      </w:r>
      <w:r>
        <w:rPr>
          <w:spacing w:val="-65"/>
        </w:rPr>
      </w:r>
      <w:r>
        <w:rPr/>
        <w:t>组合的依据如下：</w:t>
      </w:r>
    </w:p>
    <w:p>
      <w:pPr>
        <w:spacing w:line="240" w:lineRule="auto" w:before="13"/>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603"/>
        <w:gridCol w:w="4027"/>
        <w:gridCol w:w="4027"/>
      </w:tblGrid>
      <w:tr>
        <w:trPr>
          <w:trHeight w:val="346" w:hRule="exact"/>
        </w:trPr>
        <w:tc>
          <w:tcPr>
            <w:tcW w:w="160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right="432"/>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02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402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928" w:right="0"/>
              <w:jc w:val="left"/>
              <w:rPr>
                <w:rFonts w:ascii="宋体" w:hAnsi="宋体" w:cs="宋体" w:eastAsia="宋体" w:hint="default"/>
                <w:sz w:val="18"/>
                <w:szCs w:val="18"/>
              </w:rPr>
            </w:pPr>
            <w:r>
              <w:rPr>
                <w:rFonts w:ascii="宋体" w:hAnsi="宋体" w:cs="宋体" w:eastAsia="宋体" w:hint="default"/>
                <w:sz w:val="18"/>
                <w:szCs w:val="18"/>
              </w:rPr>
              <w:t>类似信用风险特征（账龄）</w:t>
            </w:r>
          </w:p>
        </w:tc>
      </w:tr>
      <w:tr>
        <w:trPr>
          <w:trHeight w:val="660" w:hRule="exact"/>
        </w:trPr>
        <w:tc>
          <w:tcPr>
            <w:tcW w:w="160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right="41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应收账款组合</w:t>
            </w:r>
            <w:r>
              <w:rPr>
                <w:rFonts w:ascii="Times New Roman" w:hAnsi="Times New Roman" w:cs="Times New Roman" w:eastAsia="Times New Roman" w:hint="default"/>
                <w:spacing w:val="-1"/>
                <w:sz w:val="18"/>
                <w:szCs w:val="18"/>
              </w:rPr>
              <w:t>1</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应收客户款</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10"/>
              <w:ind w:left="4" w:right="45"/>
              <w:jc w:val="left"/>
              <w:rPr>
                <w:rFonts w:ascii="宋体" w:hAnsi="宋体" w:cs="宋体" w:eastAsia="宋体" w:hint="default"/>
                <w:sz w:val="18"/>
                <w:szCs w:val="18"/>
              </w:rPr>
            </w:pPr>
            <w:r>
              <w:rPr>
                <w:rFonts w:ascii="宋体" w:hAnsi="宋体" w:cs="宋体" w:eastAsia="宋体" w:hint="default"/>
                <w:sz w:val="18"/>
                <w:szCs w:val="18"/>
              </w:rPr>
              <w:t>本组合为向合并范围内关联方之外的客户销售或提 供劳务产生的应收账款。</w:t>
            </w:r>
          </w:p>
        </w:tc>
      </w:tr>
      <w:tr>
        <w:trPr>
          <w:trHeight w:val="660" w:hRule="exact"/>
        </w:trPr>
        <w:tc>
          <w:tcPr>
            <w:tcW w:w="160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right="41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应收账款组合</w:t>
            </w:r>
            <w:r>
              <w:rPr>
                <w:rFonts w:ascii="Times New Roman" w:hAnsi="Times New Roman" w:cs="Times New Roman" w:eastAsia="Times New Roman" w:hint="default"/>
                <w:spacing w:val="-1"/>
                <w:sz w:val="18"/>
                <w:szCs w:val="18"/>
              </w:rPr>
              <w:t>2</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316" w:lineRule="auto" w:before="8"/>
              <w:ind w:left="4" w:right="45"/>
              <w:jc w:val="left"/>
              <w:rPr>
                <w:rFonts w:ascii="宋体" w:hAnsi="宋体" w:cs="宋体" w:eastAsia="宋体" w:hint="default"/>
                <w:sz w:val="18"/>
                <w:szCs w:val="18"/>
              </w:rPr>
            </w:pPr>
            <w:r>
              <w:rPr>
                <w:rFonts w:ascii="宋体" w:hAnsi="宋体" w:cs="宋体" w:eastAsia="宋体" w:hint="default"/>
                <w:sz w:val="18"/>
                <w:szCs w:val="18"/>
              </w:rPr>
              <w:t>本组合为向合并范围内关联方销售或提供劳务产生 的应收账款。</w:t>
            </w:r>
          </w:p>
        </w:tc>
      </w:tr>
      <w:tr>
        <w:trPr>
          <w:trHeight w:val="346" w:hRule="exact"/>
        </w:trPr>
        <w:tc>
          <w:tcPr>
            <w:tcW w:w="160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right="41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应收票据组合</w:t>
            </w:r>
            <w:r>
              <w:rPr>
                <w:rFonts w:ascii="Times New Roman" w:hAnsi="Times New Roman" w:cs="Times New Roman" w:eastAsia="Times New Roman" w:hint="default"/>
                <w:spacing w:val="-1"/>
                <w:sz w:val="18"/>
                <w:szCs w:val="18"/>
              </w:rPr>
              <w:t>1</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027"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管理层评价该类款项具有较低的信用风险</w:t>
            </w:r>
          </w:p>
        </w:tc>
      </w:tr>
      <w:tr>
        <w:trPr>
          <w:trHeight w:val="655" w:hRule="exact"/>
        </w:trPr>
        <w:tc>
          <w:tcPr>
            <w:tcW w:w="16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right="41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应收票据组合</w:t>
            </w:r>
            <w:r>
              <w:rPr>
                <w:rFonts w:ascii="Times New Roman" w:hAnsi="Times New Roman" w:cs="Times New Roman" w:eastAsia="Times New Roman" w:hint="default"/>
                <w:spacing w:val="-1"/>
                <w:sz w:val="18"/>
                <w:szCs w:val="18"/>
              </w:rPr>
              <w:t>2</w:t>
            </w:r>
          </w:p>
        </w:tc>
        <w:tc>
          <w:tcPr>
            <w:tcW w:w="40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027"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0"/>
              <w:ind w:left="4" w:right="45"/>
              <w:jc w:val="left"/>
              <w:rPr>
                <w:rFonts w:ascii="宋体" w:hAnsi="宋体" w:cs="宋体" w:eastAsia="宋体" w:hint="default"/>
                <w:sz w:val="18"/>
                <w:szCs w:val="18"/>
              </w:rPr>
            </w:pPr>
            <w:r>
              <w:rPr>
                <w:rFonts w:ascii="宋体" w:hAnsi="宋体" w:cs="宋体" w:eastAsia="宋体" w:hint="default"/>
                <w:sz w:val="18"/>
                <w:szCs w:val="18"/>
              </w:rPr>
              <w:t>管理层评价该类款项为高信用企业发出商业承兑汇 票</w:t>
            </w:r>
          </w:p>
        </w:tc>
      </w:tr>
    </w:tbl>
    <w:p>
      <w:pPr>
        <w:spacing w:line="240" w:lineRule="auto" w:before="13"/>
        <w:rPr>
          <w:rFonts w:ascii="宋体" w:hAnsi="宋体" w:cs="宋体" w:eastAsia="宋体" w:hint="default"/>
          <w:sz w:val="6"/>
          <w:szCs w:val="6"/>
        </w:rPr>
      </w:pPr>
    </w:p>
    <w:p>
      <w:pPr>
        <w:pStyle w:val="BodyText"/>
        <w:spacing w:line="300" w:lineRule="auto" w:before="37"/>
        <w:ind w:right="1120" w:firstLine="364"/>
        <w:jc w:val="left"/>
      </w:pPr>
      <w:r>
        <w:rPr/>
        <w:t>注：经测试，上述应收账款组合</w:t>
      </w:r>
      <w:r>
        <w:rPr>
          <w:rFonts w:ascii="Times New Roman" w:hAnsi="Times New Roman" w:cs="Times New Roman" w:eastAsia="Times New Roman" w:hint="default"/>
        </w:rPr>
        <w:t>2</w:t>
      </w:r>
      <w:r>
        <w:rPr/>
        <w:t>和应收票据组合</w:t>
      </w:r>
      <w:r>
        <w:rPr>
          <w:rFonts w:ascii="Times New Roman" w:hAnsi="Times New Roman" w:cs="Times New Roman" w:eastAsia="Times New Roman" w:hint="default"/>
        </w:rPr>
        <w:t>1</w:t>
      </w:r>
      <w:r>
        <w:rPr/>
        <w:t>，一般情况下不计提预期信用损失。应收票据组合</w:t>
      </w:r>
      <w:r>
        <w:rPr>
          <w:rFonts w:ascii="Times New Roman" w:hAnsi="Times New Roman" w:cs="Times New Roman" w:eastAsia="Times New Roman" w:hint="default"/>
        </w:rPr>
        <w:t>2</w:t>
      </w:r>
      <w:r>
        <w:rPr/>
        <w:t>，在汇票到期日 内一般不计提减值准备。对于逾期的汇票参照应收款项计提方法计提减值准备。</w:t>
      </w:r>
    </w:p>
    <w:p>
      <w:pPr>
        <w:pStyle w:val="BodyText"/>
        <w:spacing w:line="316" w:lineRule="auto" w:before="72"/>
        <w:ind w:right="1034" w:firstLine="364"/>
        <w:jc w:val="left"/>
      </w:pPr>
      <w:r>
        <w:rPr>
          <w:spacing w:val="-2"/>
        </w:rPr>
        <w:t>对于划分为组合的应收账款，本公司参考历史信用损失经验，结合当前状况及对未来经济状况的预测，编制应收账款账</w:t>
      </w:r>
      <w:r>
        <w:rPr/>
        <w:t> 龄与整个存续期预期信用损失率对照表，计算预期信用损失。对于划分为组合的应收票据，本公司参考历史信用损失经验， 结合当前状况及对未来经济状况的预测，通过违约风险敞口和整个存续期预期信用损失率，计算预期信用损失。</w:t>
      </w:r>
    </w:p>
    <w:p>
      <w:pPr>
        <w:pStyle w:val="BodyText"/>
        <w:spacing w:line="240" w:lineRule="auto" w:before="57"/>
        <w:ind w:left="517" w:right="0"/>
        <w:jc w:val="left"/>
      </w:pPr>
      <w:r>
        <w:rPr/>
        <w:t>对于划分为组合</w:t>
      </w:r>
      <w:r>
        <w:rPr>
          <w:rFonts w:ascii="Times New Roman" w:hAnsi="Times New Roman" w:cs="Times New Roman" w:eastAsia="Times New Roman" w:hint="default"/>
        </w:rPr>
        <w:t>1</w:t>
      </w:r>
      <w:r>
        <w:rPr/>
        <w:t>的应收账款，基于所有合理且有依据的信息，对该应收账款坏账准备的预期信用损失率进行估计如下：</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4783"/>
        <w:gridCol w:w="4786"/>
      </w:tblGrid>
      <w:tr>
        <w:trPr>
          <w:trHeight w:val="427" w:hRule="exact"/>
        </w:trPr>
        <w:tc>
          <w:tcPr>
            <w:tcW w:w="478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tabs>
                <w:tab w:pos="398" w:val="left" w:leader="none"/>
              </w:tabs>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786"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预期信用损失率</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47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7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6"/>
          <w:szCs w:val="6"/>
        </w:rPr>
      </w:pPr>
    </w:p>
    <w:p>
      <w:pPr>
        <w:pStyle w:val="BodyText"/>
        <w:spacing w:line="240" w:lineRule="auto" w:before="37"/>
        <w:ind w:left="517" w:right="0"/>
        <w:jc w:val="left"/>
      </w:pPr>
      <w:r>
        <w:rPr/>
        <w:t>如果有客观证据表明某项应收账款已经发生信用减值，则本公司对该应收账款单项计提坏账准备并确认预期信用损失。</w:t>
      </w:r>
    </w:p>
    <w:p>
      <w:pPr>
        <w:pStyle w:val="BodyText"/>
        <w:spacing w:line="240" w:lineRule="auto" w:before="117"/>
        <w:ind w:left="517" w:right="0"/>
        <w:jc w:val="left"/>
      </w:pPr>
      <w:r>
        <w:rPr>
          <w:rFonts w:ascii="Times New Roman" w:hAnsi="Times New Roman" w:cs="Times New Roman" w:eastAsia="Times New Roman" w:hint="default"/>
        </w:rPr>
        <w:t>3</w:t>
      </w:r>
      <w:r>
        <w:rPr/>
        <w:t>）其他金融资产计量损失准备的方法</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09" w:lineRule="auto" w:before="37"/>
        <w:ind w:right="1131" w:firstLine="364"/>
        <w:jc w:val="both"/>
      </w:pPr>
      <w:r>
        <w:rPr>
          <w:spacing w:val="-2"/>
        </w:rPr>
        <w:t>对于除上述以外的金融资产，如：债权投资、其他债权投资、其他应收款、除租赁应收款以外的长期应收款等，本公司</w:t>
      </w:r>
      <w:r>
        <w:rPr/>
        <w:t> 依据其他应收款信用风险自初始确认后是否已经显著增加，采用相当于未来</w:t>
      </w:r>
      <w:r>
        <w:rPr>
          <w:rFonts w:ascii="Times New Roman" w:hAnsi="Times New Roman" w:cs="Times New Roman" w:eastAsia="Times New Roman" w:hint="default"/>
        </w:rPr>
        <w:t>12 </w:t>
      </w:r>
      <w:r>
        <w:rPr/>
        <w:t>个月内、或整个存续期的预期信用损失的金</w:t>
      </w:r>
      <w:r>
        <w:rPr>
          <w:spacing w:val="-90"/>
        </w:rPr>
        <w:t> </w:t>
      </w:r>
      <w:r>
        <w:rPr>
          <w:spacing w:val="-90"/>
        </w:rPr>
      </w:r>
      <w:r>
        <w:rPr/>
        <w:t>额计量减值损失。</w:t>
      </w:r>
    </w:p>
    <w:p>
      <w:pPr>
        <w:pStyle w:val="BodyText"/>
        <w:spacing w:line="240" w:lineRule="auto" w:before="24"/>
        <w:ind w:left="517" w:right="0"/>
        <w:jc w:val="left"/>
      </w:pPr>
      <w:r>
        <w:rPr/>
        <w:t>除了单项评估信用风险的其他应收款外，基于其信用风险特征，将其划分为不同组合：</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1603"/>
        <w:gridCol w:w="4027"/>
        <w:gridCol w:w="4027"/>
      </w:tblGrid>
      <w:tr>
        <w:trPr>
          <w:trHeight w:val="342" w:hRule="exact"/>
        </w:trPr>
        <w:tc>
          <w:tcPr>
            <w:tcW w:w="160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02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4027"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8"/>
              <w:ind w:left="928" w:right="0"/>
              <w:jc w:val="left"/>
              <w:rPr>
                <w:rFonts w:ascii="宋体" w:hAnsi="宋体" w:cs="宋体" w:eastAsia="宋体" w:hint="default"/>
                <w:sz w:val="18"/>
                <w:szCs w:val="18"/>
              </w:rPr>
            </w:pPr>
            <w:r>
              <w:rPr>
                <w:rFonts w:ascii="宋体" w:hAnsi="宋体" w:cs="宋体" w:eastAsia="宋体" w:hint="default"/>
                <w:sz w:val="18"/>
                <w:szCs w:val="18"/>
              </w:rPr>
              <w:t>类似信用风险特征（账龄）</w:t>
            </w:r>
          </w:p>
        </w:tc>
      </w:tr>
      <w:tr>
        <w:trPr>
          <w:trHeight w:val="357" w:hRule="exact"/>
        </w:trPr>
        <w:tc>
          <w:tcPr>
            <w:tcW w:w="1603"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49"/>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4027"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应收风险较小往来款</w:t>
            </w:r>
          </w:p>
        </w:tc>
        <w:tc>
          <w:tcPr>
            <w:tcW w:w="4027" w:type="dxa"/>
            <w:tcBorders>
              <w:top w:val="single" w:sz="14" w:space="0" w:color="000000"/>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本组合为日常经常活动中与合并范围内关联方产生</w:t>
            </w:r>
          </w:p>
        </w:tc>
      </w:tr>
      <w:tr>
        <w:trPr>
          <w:trHeight w:val="290" w:hRule="exact"/>
        </w:trPr>
        <w:tc>
          <w:tcPr>
            <w:tcW w:w="1603" w:type="dxa"/>
            <w:tcBorders>
              <w:top w:val="nil" w:sz="6" w:space="0" w:color="auto"/>
              <w:left w:val="single" w:sz="6" w:space="0" w:color="000000"/>
              <w:bottom w:val="nil" w:sz="6" w:space="0" w:color="auto"/>
              <w:right w:val="single" w:sz="6" w:space="0" w:color="000000"/>
            </w:tcBorders>
          </w:tcPr>
          <w:p>
            <w:pPr/>
          </w:p>
        </w:tc>
        <w:tc>
          <w:tcPr>
            <w:tcW w:w="4027" w:type="dxa"/>
            <w:tcBorders>
              <w:top w:val="nil" w:sz="6" w:space="0" w:color="auto"/>
              <w:left w:val="single" w:sz="6" w:space="0" w:color="000000"/>
              <w:bottom w:val="nil" w:sz="6" w:space="0" w:color="auto"/>
              <w:right w:val="single" w:sz="6" w:space="0" w:color="000000"/>
            </w:tcBorders>
          </w:tcPr>
          <w:p>
            <w:pPr/>
          </w:p>
        </w:tc>
        <w:tc>
          <w:tcPr>
            <w:tcW w:w="4027" w:type="dxa"/>
            <w:tcBorders>
              <w:top w:val="nil" w:sz="6" w:space="0" w:color="auto"/>
              <w:left w:val="single" w:sz="6" w:space="0" w:color="000000"/>
              <w:bottom w:val="nil" w:sz="6" w:space="0" w:color="auto"/>
              <w:right w:val="single" w:sz="6"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的应收款项及与公司员工相关的款项、押金、保证</w:t>
            </w:r>
          </w:p>
        </w:tc>
      </w:tr>
      <w:tr>
        <w:trPr>
          <w:trHeight w:val="328" w:hRule="exact"/>
        </w:trPr>
        <w:tc>
          <w:tcPr>
            <w:tcW w:w="1603" w:type="dxa"/>
            <w:tcBorders>
              <w:top w:val="nil" w:sz="6" w:space="0" w:color="auto"/>
              <w:left w:val="single" w:sz="6" w:space="0" w:color="000000"/>
              <w:bottom w:val="single" w:sz="10" w:space="0" w:color="000000"/>
              <w:right w:val="single" w:sz="6" w:space="0" w:color="000000"/>
            </w:tcBorders>
          </w:tcPr>
          <w:p>
            <w:pPr/>
          </w:p>
        </w:tc>
        <w:tc>
          <w:tcPr>
            <w:tcW w:w="4027" w:type="dxa"/>
            <w:tcBorders>
              <w:top w:val="nil" w:sz="6" w:space="0" w:color="auto"/>
              <w:left w:val="single" w:sz="6" w:space="0" w:color="000000"/>
              <w:bottom w:val="single" w:sz="10" w:space="0" w:color="000000"/>
              <w:right w:val="single" w:sz="6" w:space="0" w:color="000000"/>
            </w:tcBorders>
          </w:tcPr>
          <w:p>
            <w:pPr/>
          </w:p>
        </w:tc>
        <w:tc>
          <w:tcPr>
            <w:tcW w:w="4027" w:type="dxa"/>
            <w:tcBorders>
              <w:top w:val="nil" w:sz="6" w:space="0" w:color="auto"/>
              <w:left w:val="single" w:sz="6" w:space="0" w:color="000000"/>
              <w:bottom w:val="single" w:sz="10" w:space="0" w:color="000000"/>
              <w:right w:val="single" w:sz="6"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金等</w:t>
            </w:r>
          </w:p>
        </w:tc>
      </w:tr>
      <w:tr>
        <w:trPr>
          <w:trHeight w:val="343" w:hRule="exact"/>
        </w:trPr>
        <w:tc>
          <w:tcPr>
            <w:tcW w:w="16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40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应收其他款项</w:t>
            </w:r>
          </w:p>
        </w:tc>
        <w:tc>
          <w:tcPr>
            <w:tcW w:w="40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本组合为日常经常活动中的其他应收款项</w:t>
            </w:r>
          </w:p>
        </w:tc>
      </w:tr>
    </w:tbl>
    <w:p>
      <w:pPr>
        <w:spacing w:line="240" w:lineRule="auto" w:before="13"/>
        <w:rPr>
          <w:rFonts w:ascii="宋体" w:hAnsi="宋体" w:cs="宋体" w:eastAsia="宋体" w:hint="default"/>
          <w:sz w:val="6"/>
          <w:szCs w:val="6"/>
        </w:rPr>
      </w:pPr>
    </w:p>
    <w:p>
      <w:pPr>
        <w:pStyle w:val="BodyText"/>
        <w:spacing w:line="340" w:lineRule="auto" w:before="37"/>
        <w:ind w:left="517" w:right="1119"/>
        <w:jc w:val="left"/>
      </w:pPr>
      <w:r>
        <w:rPr/>
        <w:t>注：经测试，上述其他应收款组合</w:t>
      </w:r>
      <w:r>
        <w:rPr>
          <w:rFonts w:ascii="Times New Roman" w:hAnsi="Times New Roman" w:cs="Times New Roman" w:eastAsia="Times New Roman" w:hint="default"/>
        </w:rPr>
        <w:t>1</w:t>
      </w:r>
      <w:r>
        <w:rPr/>
        <w:t>一般情况下不计提预期信用损失。 对于划分为应收其他款项组合</w:t>
      </w:r>
      <w:r>
        <w:rPr>
          <w:rFonts w:ascii="Times New Roman" w:hAnsi="Times New Roman" w:cs="Times New Roman" w:eastAsia="Times New Roman" w:hint="default"/>
        </w:rPr>
        <w:t>2</w:t>
      </w:r>
      <w:r>
        <w:rPr/>
        <w:t>的其他应收账款，基于所有合理且有依据的信息，对该其他应收账款坏账准备的预期信</w:t>
      </w:r>
    </w:p>
    <w:p>
      <w:pPr>
        <w:pStyle w:val="BodyText"/>
        <w:spacing w:line="215" w:lineRule="exact"/>
        <w:ind w:right="0"/>
        <w:jc w:val="left"/>
      </w:pPr>
      <w:r>
        <w:rPr/>
        <w:t>用损失率进行估计如下：</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tabs>
                <w:tab w:pos="398"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786"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预期信用损失率</w:t>
            </w:r>
          </w:p>
        </w:tc>
      </w:tr>
      <w:tr>
        <w:trPr>
          <w:trHeight w:val="449" w:hRule="exact"/>
        </w:trPr>
        <w:tc>
          <w:tcPr>
            <w:tcW w:w="4783" w:type="dxa"/>
            <w:tcBorders>
              <w:top w:val="single" w:sz="14" w:space="0" w:color="000000"/>
              <w:left w:val="single" w:sz="6" w:space="0" w:color="000000"/>
              <w:bottom w:val="single" w:sz="10" w:space="0" w:color="000000"/>
              <w:right w:val="single" w:sz="6" w:space="0" w:color="000000"/>
            </w:tcBorders>
          </w:tcPr>
          <w:p>
            <w:pPr>
              <w:pStyle w:val="TableParagraph"/>
              <w:spacing w:line="240" w:lineRule="auto" w:before="6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786" w:type="dxa"/>
            <w:tcBorders>
              <w:top w:val="single" w:sz="14" w:space="0" w:color="000000"/>
              <w:left w:val="single" w:sz="6" w:space="0" w:color="000000"/>
              <w:bottom w:val="single" w:sz="10" w:space="0" w:color="000000"/>
              <w:right w:val="single" w:sz="6" w:space="0" w:color="000000"/>
            </w:tcBorders>
          </w:tcPr>
          <w:p>
            <w:pPr>
              <w:pStyle w:val="TableParagraph"/>
              <w:spacing w:line="240" w:lineRule="auto" w:before="109"/>
              <w:ind w:left="1" w:right="0"/>
              <w:jc w:val="center"/>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4783"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786"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47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7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6"/>
          <w:szCs w:val="6"/>
        </w:rPr>
      </w:pPr>
    </w:p>
    <w:p>
      <w:pPr>
        <w:pStyle w:val="BodyText"/>
        <w:spacing w:line="316" w:lineRule="auto" w:before="37"/>
        <w:ind w:right="1130" w:firstLine="216"/>
        <w:jc w:val="both"/>
      </w:pPr>
      <w:r>
        <w:rPr/>
        <w:t>如果有客观证据表明某项其他应收账款已经发生信用减值，则本公司对该其他应收账款单项计提坏账准备并确认预期信 用损失。</w:t>
      </w:r>
    </w:p>
    <w:p>
      <w:pPr>
        <w:pStyle w:val="Heading4"/>
        <w:spacing w:line="240" w:lineRule="auto" w:before="74"/>
        <w:ind w:right="0"/>
        <w:jc w:val="left"/>
        <w:rPr>
          <w:rFonts w:ascii="Tahoma" w:hAnsi="Tahoma" w:cs="Tahoma" w:eastAsia="Tahoma" w:hint="default"/>
        </w:rPr>
      </w:pPr>
      <w:r>
        <w:rPr>
          <w:rFonts w:ascii="Tahoma"/>
          <w:w w:val="80"/>
        </w:rPr>
        <w:t> </w:t>
      </w:r>
      <w:r>
        <w:rPr>
          <w:rFonts w:ascii="Tahoma"/>
        </w:rPr>
      </w:r>
    </w:p>
    <w:p>
      <w:pPr>
        <w:spacing w:before="64"/>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2</w:t>
      </w:r>
      <w:r>
        <w:rPr>
          <w:rFonts w:ascii="宋体" w:hAnsi="宋体" w:cs="宋体" w:eastAsia="宋体" w:hint="default"/>
          <w:sz w:val="21"/>
          <w:szCs w:val="21"/>
        </w:rPr>
        <w:t>）预期信用损失的会计处理方法</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316" w:lineRule="auto" w:before="82"/>
        <w:ind w:right="1130" w:firstLine="288"/>
        <w:jc w:val="both"/>
      </w:pPr>
      <w:r>
        <w:rPr>
          <w:spacing w:val="-1"/>
        </w:rPr>
        <w:t>为反映金融工具的信用风险自初始确认后的变化，本公司在每个资产负债表日重新计量预期信用损失，由此形成的损失</w:t>
      </w:r>
      <w:r>
        <w:rPr/>
        <w:t> </w:t>
      </w:r>
      <w:r>
        <w:rPr>
          <w:spacing w:val="-2"/>
        </w:rPr>
        <w:t>准备的增加或转回金额，应当作为减值损失或利得计入当期损益，并根据金融工具的种类，抵减该金融资产在资产负债表中</w:t>
      </w:r>
      <w:r>
        <w:rPr>
          <w:spacing w:val="-62"/>
        </w:rPr>
        <w:t> </w:t>
      </w:r>
      <w:r>
        <w:rPr>
          <w:spacing w:val="-62"/>
        </w:rPr>
      </w:r>
      <w:r>
        <w:rPr>
          <w:spacing w:val="-2"/>
        </w:rPr>
        <w:t>列示的账面价值或计入预计负债（贷款承诺或财务担保合同）或计入其他综合收益（以公允价值计量且其变动计入其他综合</w:t>
      </w:r>
      <w:r>
        <w:rPr>
          <w:spacing w:val="-64"/>
        </w:rPr>
        <w:t> </w:t>
      </w:r>
      <w:r>
        <w:rPr>
          <w:spacing w:val="-64"/>
        </w:rPr>
      </w:r>
      <w:r>
        <w:rPr/>
        <w:t>收益的债权投资）。</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rFonts w:ascii="Tahoma" w:hAnsi="Tahoma" w:cs="Tahoma" w:eastAsia="Tahoma" w:hint="default"/>
        </w:rPr>
        <w:t>12</w:t>
      </w:r>
      <w:r>
        <w:rPr/>
        <w:t>、应收票据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9" w:lineRule="auto"/>
        <w:ind w:right="1132" w:firstLine="360"/>
        <w:jc w:val="both"/>
      </w:pPr>
      <w:r>
        <w:rPr>
          <w:spacing w:val="-2"/>
        </w:rPr>
        <w:t>本公司对于应收票据，无论是否包含重大融资成分，本公司始终按照相当于整个存续期内预期信用损失的金额计量其损</w:t>
      </w:r>
      <w:r>
        <w:rPr/>
        <w:t> 失准备，由此形成的损失准备的增加或者转回金额，作为减值损失或者利得计入当期损益</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日起，公司应收票</w:t>
      </w:r>
      <w:r>
        <w:rPr>
          <w:spacing w:val="-57"/>
        </w:rPr>
        <w:t> </w:t>
      </w:r>
      <w:r>
        <w:rPr>
          <w:spacing w:val="-57"/>
        </w:rPr>
      </w:r>
      <w:r>
        <w:rPr/>
        <w:t>据的预期信用损失的确定方法及会计处理方法详见本章节第</w:t>
      </w:r>
      <w:r>
        <w:rPr>
          <w:rFonts w:ascii="Times New Roman" w:hAnsi="Times New Roman" w:cs="Times New Roman" w:eastAsia="Times New Roman" w:hint="default"/>
        </w:rPr>
        <w:t>11</w:t>
      </w:r>
      <w:r>
        <w:rPr/>
        <w:t>条第（</w:t>
      </w:r>
      <w:r>
        <w:rPr>
          <w:rFonts w:ascii="Times New Roman" w:hAnsi="Times New Roman" w:cs="Times New Roman" w:eastAsia="Times New Roman" w:hint="default"/>
        </w:rPr>
        <w:t>1</w:t>
      </w:r>
      <w:r>
        <w:rPr/>
        <w:t>）条 第</w:t>
      </w:r>
      <w:r>
        <w:rPr>
          <w:spacing w:val="-35"/>
        </w:rPr>
        <w:t> </w:t>
      </w:r>
      <w:r>
        <w:rPr>
          <w:rFonts w:ascii="Times New Roman" w:hAnsi="Times New Roman" w:cs="Times New Roman" w:eastAsia="Times New Roman" w:hint="default"/>
        </w:rPr>
        <w:t>2</w:t>
      </w:r>
      <w:r>
        <w:rPr/>
        <w:t>）款。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0"/>
        <w:jc w:val="left"/>
        <w:rPr>
          <w:rFonts w:ascii="Tahoma" w:hAnsi="Tahoma" w:cs="Tahoma" w:eastAsia="Tahoma" w:hint="default"/>
        </w:rPr>
      </w:pPr>
      <w:r>
        <w:rPr>
          <w:rFonts w:ascii="Tahoma" w:hAnsi="Tahoma" w:cs="Tahoma" w:eastAsia="Tahoma" w:hint="default"/>
        </w:rPr>
        <w:t>13</w:t>
      </w:r>
      <w:r>
        <w:rPr/>
        <w:t>、应收账款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30" w:firstLine="360"/>
        <w:jc w:val="both"/>
      </w:pPr>
      <w:r>
        <w:rPr>
          <w:spacing w:val="-2"/>
        </w:rPr>
        <w:t>本公司对于应收账款，无论是否包含重大融资成分，本公司始终按照相当于整个存续期内预期信用损失的金额计量其损</w:t>
      </w:r>
      <w:r>
        <w:rPr/>
        <w:t> </w:t>
      </w:r>
      <w:r>
        <w:rPr>
          <w:spacing w:val="-2"/>
        </w:rPr>
        <w:t>失准备，由此形成的损失准备的增加或者转回金额，作为减值损失或者利得计入当期损益；自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日起，公司应收账</w:t>
      </w:r>
    </w:p>
    <w:p>
      <w:pPr>
        <w:spacing w:after="0" w:line="316" w:lineRule="auto"/>
        <w:jc w:val="both"/>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款的预期信用损失的确定方法及会计处理方法详见本章节第</w:t>
      </w:r>
      <w:r>
        <w:rPr>
          <w:rFonts w:ascii="Times New Roman" w:hAnsi="Times New Roman" w:cs="Times New Roman" w:eastAsia="Times New Roman" w:hint="default"/>
        </w:rPr>
        <w:t>11</w:t>
      </w:r>
      <w:r>
        <w:rPr/>
        <w:t>条第（</w:t>
      </w:r>
      <w:r>
        <w:rPr>
          <w:rFonts w:ascii="Times New Roman" w:hAnsi="Times New Roman" w:cs="Times New Roman" w:eastAsia="Times New Roman" w:hint="default"/>
        </w:rPr>
        <w:t>1</w:t>
      </w:r>
      <w:r>
        <w:rPr/>
        <w:t>）条</w:t>
      </w:r>
      <w:r>
        <w:rPr>
          <w:spacing w:val="-17"/>
        </w:rPr>
        <w:t> </w:t>
      </w:r>
      <w:r>
        <w:rPr/>
        <w:t>第</w:t>
      </w:r>
      <w:r>
        <w:rPr>
          <w:rFonts w:ascii="Times New Roman" w:hAnsi="Times New Roman" w:cs="Times New Roman" w:eastAsia="Times New Roman" w:hint="default"/>
        </w:rPr>
        <w:t>2</w:t>
      </w:r>
      <w:r>
        <w:rPr/>
        <w:t>）款。</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14</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1326"/>
        <w:jc w:val="left"/>
      </w:pPr>
      <w:r>
        <w:rPr/>
        <w:t>其他应收款的预期信用损失的确定方法及会计处理方法 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日起，公司其他应收款的预期信用损失的确定方法及会计处理方法详见本章节第</w:t>
      </w:r>
      <w:r>
        <w:rPr>
          <w:rFonts w:ascii="Times New Roman" w:hAnsi="Times New Roman" w:cs="Times New Roman" w:eastAsia="Times New Roman" w:hint="default"/>
        </w:rPr>
        <w:t>11</w:t>
      </w:r>
      <w:r>
        <w:rPr/>
        <w:t>条第（</w:t>
      </w:r>
      <w:r>
        <w:rPr>
          <w:rFonts w:ascii="Times New Roman" w:hAnsi="Times New Roman" w:cs="Times New Roman" w:eastAsia="Times New Roman" w:hint="default"/>
        </w:rPr>
        <w:t>1</w:t>
      </w:r>
      <w:r>
        <w:rPr/>
        <w:t>）条</w:t>
      </w:r>
      <w:r>
        <w:rPr>
          <w:spacing w:val="-22"/>
        </w:rPr>
        <w:t> </w:t>
      </w:r>
      <w:r>
        <w:rPr/>
        <w:t>第</w:t>
      </w:r>
      <w:r>
        <w:rPr>
          <w:rFonts w:ascii="Times New Roman" w:hAnsi="Times New Roman" w:cs="Times New Roman" w:eastAsia="Times New Roman" w:hint="default"/>
        </w:rPr>
        <w:t>3</w:t>
      </w:r>
      <w:r>
        <w:rPr/>
        <w:t>）款。</w:t>
      </w:r>
    </w:p>
    <w:p>
      <w:pPr>
        <w:spacing w:line="240" w:lineRule="auto" w:before="9"/>
        <w:rPr>
          <w:rFonts w:ascii="宋体" w:hAnsi="宋体" w:cs="宋体" w:eastAsia="宋体" w:hint="default"/>
          <w:sz w:val="18"/>
          <w:szCs w:val="18"/>
        </w:rPr>
      </w:pPr>
    </w:p>
    <w:p>
      <w:pPr>
        <w:pStyle w:val="Heading4"/>
        <w:spacing w:line="240" w:lineRule="auto"/>
        <w:ind w:right="0"/>
        <w:jc w:val="left"/>
        <w:rPr>
          <w:rFonts w:ascii="Tahoma" w:hAnsi="Tahoma" w:cs="Tahoma" w:eastAsia="Tahoma" w:hint="default"/>
        </w:rPr>
      </w:pPr>
      <w:r>
        <w:rPr>
          <w:rFonts w:ascii="Tahoma" w:hAnsi="Tahoma" w:cs="Tahoma" w:eastAsia="Tahoma" w:hint="default"/>
        </w:rPr>
        <w:t>15</w:t>
      </w:r>
      <w:r>
        <w:rPr/>
        <w:t>、存货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694"/>
        <w:jc w:val="left"/>
      </w:pPr>
      <w:r>
        <w:rPr/>
        <w:t>公司是否需要遵守特殊行业的披露要求 否</w:t>
      </w:r>
    </w:p>
    <w:p>
      <w:pPr>
        <w:spacing w:line="240" w:lineRule="auto" w:before="8"/>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1</w:t>
      </w:r>
      <w:r>
        <w:rPr/>
        <w:t>）存货的分类</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1135" w:firstLine="420"/>
        <w:jc w:val="both"/>
      </w:pPr>
      <w:r>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）发出存货的计价方法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计价方法：加权平均法</w:t>
      </w:r>
    </w:p>
    <w:p>
      <w:pPr>
        <w:spacing w:line="240" w:lineRule="auto" w:before="0"/>
        <w:rPr>
          <w:rFonts w:ascii="宋体" w:hAnsi="宋体" w:cs="宋体" w:eastAsia="宋体" w:hint="default"/>
          <w:sz w:val="18"/>
          <w:szCs w:val="18"/>
        </w:rPr>
      </w:pPr>
    </w:p>
    <w:p>
      <w:pPr>
        <w:pStyle w:val="Heading4"/>
        <w:spacing w:line="240" w:lineRule="auto" w:before="122"/>
        <w:ind w:right="0"/>
        <w:jc w:val="left"/>
        <w:rPr>
          <w:rFonts w:ascii="Tahoma" w:hAnsi="Tahoma" w:cs="Tahoma" w:eastAsia="Tahoma" w:hint="default"/>
        </w:rPr>
      </w:pPr>
      <w:r>
        <w:rPr/>
        <w:t>（</w:t>
      </w:r>
      <w:r>
        <w:rPr>
          <w:rFonts w:ascii="Tahoma" w:hAnsi="Tahoma" w:cs="Tahoma" w:eastAsia="Tahoma" w:hint="default"/>
        </w:rPr>
        <w:t>3</w:t>
      </w:r>
      <w:r>
        <w:rPr/>
        <w:t>）存货可变现净值的确定依据及存货跌价准备的计提方法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0"/>
        <w:jc w:val="left"/>
      </w:pPr>
      <w:r>
        <w:rPr>
          <w:spacing w:val="-2"/>
        </w:rPr>
        <w:t>资产负债表日，存货按照成本与可变现净值孰低计量，并按单个存货项目计提存货跌价准备，但对于数量繁多、单价较低的</w:t>
      </w:r>
      <w:r>
        <w:rPr>
          <w:spacing w:val="-65"/>
        </w:rPr>
        <w:t> </w:t>
      </w:r>
      <w:r>
        <w:rPr>
          <w:spacing w:val="-65"/>
        </w:rPr>
      </w:r>
      <w:r>
        <w:rPr/>
        <w:t>存货，按照存货类别计提存货跌价准备。</w:t>
      </w:r>
    </w:p>
    <w:p>
      <w:pPr>
        <w:pStyle w:val="BodyText"/>
        <w:spacing w:line="316" w:lineRule="auto" w:before="139"/>
        <w:ind w:right="1130" w:firstLine="360"/>
        <w:jc w:val="both"/>
      </w:pPr>
      <w:r>
        <w:rPr>
          <w:spacing w:val="-2"/>
        </w:rPr>
        <w:t>存货可变现净值的确定依据：①产成品可变现净值为估计售价减去估计的销售费用和相关税费后金额；②为生产而持有</w:t>
      </w:r>
      <w:r>
        <w:rPr/>
        <w:t> </w:t>
      </w:r>
      <w:r>
        <w:rPr>
          <w:spacing w:val="-2"/>
        </w:rPr>
        <w:t>的材料等，当用其生产的产成品的可变现净值高于成本时按照成本计量；当材料价格下降表明产成品的可变现净值低于成本</w:t>
      </w:r>
      <w:r>
        <w:rPr>
          <w:spacing w:val="-64"/>
        </w:rPr>
        <w:t> </w:t>
      </w:r>
      <w:r>
        <w:rPr>
          <w:spacing w:val="-64"/>
        </w:rPr>
      </w:r>
      <w:r>
        <w:rPr>
          <w:spacing w:val="-2"/>
        </w:rPr>
        <w:t>时，可变现净值为估计售价减去至完工时估计将要发生的成本、估计的销售费用以及相关税费后的金额确定。③持有待售的</w:t>
      </w:r>
      <w:r>
        <w:rPr>
          <w:spacing w:val="-62"/>
        </w:rPr>
        <w:t> </w:t>
      </w:r>
      <w:r>
        <w:rPr>
          <w:spacing w:val="-62"/>
        </w:rPr>
      </w:r>
      <w:r>
        <w:rPr/>
        <w:t>材料等，可变现净值为市场售价。</w:t>
      </w:r>
    </w:p>
    <w:p>
      <w:pPr>
        <w:spacing w:line="240" w:lineRule="auto" w:before="13"/>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）存货的盘存制度</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4"/>
        <w:spacing w:line="240" w:lineRule="auto" w:before="122"/>
        <w:ind w:right="0"/>
        <w:jc w:val="left"/>
        <w:rPr>
          <w:rFonts w:ascii="Tahoma" w:hAnsi="Tahoma" w:cs="Tahoma" w:eastAsia="Tahoma" w:hint="default"/>
        </w:rPr>
      </w:pPr>
      <w:r>
        <w:rPr/>
        <w:t>（</w:t>
      </w:r>
      <w:r>
        <w:rPr>
          <w:rFonts w:ascii="Tahoma" w:hAnsi="Tahoma" w:cs="Tahoma" w:eastAsia="Tahoma" w:hint="default"/>
        </w:rPr>
        <w:t>5</w:t>
      </w:r>
      <w:r>
        <w:rPr/>
        <w:t>）低值易耗品和包装物的摊销方法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60" w:lineRule="auto"/>
        <w:ind w:right="8954"/>
        <w:jc w:val="left"/>
      </w:pPr>
      <w:r>
        <w:rPr/>
        <w:t>低值易耗品 摊销方法：一次摊销法 包装物</w:t>
      </w:r>
    </w:p>
    <w:p>
      <w:pPr>
        <w:pStyle w:val="BodyText"/>
        <w:spacing w:line="360" w:lineRule="auto" w:before="25"/>
        <w:ind w:right="8414"/>
        <w:jc w:val="left"/>
      </w:pPr>
      <w:r>
        <w:rPr/>
        <w:t>摊销方法：其他 包装物采用一次转销法摊销。</w:t>
      </w:r>
    </w:p>
    <w:p>
      <w:pPr>
        <w:spacing w:after="0" w:line="36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16</w:t>
      </w:r>
      <w:r>
        <w:rPr/>
        <w:t>、持有待售资产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0" w:firstLine="180"/>
        <w:jc w:val="left"/>
      </w:pPr>
      <w:r>
        <w:rPr>
          <w:spacing w:val="-2"/>
        </w:rPr>
        <w:t>本公司将同时满足下列条件的非流动资产应当划分为持有待售：一是企业已经就处置该非流动资产作出决议；二是企业已</w:t>
      </w:r>
      <w:r>
        <w:rPr/>
        <w:t> 经与受让方签订了不可撤销的转让协议；三是该项转让将在一年内完成。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rFonts w:ascii="Tahoma" w:hAnsi="Tahoma" w:cs="Tahoma" w:eastAsia="Tahoma" w:hint="default"/>
        </w:rPr>
        <w:t>17</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）投资成本的确定</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4" w:lineRule="auto"/>
        <w:ind w:right="1130" w:firstLine="300"/>
        <w:jc w:val="both"/>
      </w:pPr>
      <w:r>
        <w:rPr>
          <w:spacing w:val="-1"/>
        </w:rPr>
        <w:t>①对于企业合并取得的长期股权投资，如为同一控制下的企业合并，应当按照取得被合并方所有者权益账面价值的份额</w:t>
      </w:r>
      <w:r>
        <w:rPr/>
        <w:t> </w:t>
      </w:r>
      <w:r>
        <w:rPr>
          <w:spacing w:val="-2"/>
        </w:rPr>
        <w:t>确认为初始成本；非同一控制下的企业合并，应当按购买日确定的合并成本确认为初始成本；②以支付现金取得的长期股权</w:t>
      </w:r>
      <w:r>
        <w:rPr>
          <w:spacing w:val="-62"/>
        </w:rPr>
        <w:t> </w:t>
      </w:r>
      <w:r>
        <w:rPr>
          <w:spacing w:val="-62"/>
        </w:rPr>
      </w:r>
      <w:r>
        <w:rPr>
          <w:spacing w:val="-2"/>
        </w:rPr>
        <w:t>投资，初始投资成本为实际支付的购买价款；③以发行权益性证券取得的长期股权投资，初始投资成本为发行权益性证券的</w:t>
      </w:r>
      <w:r>
        <w:rPr>
          <w:spacing w:val="-62"/>
        </w:rPr>
        <w:t> </w:t>
      </w:r>
      <w:r>
        <w:rPr>
          <w:spacing w:val="-62"/>
        </w:rPr>
      </w:r>
      <w:r>
        <w:rPr>
          <w:spacing w:val="-2"/>
        </w:rPr>
        <w:t>公允价值；④通过债务重组取得的长期股权投资，其初始投资成本应当按照《企业会计准则第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债务重组》的有关规定</w:t>
      </w:r>
      <w:r>
        <w:rPr>
          <w:spacing w:val="-65"/>
        </w:rPr>
        <w:t> </w:t>
      </w:r>
      <w:r>
        <w:rPr>
          <w:spacing w:val="-65"/>
        </w:rPr>
      </w:r>
      <w:r>
        <w:rPr/>
        <w:t>确定；⑤非货币性资产交换取得的长期股权投资，初始投资成本根据准则相关规定确定。</w:t>
      </w:r>
    </w:p>
    <w:p>
      <w:pPr>
        <w:spacing w:line="240" w:lineRule="auto" w:before="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）后续计量及损益确认</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4" w:lineRule="auto"/>
        <w:ind w:right="1130" w:firstLine="300"/>
        <w:jc w:val="both"/>
      </w:pPr>
      <w:r>
        <w:rPr>
          <w:spacing w:val="-1"/>
        </w:rPr>
        <w:t>投资方能够对被投资单位实施控制的长期股权投资应当采用成本法核算，对联营企业和合营企业的长期股权投资采用权</w:t>
      </w:r>
      <w:r>
        <w:rPr/>
        <w:t> </w:t>
      </w:r>
      <w:r>
        <w:rPr>
          <w:spacing w:val="-2"/>
        </w:rPr>
        <w:t>益法核算。投资方对联营企业的权益性投资，其中一部分通过风险投资机构、共同基金、信托公司或包括投连险基金在内的</w:t>
      </w:r>
      <w:r>
        <w:rPr>
          <w:spacing w:val="-64"/>
        </w:rPr>
        <w:t> </w:t>
      </w:r>
      <w:r>
        <w:rPr>
          <w:spacing w:val="-64"/>
        </w:rPr>
      </w:r>
      <w:r>
        <w:rPr>
          <w:spacing w:val="-2"/>
        </w:rPr>
        <w:t>类似主体间接持有的，无论以上主体是否对这部分投资具有重大影响，投资方都应当按照《企业会计准则第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2"/>
        </w:rPr>
        <w:t> </w:t>
      </w:r>
      <w:r>
        <w:rPr>
          <w:spacing w:val="-62"/>
        </w:rPr>
      </w:r>
      <w:r>
        <w:rPr>
          <w:spacing w:val="-2"/>
        </w:rPr>
        <w:t>具确认和计量》的有关规定，对间接持有的该部分投资选择以公允价值计量且其变动计入损益，并对其余部分采用权益法核</w:t>
      </w:r>
      <w:r>
        <w:rPr>
          <w:spacing w:val="-64"/>
        </w:rPr>
        <w:t> </w:t>
      </w:r>
      <w:r>
        <w:rPr>
          <w:spacing w:val="-64"/>
        </w:rPr>
      </w:r>
      <w:r>
        <w:rPr/>
        <w:t>算。</w:t>
      </w:r>
    </w:p>
    <w:p>
      <w:pPr>
        <w:spacing w:line="240" w:lineRule="auto" w:before="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）确定对被投资单位具有共同控制、重大影响的依据</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4" w:lineRule="auto"/>
        <w:ind w:right="1130" w:firstLine="360"/>
        <w:jc w:val="both"/>
      </w:pPr>
      <w:r>
        <w:rPr>
          <w:spacing w:val="-2"/>
        </w:rPr>
        <w:t>对被投资单位具有共同控制，是指对某项安排的回报产生重大影响的活动必须经过分享控制权的参与方一致同意后才能</w:t>
      </w:r>
      <w:r>
        <w:rPr/>
        <w:t> </w:t>
      </w:r>
      <w:r>
        <w:rPr>
          <w:spacing w:val="-2"/>
        </w:rPr>
        <w:t>决策，包括商品或劳务的销售和购买、金融资产的管理、资产的购买和处置、研究与开发活动以及融资活动等；对被投资单</w:t>
      </w:r>
      <w:r>
        <w:rPr>
          <w:spacing w:val="-69"/>
        </w:rPr>
        <w:t> </w:t>
      </w:r>
      <w:r>
        <w:rPr>
          <w:spacing w:val="-69"/>
        </w:rPr>
      </w:r>
      <w:r>
        <w:rPr/>
        <w:t>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的表决权资本时，具有重大影响。或虽不足</w:t>
      </w:r>
      <w:r>
        <w:rPr>
          <w:rFonts w:ascii="Times New Roman" w:hAnsi="Times New Roman" w:cs="Times New Roman" w:eastAsia="Times New Roman" w:hint="default"/>
        </w:rPr>
        <w:t>20%</w:t>
      </w:r>
      <w:r>
        <w:rPr/>
        <w:t>，但符合下列条件 </w:t>
      </w:r>
      <w:r>
        <w:rPr>
          <w:spacing w:val="-2"/>
        </w:rPr>
        <w:t>之一时，具有重大影响：在被投资单位的董事会或类似的权力机构中派有代表；参与被投资单位的政策制定过程；向被投资</w:t>
      </w:r>
      <w:r>
        <w:rPr>
          <w:spacing w:val="-65"/>
        </w:rPr>
        <w:t> </w:t>
      </w:r>
      <w:r>
        <w:rPr>
          <w:spacing w:val="-65"/>
        </w:rPr>
      </w:r>
      <w:r>
        <w:rPr/>
        <w:t>单位派出管理人员；被投资单位依赖投资公司的技术或技术资料；与被投资单位之间发生重要交易。</w:t>
      </w:r>
    </w:p>
    <w:p>
      <w:pPr>
        <w:spacing w:line="240" w:lineRule="auto" w:before="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）减值测试方法及减值准备计提方法</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1130" w:firstLine="288"/>
        <w:jc w:val="both"/>
      </w:pPr>
      <w:r>
        <w:rPr>
          <w:spacing w:val="-1"/>
        </w:rPr>
        <w:t>资产负债表日，本公司对长期股权投资检查是否存在可能发生减值的迹象，当存在减值迹象时应进行减值测试确认其可</w:t>
      </w:r>
      <w:r>
        <w:rPr/>
        <w:t> </w:t>
      </w:r>
      <w:r>
        <w:rPr>
          <w:spacing w:val="-2"/>
        </w:rPr>
        <w:t>收回金额，按账面价值与可收回金额孰低计提减值准备，减值损失一经计提，在以后会计期间不再转回。可收回金额按照长</w:t>
      </w:r>
      <w:r>
        <w:rPr>
          <w:spacing w:val="-66"/>
        </w:rPr>
        <w:t> </w:t>
      </w:r>
      <w:r>
        <w:rPr>
          <w:spacing w:val="-66"/>
        </w:rPr>
      </w:r>
      <w:r>
        <w:rPr>
          <w:spacing w:val="-2"/>
        </w:rPr>
        <w:t>期股权投资出售的公允价值净额与预计未来现金流量的现值之间孰高确定。长期股权投资出售的公允价值净额，如存在公平</w:t>
      </w:r>
      <w:r>
        <w:rPr>
          <w:spacing w:val="-64"/>
        </w:rPr>
        <w:t> </w:t>
      </w:r>
      <w:r>
        <w:rPr>
          <w:spacing w:val="-64"/>
        </w:rPr>
      </w:r>
      <w:r>
        <w:rPr>
          <w:spacing w:val="-2"/>
        </w:rPr>
        <w:t>交易的协议价格，则按照协议价格减去相关税费；若不存在公平交易销售协议但存在资产活跃市场或同行业类似资产交易价</w:t>
      </w:r>
      <w:r>
        <w:rPr>
          <w:spacing w:val="-64"/>
        </w:rPr>
        <w:t> </w:t>
      </w:r>
      <w:r>
        <w:rPr>
          <w:spacing w:val="-64"/>
        </w:rPr>
      </w:r>
      <w:r>
        <w:rPr/>
        <w:t>格，按照市场价格减去相关税费。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rFonts w:ascii="Tahoma" w:hAnsi="Tahoma" w:cs="Tahoma" w:eastAsia="Tahoma" w:hint="default"/>
        </w:rPr>
      </w:pPr>
      <w:r>
        <w:rPr>
          <w:rFonts w:ascii="Tahoma" w:hAnsi="Tahoma" w:cs="Tahoma" w:eastAsia="Tahoma" w:hint="default"/>
        </w:rPr>
        <w:t>18</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8954"/>
        <w:jc w:val="left"/>
      </w:pPr>
      <w:r>
        <w:rPr/>
        <w:t>投资性房地产计量模式 公允价值计量</w:t>
      </w:r>
    </w:p>
    <w:p>
      <w:pPr>
        <w:spacing w:after="0" w:line="36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选择公允价值计量的依据</w:t>
      </w:r>
    </w:p>
    <w:p>
      <w:pPr>
        <w:pStyle w:val="BodyText"/>
        <w:spacing w:line="240" w:lineRule="auto" w:before="117"/>
        <w:ind w:right="0"/>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BodyText"/>
        <w:spacing w:line="300" w:lineRule="auto" w:before="63"/>
        <w:ind w:right="4724"/>
        <w:jc w:val="left"/>
      </w:pPr>
      <w:r>
        <w:rPr>
          <w:rFonts w:ascii="Times New Roman" w:hAnsi="Times New Roman" w:cs="Times New Roman" w:eastAsia="Times New Roman" w:hint="default"/>
        </w:rPr>
        <w:t>2</w:t>
      </w:r>
      <w:r>
        <w:rPr/>
        <w:t>、投资性房地产按照成本进行初始计量，采用公允价值模式进行后续计量。 采用公允价值模式进行后续计量的投资性房地产，会计政策选择的依据为：</w:t>
      </w:r>
    </w:p>
    <w:p>
      <w:pPr>
        <w:pStyle w:val="BodyText"/>
        <w:spacing w:line="240" w:lineRule="auto" w:before="31"/>
        <w:ind w:left="512" w:right="0"/>
        <w:jc w:val="left"/>
      </w:pPr>
      <w:r>
        <w:rPr/>
        <w:t>（</w:t>
      </w:r>
      <w:r>
        <w:rPr>
          <w:rFonts w:ascii="Times New Roman" w:hAnsi="Times New Roman" w:cs="Times New Roman" w:eastAsia="Times New Roman" w:hint="default"/>
        </w:rPr>
        <w:t>1</w:t>
      </w:r>
      <w:r>
        <w:rPr/>
        <w:t>）投资性房地产所在地有活跃的房地产交易市场。</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）公司能够从房地产交易市场上取得同类或类似房地产的市场价格及其他相关信息，从而对投资性房地产的公允价 值作出合理的估计。</w:t>
      </w:r>
    </w:p>
    <w:p>
      <w:pPr>
        <w:pStyle w:val="BodyText"/>
        <w:spacing w:line="316" w:lineRule="auto" w:before="31"/>
        <w:ind w:right="0" w:firstLine="360"/>
        <w:jc w:val="left"/>
      </w:pPr>
      <w:r>
        <w:rPr>
          <w:spacing w:val="-2"/>
        </w:rPr>
        <w:t>本公司对投资性房地产不计提折旧或进行摊销，在资产负债表日以投资性房地产的公允价值为基础调整其账面价值，公</w:t>
      </w:r>
      <w:r>
        <w:rPr/>
        <w:t> 允价值与原账面价值之间的差额计入当期损益。</w:t>
      </w:r>
    </w:p>
    <w:p>
      <w:pPr>
        <w:pStyle w:val="BodyText"/>
        <w:spacing w:line="316" w:lineRule="auto" w:before="19"/>
        <w:ind w:right="0" w:firstLine="360"/>
        <w:jc w:val="left"/>
      </w:pPr>
      <w:r>
        <w:rPr>
          <w:spacing w:val="-2"/>
        </w:rPr>
        <w:t>公司有确凿证据表明房地产用途发生改变，将投资性房地产转换为自用房地产时，以其转换当日的公允价值作为自用房</w:t>
      </w:r>
      <w:r>
        <w:rPr/>
        <w:t> </w:t>
      </w:r>
      <w:r>
        <w:rPr>
          <w:spacing w:val="-2"/>
        </w:rPr>
        <w:t>地产的账面价值，公允价值与原账面价值的差额计入当期损益。公司将自用房地产或存货转换为采用公允价值模式计量的投</w:t>
      </w:r>
      <w:r>
        <w:rPr>
          <w:spacing w:val="-64"/>
        </w:rPr>
        <w:t> </w:t>
      </w:r>
      <w:r>
        <w:rPr>
          <w:spacing w:val="-64"/>
        </w:rPr>
      </w:r>
      <w:r>
        <w:rPr>
          <w:spacing w:val="-4"/>
        </w:rPr>
        <w:t>资性房地产时，投资性房地产按照转换当日的公允价值计价，转换当日的公允价值小于原账面价值的，其差额计入当期损益；</w:t>
      </w:r>
      <w:r>
        <w:rPr>
          <w:spacing w:val="-44"/>
        </w:rPr>
        <w:t> </w:t>
      </w:r>
      <w:r>
        <w:rPr>
          <w:spacing w:val="-44"/>
        </w:rPr>
      </w:r>
      <w:r>
        <w:rPr/>
        <w:t>转换当日的公允价值大于原账面价值的，其差额计入其他综合收益。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rFonts w:ascii="Tahoma" w:hAnsi="Tahoma" w:cs="Tahoma" w:eastAsia="Tahoma" w:hint="default"/>
        </w:rPr>
        <w:t>19</w:t>
      </w:r>
      <w:r>
        <w:rPr/>
        <w:t>、固定资产</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）确认条件</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16" w:lineRule="auto"/>
        <w:ind w:right="0"/>
        <w:jc w:val="left"/>
      </w:pPr>
      <w:r>
        <w:rPr>
          <w:spacing w:val="-2"/>
        </w:rPr>
        <w:t>固定资产指为生产商品、提供劳务、出租或经营管理而持有的，使用寿命超过一个会计年度的有形资产。同时满足以下条件</w:t>
      </w:r>
      <w:r>
        <w:rPr>
          <w:spacing w:val="-66"/>
        </w:rPr>
        <w:t> </w:t>
      </w:r>
      <w:r>
        <w:rPr>
          <w:spacing w:val="-66"/>
        </w:rPr>
      </w:r>
      <w:r>
        <w:rPr/>
        <w:t>时予以确认：①与该固定资产有关的经济利益很可能流入企业；②该固定资产的成本能够可靠地计量。</w:t>
      </w:r>
    </w:p>
    <w:p>
      <w:pPr>
        <w:spacing w:line="240" w:lineRule="auto" w:before="8"/>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）折旧方法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4.75%/3.17%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9.50%/6.33%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10"/>
        <w:rPr>
          <w:rFonts w:ascii="Tahoma" w:hAnsi="Tahoma" w:cs="Tahoma" w:eastAsia="Tahoma" w:hint="default"/>
          <w:sz w:val="20"/>
          <w:szCs w:val="20"/>
        </w:rPr>
      </w:pPr>
    </w:p>
    <w:p>
      <w:pPr>
        <w:spacing w:before="36"/>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3</w:t>
      </w:r>
      <w:r>
        <w:rPr>
          <w:rFonts w:ascii="宋体" w:hAnsi="宋体" w:cs="宋体" w:eastAsia="宋体" w:hint="default"/>
          <w:sz w:val="21"/>
          <w:szCs w:val="21"/>
        </w:rPr>
        <w:t>）融资租入固定资产的认定依据、计价和折旧方法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16" w:lineRule="auto"/>
        <w:ind w:right="1130"/>
        <w:jc w:val="both"/>
      </w:pPr>
      <w:r>
        <w:rPr>
          <w:spacing w:val="-2"/>
        </w:rPr>
        <w:t>融资租入固定资产的认定依据：实质上转移了与资产所有权有关的全部风险和报酬的租赁。具体认定依据为符合下列一项或</w:t>
      </w:r>
      <w:r>
        <w:rPr>
          <w:spacing w:val="-64"/>
        </w:rPr>
        <w:t> </w:t>
      </w:r>
      <w:r>
        <w:rPr>
          <w:spacing w:val="-64"/>
        </w:rPr>
      </w:r>
      <w:r>
        <w:rPr>
          <w:spacing w:val="-2"/>
        </w:rPr>
        <w:t>数项条件的：①在租赁期届满时，租赁资产的所有权转移给承租人；②承租人有购买租赁资产的选择权，所订立的购买价款</w:t>
      </w:r>
      <w:r>
        <w:rPr>
          <w:spacing w:val="-66"/>
        </w:rPr>
        <w:t> </w:t>
      </w:r>
      <w:r>
        <w:rPr>
          <w:spacing w:val="-66"/>
        </w:rPr>
      </w:r>
      <w:r>
        <w:rPr>
          <w:spacing w:val="-2"/>
        </w:rPr>
        <w:t>预计将远低于行使选择权时租赁资产的公允价值，因而在租赁开始日就可以合理确定承租人会行使这种选择权；③即使资产</w:t>
      </w:r>
      <w:r>
        <w:rPr>
          <w:spacing w:val="-64"/>
        </w:rPr>
        <w:t> </w:t>
      </w:r>
      <w:r>
        <w:rPr>
          <w:spacing w:val="-64"/>
        </w:rPr>
      </w:r>
      <w:r>
        <w:rPr>
          <w:spacing w:val="-2"/>
        </w:rPr>
        <w:t>的所有权不转移，但租赁期占租赁资产使用寿命的大部分；④承租人在租赁开始日的最低租赁付款额现值，几乎相当于租赁</w:t>
      </w:r>
      <w:r>
        <w:rPr>
          <w:spacing w:val="-62"/>
        </w:rPr>
        <w:t> </w:t>
      </w:r>
      <w:r>
        <w:rPr>
          <w:spacing w:val="-62"/>
        </w:rPr>
      </w:r>
      <w:r>
        <w:rPr>
          <w:spacing w:val="-2"/>
        </w:rPr>
        <w:t>开始日租赁资产公允价值；⑤租赁资产性质特殊，如不作较大改造只有承租人才能使用。融资租入固定资产的计价方法：融</w:t>
      </w:r>
      <w:r>
        <w:rPr>
          <w:spacing w:val="-64"/>
        </w:rPr>
        <w:t> </w:t>
      </w:r>
      <w:r>
        <w:rPr>
          <w:spacing w:val="-64"/>
        </w:rPr>
      </w:r>
      <w:r>
        <w:rPr>
          <w:spacing w:val="-2"/>
        </w:rPr>
        <w:t>资租入固定资产初始计价为租赁期开始日租赁资产公允价值与最低租赁付款额现值较低者作为入账价值；融资租入固定资产</w:t>
      </w:r>
      <w:r>
        <w:rPr>
          <w:spacing w:val="-63"/>
        </w:rPr>
        <w:t> </w:t>
      </w:r>
      <w:r>
        <w:rPr>
          <w:spacing w:val="-63"/>
        </w:rPr>
      </w:r>
      <w:r>
        <w:rPr/>
        <w:t>后续计价采用与自有固定资产相一致的折旧政策计提折旧及减值准备。</w:t>
      </w:r>
    </w:p>
    <w:p>
      <w:pPr>
        <w:spacing w:after="0" w:line="316" w:lineRule="auto"/>
        <w:jc w:val="both"/>
        <w:sectPr>
          <w:footerReference w:type="default" r:id="rId44"/>
          <w:pgSz w:w="11910" w:h="16840"/>
          <w:pgMar w:footer="982" w:header="885" w:top="1100" w:bottom="1180" w:left="980" w:right="0"/>
          <w:pgNumType w:start="40"/>
        </w:sectPr>
      </w:pPr>
    </w:p>
    <w:p>
      <w:pPr>
        <w:spacing w:line="240" w:lineRule="auto" w:before="11"/>
        <w:rPr>
          <w:rFonts w:ascii="宋体" w:hAnsi="宋体" w:cs="宋体" w:eastAsia="宋体" w:hint="default"/>
          <w:sz w:val="20"/>
          <w:szCs w:val="20"/>
        </w:rPr>
      </w:pPr>
    </w:p>
    <w:p>
      <w:pPr>
        <w:pStyle w:val="Heading4"/>
        <w:spacing w:line="240" w:lineRule="auto" w:before="36"/>
        <w:ind w:right="0"/>
        <w:jc w:val="both"/>
        <w:rPr>
          <w:rFonts w:ascii="Tahoma" w:hAnsi="Tahoma" w:cs="Tahoma" w:eastAsia="Tahoma" w:hint="default"/>
        </w:rPr>
      </w:pPr>
      <w:r>
        <w:rPr>
          <w:rFonts w:ascii="Tahoma" w:hAnsi="Tahoma" w:cs="Tahoma" w:eastAsia="Tahoma" w:hint="default"/>
        </w:rPr>
        <w:t>20</w:t>
      </w:r>
      <w:r>
        <w:rPr/>
        <w:t>、在建工程</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）在建工程的类别</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left="512" w:right="0"/>
        <w:jc w:val="left"/>
      </w:pPr>
      <w:r>
        <w:rPr/>
        <w:t>本公司在建工程分为自营方式建造和出包方式建造两种。</w:t>
      </w:r>
    </w:p>
    <w:p>
      <w:pPr>
        <w:spacing w:line="240" w:lineRule="auto" w:before="0"/>
        <w:rPr>
          <w:rFonts w:ascii="宋体" w:hAnsi="宋体" w:cs="宋体" w:eastAsia="宋体" w:hint="default"/>
          <w:sz w:val="18"/>
          <w:szCs w:val="18"/>
        </w:rPr>
      </w:pPr>
    </w:p>
    <w:p>
      <w:pPr>
        <w:pStyle w:val="Heading4"/>
        <w:spacing w:line="240" w:lineRule="auto" w:before="120"/>
        <w:ind w:right="0"/>
        <w:jc w:val="both"/>
        <w:rPr>
          <w:rFonts w:ascii="Tahoma" w:hAnsi="Tahoma" w:cs="Tahoma" w:eastAsia="Tahoma" w:hint="default"/>
        </w:rPr>
      </w:pPr>
      <w:r>
        <w:rPr/>
        <w:t>（</w:t>
      </w:r>
      <w:r>
        <w:rPr>
          <w:rFonts w:ascii="Tahoma" w:hAnsi="Tahoma" w:cs="Tahoma" w:eastAsia="Tahoma" w:hint="default"/>
        </w:rPr>
        <w:t>2</w:t>
      </w:r>
      <w:r>
        <w:rPr/>
        <w:t>）在建工程结转为固定资产的标准和时点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512" w:right="0"/>
        <w:jc w:val="left"/>
      </w:pPr>
      <w:r>
        <w:rPr>
          <w:spacing w:val="-4"/>
        </w:rPr>
        <w:t>本公司在建工程在工程完工达到预定可使用状态时，结转固定资产。预定可使用状态的判断标准，应符合下列情况之一：</w:t>
      </w:r>
    </w:p>
    <w:p>
      <w:pPr>
        <w:pStyle w:val="BodyText"/>
        <w:spacing w:line="300" w:lineRule="auto" w:before="76"/>
        <w:ind w:right="1133"/>
        <w:jc w:val="both"/>
      </w:pPr>
      <w:r>
        <w:rPr/>
        <w:t>①</w:t>
      </w:r>
      <w:r>
        <w:rPr>
          <w:rFonts w:ascii="Times New Roman" w:hAnsi="Times New Roman" w:cs="Times New Roman" w:eastAsia="Times New Roman" w:hint="default"/>
        </w:rPr>
        <w:t>. </w:t>
      </w:r>
      <w:r>
        <w:rPr/>
        <w:t>固定资产的实体建造（包括安装）工作已经全部完成或实质上已经全部完成；②</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已经试生产或试运行，并且其结果表 明资产能够正常运行或能够稳定地生产出合格产品，或者试运行结果表明其能够正常运转或营业；③</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该项建造的固定资产 上的支出金额很少或者几乎不再发生；④</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所购建的固定资产已经达到设计或合同要求，或与设计或合同要求基本相符。</w:t>
      </w:r>
    </w:p>
    <w:p>
      <w:pPr>
        <w:spacing w:line="240" w:lineRule="auto" w:before="4"/>
        <w:rPr>
          <w:rFonts w:ascii="宋体" w:hAnsi="宋体" w:cs="宋体" w:eastAsia="宋体" w:hint="default"/>
          <w:sz w:val="22"/>
          <w:szCs w:val="22"/>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3</w:t>
      </w:r>
      <w:r>
        <w:rPr/>
        <w:t>）在建工程的减值测试方法、减值准备计提方法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0" w:firstLine="420"/>
        <w:jc w:val="left"/>
      </w:pPr>
      <w:r>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368" w:right="0"/>
        <w:jc w:val="left"/>
      </w:pPr>
      <w:r>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0"/>
        <w:jc w:val="both"/>
        <w:rPr>
          <w:rFonts w:ascii="Tahoma" w:hAnsi="Tahoma" w:cs="Tahoma" w:eastAsia="Tahoma" w:hint="default"/>
        </w:rPr>
      </w:pPr>
      <w:r>
        <w:rPr>
          <w:rFonts w:ascii="Tahoma" w:hAnsi="Tahoma" w:cs="Tahoma" w:eastAsia="Tahoma" w:hint="default"/>
        </w:rPr>
        <w:t>21</w:t>
      </w:r>
      <w:r>
        <w:rPr/>
        <w:t>、借款费用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）借款费用资本化的确认原则</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30" w:firstLine="288"/>
        <w:jc w:val="both"/>
      </w:pPr>
      <w:r>
        <w:rPr>
          <w:spacing w:val="-1"/>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r>
        <w:rPr>
          <w:spacing w:val="-66"/>
        </w:rPr>
        <w:t> </w:t>
      </w:r>
      <w:r>
        <w:rPr>
          <w:spacing w:val="-66"/>
        </w:rPr>
      </w:r>
      <w:r>
        <w:rPr/>
        <w:t>或者生产活动才能达到预定可使用或者可销售状态的固定资产、投资性房地产和存货等资产。</w:t>
      </w:r>
    </w:p>
    <w:p>
      <w:pPr>
        <w:spacing w:line="240" w:lineRule="auto" w:before="10"/>
        <w:rPr>
          <w:rFonts w:ascii="宋体" w:hAnsi="宋体" w:cs="宋体" w:eastAsia="宋体" w:hint="default"/>
          <w:sz w:val="22"/>
          <w:szCs w:val="22"/>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2</w:t>
      </w:r>
      <w:r>
        <w:rPr/>
        <w:t>）借款费用资本化期间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452" w:right="0"/>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pStyle w:val="Heading4"/>
        <w:spacing w:line="240" w:lineRule="auto" w:before="120"/>
        <w:ind w:right="0"/>
        <w:jc w:val="both"/>
        <w:rPr>
          <w:rFonts w:ascii="Tahoma" w:hAnsi="Tahoma" w:cs="Tahoma" w:eastAsia="Tahoma" w:hint="default"/>
        </w:rPr>
      </w:pPr>
      <w:r>
        <w:rPr/>
        <w:t>（</w:t>
      </w:r>
      <w:r>
        <w:rPr>
          <w:rFonts w:ascii="Tahoma" w:hAnsi="Tahoma" w:cs="Tahoma" w:eastAsia="Tahoma" w:hint="default"/>
        </w:rPr>
        <w:t>3</w:t>
      </w:r>
      <w:r>
        <w:rPr/>
        <w:t>）暂停资本化期间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126" w:firstLine="300"/>
        <w:jc w:val="left"/>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个月的，应当暂停借款费用的资本化期 间。</w:t>
      </w:r>
    </w:p>
    <w:p>
      <w:pPr>
        <w:spacing w:line="240" w:lineRule="auto" w:before="10"/>
        <w:rPr>
          <w:rFonts w:ascii="宋体" w:hAnsi="宋体" w:cs="宋体" w:eastAsia="宋体" w:hint="default"/>
          <w:sz w:val="23"/>
          <w:szCs w:val="23"/>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4</w:t>
      </w:r>
      <w:r>
        <w:rPr/>
        <w:t>）借款费用资本化金额的计算方法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34" w:firstLine="300"/>
        <w:jc w:val="left"/>
      </w:pPr>
      <w:r>
        <w:rPr/>
        <w:t>资本化金额计算：①借入专门借款，按照专门借款当期实际发生的利息费用，减去将尚未动用的借款资金存入银行取得 </w:t>
      </w:r>
      <w:r>
        <w:rPr>
          <w:spacing w:val="-2"/>
        </w:rPr>
        <w:t>的利息收入或进行暂时性投资取得的投资收益后的金额确定；②占用一般借款按照累计资产支出超过专门借款部分的资产支</w:t>
      </w:r>
      <w:r>
        <w:rPr>
          <w:spacing w:val="-63"/>
        </w:rPr>
        <w:t> </w:t>
      </w:r>
      <w:r>
        <w:rPr>
          <w:spacing w:val="-63"/>
        </w:rPr>
      </w:r>
      <w:r>
        <w:rPr/>
        <w:t>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BodyText"/>
        <w:spacing w:line="240" w:lineRule="auto" w:before="139"/>
        <w:ind w:left="440" w:right="0"/>
        <w:jc w:val="left"/>
      </w:pPr>
      <w:r>
        <w:rPr/>
        <w:t>实际利率法是根据借款实际利率计算其摊余折价或溢价或利息费用的方法。其中实际利率是借款在预期存续期间的未来</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现金流量，折现为该借款当前账面价值所使用的利率。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0"/>
        <w:jc w:val="left"/>
        <w:rPr>
          <w:rFonts w:ascii="Tahoma" w:hAnsi="Tahoma" w:cs="Tahoma" w:eastAsia="Tahoma" w:hint="default"/>
        </w:rPr>
      </w:pPr>
      <w:r>
        <w:rPr>
          <w:rFonts w:ascii="Tahoma" w:hAnsi="Tahoma" w:cs="Tahoma" w:eastAsia="Tahoma" w:hint="default"/>
        </w:rPr>
        <w:t>22</w:t>
      </w:r>
      <w:r>
        <w:rPr/>
        <w:t>、生物资产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7" w:lineRule="auto"/>
        <w:ind w:right="1034"/>
        <w:jc w:val="left"/>
      </w:pPr>
      <w:r>
        <w:rPr>
          <w:rFonts w:ascii="Times New Roman" w:hAnsi="Times New Roman" w:cs="Times New Roman" w:eastAsia="Times New Roman" w:hint="default"/>
        </w:rPr>
        <w:t>1</w:t>
      </w:r>
      <w:r>
        <w:rPr/>
        <w:t>、生物资产是指有生命的动物和植物，包括消耗性生物资产、生产性生物资产和公益性生物资产。公司的生物资产主要是</w:t>
      </w:r>
      <w:r>
        <w:rPr>
          <w:spacing w:val="-85"/>
        </w:rPr>
        <w:t> </w:t>
      </w:r>
      <w:r>
        <w:rPr>
          <w:spacing w:val="-85"/>
        </w:rPr>
      </w:r>
      <w:r>
        <w:rPr>
          <w:spacing w:val="-2"/>
        </w:rPr>
        <w:t>消耗性生物资产和生产性生物资产，其中消耗性生物资产是指为出售而持有的或在将来收货为农产品的生物资产；生产性生</w:t>
      </w:r>
      <w:r>
        <w:rPr>
          <w:spacing w:val="-64"/>
        </w:rPr>
        <w:t> </w:t>
      </w:r>
      <w:r>
        <w:rPr>
          <w:spacing w:val="-64"/>
        </w:rPr>
      </w:r>
      <w:r>
        <w:rPr/>
        <w:t>物资产是指为产出农产品、提供劳务或出租等目的而持有的生物资产。生物资产同时满足下列条件时予以确认：（</w:t>
      </w:r>
      <w:r>
        <w:rPr>
          <w:rFonts w:ascii="Times New Roman" w:hAnsi="Times New Roman" w:cs="Times New Roman" w:eastAsia="Times New Roman" w:hint="default"/>
        </w:rPr>
        <w:t>1</w:t>
      </w:r>
      <w:r>
        <w:rPr/>
        <w:t>）因过</w:t>
      </w:r>
      <w:r>
        <w:rPr>
          <w:spacing w:val="-85"/>
        </w:rPr>
        <w:t> </w:t>
      </w:r>
      <w:r>
        <w:rPr/>
        <w:t>去的交易或者事项对其拥有或者控制；（</w:t>
      </w:r>
      <w:r>
        <w:rPr>
          <w:rFonts w:ascii="Times New Roman" w:hAnsi="Times New Roman" w:cs="Times New Roman" w:eastAsia="Times New Roman" w:hint="default"/>
        </w:rPr>
        <w:t>2</w:t>
      </w:r>
      <w:r>
        <w:rPr/>
        <w:t>）与其有关的经济利益很可能流入公司；（</w:t>
      </w:r>
      <w:r>
        <w:rPr>
          <w:rFonts w:ascii="Times New Roman" w:hAnsi="Times New Roman" w:cs="Times New Roman" w:eastAsia="Times New Roman" w:hint="default"/>
        </w:rPr>
        <w:t>3</w:t>
      </w:r>
      <w:r>
        <w:rPr/>
        <w:t>）其成本能够可靠计量时予以确认。 </w:t>
      </w:r>
      <w:r>
        <w:rPr>
          <w:rFonts w:ascii="Times New Roman" w:hAnsi="Times New Roman" w:cs="Times New Roman" w:eastAsia="Times New Roman" w:hint="default"/>
        </w:rPr>
        <w:t>2</w:t>
      </w:r>
      <w:r>
        <w:rPr/>
        <w:t>、生物资产的计量 </w:t>
      </w:r>
      <w:r>
        <w:rPr>
          <w:spacing w:val="-2"/>
        </w:rPr>
        <w:t>公司对生物资产按照成本进行初始计量。外购的生物资产成本包括购买价款、相关税费、运输费、保险费以及可直接归属于</w:t>
      </w:r>
      <w:r>
        <w:rPr>
          <w:spacing w:val="-64"/>
        </w:rPr>
        <w:t> </w:t>
      </w:r>
      <w:r>
        <w:rPr>
          <w:spacing w:val="-64"/>
        </w:rPr>
      </w:r>
      <w:r>
        <w:rPr/>
        <w:t>购买该资产的其他支出。</w:t>
      </w:r>
    </w:p>
    <w:p>
      <w:pPr>
        <w:pStyle w:val="BodyText"/>
        <w:spacing w:line="240" w:lineRule="auto" w:before="26"/>
        <w:ind w:right="0"/>
        <w:jc w:val="left"/>
      </w:pPr>
      <w:r>
        <w:rPr>
          <w:rFonts w:ascii="Times New Roman" w:hAnsi="Times New Roman" w:cs="Times New Roman" w:eastAsia="Times New Roman" w:hint="default"/>
        </w:rPr>
        <w:t>3</w:t>
      </w:r>
      <w:r>
        <w:rPr/>
        <w:t>、各类生产性生物资产的折旧方法</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448"/>
        <w:gridCol w:w="1519"/>
        <w:gridCol w:w="1517"/>
        <w:gridCol w:w="1519"/>
        <w:gridCol w:w="1519"/>
      </w:tblGrid>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番石榴、果桑、百香果等</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20%-50%</w:t>
            </w:r>
          </w:p>
        </w:tc>
      </w:tr>
    </w:tbl>
    <w:p>
      <w:pPr>
        <w:pStyle w:val="BodyText"/>
        <w:spacing w:line="240" w:lineRule="auto" w:before="8"/>
        <w:ind w:right="0"/>
        <w:jc w:val="both"/>
      </w:pPr>
      <w:r>
        <w:rPr>
          <w:rFonts w:ascii="Times New Roman" w:hAnsi="Times New Roman" w:cs="Times New Roman" w:eastAsia="Times New Roman" w:hint="default"/>
        </w:rPr>
        <w:t>4</w:t>
      </w:r>
      <w:r>
        <w:rPr/>
        <w:t>、生物资产减值依据</w:t>
      </w:r>
    </w:p>
    <w:p>
      <w:pPr>
        <w:pStyle w:val="BodyText"/>
        <w:spacing w:line="312" w:lineRule="auto" w:before="63"/>
        <w:ind w:right="1034"/>
        <w:jc w:val="left"/>
      </w:pPr>
      <w:r>
        <w:rPr>
          <w:spacing w:val="-7"/>
        </w:rPr>
        <w:t>（</w:t>
      </w:r>
      <w:r>
        <w:rPr>
          <w:rFonts w:ascii="Times New Roman" w:hAnsi="Times New Roman" w:cs="Times New Roman" w:eastAsia="Times New Roman" w:hint="default"/>
          <w:spacing w:val="-7"/>
        </w:rPr>
        <w:t>1</w:t>
      </w:r>
      <w:r>
        <w:rPr>
          <w:spacing w:val="-7"/>
        </w:rPr>
        <w:t>）资产负债表日，公司对消耗性生物资产的可变现净值（备注：可变现净值的确定应当遵循《企业会计准则第</w:t>
      </w:r>
      <w:r>
        <w:rPr>
          <w:rFonts w:ascii="Times New Roman" w:hAnsi="Times New Roman" w:cs="Times New Roman" w:eastAsia="Times New Roman" w:hint="default"/>
          <w:spacing w:val="-7"/>
        </w:rPr>
        <w:t>1</w:t>
      </w:r>
      <w:r>
        <w:rPr>
          <w:spacing w:val="-7"/>
        </w:rPr>
        <w:t>号</w:t>
      </w:r>
      <w:r>
        <w:rPr>
          <w:rFonts w:ascii="Times New Roman" w:hAnsi="Times New Roman" w:cs="Times New Roman" w:eastAsia="Times New Roman" w:hint="default"/>
          <w:spacing w:val="-7"/>
        </w:rPr>
        <w:t>—</w:t>
      </w:r>
      <w:r>
        <w:rPr>
          <w:spacing w:val="-7"/>
        </w:rPr>
        <w:t>存货》）</w:t>
      </w:r>
      <w:r>
        <w:rPr>
          <w:spacing w:val="-42"/>
        </w:rPr>
        <w:t> </w:t>
      </w:r>
      <w:r>
        <w:rPr>
          <w:spacing w:val="-42"/>
        </w:rPr>
      </w:r>
      <w:r>
        <w:rPr>
          <w:spacing w:val="-4"/>
        </w:rPr>
        <w:t>低于其成本或账面价值的，按照可变现净值低于其成本或账面价值的差额，计提消耗性生物资产跌价准备，并计入当期损益。</w:t>
      </w:r>
      <w:r>
        <w:rPr>
          <w:spacing w:val="-44"/>
        </w:rPr>
        <w:t> </w:t>
      </w:r>
      <w:r>
        <w:rPr>
          <w:spacing w:val="-44"/>
        </w:rPr>
      </w:r>
      <w:r>
        <w:rPr>
          <w:spacing w:val="-2"/>
        </w:rPr>
        <w:t>消耗性生物资产减值的影响因素已经消失的，减记金额应当予以恢复，并在原已计提的跌价准备金额内转回，转回的金额计</w:t>
      </w:r>
      <w:r>
        <w:rPr>
          <w:spacing w:val="-62"/>
        </w:rPr>
        <w:t> </w:t>
      </w:r>
      <w:r>
        <w:rPr>
          <w:spacing w:val="-62"/>
        </w:rPr>
      </w:r>
      <w:r>
        <w:rPr/>
        <w:t>入当期损益。</w:t>
      </w:r>
    </w:p>
    <w:p>
      <w:pPr>
        <w:pStyle w:val="BodyText"/>
        <w:spacing w:line="300" w:lineRule="auto" w:before="22"/>
        <w:ind w:right="1132"/>
        <w:jc w:val="both"/>
      </w:pPr>
      <w:r>
        <w:rPr/>
        <w:t>（</w:t>
      </w:r>
      <w:r>
        <w:rPr>
          <w:rFonts w:ascii="Times New Roman" w:hAnsi="Times New Roman" w:cs="Times New Roman" w:eastAsia="Times New Roman" w:hint="default"/>
        </w:rPr>
        <w:t>2</w:t>
      </w:r>
      <w:r>
        <w:rPr/>
        <w:t>）资产负债表日，公司对生产性生物资产的可收回金额（备注：生产性生物资产的可收回金额的确定应当遵循《企业会</w:t>
      </w:r>
      <w:r>
        <w:rPr>
          <w:spacing w:val="-85"/>
        </w:rPr>
        <w:t> </w:t>
      </w:r>
      <w:r>
        <w:rPr>
          <w:spacing w:val="-85"/>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资产减值》）低于其成本或账面价值时，应当按照可收回金额低于其成本或账面价值的差额，计提生产性生</w:t>
      </w:r>
      <w:r>
        <w:rPr>
          <w:spacing w:val="-85"/>
        </w:rPr>
        <w:t> </w:t>
      </w:r>
      <w:r>
        <w:rPr>
          <w:spacing w:val="-85"/>
        </w:rPr>
      </w:r>
      <w:r>
        <w:rPr/>
        <w:t>物资产减值准备，并计入当期损益。生产性生物资产减值准备一经计提，不得转回。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both"/>
        <w:rPr>
          <w:rFonts w:ascii="Tahoma" w:hAnsi="Tahoma" w:cs="Tahoma" w:eastAsia="Tahoma" w:hint="default"/>
        </w:rPr>
      </w:pPr>
      <w:r>
        <w:rPr>
          <w:rFonts w:ascii="Tahoma" w:hAnsi="Tahoma" w:cs="Tahoma" w:eastAsia="Tahoma" w:hint="default"/>
        </w:rPr>
        <w:t>23</w:t>
      </w:r>
      <w:r>
        <w:rPr/>
        <w:t>、无形资产</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）计价方法、使用寿命、减值测试</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580" w:lineRule="atLeast" w:before="28"/>
        <w:ind w:left="572" w:right="0" w:hanging="420"/>
        <w:jc w:val="left"/>
      </w:pPr>
      <w:r>
        <w:rPr/>
        <w:t>（</w:t>
      </w:r>
      <w:r>
        <w:rPr>
          <w:rFonts w:ascii="Tahoma" w:hAnsi="Tahoma" w:cs="Tahoma" w:eastAsia="Tahoma" w:hint="default"/>
        </w:rPr>
        <w:t>1</w:t>
      </w:r>
      <w:r>
        <w:rPr/>
        <w:t>）</w:t>
      </w:r>
      <w:r>
        <w:rPr>
          <w:sz w:val="21"/>
          <w:szCs w:val="21"/>
        </w:rPr>
        <w:t>无形资产的计价方法</w:t>
      </w:r>
      <w:r>
        <w:rPr>
          <w:rFonts w:ascii="Tahoma" w:hAnsi="Tahoma" w:cs="Tahoma" w:eastAsia="Tahoma" w:hint="default"/>
          <w:w w:val="80"/>
          <w:sz w:val="21"/>
          <w:szCs w:val="21"/>
        </w:rPr>
        <w:t> </w:t>
      </w:r>
      <w:r>
        <w:rPr/>
        <w:t>本公司无形资产按照成本进行初始计量。购入的无形资产，按实际支付的价款和相关支出作为实际成本。投资者投入</w:t>
      </w:r>
    </w:p>
    <w:p>
      <w:pPr>
        <w:pStyle w:val="BodyText"/>
        <w:spacing w:line="316" w:lineRule="auto" w:before="76"/>
        <w:ind w:right="1130"/>
        <w:jc w:val="both"/>
      </w:pPr>
      <w:r>
        <w:rPr>
          <w:spacing w:val="-2"/>
        </w:rPr>
        <w:t>的无形资产，按投资合同或协议约定的价值确定实际成本，但合同或协议约定价值不公允的，按公允价值确定实际成本。自</w:t>
      </w:r>
      <w:r>
        <w:rPr>
          <w:spacing w:val="-64"/>
        </w:rPr>
        <w:t> </w:t>
      </w:r>
      <w:r>
        <w:rPr>
          <w:spacing w:val="-64"/>
        </w:rPr>
      </w:r>
      <w:r>
        <w:rPr/>
        <w:t>行开发的无形资产，其成本为达到预定用途前所发生的支出总额。</w:t>
      </w:r>
    </w:p>
    <w:p>
      <w:pPr>
        <w:pStyle w:val="BodyText"/>
        <w:spacing w:line="316" w:lineRule="auto" w:before="139"/>
        <w:ind w:right="0" w:firstLine="288"/>
        <w:jc w:val="left"/>
      </w:pPr>
      <w:r>
        <w:rPr/>
        <w:t>本公司无形资产后续计量，分别为：①使用寿命有限无形资产采用直线法摊销，并在年度终了，对无形资产的使用寿命 </w:t>
      </w:r>
      <w:r>
        <w:rPr>
          <w:spacing w:val="-4"/>
        </w:rPr>
        <w:t>和摊销方法进行复核，如与原先估计数存在差异的，进行相应的调整。②使用寿命不确定的无形资产不摊销，但在年度终了，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spacing w:line="240" w:lineRule="auto" w:before="10"/>
        <w:rPr>
          <w:rFonts w:ascii="宋体" w:hAnsi="宋体" w:cs="宋体" w:eastAsia="宋体" w:hint="default"/>
          <w:sz w:val="22"/>
          <w:szCs w:val="22"/>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2</w:t>
      </w:r>
      <w:r>
        <w:rPr/>
        <w:t>）使用寿命有限的无形资产的使用寿命估计情况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本公司对使用寿命有限的无形资产，估计其使用寿命时通常考虑以下因素：①运用该资产生产的产品通常的寿命周期、可获</w:t>
      </w:r>
      <w:r>
        <w:rPr>
          <w:spacing w:val="-62"/>
        </w:rPr>
        <w:t> </w:t>
      </w:r>
      <w:r>
        <w:rPr>
          <w:spacing w:val="-62"/>
        </w:rPr>
      </w:r>
      <w:r>
        <w:rPr>
          <w:spacing w:val="-2"/>
        </w:rPr>
        <w:t>得的类似资产使用寿命的信息；②技术、工艺等方面的现阶段情况及对未来发展趋势的估计；③以该资产生产的产品或提供</w:t>
      </w:r>
      <w:r>
        <w:rPr>
          <w:spacing w:val="-65"/>
        </w:rPr>
        <w:t> </w:t>
      </w:r>
      <w:r>
        <w:rPr>
          <w:spacing w:val="-65"/>
        </w:rPr>
      </w:r>
      <w:r>
        <w:rPr>
          <w:spacing w:val="-2"/>
        </w:rPr>
        <w:t>劳务的市场需求情况；④现在或潜在的竞争者预期采取的行动；⑤为维持该资产带来经济利益能力的预期维护支出，以及公</w:t>
      </w:r>
      <w:r>
        <w:rPr>
          <w:spacing w:val="-62"/>
        </w:rPr>
        <w:t> </w:t>
      </w:r>
      <w:r>
        <w:rPr>
          <w:spacing w:val="-62"/>
        </w:rPr>
      </w:r>
      <w:r>
        <w:rPr>
          <w:spacing w:val="-2"/>
        </w:rPr>
        <w:t>司预计支付有关支出的能力；⑥对该资产控制期限的相关法律规定或类似限制，如特许使用期、租赁期等；⑦与公司持有其</w:t>
      </w:r>
    </w:p>
    <w:p>
      <w:pPr>
        <w:spacing w:after="0" w:line="316" w:lineRule="auto"/>
        <w:jc w:val="both"/>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他资产使用寿命的关联性等。</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80"/>
        <w:gridCol w:w="2215"/>
        <w:gridCol w:w="5074"/>
      </w:tblGrid>
      <w:tr>
        <w:trPr>
          <w:trHeight w:val="427" w:hRule="exact"/>
        </w:trPr>
        <w:tc>
          <w:tcPr>
            <w:tcW w:w="2280"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10"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280"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4" w:type="dxa"/>
            <w:tcBorders>
              <w:top w:val="single" w:sz="10" w:space="0" w:color="000000"/>
              <w:left w:val="single" w:sz="6" w:space="0" w:color="000000"/>
              <w:bottom w:val="single" w:sz="10"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土地使用权证规定的年限</w:t>
            </w:r>
          </w:p>
        </w:tc>
      </w:tr>
      <w:tr>
        <w:trPr>
          <w:trHeight w:val="422" w:hRule="exact"/>
        </w:trPr>
        <w:tc>
          <w:tcPr>
            <w:tcW w:w="22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为公司带来经济利益的期限确定使用寿命</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）使用寿命不确定的无形资产的判断依据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572" w:right="0"/>
        <w:jc w:val="left"/>
      </w:pPr>
      <w:r>
        <w:rPr/>
        <w:t>本公司将无法预见该资产为公司带来经济利益的期限，或使用期限不确定等无形资产确定为使用寿命不确定的无形资</w:t>
      </w:r>
    </w:p>
    <w:p>
      <w:pPr>
        <w:pStyle w:val="BodyText"/>
        <w:spacing w:line="240" w:lineRule="auto" w:before="76"/>
        <w:ind w:right="0"/>
        <w:jc w:val="left"/>
      </w:pPr>
      <w:r>
        <w:rPr/>
        <w:t>产。</w:t>
      </w:r>
    </w:p>
    <w:p>
      <w:pPr>
        <w:spacing w:line="240" w:lineRule="auto" w:before="2"/>
        <w:rPr>
          <w:rFonts w:ascii="宋体" w:hAnsi="宋体" w:cs="宋体" w:eastAsia="宋体" w:hint="default"/>
          <w:sz w:val="12"/>
          <w:szCs w:val="12"/>
        </w:rPr>
      </w:pPr>
    </w:p>
    <w:p>
      <w:pPr>
        <w:pStyle w:val="BodyText"/>
        <w:spacing w:line="316" w:lineRule="auto" w:before="37"/>
        <w:ind w:right="0" w:firstLine="420"/>
        <w:jc w:val="left"/>
      </w:pPr>
      <w:r>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BodyText"/>
        <w:spacing w:line="316" w:lineRule="auto" w:before="139"/>
        <w:ind w:right="0" w:firstLine="288"/>
        <w:jc w:val="left"/>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13"/>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）无形资产减值准备的计提</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0" w:firstLine="420"/>
        <w:jc w:val="left"/>
      </w:pPr>
      <w:r>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440" w:right="0"/>
        <w:jc w:val="left"/>
      </w:pPr>
      <w:r>
        <w:rPr/>
        <w:t>无形资产可收回金额根据资产公允价值减去处置费用后的净额与资产预计未来现金流量的现值两者孰高确定。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）内部研究开发支出会计政策</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）划分公司内部研究开发项目的研究阶段和开发阶段具体标准</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30" w:firstLine="288"/>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2"/>
        </w:rPr>
        <w:t> </w:t>
      </w:r>
      <w:r>
        <w:rPr>
          <w:spacing w:val="-62"/>
        </w:rPr>
      </w:r>
      <w:r>
        <w:rPr>
          <w:spacing w:val="-2"/>
        </w:rPr>
        <w:t>计，以生产出新的或具有实质性改进的材料、装置、产品等阶段，应确定为开发阶段，该阶段具有针对性和形成成果的可能</w:t>
      </w:r>
      <w:r>
        <w:rPr>
          <w:spacing w:val="-69"/>
        </w:rPr>
        <w:t> </w:t>
      </w:r>
      <w:r>
        <w:rPr>
          <w:spacing w:val="-69"/>
        </w:rPr>
      </w:r>
      <w:r>
        <w:rPr/>
        <w:t>性较大等特点。</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）内部研究开发项目支出的核算</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032" w:firstLine="288"/>
        <w:jc w:val="left"/>
      </w:pPr>
      <w:r>
        <w:rPr>
          <w:spacing w:val="-2"/>
        </w:rPr>
        <w:t>内部研究开发项目研究阶段的支出，于发生时计入当期损益；开发阶段的支出，同时满足下列条件的，确认为无形资产：</w:t>
      </w:r>
      <w:r>
        <w:rPr/>
        <w:t>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无形资 </w:t>
      </w:r>
      <w:r>
        <w:rPr>
          <w:spacing w:val="-2"/>
        </w:rPr>
        <w:t>产产生经济利益的方式，包括能够证明运用该无形资产生产的产品存在市场或无形资产自身存在市场，无形资产将在内部使</w:t>
      </w:r>
      <w:r>
        <w:rPr>
          <w:spacing w:val="-64"/>
        </w:rPr>
        <w:t> </w:t>
      </w:r>
      <w:r>
        <w:rPr>
          <w:spacing w:val="-64"/>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有足够的技术、财务资源和其他资源支持，以完成该无形资产的开发，并有能力使用或出售该 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归属于该无形资产开发阶段的支出能够可靠地计量。</w:t>
      </w:r>
    </w:p>
    <w:p>
      <w:pPr>
        <w:spacing w:line="240" w:lineRule="auto" w:before="10"/>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24</w:t>
      </w:r>
      <w:r>
        <w:rPr/>
        <w:t>、长期资产减值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0" w:firstLine="360"/>
        <w:jc w:val="left"/>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p>
    <w:p>
      <w:pPr>
        <w:spacing w:after="0" w:line="316"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16" w:lineRule="auto" w:before="37"/>
        <w:ind w:left="512" w:right="0" w:hanging="360"/>
        <w:jc w:val="left"/>
      </w:pPr>
      <w:r>
        <w:rPr/>
        <w:t>于其账面价值的，按其差额计提减值准备并计入减值损失。 </w:t>
      </w:r>
      <w:r>
        <w:rPr>
          <w:spacing w:val="-2"/>
        </w:rPr>
        <w:t>可收回金额为资产的公允价值减去处置费用后的净额与资产预计未来现金流量的现值两者之间的较高者。资产减值准备</w:t>
      </w:r>
    </w:p>
    <w:p>
      <w:pPr>
        <w:pStyle w:val="BodyText"/>
        <w:spacing w:line="316" w:lineRule="auto" w:before="19"/>
        <w:ind w:right="0"/>
        <w:jc w:val="left"/>
      </w:pP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right="1130"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3"/>
        </w:rPr>
        <w:t> </w:t>
      </w:r>
      <w:r>
        <w:rPr>
          <w:spacing w:val="-63"/>
        </w:rPr>
      </w:r>
      <w:r>
        <w:rPr>
          <w:spacing w:val="-2"/>
        </w:rPr>
        <w:t>额低于其账面价值的，确认相应的减值损失。减值损失金额先抵减分摊至该资产组或资产组组合的商誉的账面价值，再根据</w:t>
      </w:r>
      <w:r>
        <w:rPr>
          <w:spacing w:val="-62"/>
        </w:rPr>
        <w:t> </w:t>
      </w:r>
      <w:r>
        <w:rPr>
          <w:spacing w:val="-62"/>
        </w:rPr>
      </w:r>
      <w:r>
        <w:rPr/>
        <w:t>资产组或资产组组合中除商誉以外的其他各项资产的账面价值所占比重，按比例抵减其他各项资产的账面价值。</w:t>
      </w:r>
    </w:p>
    <w:p>
      <w:pPr>
        <w:pStyle w:val="BodyText"/>
        <w:spacing w:line="240" w:lineRule="auto" w:before="59"/>
        <w:ind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rFonts w:ascii="Tahoma" w:hAnsi="Tahoma" w:cs="Tahoma" w:eastAsia="Tahoma" w:hint="default"/>
        </w:rPr>
        <w:t>25</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0"/>
        <w:jc w:val="left"/>
      </w:pPr>
      <w:r>
        <w:rPr>
          <w:spacing w:val="-4"/>
        </w:rPr>
        <w:t>本公司长期待摊费用是指已经支出，但受益期限在一年以上（不含一年）的各项费用，主要包括车位使用费、房屋装修费等。</w:t>
      </w:r>
      <w:r>
        <w:rPr>
          <w:spacing w:val="-47"/>
        </w:rPr>
        <w:t> </w:t>
      </w:r>
      <w:r>
        <w:rPr>
          <w:spacing w:val="-47"/>
        </w:rPr>
      </w:r>
      <w:r>
        <w:rPr>
          <w:spacing w:val="-2"/>
        </w:rPr>
        <w:t>长期待摊费用按费用项目的受益期限分期摊销。若长期待摊的费用项目不能使以后会计期间受益，则将尚未摊销的该项目的</w:t>
      </w:r>
      <w:r>
        <w:rPr>
          <w:spacing w:val="-64"/>
        </w:rPr>
        <w:t> </w:t>
      </w:r>
      <w:r>
        <w:rPr>
          <w:spacing w:val="-64"/>
        </w:rPr>
      </w:r>
      <w:r>
        <w:rPr/>
        <w:t>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rFonts w:ascii="Tahoma" w:hAnsi="Tahoma" w:cs="Tahoma" w:eastAsia="Tahoma" w:hint="default"/>
        </w:rPr>
      </w:pPr>
      <w:r>
        <w:rPr>
          <w:rFonts w:ascii="Tahoma" w:hAnsi="Tahoma" w:cs="Tahoma" w:eastAsia="Tahoma" w:hint="default"/>
        </w:rPr>
        <w:t>26</w:t>
      </w:r>
      <w:r>
        <w:rPr/>
        <w:t>、职工薪酬</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）短期薪酬的会计处理方法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16" w:lineRule="auto"/>
        <w:ind w:right="1130" w:firstLine="271"/>
        <w:jc w:val="both"/>
      </w:pPr>
      <w:r>
        <w:rPr/>
        <w:t>在职工为本公司提供服务的会计期间，将实际发生的短期薪酬确认为负债，并计入当期损益，其他会计准则要求或允许 </w:t>
      </w:r>
      <w:r>
        <w:rPr>
          <w:spacing w:val="-2"/>
        </w:rPr>
        <w:t>计入资产成本的除外。本公司发生的职工福利费，在实际发生时根据实际发生额计入当期损益或相关资产成本。职工福利费</w:t>
      </w:r>
      <w:r>
        <w:rPr>
          <w:spacing w:val="-62"/>
        </w:rPr>
        <w:t> </w:t>
      </w:r>
      <w:r>
        <w:rPr>
          <w:spacing w:val="-62"/>
        </w:rPr>
      </w:r>
      <w:r>
        <w:rPr>
          <w:spacing w:val="-2"/>
        </w:rPr>
        <w:t>为非货币性福利的，按照公允价值计量。企业为职工缴纳的医疗保险费、工伤保险费、生育保险费等社会保险费和住房公积</w:t>
      </w:r>
      <w:r>
        <w:rPr>
          <w:spacing w:val="-65"/>
        </w:rPr>
        <w:t> </w:t>
      </w:r>
      <w:r>
        <w:rPr>
          <w:spacing w:val="-65"/>
        </w:rPr>
      </w:r>
      <w:r>
        <w:rPr>
          <w:spacing w:val="-2"/>
        </w:rPr>
        <w:t>金，以及按规定提取的工会经费和职工教育经费，在职工提供服务的会计期间，根据规定的计提基础和计提比例计算确定相</w:t>
      </w:r>
      <w:r>
        <w:rPr>
          <w:spacing w:val="-62"/>
        </w:rPr>
        <w:t> </w:t>
      </w:r>
      <w:r>
        <w:rPr>
          <w:spacing w:val="-62"/>
        </w:rPr>
      </w:r>
      <w:r>
        <w:rPr/>
        <w:t>应的职工薪酬金额，并确认相应负债，计入当期损益或相关资产成本。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t>（</w:t>
      </w:r>
      <w:r>
        <w:rPr>
          <w:rFonts w:ascii="Tahoma" w:hAnsi="Tahoma" w:cs="Tahoma" w:eastAsia="Tahoma" w:hint="default"/>
        </w:rPr>
        <w:t>2</w:t>
      </w:r>
      <w:r>
        <w:rPr/>
        <w:t>）离职后福利的会计处理方法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34" w:firstLine="271"/>
        <w:jc w:val="left"/>
      </w:pPr>
      <w:r>
        <w:rPr>
          <w:spacing w:val="-2"/>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3"/>
        </w:rPr>
        <w:t> </w:t>
      </w:r>
      <w:r>
        <w:rPr>
          <w:spacing w:val="-63"/>
        </w:rPr>
      </w:r>
      <w:r>
        <w:rPr/>
        <w:t>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t>（</w:t>
      </w:r>
      <w:r>
        <w:rPr>
          <w:rFonts w:ascii="Tahoma" w:hAnsi="Tahoma" w:cs="Tahoma" w:eastAsia="Tahoma" w:hint="default"/>
        </w:rPr>
        <w:t>3</w:t>
      </w:r>
      <w:r>
        <w:rPr/>
        <w:t>）辞退福利的会计处理方法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40" w:firstLine="271"/>
        <w:jc w:val="both"/>
      </w:pPr>
      <w:r>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spacing w:after="0" w:line="316" w:lineRule="auto"/>
        <w:jc w:val="both"/>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）其他长期职工福利的会计处理方法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23" w:firstLine="271"/>
        <w:jc w:val="left"/>
      </w:pPr>
      <w:r>
        <w:rPr/>
        <w:t>本公司向职工提供的其他长期职工福利，符合设定提存计划条件的，应当按照有关设定提存计划的规定进行处理；除此 外，根据设定受益计划的有关规定，确认和计量其他长期职工福利净负债或净资产。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left"/>
        <w:rPr>
          <w:rFonts w:ascii="Tahoma" w:hAnsi="Tahoma" w:cs="Tahoma" w:eastAsia="Tahoma" w:hint="default"/>
        </w:rPr>
      </w:pPr>
      <w:r>
        <w:rPr>
          <w:rFonts w:ascii="Tahoma" w:hAnsi="Tahoma" w:cs="Tahoma" w:eastAsia="Tahoma" w:hint="default"/>
        </w:rPr>
        <w:t>27</w:t>
      </w:r>
      <w:r>
        <w:rPr/>
        <w:t>、预计负债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）预计负债的确认标准</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35" w:firstLine="420"/>
        <w:jc w:val="both"/>
      </w:pPr>
      <w:r>
        <w:rPr/>
        <w:t>当与或有事项相关的义务是公司承担的现时义务，且履行该义务很可能导致经济利益流出，同时其金额能够可靠地计 量时确认该义务为预计负债。</w:t>
      </w:r>
    </w:p>
    <w:p>
      <w:pPr>
        <w:spacing w:line="240" w:lineRule="auto" w:before="10"/>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）预计负债的计量方法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firstLine="420"/>
        <w:jc w:val="both"/>
      </w:pPr>
      <w:r>
        <w:rPr/>
        <w:t>按照履行相关现时义务所需支出的最佳估计数进行初始计量，如所需支出存在一个连续范围，且该范围内各种结果发 </w:t>
      </w:r>
      <w:r>
        <w:rPr>
          <w:spacing w:val="-2"/>
        </w:rPr>
        <w:t>生的可能性相同，最佳估计数按照该范围内的中间值确定；如涉及多个项目，按照各种可能结果及相关概率计算确定最佳估</w:t>
      </w:r>
      <w:r>
        <w:rPr>
          <w:spacing w:val="-62"/>
        </w:rPr>
        <w:t> </w:t>
      </w:r>
      <w:r>
        <w:rPr>
          <w:spacing w:val="-62"/>
        </w:rPr>
      </w:r>
      <w:r>
        <w:rPr/>
        <w:t>计数。</w:t>
      </w:r>
    </w:p>
    <w:p>
      <w:pPr>
        <w:pStyle w:val="BodyText"/>
        <w:spacing w:line="316" w:lineRule="auto" w:before="139"/>
        <w:ind w:right="1132"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rFonts w:ascii="Tahoma" w:hAnsi="Tahoma" w:cs="Tahoma" w:eastAsia="Tahoma" w:hint="default"/>
        </w:rPr>
      </w:pPr>
      <w:r>
        <w:rPr>
          <w:rFonts w:ascii="Tahoma" w:hAnsi="Tahoma" w:cs="Tahoma" w:eastAsia="Tahoma" w:hint="default"/>
        </w:rPr>
        <w:t>28</w:t>
      </w:r>
      <w:r>
        <w:rPr/>
        <w:t>、股份支付</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34"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before="59"/>
        <w:ind w:right="1130" w:firstLine="432"/>
        <w:jc w:val="both"/>
      </w:pPr>
      <w:r>
        <w:rPr/>
        <w:t>在各个资产负债表日，根据最新取得的可行权人数变动、业绩指标完成情况等后续信息，修正预计可行权的股票期权 </w:t>
      </w:r>
      <w:r>
        <w:rPr>
          <w:spacing w:val="-2"/>
        </w:rPr>
        <w:t>数量，并以此为依据确认各期应分摊的费用。对于跨越多个会计期间的期权费用，一般可以按照该期权在某会计期间内等待</w:t>
      </w:r>
      <w:r>
        <w:rPr>
          <w:spacing w:val="-62"/>
        </w:rPr>
        <w:t> </w:t>
      </w:r>
      <w:r>
        <w:rPr>
          <w:spacing w:val="-62"/>
        </w:rPr>
      </w:r>
      <w:r>
        <w:rPr/>
        <w:t>期长度占整个等待期长度的比例进行分摊。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rFonts w:ascii="Tahoma" w:hAnsi="Tahoma" w:cs="Tahoma" w:eastAsia="Tahoma" w:hint="default"/>
        </w:rPr>
      </w:pPr>
      <w:r>
        <w:rPr>
          <w:rFonts w:ascii="Tahoma" w:hAnsi="Tahoma" w:cs="Tahoma" w:eastAsia="Tahoma" w:hint="default"/>
        </w:rPr>
        <w:t>29</w:t>
      </w:r>
      <w:r>
        <w:rPr/>
        <w:t>、优先股、永续债等其他金融工具</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left="512" w:right="0" w:hanging="360"/>
        <w:jc w:val="left"/>
      </w:pPr>
      <w:r>
        <w:rPr>
          <w:rFonts w:ascii="Times New Roman" w:hAnsi="Times New Roman" w:cs="Times New Roman" w:eastAsia="Times New Roman" w:hint="default"/>
        </w:rPr>
        <w:t>1</w:t>
      </w:r>
      <w:r>
        <w:rPr/>
        <w:t>、金融负债和权益工具的划分 </w:t>
      </w:r>
      <w:r>
        <w:rPr>
          <w:spacing w:val="-2"/>
        </w:rPr>
        <w:t>本公司发行的优先股、永续债（例如长期限含权中期票据）、认股权、可转换公司债券等，按照以下原则换分为金融负</w:t>
      </w:r>
    </w:p>
    <w:p>
      <w:pPr>
        <w:pStyle w:val="BodyText"/>
        <w:spacing w:line="240" w:lineRule="auto" w:before="1"/>
        <w:ind w:right="0"/>
        <w:jc w:val="left"/>
      </w:pPr>
      <w:r>
        <w:rPr/>
        <w:t>债或权益工具：</w:t>
      </w:r>
    </w:p>
    <w:p>
      <w:pPr>
        <w:pStyle w:val="BodyText"/>
        <w:spacing w:line="300" w:lineRule="auto" w:before="115"/>
        <w:ind w:right="1124" w:firstLine="180"/>
        <w:jc w:val="left"/>
      </w:pPr>
      <w:r>
        <w:rPr/>
        <w:t>（</w:t>
      </w:r>
      <w:r>
        <w:rPr>
          <w:rFonts w:ascii="Times New Roman" w:hAnsi="Times New Roman" w:cs="Times New Roman" w:eastAsia="Times New Roman" w:hint="default"/>
        </w:rPr>
        <w:t>1</w:t>
      </w:r>
      <w:r>
        <w:rPr/>
        <w:t>）通过交付现金、其他金融资产或交换金融资产或金融负债结算的情况。如果企业不能无条件地避免以交付现金或其 他金融资产来履行一项合同义务，则该合同义务符合金融负债的定义。</w:t>
      </w:r>
    </w:p>
    <w:p>
      <w:pPr>
        <w:pStyle w:val="BodyText"/>
        <w:spacing w:line="300" w:lineRule="auto" w:before="72"/>
        <w:ind w:right="1124" w:firstLine="180"/>
        <w:jc w:val="left"/>
      </w:pPr>
      <w:r>
        <w:rPr/>
        <w:t>（</w:t>
      </w:r>
      <w:r>
        <w:rPr>
          <w:rFonts w:ascii="Times New Roman" w:hAnsi="Times New Roman" w:cs="Times New Roman" w:eastAsia="Times New Roman" w:hint="default"/>
        </w:rPr>
        <w:t>2</w:t>
      </w:r>
      <w:r>
        <w:rPr/>
        <w:t>）通过自身权益工具结算的情况。如果发行的金融工具须用或可用企业自身权益工具结算，作为现金或其他金融资产 </w:t>
      </w:r>
      <w:r>
        <w:rPr>
          <w:spacing w:val="-2"/>
        </w:rPr>
        <w:t>的替代品，该工具是发行方的金融负债；如果为了使该工具持有人享有在发行方扣除所有负债后的资产中的剩余权益，则该</w:t>
      </w:r>
    </w:p>
    <w:p>
      <w:pPr>
        <w:spacing w:after="0" w:line="30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工具是发行方的权益工具。</w:t>
      </w:r>
    </w:p>
    <w:p>
      <w:pPr>
        <w:pStyle w:val="BodyText"/>
        <w:spacing w:line="314" w:lineRule="auto" w:before="117"/>
        <w:ind w:right="1034" w:firstLine="180"/>
        <w:jc w:val="left"/>
      </w:pPr>
      <w:r>
        <w:rPr/>
        <w:t>（</w:t>
      </w:r>
      <w:r>
        <w:rPr>
          <w:rFonts w:ascii="Times New Roman" w:hAnsi="Times New Roman" w:cs="Times New Roman" w:eastAsia="Times New Roman" w:hint="default"/>
        </w:rPr>
        <w:t>3</w:t>
      </w:r>
      <w:r>
        <w:rPr/>
        <w:t>）对于将来须用或可用企业自身权益工具结算的金融工具的分类，应当区分衍生工具还是非衍生工具。对于非衍生工 </w:t>
      </w:r>
      <w:r>
        <w:rPr>
          <w:spacing w:val="-2"/>
        </w:rPr>
        <w:t>具，如果发行方未来没有义务交付可变数量的自身权益工具进行结算，则该非衍生工具是权益工具；否则，该非衍生工具是</w:t>
      </w:r>
      <w:r>
        <w:rPr>
          <w:spacing w:val="-65"/>
        </w:rPr>
        <w:t> </w:t>
      </w:r>
      <w:r>
        <w:rPr>
          <w:spacing w:val="-65"/>
        </w:rPr>
      </w:r>
      <w:r>
        <w:rPr/>
        <w:t>金融负债。对于衍生工具，如果发行方只能通过以固定数量的自身权益工具交换固定金额的现金或其他金融资产进行结算， </w:t>
      </w:r>
      <w:r>
        <w:rPr>
          <w:spacing w:val="-2"/>
        </w:rPr>
        <w:t>则该衍生工具是权益工具；如果发行方以固定数量自身权益工具交换可变金额现金或其他金融资产，或以可变数量自身权益</w:t>
      </w:r>
      <w:r>
        <w:rPr>
          <w:spacing w:val="-64"/>
        </w:rPr>
        <w:t> </w:t>
      </w:r>
      <w:r>
        <w:rPr>
          <w:spacing w:val="-64"/>
        </w:rPr>
      </w:r>
      <w:r>
        <w:rPr>
          <w:spacing w:val="-2"/>
        </w:rPr>
        <w:t>工具交换固定金额现金或其他金融资产，或在转换价格不固定的情况下以可变数量自身权益工具交换可变金额现金或其他金</w:t>
      </w:r>
      <w:r>
        <w:rPr>
          <w:spacing w:val="-63"/>
        </w:rPr>
        <w:t> </w:t>
      </w:r>
      <w:r>
        <w:rPr>
          <w:spacing w:val="-63"/>
        </w:rPr>
      </w:r>
      <w:r>
        <w:rPr/>
        <w:t>融资产，则该衍生工具应当确认为金融负债或金融资产。</w:t>
      </w:r>
    </w:p>
    <w:p>
      <w:pPr>
        <w:pStyle w:val="BodyText"/>
        <w:spacing w:line="340" w:lineRule="auto" w:before="59"/>
        <w:ind w:left="368" w:right="0" w:hanging="216"/>
        <w:jc w:val="left"/>
      </w:pPr>
      <w:r>
        <w:rPr>
          <w:rFonts w:ascii="Times New Roman" w:hAnsi="Times New Roman" w:cs="Times New Roman" w:eastAsia="Times New Roman" w:hint="default"/>
        </w:rPr>
        <w:t>2</w:t>
      </w:r>
      <w:r>
        <w:rPr/>
        <w:t>、优先股、永续债的会计处理 发行方对于归类为金融负债的金融工具在</w:t>
      </w:r>
      <w:r>
        <w:rPr>
          <w:rFonts w:ascii="Times New Roman" w:hAnsi="Times New Roman" w:cs="Times New Roman" w:eastAsia="Times New Roman" w:hint="default"/>
        </w:rPr>
        <w:t>“</w:t>
      </w:r>
      <w:r>
        <w:rPr/>
        <w:t>应付债券</w:t>
      </w:r>
      <w:r>
        <w:rPr>
          <w:rFonts w:ascii="Times New Roman" w:hAnsi="Times New Roman" w:cs="Times New Roman" w:eastAsia="Times New Roman" w:hint="default"/>
        </w:rPr>
        <w:t>”</w:t>
      </w:r>
      <w:r>
        <w:rPr/>
        <w:t>科目核算，在该工具存续期间，计提利息并对账面的利息调整进行</w:t>
      </w:r>
    </w:p>
    <w:p>
      <w:pPr>
        <w:pStyle w:val="BodyText"/>
        <w:spacing w:line="215" w:lineRule="exact"/>
        <w:ind w:right="0"/>
        <w:jc w:val="left"/>
      </w:pPr>
      <w:r>
        <w:rPr/>
        <w:t>调整等的会计处理，按照金融工具确认和计量准则中有关金融负债按摊余成本后续计量的规定进行会计处理。发行方对于归</w:t>
      </w:r>
    </w:p>
    <w:p>
      <w:pPr>
        <w:pStyle w:val="BodyText"/>
        <w:spacing w:line="300" w:lineRule="auto" w:before="76"/>
        <w:ind w:right="1126"/>
        <w:jc w:val="left"/>
      </w:pPr>
      <w:r>
        <w:rPr>
          <w:spacing w:val="-2"/>
        </w:rPr>
        <w:t>类为权益工具的在</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科目核算，在存续期间分派股利（含分类为权益工具的工具所产生的利息）的，作为利润</w:t>
      </w:r>
      <w:r>
        <w:rPr>
          <w:spacing w:val="-47"/>
        </w:rPr>
        <w:t> </w:t>
      </w:r>
      <w:r>
        <w:rPr>
          <w:spacing w:val="-47"/>
        </w:rPr>
      </w:r>
      <w:r>
        <w:rPr/>
        <w:t>分配处理。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rFonts w:ascii="Tahoma" w:hAnsi="Tahoma" w:cs="Tahoma" w:eastAsia="Tahoma" w:hint="default"/>
        </w:rPr>
      </w:pPr>
      <w:r>
        <w:rPr>
          <w:rFonts w:ascii="Tahoma" w:hAnsi="Tahoma" w:cs="Tahoma" w:eastAsia="Tahoma" w:hint="default"/>
        </w:rPr>
        <w:t>30</w:t>
      </w:r>
      <w:r>
        <w:rPr/>
        <w:t>、收入</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1</w:t>
      </w:r>
      <w:r>
        <w:rPr/>
        <w:t>）销售商品收入确认时间的具体判断标准</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2" w:lineRule="auto"/>
        <w:ind w:right="0" w:firstLine="451"/>
        <w:jc w:val="left"/>
      </w:pPr>
      <w:r>
        <w:rPr/>
        <w:t>①国内销售：公司产品入库后，根据与客户签订的合同、订单等的要求送达到客户指定的地点，由客户完成验收后在 </w:t>
      </w:r>
      <w:r>
        <w:rPr>
          <w:spacing w:val="-2"/>
        </w:rPr>
        <w:t>送货单上签收，签收后的送货单交财务部门，财务部门根据送货单逐单按客户归集并编制对账单。公司财务部门与客户就对</w:t>
      </w:r>
      <w:r>
        <w:rPr>
          <w:spacing w:val="-62"/>
        </w:rPr>
        <w:t> </w:t>
      </w:r>
      <w:r>
        <w:rPr>
          <w:spacing w:val="-62"/>
        </w:rPr>
      </w:r>
      <w:r>
        <w:rPr/>
        <w:t>账单确认后，根据双方确认的品名、数量、金额开具发票并确认收入；②出口销售：</w:t>
      </w:r>
      <w:r>
        <w:rPr>
          <w:rFonts w:ascii="Times New Roman" w:hAnsi="Times New Roman" w:cs="Times New Roman" w:eastAsia="Times New Roman" w:hint="default"/>
        </w:rPr>
        <w:t>a</w:t>
      </w:r>
      <w:r>
        <w:rPr/>
        <w:t>、直接出口：公司产品入库后，根据</w:t>
      </w:r>
      <w:r>
        <w:rPr>
          <w:spacing w:val="-79"/>
        </w:rPr>
        <w:t> </w:t>
      </w:r>
      <w:r>
        <w:rPr>
          <w:spacing w:val="-79"/>
        </w:rPr>
      </w:r>
      <w:r>
        <w:rPr>
          <w:spacing w:val="-2"/>
        </w:rPr>
        <w:t>与客户签订的合同、订单等要求备货装车后，报关部门再根据出货订单进行逐单申报，财务部门根据报关部门提供的报关单</w:t>
      </w:r>
      <w:r>
        <w:rPr>
          <w:spacing w:val="-62"/>
        </w:rPr>
        <w:t> </w:t>
      </w:r>
      <w:r>
        <w:rPr>
          <w:spacing w:val="-62"/>
        </w:rPr>
      </w:r>
      <w:r>
        <w:rPr/>
        <w:t>开具出口专用发票；财务部门根据出口专用发票入账确认收入；</w:t>
      </w:r>
      <w:r>
        <w:rPr>
          <w:rFonts w:ascii="Times New Roman" w:hAnsi="Times New Roman" w:cs="Times New Roman" w:eastAsia="Times New Roman" w:hint="default"/>
        </w:rPr>
        <w:t>b</w:t>
      </w:r>
      <w:r>
        <w:rPr/>
        <w:t>、转厂出口：公司产品入库后，根据与客户签订的合同、</w:t>
      </w:r>
      <w:r>
        <w:rPr>
          <w:spacing w:val="-85"/>
        </w:rPr>
        <w:t> </w:t>
      </w:r>
      <w:r>
        <w:rPr>
          <w:spacing w:val="-85"/>
        </w:rPr>
      </w:r>
      <w:r>
        <w:rPr>
          <w:spacing w:val="-2"/>
        </w:rPr>
        <w:t>订单等的要求送达到客户指定的地点，由客户完成验收后在送货单上签收，签收后的送货单交财务部门，财务部门根据送货</w:t>
      </w:r>
      <w:r>
        <w:rPr>
          <w:spacing w:val="-62"/>
        </w:rPr>
        <w:t> </w:t>
      </w:r>
      <w:r>
        <w:rPr>
          <w:spacing w:val="-62"/>
        </w:rPr>
      </w:r>
      <w:r>
        <w:rPr>
          <w:spacing w:val="-4"/>
        </w:rPr>
        <w:t>单逐单按客户归集并编制对账单。公司业务部门与客户对账确认之后，公司负责报关的部门根据双方对账确认的品名、数量、</w:t>
      </w:r>
      <w:r>
        <w:rPr>
          <w:spacing w:val="-44"/>
        </w:rPr>
        <w:t> </w:t>
      </w:r>
      <w:r>
        <w:rPr>
          <w:spacing w:val="-44"/>
        </w:rPr>
      </w:r>
      <w:r>
        <w:rPr/>
        <w:t>金额进行报关出口，并将报关单交与财务部门，财务部门开具出口专用发票连同报关单一起入账确认收入。</w:t>
      </w:r>
    </w:p>
    <w:p>
      <w:pPr>
        <w:spacing w:line="240" w:lineRule="auto" w:before="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）确认让渡资产使用权收入的依据</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512" w:right="0"/>
        <w:jc w:val="left"/>
      </w:pPr>
      <w:r>
        <w:rPr/>
        <w:t>本公司在让渡资产使用权相关的经济利益很可能流入并且收入的金额能够可靠地计量时确认让渡资产使用权收入。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rFonts w:ascii="Tahoma" w:hAnsi="Tahoma" w:cs="Tahoma" w:eastAsia="Tahoma" w:hint="default"/>
        </w:rPr>
      </w:pPr>
      <w:r>
        <w:rPr>
          <w:rFonts w:ascii="Tahoma" w:hAnsi="Tahoma" w:cs="Tahoma" w:eastAsia="Tahoma" w:hint="default"/>
        </w:rPr>
        <w:t>31</w:t>
      </w:r>
      <w:r>
        <w:rPr/>
        <w:t>、政府补助</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）与资产相关的政府补助判断依据及会计处理方法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38" w:lineRule="auto"/>
        <w:ind w:right="0"/>
        <w:jc w:val="left"/>
      </w:pPr>
      <w:r>
        <w:rPr>
          <w:spacing w:val="-2"/>
        </w:rPr>
        <w:t>与资产相关的政府补助，应当冲减相关资产的账面价值或确认为递延收益。与资产相关的政府补助确认为递延收益的，应当</w:t>
      </w:r>
      <w:r>
        <w:rPr>
          <w:spacing w:val="-62"/>
        </w:rPr>
        <w:t> </w:t>
      </w:r>
      <w:r>
        <w:rPr>
          <w:spacing w:val="-62"/>
        </w:rPr>
      </w:r>
      <w:r>
        <w:rPr/>
        <w:t>在相关资产使用寿命内按照合理、系统的方法分期计入损益。按照名义金额计量的政府补助，直接计入当期损益。 </w:t>
      </w:r>
      <w:r>
        <w:rPr>
          <w:spacing w:val="-4"/>
        </w:rPr>
        <w:t>相关资产在使用寿命结束前被出售、转让、报废或发生毁损的，应当将尚未分配的相关递延收益余额转入资产处置当期损益。</w:t>
      </w:r>
    </w:p>
    <w:p>
      <w:pPr>
        <w:spacing w:line="240" w:lineRule="auto" w:before="10"/>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）与收益相关的政府补助判断依据及会计处理方法</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pgSz w:w="11910" w:h="16840"/>
          <w:pgMar w:header="885" w:footer="982" w:top="1100" w:bottom="1180" w:left="980" w:right="0"/>
        </w:sectPr>
      </w:pPr>
    </w:p>
    <w:p>
      <w:pPr>
        <w:spacing w:line="240" w:lineRule="auto" w:before="3"/>
        <w:rPr>
          <w:rFonts w:ascii="Tahoma" w:hAnsi="Tahoma" w:cs="Tahoma" w:eastAsia="Tahoma" w:hint="default"/>
          <w:sz w:val="24"/>
          <w:szCs w:val="24"/>
        </w:rPr>
      </w:pPr>
    </w:p>
    <w:p>
      <w:pPr>
        <w:pStyle w:val="BodyText"/>
        <w:spacing w:line="316" w:lineRule="auto" w:before="37"/>
        <w:ind w:right="1130" w:firstLine="288"/>
        <w:jc w:val="both"/>
      </w:pPr>
      <w:r>
        <w:rPr>
          <w:spacing w:val="-1"/>
        </w:rPr>
        <w:t>用于补偿公司以后期间的相关成本费用或损失的，确认为递延收益，并在确认相关成本费用或损失的期间，计入当期损</w:t>
      </w:r>
      <w:r>
        <w:rPr/>
        <w:t> 益或冲减相关成本；用于补偿公司已发生的相关成本费用或损失的，直接计入当期损益或冲减相关成本。</w:t>
      </w:r>
    </w:p>
    <w:p>
      <w:pPr>
        <w:spacing w:line="240" w:lineRule="auto" w:before="10"/>
        <w:rPr>
          <w:rFonts w:ascii="宋体" w:hAnsi="宋体" w:cs="宋体" w:eastAsia="宋体" w:hint="default"/>
          <w:sz w:val="22"/>
          <w:szCs w:val="22"/>
        </w:rPr>
      </w:pPr>
    </w:p>
    <w:p>
      <w:pPr>
        <w:pStyle w:val="Heading4"/>
        <w:spacing w:line="259" w:lineRule="auto"/>
        <w:ind w:right="0"/>
        <w:jc w:val="left"/>
        <w:rPr>
          <w:rFonts w:ascii="Tahoma" w:hAnsi="Tahoma" w:cs="Tahoma" w:eastAsia="Tahoma" w:hint="default"/>
        </w:rPr>
      </w:pPr>
      <w:r>
        <w:rPr>
          <w:spacing w:val="-2"/>
        </w:rPr>
        <w:t>（</w:t>
      </w:r>
      <w:r>
        <w:rPr>
          <w:rFonts w:ascii="Tahoma" w:hAnsi="Tahoma" w:cs="Tahoma" w:eastAsia="Tahoma" w:hint="default"/>
          <w:spacing w:val="-2"/>
        </w:rPr>
        <w:t>3</w:t>
      </w:r>
      <w:r>
        <w:rPr>
          <w:spacing w:val="-2"/>
        </w:rPr>
        <w:t>）对于同时包含与资产相关部分和与收益相关部分的政府补助，应当区分不同部分分别进行会计处理；</w:t>
      </w:r>
      <w:r>
        <w:rPr>
          <w:spacing w:val="-51"/>
        </w:rPr>
        <w:t> </w:t>
      </w:r>
      <w:r>
        <w:rPr>
          <w:spacing w:val="-51"/>
        </w:rPr>
      </w:r>
      <w:r>
        <w:rPr/>
        <w:t>难以区分的，应当整体归类为与收益相关的政府补助。</w:t>
      </w:r>
      <w:r>
        <w:rPr>
          <w:rFonts w:ascii="Tahoma" w:hAnsi="Tahoma" w:cs="Tahoma" w:eastAsia="Tahoma" w:hint="default"/>
          <w:w w:val="80"/>
        </w:rPr>
        <w:t> </w:t>
      </w:r>
      <w:r>
        <w:rPr>
          <w:rFonts w:ascii="Tahoma" w:hAnsi="Tahoma" w:cs="Tahoma" w:eastAsia="Tahoma" w:hint="default"/>
        </w:rPr>
      </w:r>
    </w:p>
    <w:p>
      <w:pPr>
        <w:spacing w:line="240" w:lineRule="auto" w:before="7"/>
        <w:rPr>
          <w:rFonts w:ascii="Tahoma" w:hAnsi="Tahoma" w:cs="Tahoma" w:eastAsia="Tahoma" w:hint="default"/>
          <w:sz w:val="26"/>
          <w:szCs w:val="26"/>
        </w:rPr>
      </w:pPr>
    </w:p>
    <w:p>
      <w:pPr>
        <w:spacing w:line="259" w:lineRule="auto"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4</w:t>
      </w:r>
      <w:r>
        <w:rPr>
          <w:rFonts w:ascii="宋体" w:hAnsi="宋体" w:cs="宋体" w:eastAsia="宋体" w:hint="default"/>
          <w:sz w:val="21"/>
          <w:szCs w:val="21"/>
        </w:rPr>
        <w:t>）与公司日常活动相关的政府补助，应当按照经济业务实质，计入其他收益或冲减相关成本费用。与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公司日常活动无关的政府补助，应当计入营业外收支。</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7"/>
        <w:rPr>
          <w:rFonts w:ascii="Tahoma" w:hAnsi="Tahoma" w:cs="Tahoma" w:eastAsia="Tahoma" w:hint="default"/>
          <w:sz w:val="26"/>
          <w:szCs w:val="26"/>
        </w:rPr>
      </w:pPr>
    </w:p>
    <w:p>
      <w:pPr>
        <w:spacing w:line="259" w:lineRule="auto"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5</w:t>
      </w:r>
      <w:r>
        <w:rPr>
          <w:rFonts w:ascii="宋体" w:hAnsi="宋体" w:cs="宋体" w:eastAsia="宋体" w:hint="default"/>
          <w:sz w:val="21"/>
          <w:szCs w:val="21"/>
        </w:rPr>
        <w:t>）公司取得政策性优惠贷款贴息的，应当区分财政将贴息资金拨付给贷款银行和财政将贴息资金直接</w:t>
      </w:r>
      <w:r>
        <w:rPr>
          <w:rFonts w:ascii="宋体" w:hAnsi="宋体" w:cs="宋体" w:eastAsia="宋体" w:hint="default"/>
          <w:spacing w:val="-34"/>
          <w:sz w:val="21"/>
          <w:szCs w:val="21"/>
        </w:rPr>
        <w:t> </w:t>
      </w:r>
      <w:r>
        <w:rPr>
          <w:rFonts w:ascii="Tahoma" w:hAnsi="Tahoma" w:cs="Tahoma" w:eastAsia="Tahoma" w:hint="default"/>
          <w:spacing w:val="-34"/>
          <w:sz w:val="21"/>
          <w:szCs w:val="21"/>
        </w:rPr>
      </w:r>
      <w:r>
        <w:rPr>
          <w:rFonts w:ascii="宋体" w:hAnsi="宋体" w:cs="宋体" w:eastAsia="宋体" w:hint="default"/>
          <w:sz w:val="21"/>
          <w:szCs w:val="21"/>
        </w:rPr>
        <w:t>拨付给公司两种情况：</w:t>
      </w:r>
      <w:r>
        <w:rPr>
          <w:rFonts w:ascii="Tahoma" w:hAnsi="Tahoma" w:cs="Tahoma" w:eastAsia="Tahoma" w:hint="default"/>
          <w:w w:val="80"/>
          <w:sz w:val="21"/>
          <w:szCs w:val="21"/>
        </w:rPr>
        <w:t> </w:t>
      </w:r>
      <w:r>
        <w:rPr>
          <w:rFonts w:ascii="Tahoma" w:hAnsi="Tahoma" w:cs="Tahoma" w:eastAsia="Tahoma" w:hint="default"/>
          <w:spacing w:val="-32"/>
          <w:sz w:val="21"/>
          <w:szCs w:val="21"/>
        </w:rPr>
        <w:t> </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3"/>
        <w:rPr>
          <w:rFonts w:ascii="Tahoma" w:hAnsi="Tahoma" w:cs="Tahoma" w:eastAsia="Tahoma" w:hint="default"/>
          <w:sz w:val="28"/>
          <w:szCs w:val="28"/>
        </w:rPr>
      </w:pPr>
    </w:p>
    <w:p>
      <w:pPr>
        <w:pStyle w:val="BodyText"/>
        <w:spacing w:line="316" w:lineRule="auto"/>
        <w:ind w:right="0" w:firstLine="180"/>
        <w:jc w:val="left"/>
      </w:pPr>
      <w:r>
        <w:rPr>
          <w:spacing w:val="-2"/>
        </w:rPr>
        <w:t>①财政将贴息资金拨付给贷款银行，由贷款银行以政策性优惠利率向公司提供贷款的，公司以实际收到的借款金额作为借</w:t>
      </w:r>
      <w:r>
        <w:rPr/>
        <w:t> 款的入账价值，按照借款本金和该政策性优惠利率计算相关借款费用；</w:t>
      </w:r>
    </w:p>
    <w:p>
      <w:pPr>
        <w:pStyle w:val="BodyText"/>
        <w:spacing w:line="240" w:lineRule="auto" w:before="59"/>
        <w:ind w:right="0"/>
        <w:jc w:val="left"/>
      </w:pPr>
      <w:r>
        <w:rPr/>
        <w:t>②财政将贴息资金直接拨付给公司，公司应当将对应的贴息冲减相关借款费用。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rFonts w:ascii="Tahoma" w:hAnsi="Tahoma" w:cs="Tahoma" w:eastAsia="Tahoma" w:hint="default"/>
        </w:rPr>
        <w:t>32</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）确认递延所得税资产的依据</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32" w:firstLine="360"/>
        <w:jc w:val="both"/>
      </w:pPr>
      <w:r>
        <w:rPr>
          <w:spacing w:val="-2"/>
        </w:rPr>
        <w:t>递延所得税资产的确认以很可能取得用来抵扣可抵扣暂时性差异的应纳税所得额为限。资产负债表日，有确凿证据表明</w:t>
      </w:r>
      <w:r>
        <w:rPr/>
        <w:t> </w:t>
      </w:r>
      <w:r>
        <w:rPr>
          <w:spacing w:val="-2"/>
        </w:rPr>
        <w:t>未来期间很可能获得足够的应纳税所得额用来抵扣可抵扣暂时性差异的，确认以前会计期间未确认的递延所得税资产。如未</w:t>
      </w:r>
      <w:r>
        <w:rPr>
          <w:spacing w:val="-64"/>
        </w:rPr>
        <w:t> </w:t>
      </w:r>
      <w:r>
        <w:rPr>
          <w:spacing w:val="-64"/>
        </w:rPr>
      </w:r>
      <w:r>
        <w:rPr/>
        <w:t>来期间很可能无法获得足够的应纳税所得额用以抵扣递延所得税资产的，则减记递延所得税资产的账面价值。</w:t>
      </w:r>
    </w:p>
    <w:p>
      <w:pPr>
        <w:spacing w:line="240" w:lineRule="auto" w:before="13"/>
        <w:rPr>
          <w:rFonts w:ascii="宋体" w:hAnsi="宋体" w:cs="宋体" w:eastAsia="宋体" w:hint="default"/>
          <w:sz w:val="22"/>
          <w:szCs w:val="22"/>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）确认递延所得税负债的依据</w:t>
      </w:r>
      <w:r>
        <w:rPr>
          <w:rFonts w:ascii="Tahoma" w:hAnsi="Tahoma" w:cs="Tahoma" w:eastAsia="Tahoma" w:hint="default"/>
          <w:w w:val="80"/>
        </w:rPr>
        <w:t> </w:t>
      </w:r>
      <w:r>
        <w:rPr>
          <w:rFonts w:ascii="Tahoma" w:hAnsi="Tahoma" w:cs="Tahoma" w:eastAsia="Tahoma" w:hint="default"/>
        </w:rPr>
      </w:r>
    </w:p>
    <w:p>
      <w:pPr>
        <w:spacing w:line="240" w:lineRule="auto" w:before="4"/>
        <w:rPr>
          <w:rFonts w:ascii="Tahoma" w:hAnsi="Tahoma" w:cs="Tahoma" w:eastAsia="Tahoma" w:hint="default"/>
          <w:sz w:val="28"/>
          <w:szCs w:val="28"/>
        </w:rPr>
      </w:pPr>
    </w:p>
    <w:p>
      <w:pPr>
        <w:pStyle w:val="BodyText"/>
        <w:spacing w:line="316" w:lineRule="auto"/>
        <w:ind w:right="1132" w:firstLine="288"/>
        <w:jc w:val="both"/>
      </w:pPr>
      <w:r>
        <w:rPr>
          <w:spacing w:val="-1"/>
        </w:rPr>
        <w:t>对与子公司及联营企业投资相关的应纳税暂时性差异，确认递延所得税负债，除非本公司能够控制暂时性差异转回的时</w:t>
      </w:r>
      <w:r>
        <w:rPr/>
        <w:t> </w:t>
      </w:r>
      <w:r>
        <w:rPr>
          <w:spacing w:val="-2"/>
        </w:rPr>
        <w:t>间且该暂时性差异在可预见的未来很可能不会转回。对与子公司及联营企业投资相关的可抵扣暂时性差异，当该暂时性差异</w:t>
      </w:r>
      <w:r>
        <w:rPr>
          <w:spacing w:val="-64"/>
        </w:rPr>
        <w:t> </w:t>
      </w:r>
      <w:r>
        <w:rPr>
          <w:spacing w:val="-64"/>
        </w:rPr>
      </w:r>
      <w:r>
        <w:rPr/>
        <w:t>在可预见的未来很可能转回且未来很可能获得用来抵扣可抵扣暂时性差异的应纳税所得额时，确认递延所得税资产。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rFonts w:ascii="Tahoma" w:hAnsi="Tahoma" w:cs="Tahoma" w:eastAsia="Tahoma" w:hint="default"/>
        </w:rPr>
      </w:pPr>
      <w:r>
        <w:rPr>
          <w:rFonts w:ascii="Tahoma" w:hAnsi="Tahoma" w:cs="Tahoma" w:eastAsia="Tahoma" w:hint="default"/>
        </w:rPr>
        <w:t>33</w:t>
      </w:r>
      <w:r>
        <w:rPr/>
        <w:t>、租赁</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）经营租赁的会计处理方法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left="332" w:right="0"/>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）融资租赁的会计处理方法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2" w:firstLine="271"/>
        <w:jc w:val="both"/>
      </w:pPr>
      <w:r>
        <w:rPr/>
        <w:t>以租赁资产的公允价值与最低租赁付款额的现值两者中较低者作为租入资产的入账价值，租入资产的入账价值与最低租 </w:t>
      </w:r>
      <w:r>
        <w:rPr>
          <w:spacing w:val="-2"/>
        </w:rPr>
        <w:t>赁付款额之间的差额作为未确认融资费用，在租赁期内按实际利率法摊销。最低租赁付款额扣除未确认融资费用后的余额作</w:t>
      </w:r>
    </w:p>
    <w:p>
      <w:pPr>
        <w:spacing w:after="0" w:line="316" w:lineRule="auto"/>
        <w:jc w:val="both"/>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为长期应付款列示。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rFonts w:ascii="Tahoma" w:hAnsi="Tahoma" w:cs="Tahoma" w:eastAsia="Tahoma" w:hint="default"/>
        </w:rPr>
      </w:pPr>
      <w:r>
        <w:rPr>
          <w:rFonts w:ascii="Tahoma" w:hAnsi="Tahoma" w:cs="Tahoma" w:eastAsia="Tahoma" w:hint="default"/>
        </w:rPr>
        <w:t>34</w:t>
      </w:r>
      <w:r>
        <w:rPr/>
        <w:t>、其他重要的会计政策和会计估计</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35</w:t>
      </w:r>
      <w:r>
        <w:rPr/>
        <w:t>、重要会计政策和会计估计变更</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）重要会计政策变更</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首次执行新金融工具准则</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 事会第二十五次会议，审议通过了《关 </w:t>
            </w:r>
            <w:r>
              <w:rPr>
                <w:rFonts w:ascii="宋体" w:hAnsi="宋体" w:cs="宋体" w:eastAsia="宋体" w:hint="default"/>
                <w:spacing w:val="-7"/>
                <w:sz w:val="18"/>
                <w:szCs w:val="18"/>
              </w:rPr>
              <w:t>于公司会计政策变更的议案》，本次会计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政策变更无需提交股东大会审议。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309" w:lineRule="auto" w:before="76"/>
              <w:ind w:left="24" w:right="8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）的《第四届董事</w:t>
            </w:r>
            <w:r>
              <w:rPr>
                <w:rFonts w:ascii="宋体" w:hAnsi="宋体" w:cs="宋体" w:eastAsia="宋体" w:hint="default"/>
                <w:spacing w:val="-83"/>
                <w:sz w:val="18"/>
                <w:szCs w:val="18"/>
              </w:rPr>
              <w:t> </w:t>
            </w:r>
            <w:r>
              <w:rPr>
                <w:rFonts w:ascii="宋体" w:hAnsi="宋体" w:cs="宋体" w:eastAsia="宋体" w:hint="default"/>
                <w:spacing w:val="-6"/>
                <w:sz w:val="18"/>
                <w:szCs w:val="18"/>
              </w:rPr>
              <w:t>会第二十五次会议决议公告》（公告编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364"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304" w:lineRule="auto" w:before="2"/>
              <w:ind w:left="24" w:right="21"/>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号），在原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文件的基础上对一 般企业财务报表格式进行了修订。根据 上述会计准则的要求，公司需对会计政</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312" w:lineRule="auto" w:before="158"/>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 事会第二十七次会议，审议通过了《关 </w:t>
            </w:r>
            <w:r>
              <w:rPr>
                <w:rFonts w:ascii="宋体" w:hAnsi="宋体" w:cs="宋体" w:eastAsia="宋体" w:hint="default"/>
                <w:spacing w:val="-7"/>
                <w:sz w:val="18"/>
                <w:szCs w:val="18"/>
              </w:rPr>
              <w:t>于公司会计政策变更的议案》，本次会计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政策变更无需提交股东大会审议。</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《证券时报》及巨潮资讯网</w:t>
            </w:r>
          </w:p>
          <w:p>
            <w:pPr>
              <w:pStyle w:val="TableParagraph"/>
              <w:spacing w:line="309" w:lineRule="auto" w:before="76"/>
              <w:ind w:left="24" w:right="81"/>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）的《第四届董事</w:t>
            </w:r>
            <w:r>
              <w:rPr>
                <w:rFonts w:ascii="宋体" w:hAnsi="宋体" w:cs="宋体" w:eastAsia="宋体" w:hint="default"/>
                <w:spacing w:val="-83"/>
                <w:sz w:val="18"/>
                <w:szCs w:val="18"/>
              </w:rPr>
              <w:t> </w:t>
            </w:r>
            <w:r>
              <w:rPr>
                <w:rFonts w:ascii="宋体" w:hAnsi="宋体" w:cs="宋体" w:eastAsia="宋体" w:hint="default"/>
                <w:spacing w:val="-6"/>
                <w:sz w:val="18"/>
                <w:szCs w:val="18"/>
              </w:rPr>
              <w:t>会第二十七次会议决议公告》（公告编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2019-077</w:t>
            </w:r>
            <w:r>
              <w:rPr>
                <w:rFonts w:ascii="宋体" w:hAnsi="宋体" w:cs="宋体" w:eastAsia="宋体" w:hint="default"/>
                <w:sz w:val="18"/>
                <w:szCs w:val="18"/>
              </w:rPr>
              <w:t>）</w:t>
            </w:r>
          </w:p>
        </w:tc>
      </w:tr>
      <w:tr>
        <w:trPr>
          <w:trHeight w:val="351"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策相关内容进行相应调整。</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日起执行上述修订后的准则和财务报表格式，对会计政策相关内容进行调整。</w:t>
      </w:r>
    </w:p>
    <w:p>
      <w:pPr>
        <w:spacing w:line="240" w:lineRule="auto" w:before="11"/>
        <w:rPr>
          <w:rFonts w:ascii="宋体" w:hAnsi="宋体" w:cs="宋体" w:eastAsia="宋体" w:hint="default"/>
          <w:sz w:val="25"/>
          <w:szCs w:val="25"/>
        </w:rPr>
      </w:pPr>
    </w:p>
    <w:p>
      <w:pPr>
        <w:pStyle w:val="BodyText"/>
        <w:spacing w:line="240" w:lineRule="auto" w:before="37"/>
        <w:ind w:right="0"/>
        <w:jc w:val="left"/>
      </w:pPr>
      <w:r>
        <w:rPr/>
        <w:t>（</w:t>
      </w:r>
      <w:r>
        <w:rPr>
          <w:rFonts w:ascii="Times New Roman" w:hAnsi="Times New Roman" w:cs="Times New Roman" w:eastAsia="Times New Roman" w:hint="default"/>
        </w:rPr>
        <w:t>1</w:t>
      </w:r>
      <w:r>
        <w:rPr/>
        <w:t>）执行新金融工具准则对本期期初合并、母公司资产负债表相关项目的影响：</w:t>
      </w:r>
    </w:p>
    <w:p>
      <w:pPr>
        <w:pStyle w:val="BodyText"/>
        <w:spacing w:line="240" w:lineRule="auto" w:before="63"/>
        <w:ind w:left="0" w:right="2837"/>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851"/>
        <w:gridCol w:w="2398"/>
        <w:gridCol w:w="2242"/>
        <w:gridCol w:w="2364"/>
      </w:tblGrid>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80" w:right="0"/>
              <w:jc w:val="left"/>
              <w:rPr>
                <w:rFonts w:ascii="宋体" w:hAnsi="宋体" w:cs="宋体" w:eastAsia="宋体" w:hint="default"/>
                <w:sz w:val="18"/>
                <w:szCs w:val="18"/>
              </w:rPr>
            </w:pPr>
            <w:r>
              <w:rPr>
                <w:rFonts w:ascii="宋体" w:hAnsi="宋体" w:cs="宋体" w:eastAsia="宋体" w:hint="default"/>
                <w:sz w:val="18"/>
                <w:szCs w:val="18"/>
              </w:rPr>
              <w:t>合并报表项目</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989,511,500.82</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1,290,585.54</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990,802,086.36</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740,838,727.02</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740,838,727.02</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62,064,165.55</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-4,129,312.56</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57,934,852.99</w:t>
            </w:r>
          </w:p>
        </w:tc>
      </w:tr>
      <w:tr>
        <w:trPr>
          <w:trHeight w:val="425"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834,823,280.60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-738,000,000.00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96,823,280.60</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398" w:type="dxa"/>
            <w:tcBorders>
              <w:top w:val="single" w:sz="6" w:space="0" w:color="000000"/>
              <w:left w:val="single" w:sz="6"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3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399,000,000.00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399,106,125.89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851"/>
        <w:gridCol w:w="2398"/>
        <w:gridCol w:w="2242"/>
        <w:gridCol w:w="2364"/>
      </w:tblGrid>
      <w:tr>
        <w:trPr>
          <w:trHeight w:val="427" w:hRule="exact"/>
        </w:trPr>
        <w:tc>
          <w:tcPr>
            <w:tcW w:w="2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345" w:right="0"/>
              <w:jc w:val="left"/>
              <w:rPr>
                <w:rFonts w:ascii="Times New Roman" w:hAnsi="Times New Roman" w:cs="Times New Roman" w:eastAsia="Times New Roman" w:hint="default"/>
                <w:sz w:val="18"/>
                <w:szCs w:val="18"/>
              </w:rPr>
            </w:pPr>
            <w:r>
              <w:rPr>
                <w:rFonts w:ascii="Times New Roman"/>
                <w:sz w:val="18"/>
              </w:rPr>
              <w:t>18,868,068.27</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353" w:right="0"/>
              <w:jc w:val="left"/>
              <w:rPr>
                <w:rFonts w:ascii="Times New Roman" w:hAnsi="Times New Roman" w:cs="Times New Roman" w:eastAsia="Times New Roman" w:hint="default"/>
                <w:sz w:val="18"/>
                <w:szCs w:val="18"/>
              </w:rPr>
            </w:pPr>
            <w:r>
              <w:rPr>
                <w:rFonts w:ascii="Times New Roman"/>
                <w:sz w:val="18"/>
              </w:rPr>
              <w:t>-106,125.89</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312" w:right="0"/>
              <w:jc w:val="left"/>
              <w:rPr>
                <w:rFonts w:ascii="Times New Roman" w:hAnsi="Times New Roman" w:cs="Times New Roman" w:eastAsia="Times New Roman" w:hint="default"/>
                <w:sz w:val="18"/>
                <w:szCs w:val="18"/>
              </w:rPr>
            </w:pPr>
            <w:r>
              <w:rPr>
                <w:rFonts w:ascii="Times New Roman"/>
                <w:sz w:val="18"/>
              </w:rPr>
              <w:t>18,761,942.38</w:t>
            </w:r>
          </w:p>
        </w:tc>
      </w:tr>
    </w:tbl>
    <w:p>
      <w:pPr>
        <w:spacing w:line="240" w:lineRule="auto" w:before="11"/>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2971"/>
        <w:gridCol w:w="2489"/>
        <w:gridCol w:w="2215"/>
        <w:gridCol w:w="2179"/>
      </w:tblGrid>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9" w:right="0"/>
              <w:jc w:val="left"/>
              <w:rPr>
                <w:rFonts w:ascii="宋体" w:hAnsi="宋体" w:cs="宋体" w:eastAsia="宋体" w:hint="default"/>
                <w:sz w:val="18"/>
                <w:szCs w:val="18"/>
              </w:rPr>
            </w:pPr>
            <w:r>
              <w:rPr>
                <w:rFonts w:ascii="宋体" w:hAnsi="宋体" w:cs="宋体" w:eastAsia="宋体" w:hint="default"/>
                <w:sz w:val="18"/>
                <w:szCs w:val="18"/>
              </w:rPr>
              <w:t>母公司报表项目</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159,419,430.50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771,659.04</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160,191,089.54</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154,678,569.64</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
              <w:jc w:val="right"/>
              <w:rPr>
                <w:rFonts w:ascii="Times New Roman" w:hAnsi="Times New Roman" w:cs="Times New Roman" w:eastAsia="Times New Roman" w:hint="default"/>
                <w:sz w:val="18"/>
                <w:szCs w:val="18"/>
              </w:rPr>
            </w:pPr>
            <w:r>
              <w:rPr>
                <w:rFonts w:ascii="Times New Roman"/>
                <w:spacing w:val="-1"/>
                <w:sz w:val="18"/>
              </w:rPr>
              <w:t>-771,659.04</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spacing w:val="-1"/>
                <w:sz w:val="18"/>
              </w:rPr>
              <w:t>153,906,910.60</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27"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89"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66,000,000.00</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66,106,125.89</w:t>
            </w:r>
          </w:p>
        </w:tc>
      </w:tr>
      <w:tr>
        <w:trPr>
          <w:trHeight w:val="430" w:hRule="exact"/>
        </w:trPr>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37,355,809.74</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-106,125.89</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37,249,683.85</w:t>
            </w:r>
          </w:p>
        </w:tc>
      </w:tr>
    </w:tbl>
    <w:p>
      <w:pPr>
        <w:pStyle w:val="BodyText"/>
        <w:spacing w:line="300" w:lineRule="auto" w:before="8"/>
        <w:ind w:right="0"/>
        <w:jc w:val="left"/>
      </w:pPr>
      <w:r>
        <w:rPr>
          <w:spacing w:val="-2"/>
        </w:rPr>
        <w:t>公司根据新金融工具准则的规定，对金融工具的分类在新金融工具准则施行日（即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日）进行调整，无需对金融工</w:t>
      </w:r>
      <w:r>
        <w:rPr>
          <w:spacing w:val="-64"/>
        </w:rPr>
        <w:t> </w:t>
      </w:r>
      <w:r>
        <w:rPr>
          <w:spacing w:val="-64"/>
        </w:rPr>
      </w:r>
      <w:r>
        <w:rPr/>
        <w:t>具原账面价值进行调整。</w:t>
      </w:r>
    </w:p>
    <w:p>
      <w:pPr>
        <w:pStyle w:val="BodyText"/>
        <w:spacing w:line="300" w:lineRule="auto" w:before="31"/>
        <w:ind w:right="1166"/>
        <w:jc w:val="left"/>
      </w:pPr>
      <w:r>
        <w:rPr/>
        <w:t>（</w:t>
      </w:r>
      <w:r>
        <w:rPr>
          <w:rFonts w:ascii="Times New Roman" w:hAnsi="Times New Roman" w:cs="Times New Roman" w:eastAsia="Times New Roman" w:hint="default"/>
        </w:rPr>
        <w:t>2</w:t>
      </w:r>
      <w:r>
        <w:rPr/>
        <w:t>）执行修订后财务报表格式的影响 根据财务报表格式的要求，除执行上述新金融工具准则产生的列报变化以外，本公司将</w:t>
      </w:r>
      <w:r>
        <w:rPr>
          <w:spacing w:val="-22"/>
        </w:rPr>
        <w:t> </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拆分列示为 </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两个项目，将 </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拆分列示为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两个项目。本公司相应 追溯调整了比较期间报表，该会计政策变更对合并及公司净利润和股东权益无影响。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rFonts w:ascii="Tahoma" w:hAnsi="Tahoma" w:cs="Tahoma" w:eastAsia="Tahoma" w:hint="default"/>
        </w:rPr>
      </w:pPr>
      <w:r>
        <w:rPr/>
        <w:t>（</w:t>
      </w:r>
      <w:r>
        <w:rPr>
          <w:rFonts w:ascii="Tahoma" w:hAnsi="Tahoma" w:cs="Tahoma" w:eastAsia="Tahoma" w:hint="default"/>
        </w:rPr>
        <w:t>2</w:t>
      </w:r>
      <w:r>
        <w:rPr/>
        <w:t>）重要会计估计变更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w:t>
      </w:r>
      <w:r>
        <w:rPr>
          <w:rFonts w:ascii="Tahoma" w:hAnsi="Tahoma" w:cs="Tahoma" w:eastAsia="Tahoma" w:hint="default"/>
        </w:rPr>
        <w:t>2019</w:t>
      </w:r>
      <w:r>
        <w:rPr>
          <w:rFonts w:ascii="Tahoma" w:hAnsi="Tahoma" w:cs="Tahoma" w:eastAsia="Tahoma" w:hint="default"/>
          <w:spacing w:val="-42"/>
        </w:rPr>
        <w:t> </w:t>
      </w:r>
      <w:r>
        <w:rPr/>
        <w:t>年起执行新金融工具准则、新收入准则或新租赁准则调整执行当年年初财务报表相关项目情况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885" w:footer="982" w:top="1100" w:bottom="1180" w:left="980" w:right="0"/>
        </w:sectPr>
      </w:pPr>
    </w:p>
    <w:p>
      <w:pPr>
        <w:pStyle w:val="BodyText"/>
        <w:spacing w:line="338"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1533" w:space="7385"/>
            <w:col w:w="201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989,511,500.82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990,802,086.36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1,290,585.54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740,838,727.02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740,838,727.02</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82,564,300.79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998,117,661.52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998,117,661.52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10,432,849.35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10,432,849.35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62,064,165.55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57,934,852.99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-4,129,312.56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4,129,312.56</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-4,129,312.56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667,198,889.53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667,198,889.53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834,823,280.60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96,823,280.60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-738,000,000.00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3,644,712,648.16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3,644,712,648.16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506,898,981.88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1,219,297,623.63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1,219,297,623.63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316,579,242.27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316,579,242.27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2,193,167.57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5"/>
          <w:pgSz w:w="11910" w:h="16840"/>
          <w:pgMar w:footer="982" w:header="885" w:top="1100" w:bottom="1180" w:left="980" w:right="0"/>
          <w:pgNumType w:start="5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418,615,032.91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418,615,032.91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17,960,376.84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17,960,376.84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15,395,055.68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15,395,055.68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227,257,564.10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227,257,564.10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2,725,197,044.88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2,725,197,044.88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6,369,909,693.04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6,369,909,693.04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399,106,125.89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517,588,314.52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517,588,314.52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629,341,765.09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629,341,765.09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17,838,529.73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17,838,529.73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36,901,696.03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36,901,696.03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36,901,696.03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38,879,868.72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38,879,868.72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18,868,068.27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18,761,942.38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1,658,418,242.36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1,658,418,242.36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94,495,789.66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29,367,629.61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29,367,629.61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123,863,419.27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123,863,419.27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1,782,281,661.63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1,782,281,661.63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1,531,323,685.00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1,243,220,158.45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1,243,220,158.45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71,680,309.56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71,680,309.56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163,895,427.21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1,466,366,406.97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1,466,366,406.97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4,476,485,987.19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4,476,485,987.19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111,142,044.22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111,142,044.22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4,587,628,031.41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4,587,628,031.41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6,369,909,693.04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6,369,909,693.04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spacing w:after="0" w:line="240" w:lineRule="auto"/>
        <w:jc w:val="left"/>
        <w:sectPr>
          <w:footerReference w:type="default" r:id="rId46"/>
          <w:pgSz w:w="11910" w:h="16840"/>
          <w:pgMar w:footer="982" w:header="885" w:top="1100" w:bottom="1180" w:left="980" w:right="0"/>
          <w:pgNumType w:start="52"/>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5" w:footer="982" w:top="1100" w:bottom="1180" w:left="980" w:right="0"/>
        </w:sectPr>
      </w:pPr>
    </w:p>
    <w:p>
      <w:pPr>
        <w:pStyle w:val="BodyText"/>
        <w:spacing w:line="360" w:lineRule="auto" w:before="37"/>
        <w:ind w:right="-20"/>
        <w:jc w:val="left"/>
      </w:pPr>
      <w:r>
        <w:rPr/>
        <w:t>无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1593" w:space="7325"/>
            <w:col w:w="2012"/>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159,419,430.50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160,191,089.54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771,659.04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52,760,172.07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52,760,172.07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376,432,146.31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376,432,146.31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636,088.60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636,088.60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154,678,569.64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153,906,910.60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-771,659.04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771,659.04</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-771,659.04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145,159,578.83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145,159,578.83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11,703,471.89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11,703,471.89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900,789,457.84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900,789,457.84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2,993,760,245.88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2,993,760,245.88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432,733,859.20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432,733,859.20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245,631,446.05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245,631,446.05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578,789.81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578,789.81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10,389,965.57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10,389,965.57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2,440,467.91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2,440,467.91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3,938,349.30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3,938,349.30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4,378,826.77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4,378,826.77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3,694,851,950.49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3,694,851,950.49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4,595,641,408.33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4,595,641,408.33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66,106,125.89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339,349,415.72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339,349,415.72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271,147,871.45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271,147,871.45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8,402,054.28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8,402,054.28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10,649,429.60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10,649,429.60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8,050,390.68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8,050,390.68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37,355,809.74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37,249,683.85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106,125.89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106,125.89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-106,125.89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740,954,971.47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740,954,971.47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7,815,334.37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7,815,334.37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24,668,139.68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24,668,139.68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32,483,474.05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32,483,474.05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773,438,445.52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773,438,445.52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1,531,323,685.00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1,531,323,685.00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1,242,337,832.55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1,242,337,832.55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46,677,973.38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46,677,973.38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163,895,427.21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837,968,044.67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837,968,044.67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3,822,202,962.81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3,822,202,962.81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4,595,641,408.33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4,595,641,408.33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674"/>
        <w:jc w:val="left"/>
      </w:pPr>
      <w:r>
        <w:rPr/>
        <w:t>调整情况说明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w:t>
      </w:r>
      <w:r>
        <w:rPr>
          <w:rFonts w:ascii="Tahoma" w:hAnsi="Tahoma" w:cs="Tahoma" w:eastAsia="Tahoma" w:hint="default"/>
        </w:rPr>
        <w:t>2019</w:t>
      </w:r>
      <w:r>
        <w:rPr>
          <w:rFonts w:ascii="Tahoma" w:hAnsi="Tahoma" w:cs="Tahoma" w:eastAsia="Tahoma" w:hint="default"/>
          <w:spacing w:val="-42"/>
        </w:rPr>
        <w:t> </w:t>
      </w:r>
      <w:r>
        <w:rPr/>
        <w:t>年起执行新金融工具准则或新租赁准则追溯调整前期比较数据说明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36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rFonts w:ascii="Tahoma" w:hAnsi="Tahoma" w:cs="Tahoma" w:eastAsia="Tahoma" w:hint="default"/>
        </w:rPr>
      </w:pPr>
      <w:r>
        <w:rPr/>
        <w:t>六、税项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、主要税种及税率</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销售产品的增值额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销售收入（台湾子公司）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应纳税所得额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万以下的按</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缴纳所得税；应纳税所得额</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缴纳所得税。</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青岛美盈森智谷科技有限公司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云南文麻生物科技有限公司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MYS GROUP (VIETNAM) </w:t>
            </w:r>
            <w:r>
              <w:rPr>
                <w:rFonts w:ascii="Times New Roman"/>
                <w:spacing w:val="-3"/>
                <w:sz w:val="18"/>
              </w:rPr>
              <w:t>COMPANY</w:t>
            </w:r>
            <w:r>
              <w:rPr>
                <w:rFonts w:ascii="Times New Roman"/>
                <w:spacing w:val="-20"/>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7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MYS</w:t>
            </w:r>
            <w:r>
              <w:rPr>
                <w:rFonts w:ascii="宋体" w:hAnsi="宋体" w:cs="宋体" w:eastAsia="宋体" w:hint="default"/>
                <w:sz w:val="18"/>
                <w:szCs w:val="18"/>
              </w:rPr>
              <w:t>（</w:t>
            </w:r>
            <w:r>
              <w:rPr>
                <w:rFonts w:ascii="Times New Roman" w:hAnsi="Times New Roman" w:cs="Times New Roman" w:eastAsia="Times New Roman" w:hint="default"/>
                <w:sz w:val="18"/>
                <w:szCs w:val="18"/>
              </w:rPr>
              <w:t>DONG NAI</w:t>
            </w:r>
            <w:r>
              <w:rPr>
                <w:rFonts w:ascii="宋体" w:hAnsi="宋体" w:cs="宋体" w:eastAsia="宋体" w:hint="default"/>
                <w:sz w:val="18"/>
                <w:szCs w:val="18"/>
              </w:rPr>
              <w:t>） </w:t>
            </w:r>
            <w:r>
              <w:rPr>
                <w:rFonts w:ascii="Times New Roman" w:hAnsi="Times New Roman" w:cs="Times New Roman" w:eastAsia="Times New Roman" w:hint="default"/>
                <w:sz w:val="18"/>
                <w:szCs w:val="18"/>
              </w:rPr>
              <w:t>PACKAGING</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595"/>
              <w:jc w:val="left"/>
              <w:rPr>
                <w:rFonts w:ascii="Times New Roman" w:hAnsi="Times New Roman" w:cs="Times New Roman" w:eastAsia="Times New Roman" w:hint="default"/>
                <w:sz w:val="18"/>
                <w:szCs w:val="18"/>
              </w:rPr>
            </w:pPr>
            <w:r>
              <w:rPr>
                <w:rFonts w:ascii="Times New Roman"/>
                <w:sz w:val="18"/>
              </w:rPr>
              <w:t>MYS GROUP (VIETNAM) </w:t>
            </w:r>
            <w:r>
              <w:rPr>
                <w:rFonts w:ascii="Times New Roman"/>
                <w:spacing w:val="-3"/>
                <w:sz w:val="18"/>
              </w:rPr>
              <w:t>PACKING</w:t>
            </w:r>
            <w:r>
              <w:rPr>
                <w:rFonts w:ascii="Times New Roman"/>
                <w:spacing w:val="-15"/>
                <w:sz w:val="18"/>
              </w:rPr>
              <w:t> </w:t>
            </w:r>
            <w:r>
              <w:rPr>
                <w:rFonts w:ascii="Times New Roman"/>
                <w:sz w:val="18"/>
              </w:rPr>
              <w:t>THCHNOLOGY</w:t>
            </w:r>
            <w:r>
              <w:rPr>
                <w:rFonts w:ascii="Times New Roman"/>
                <w:w w:val="99"/>
                <w:sz w:val="18"/>
              </w:rPr>
              <w:t> </w:t>
            </w:r>
            <w:r>
              <w:rPr>
                <w:rFonts w:ascii="Times New Roman"/>
                <w:spacing w:val="-3"/>
                <w:sz w:val="18"/>
              </w:rPr>
              <w:t>CO.,LTD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、税收优惠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130" w:firstLine="420"/>
        <w:jc w:val="both"/>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号《关于实施企业所得税过渡优惠政策的通知》的规定，以及财政部、国家税务总局有关 </w:t>
      </w:r>
      <w:r>
        <w:rPr>
          <w:spacing w:val="-1"/>
        </w:rPr>
        <w:t>政策规定，</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日起，在新税法施行后</w:t>
      </w:r>
      <w:r>
        <w:rPr>
          <w:rFonts w:ascii="Times New Roman" w:hAnsi="Times New Roman" w:cs="Times New Roman" w:eastAsia="Times New Roman" w:hint="default"/>
          <w:spacing w:val="-1"/>
        </w:rPr>
        <w:t>5</w:t>
      </w:r>
      <w:r>
        <w:rPr>
          <w:spacing w:val="-1"/>
        </w:rPr>
        <w:t>年内逐步过渡到法定税率的规定</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2008-2012</w:t>
      </w:r>
      <w:r>
        <w:rPr>
          <w:spacing w:val="-1"/>
        </w:rPr>
        <w:t>年执行的企业所得税</w:t>
      </w:r>
      <w:r>
        <w:rPr>
          <w:spacing w:val="-67"/>
        </w:rPr>
        <w:t> </w:t>
      </w:r>
      <w:r>
        <w:rPr/>
        <w:t>率分别为</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2009</w:t>
      </w:r>
      <w:r>
        <w:rPr/>
        <w:t>年，公司被认定为国家级高新技术企业，有效期三年。依据企业所得税法的</w:t>
      </w:r>
      <w:r>
        <w:rPr>
          <w:spacing w:val="-46"/>
        </w:rPr>
        <w:t> </w:t>
      </w:r>
      <w:r>
        <w:rPr>
          <w:spacing w:val="-46"/>
        </w:rPr>
      </w:r>
      <w:r>
        <w:rPr>
          <w:spacing w:val="-1"/>
        </w:rPr>
        <w:t>规定，</w:t>
      </w: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年公司重新申请高新技术企业资质复审，并于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spacing w:val="-63"/>
        </w:rPr>
        <w:t> </w:t>
      </w:r>
      <w:r>
        <w:rPr>
          <w:rFonts w:ascii="Times New Roman" w:hAnsi="Times New Roman" w:cs="Times New Roman" w:eastAsia="Times New Roman" w:hint="default"/>
        </w:rPr>
        <w:t>12</w:t>
      </w:r>
      <w:r>
        <w:rPr/>
        <w:t>日取得证书，编号</w:t>
      </w:r>
      <w:r>
        <w:rPr>
          <w:rFonts w:ascii="Times New Roman" w:hAnsi="Times New Roman" w:cs="Times New Roman" w:eastAsia="Times New Roman" w:hint="default"/>
        </w:rPr>
        <w:t>GF201244200525</w:t>
      </w:r>
      <w:r>
        <w:rPr/>
        <w:t>，有效期三年，企业所得税优惠期为</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年公司重新申请高新技术</w:t>
      </w:r>
      <w:r>
        <w:rPr>
          <w:spacing w:val="-68"/>
        </w:rPr>
        <w:t> </w:t>
      </w:r>
      <w:r>
        <w:rPr>
          <w:spacing w:val="-68"/>
        </w:rPr>
      </w:r>
      <w:r>
        <w:rPr>
          <w:spacing w:val="-1"/>
        </w:rPr>
        <w:t>企业资质复审，并于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日取得证书，编号</w:t>
      </w:r>
      <w:r>
        <w:rPr>
          <w:rFonts w:ascii="Times New Roman" w:hAnsi="Times New Roman" w:cs="Times New Roman" w:eastAsia="Times New Roman" w:hint="default"/>
          <w:spacing w:val="-1"/>
        </w:rPr>
        <w:t>GR201544201258</w:t>
      </w:r>
      <w:r>
        <w:rPr>
          <w:spacing w:val="-1"/>
        </w:rPr>
        <w:t>，有效期三年，自</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年所得税按</w:t>
      </w:r>
      <w:r>
        <w:rPr>
          <w:rFonts w:ascii="Times New Roman" w:hAnsi="Times New Roman" w:cs="Times New Roman" w:eastAsia="Times New Roman" w:hint="default"/>
          <w:spacing w:val="-1"/>
        </w:rPr>
        <w:t>15%</w:t>
      </w:r>
      <w:r>
        <w:rPr>
          <w:spacing w:val="-1"/>
        </w:rPr>
        <w:t>计算缴</w:t>
      </w:r>
      <w:r>
        <w:rPr>
          <w:spacing w:val="-73"/>
        </w:rPr>
        <w:t> </w:t>
      </w:r>
      <w:r>
        <w:rPr/>
        <w:t>纳；</w:t>
      </w:r>
      <w:r>
        <w:rPr>
          <w:rFonts w:ascii="Times New Roman" w:hAnsi="Times New Roman" w:cs="Times New Roman" w:eastAsia="Times New Roman" w:hint="default"/>
        </w:rPr>
        <w:t>2018</w:t>
      </w:r>
      <w:r>
        <w:rPr/>
        <w:t>年公司重新申请高新技术企业资质复审，并于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日取得证书，编号</w:t>
      </w:r>
      <w:r>
        <w:rPr>
          <w:rFonts w:ascii="Times New Roman" w:hAnsi="Times New Roman" w:cs="Times New Roman" w:eastAsia="Times New Roman" w:hint="default"/>
        </w:rPr>
        <w:t>GR201844205261</w:t>
      </w:r>
      <w:r>
        <w:rPr/>
        <w:t>，有效期三年，自</w:t>
      </w:r>
      <w:r>
        <w:rPr>
          <w:spacing w:val="-84"/>
        </w:rPr>
        <w:t> </w:t>
      </w:r>
      <w:r>
        <w:rPr>
          <w:spacing w:val="-84"/>
        </w:rPr>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34" w:firstLine="420"/>
        <w:jc w:val="left"/>
      </w:pPr>
      <w:r>
        <w:rPr/>
        <w:t>子公司</w:t>
      </w:r>
      <w:r>
        <w:rPr>
          <w:rFonts w:ascii="Times New Roman" w:hAnsi="Times New Roman" w:cs="Times New Roman" w:eastAsia="Times New Roman" w:hint="default"/>
        </w:rPr>
        <w:t>“</w:t>
      </w:r>
      <w:r>
        <w:rPr/>
        <w:t>东莞市美盈森环保科技有限公司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日被认定为国家高新技术企业，编号</w:t>
      </w:r>
      <w:r>
        <w:rPr>
          <w:rFonts w:ascii="Times New Roman" w:hAnsi="Times New Roman" w:cs="Times New Roman" w:eastAsia="Times New Roman" w:hint="default"/>
        </w:rPr>
        <w:t>GR201444000733</w:t>
      </w:r>
      <w:r>
        <w:rPr/>
        <w:t>，有效期 三年，企业所得税优惠期为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日取得证书， 编号</w:t>
      </w:r>
      <w:r>
        <w:rPr>
          <w:rFonts w:ascii="Times New Roman" w:hAnsi="Times New Roman" w:cs="Times New Roman" w:eastAsia="Times New Roman" w:hint="default"/>
        </w:rPr>
        <w:t>GR201744008258</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132" w:firstLine="420"/>
        <w:jc w:val="both"/>
      </w:pPr>
      <w:r>
        <w:rPr>
          <w:spacing w:val="-1"/>
        </w:rPr>
        <w:t>子公司</w:t>
      </w:r>
      <w:r>
        <w:rPr>
          <w:rFonts w:ascii="Times New Roman" w:hAnsi="Times New Roman" w:cs="Times New Roman" w:eastAsia="Times New Roman" w:hint="default"/>
          <w:spacing w:val="-1"/>
        </w:rPr>
        <w:t>“</w:t>
      </w:r>
      <w:r>
        <w:rPr>
          <w:spacing w:val="-1"/>
        </w:rPr>
        <w:t>苏州美盈森环保科技有限公司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日被认定为国家高新技术企业，编号</w:t>
      </w:r>
      <w:r>
        <w:rPr>
          <w:rFonts w:ascii="Times New Roman" w:hAnsi="Times New Roman" w:cs="Times New Roman" w:eastAsia="Times New Roman" w:hint="default"/>
          <w:spacing w:val="-2"/>
        </w:rPr>
        <w:t>GR201432002227</w:t>
      </w:r>
      <w:r>
        <w:rPr>
          <w:spacing w:val="-2"/>
        </w:rPr>
        <w:t>，有效期三</w:t>
      </w:r>
      <w:r>
        <w:rPr/>
        <w:t> 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日取得证书，编 号</w:t>
      </w:r>
      <w:r>
        <w:rPr>
          <w:rFonts w:ascii="Times New Roman" w:hAnsi="Times New Roman" w:cs="Times New Roman" w:eastAsia="Times New Roman" w:hint="default"/>
        </w:rPr>
        <w:t>GR201732003893</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131" w:firstLine="420"/>
        <w:jc w:val="both"/>
      </w:pPr>
      <w:r>
        <w:rPr>
          <w:spacing w:val="-1"/>
        </w:rPr>
        <w:t>子公司</w:t>
      </w:r>
      <w:r>
        <w:rPr>
          <w:rFonts w:ascii="Times New Roman" w:hAnsi="Times New Roman" w:cs="Times New Roman" w:eastAsia="Times New Roman" w:hint="default"/>
          <w:spacing w:val="-1"/>
        </w:rPr>
        <w:t>“</w:t>
      </w:r>
      <w:r>
        <w:rPr>
          <w:spacing w:val="-1"/>
        </w:rPr>
        <w:t>东莞市美芯龙物联网科技有限公司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日被认定为国家高新技术企业，编号</w:t>
      </w:r>
      <w:r>
        <w:rPr>
          <w:rFonts w:ascii="Times New Roman" w:hAnsi="Times New Roman" w:cs="Times New Roman" w:eastAsia="Times New Roman" w:hint="default"/>
          <w:spacing w:val="-1"/>
        </w:rPr>
        <w:t>GR201644001621</w:t>
      </w:r>
      <w:r>
        <w:rPr>
          <w:spacing w:val="-1"/>
        </w:rPr>
        <w:t>，有效</w:t>
      </w:r>
      <w:r>
        <w:rPr/>
        <w:t> </w:t>
      </w:r>
      <w:r>
        <w:rPr>
          <w:spacing w:val="-2"/>
        </w:rPr>
        <w:t>期三年，自</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年所得税按</w:t>
      </w:r>
      <w:r>
        <w:rPr>
          <w:rFonts w:ascii="Times New Roman" w:hAnsi="Times New Roman" w:cs="Times New Roman" w:eastAsia="Times New Roman" w:hint="default"/>
          <w:spacing w:val="-2"/>
        </w:rPr>
        <w:t>15%</w:t>
      </w:r>
      <w:r>
        <w:rPr>
          <w:spacing w:val="-2"/>
        </w:rPr>
        <w:t>计算缴纳。</w:t>
      </w:r>
      <w:r>
        <w:rPr>
          <w:rFonts w:ascii="Times New Roman" w:hAnsi="Times New Roman" w:cs="Times New Roman" w:eastAsia="Times New Roman" w:hint="default"/>
          <w:spacing w:val="-2"/>
        </w:rPr>
        <w:t>2019</w:t>
      </w:r>
      <w:r>
        <w:rPr>
          <w:spacing w:val="-2"/>
        </w:rPr>
        <w:t>年度已提交高新技术企业申请资料，并已通过复审，本报告期所得</w:t>
      </w:r>
      <w:r>
        <w:rPr>
          <w:spacing w:val="-32"/>
        </w:rPr>
        <w:t> </w:t>
      </w:r>
      <w:r>
        <w:rPr>
          <w:spacing w:val="-32"/>
        </w:rPr>
      </w:r>
      <w:r>
        <w:rPr/>
        <w:t>税按</w:t>
      </w:r>
      <w:r>
        <w:rPr>
          <w:rFonts w:ascii="Times New Roman" w:hAnsi="Times New Roman" w:cs="Times New Roman" w:eastAsia="Times New Roman" w:hint="default"/>
        </w:rPr>
        <w:t>15%</w:t>
      </w:r>
      <w:r>
        <w:rPr/>
        <w:t>计算缴纳。</w:t>
      </w:r>
    </w:p>
    <w:p>
      <w:pPr>
        <w:pStyle w:val="BodyText"/>
        <w:spacing w:line="300" w:lineRule="auto" w:before="133"/>
        <w:ind w:right="0" w:firstLine="420"/>
        <w:jc w:val="left"/>
      </w:pPr>
      <w:r>
        <w:rPr>
          <w:spacing w:val="-4"/>
        </w:rPr>
        <w:t>子公司</w:t>
      </w:r>
      <w:r>
        <w:rPr>
          <w:rFonts w:ascii="Times New Roman" w:hAnsi="Times New Roman" w:cs="Times New Roman" w:eastAsia="Times New Roman" w:hint="default"/>
          <w:spacing w:val="-4"/>
        </w:rPr>
        <w:t>“</w:t>
      </w:r>
      <w:r>
        <w:rPr>
          <w:spacing w:val="-4"/>
        </w:rPr>
        <w:t>武汉市美盈森环保科技有限公司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成都市美盈森环保科技有限公司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郑州市美盈森环保科技有限公司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天</w:t>
      </w:r>
      <w:r>
        <w:rPr/>
        <w:t> </w:t>
      </w:r>
      <w:r>
        <w:rPr>
          <w:spacing w:val="-1"/>
        </w:rPr>
        <w:t>津美盈森智谷科技有限公司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长沙美盈森智谷科技有限公司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四川泸美供应链管理有限公司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小美集科技有限公司</w:t>
      </w:r>
      <w:r>
        <w:rPr>
          <w:rFonts w:ascii="Times New Roman" w:hAnsi="Times New Roman" w:cs="Times New Roman" w:eastAsia="Times New Roman" w:hint="default"/>
          <w:spacing w:val="-1"/>
        </w:rPr>
        <w:t>”</w:t>
      </w:r>
      <w:r>
        <w:rPr>
          <w:spacing w:val="-1"/>
        </w:rPr>
        <w:t>、</w:t>
      </w:r>
      <w:r>
        <w:rPr>
          <w:spacing w:val="-54"/>
        </w:rPr>
        <w:t> </w:t>
      </w:r>
      <w:r>
        <w:rPr>
          <w:rFonts w:ascii="Times New Roman" w:hAnsi="Times New Roman" w:cs="Times New Roman" w:eastAsia="Times New Roman" w:hint="default"/>
        </w:rPr>
        <w:t>“</w:t>
      </w:r>
      <w:r>
        <w:rPr/>
        <w:t>美莲检测有限公司</w:t>
      </w:r>
      <w:r>
        <w:rPr>
          <w:rFonts w:ascii="Times New Roman" w:hAnsi="Times New Roman" w:cs="Times New Roman" w:eastAsia="Times New Roman" w:hint="default"/>
        </w:rPr>
        <w:t>”</w:t>
      </w:r>
      <w:r>
        <w:rPr/>
        <w:t>等公司企业所得税税率均为</w:t>
      </w:r>
      <w:r>
        <w:rPr>
          <w:rFonts w:ascii="Times New Roman" w:hAnsi="Times New Roman" w:cs="Times New Roman" w:eastAsia="Times New Roman" w:hint="default"/>
        </w:rPr>
        <w:t>25%</w:t>
      </w:r>
      <w:r>
        <w:rPr/>
        <w:t>。</w:t>
      </w:r>
    </w:p>
    <w:p>
      <w:pPr>
        <w:pStyle w:val="BodyText"/>
        <w:spacing w:line="300" w:lineRule="auto" w:before="133"/>
        <w:ind w:right="1135" w:firstLine="420"/>
        <w:jc w:val="both"/>
      </w:pPr>
      <w:r>
        <w:rPr/>
        <w:t>子公司</w:t>
      </w:r>
      <w:r>
        <w:rPr>
          <w:spacing w:val="-20"/>
        </w:rPr>
        <w:t> </w:t>
      </w:r>
      <w:r>
        <w:rPr>
          <w:rFonts w:ascii="Times New Roman" w:hAnsi="Times New Roman" w:cs="Times New Roman" w:eastAsia="Times New Roman" w:hint="default"/>
        </w:rPr>
        <w:t>“</w:t>
      </w:r>
      <w:r>
        <w:rPr/>
        <w:t>中山市美盈森环保科技有限公司</w:t>
      </w:r>
      <w:r>
        <w:rPr>
          <w:rFonts w:ascii="Times New Roman" w:hAnsi="Times New Roman" w:cs="Times New Roman" w:eastAsia="Times New Roman" w:hint="default"/>
        </w:rPr>
        <w:t>”</w:t>
      </w:r>
      <w:r>
        <w:rPr/>
        <w:t>及东莞美盈森下属子公司</w:t>
      </w:r>
      <w:r>
        <w:rPr>
          <w:rFonts w:ascii="Times New Roman" w:hAnsi="Times New Roman" w:cs="Times New Roman" w:eastAsia="Times New Roman" w:hint="default"/>
        </w:rPr>
        <w:t>“</w:t>
      </w:r>
      <w:r>
        <w:rPr/>
        <w:t>东莞市美之兰环保科技有限公司</w:t>
      </w:r>
      <w:r>
        <w:rPr>
          <w:rFonts w:ascii="Times New Roman" w:hAnsi="Times New Roman" w:cs="Times New Roman" w:eastAsia="Times New Roman" w:hint="default"/>
        </w:rPr>
        <w:t>”</w:t>
      </w:r>
      <w:r>
        <w:rPr/>
        <w:t>符合小型微利企 业标准。</w:t>
      </w:r>
    </w:p>
    <w:p>
      <w:pPr>
        <w:pStyle w:val="BodyText"/>
        <w:spacing w:line="300" w:lineRule="auto" w:before="151"/>
        <w:ind w:right="1133" w:firstLine="420"/>
        <w:jc w:val="both"/>
      </w:pPr>
      <w:r>
        <w:rPr>
          <w:spacing w:val="-2"/>
        </w:rPr>
        <w:t>子公司</w:t>
      </w:r>
      <w:r>
        <w:rPr>
          <w:rFonts w:ascii="Times New Roman" w:hAnsi="Times New Roman" w:cs="Times New Roman" w:eastAsia="Times New Roman" w:hint="default"/>
          <w:spacing w:val="-2"/>
        </w:rPr>
        <w:t>“</w:t>
      </w:r>
      <w:r>
        <w:rPr>
          <w:spacing w:val="-2"/>
        </w:rPr>
        <w:t>重庆市美盈森环保包装工程有限公司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成都市美盈森环保科技有限公司</w:t>
      </w:r>
      <w:r>
        <w:rPr>
          <w:rFonts w:ascii="Times New Roman" w:hAnsi="Times New Roman" w:cs="Times New Roman" w:eastAsia="Times New Roman" w:hint="default"/>
          <w:spacing w:val="-2"/>
        </w:rPr>
        <w:t>”</w:t>
      </w:r>
      <w:r>
        <w:rPr>
          <w:spacing w:val="-2"/>
        </w:rPr>
        <w:t>因地处西部大开发区域，享受</w:t>
      </w:r>
      <w:r>
        <w:rPr>
          <w:rFonts w:ascii="Times New Roman" w:hAnsi="Times New Roman" w:cs="Times New Roman" w:eastAsia="Times New Roman" w:hint="default"/>
          <w:spacing w:val="-2"/>
        </w:rPr>
        <w:t>15%</w:t>
      </w:r>
      <w:r>
        <w:rPr>
          <w:spacing w:val="-2"/>
        </w:rPr>
        <w:t>的</w:t>
      </w:r>
      <w:r>
        <w:rPr/>
        <w:t> 企业所得税优惠税率。</w:t>
      </w:r>
    </w:p>
    <w:p>
      <w:pPr>
        <w:spacing w:after="0" w:line="300" w:lineRule="auto"/>
        <w:jc w:val="both"/>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00" w:lineRule="auto" w:before="37"/>
        <w:ind w:right="1035" w:firstLine="420"/>
        <w:jc w:val="left"/>
      </w:pPr>
      <w:r>
        <w:rPr>
          <w:spacing w:val="-1"/>
        </w:rPr>
        <w:t>根据香港特别行政区相关的税收政策规定，子公司</w:t>
      </w:r>
      <w:r>
        <w:rPr>
          <w:rFonts w:ascii="Times New Roman" w:hAnsi="Times New Roman" w:cs="Times New Roman" w:eastAsia="Times New Roman" w:hint="default"/>
          <w:spacing w:val="-1"/>
        </w:rPr>
        <w:t>“</w:t>
      </w:r>
      <w:r>
        <w:rPr>
          <w:spacing w:val="-1"/>
        </w:rPr>
        <w:t>美盈森（香港）国际控股有限公司</w:t>
      </w:r>
      <w:r>
        <w:rPr>
          <w:rFonts w:ascii="Times New Roman" w:hAnsi="Times New Roman" w:cs="Times New Roman" w:eastAsia="Times New Roman" w:hint="default"/>
          <w:spacing w:val="-1"/>
        </w:rPr>
        <w:t>”</w:t>
      </w:r>
      <w:r>
        <w:rPr>
          <w:spacing w:val="-1"/>
        </w:rPr>
        <w:t>只按</w:t>
      </w:r>
      <w:r>
        <w:rPr>
          <w:rFonts w:ascii="Times New Roman" w:hAnsi="Times New Roman" w:cs="Times New Roman" w:eastAsia="Times New Roman" w:hint="default"/>
          <w:spacing w:val="-1"/>
        </w:rPr>
        <w:t>16.50%</w:t>
      </w:r>
      <w:r>
        <w:rPr>
          <w:spacing w:val="-1"/>
        </w:rPr>
        <w:t>的税率计缴利得税，</w:t>
      </w:r>
      <w:r>
        <w:rPr/>
        <w:t> 无需缴纳其他税费。</w:t>
      </w:r>
    </w:p>
    <w:p>
      <w:pPr>
        <w:pStyle w:val="BodyText"/>
        <w:spacing w:line="240" w:lineRule="auto" w:before="151"/>
        <w:ind w:left="603" w:right="0"/>
        <w:jc w:val="left"/>
      </w:pPr>
      <w:r>
        <w:rPr/>
        <w:t>香港美盈森下属子公司台湾美盈森营利事业所得税率</w:t>
      </w:r>
      <w:r>
        <w:rPr>
          <w:rFonts w:ascii="Times New Roman" w:hAnsi="Times New Roman" w:cs="Times New Roman" w:eastAsia="Times New Roman" w:hint="default"/>
        </w:rPr>
        <w:t>17%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本公司其他税项按国家有关规定缴纳。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3"/>
        <w:spacing w:line="240" w:lineRule="auto"/>
        <w:ind w:right="0"/>
        <w:jc w:val="left"/>
        <w:rPr>
          <w:rFonts w:ascii="Tahoma" w:hAnsi="Tahoma" w:cs="Tahoma" w:eastAsia="Tahoma" w:hint="default"/>
        </w:rPr>
      </w:pPr>
      <w:r>
        <w:rPr/>
        <w:t>七、合并财务报表项目注释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、货币资金</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649,502.65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597,925.67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947,921,930.38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985,134,292.11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68,287,319.96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5,069,868.58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1,016,858,752.99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990,802,086.36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126,680,811.43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68,457,875.62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37,241,434.06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5"/>
        <w:ind w:right="0" w:firstLine="360"/>
        <w:jc w:val="left"/>
      </w:pPr>
      <w:r>
        <w:rPr>
          <w:spacing w:val="-3"/>
        </w:rPr>
        <w:t>注</w:t>
      </w:r>
      <w:r>
        <w:rPr>
          <w:rFonts w:ascii="Times New Roman" w:hAnsi="Times New Roman" w:cs="Times New Roman" w:eastAsia="Times New Roman" w:hint="default"/>
          <w:spacing w:val="-3"/>
        </w:rPr>
        <w:t>1</w:t>
      </w:r>
      <w:r>
        <w:rPr>
          <w:spacing w:val="-3"/>
        </w:rPr>
        <w:t>：期末其他货币资金中承兑汇票保证金金额为</w:t>
      </w:r>
      <w:r>
        <w:rPr>
          <w:rFonts w:ascii="Times New Roman" w:hAnsi="Times New Roman" w:cs="Times New Roman" w:eastAsia="Times New Roman" w:hint="default"/>
          <w:spacing w:val="-3"/>
        </w:rPr>
        <w:t>47,206,183.96</w:t>
      </w:r>
      <w:r>
        <w:rPr>
          <w:spacing w:val="-3"/>
        </w:rPr>
        <w:t>元，信用证保证金金额为</w:t>
      </w:r>
      <w:r>
        <w:rPr>
          <w:rFonts w:ascii="Times New Roman" w:hAnsi="Times New Roman" w:cs="Times New Roman" w:eastAsia="Times New Roman" w:hint="default"/>
          <w:spacing w:val="-3"/>
        </w:rPr>
        <w:t>21,078,475.33</w:t>
      </w:r>
      <w:r>
        <w:rPr>
          <w:spacing w:val="-3"/>
        </w:rPr>
        <w:t>元，其他为</w:t>
      </w:r>
      <w:r>
        <w:rPr>
          <w:rFonts w:ascii="Times New Roman" w:hAnsi="Times New Roman" w:cs="Times New Roman" w:eastAsia="Times New Roman" w:hint="default"/>
          <w:spacing w:val="-3"/>
        </w:rPr>
        <w:t>2,660.67</w:t>
      </w:r>
      <w:r>
        <w:rPr>
          <w:rFonts w:ascii="Times New Roman" w:hAnsi="Times New Roman" w:cs="Times New Roman" w:eastAsia="Times New Roman" w:hint="default"/>
        </w:rPr>
        <w:t> </w:t>
      </w:r>
      <w:r>
        <w:rPr/>
        <w:t>元。所有权受限制</w:t>
      </w:r>
      <w:r>
        <w:rPr>
          <w:rFonts w:ascii="Times New Roman" w:hAnsi="Times New Roman" w:cs="Times New Roman" w:eastAsia="Times New Roman" w:hint="default"/>
        </w:rPr>
        <w:t>3</w:t>
      </w:r>
      <w:r>
        <w:rPr/>
        <w:t>个月以上的货币资金金额为</w:t>
      </w:r>
      <w:r>
        <w:rPr>
          <w:rFonts w:ascii="Times New Roman" w:hAnsi="Times New Roman" w:cs="Times New Roman" w:eastAsia="Times New Roman" w:hint="default"/>
        </w:rPr>
        <w:t>37,241,434.06 </w:t>
      </w:r>
      <w:r>
        <w:rPr/>
        <w:t>元，其中定期存款</w:t>
      </w:r>
      <w:r>
        <w:rPr>
          <w:rFonts w:ascii="Times New Roman" w:hAnsi="Times New Roman" w:cs="Times New Roman" w:eastAsia="Times New Roman" w:hint="default"/>
        </w:rPr>
        <w:t>34,583,200.96</w:t>
      </w:r>
      <w:r>
        <w:rPr>
          <w:rFonts w:ascii="Times New Roman" w:hAnsi="Times New Roman" w:cs="Times New Roman" w:eastAsia="Times New Roman" w:hint="default"/>
          <w:spacing w:val="7"/>
        </w:rPr>
        <w:t> </w:t>
      </w:r>
      <w:r>
        <w:rPr/>
        <w:t>元，承兑汇票保证金 </w:t>
      </w:r>
      <w:r>
        <w:rPr>
          <w:rFonts w:ascii="Times New Roman" w:hAnsi="Times New Roman" w:cs="Times New Roman" w:eastAsia="Times New Roman" w:hint="default"/>
        </w:rPr>
        <w:t>2,658,233.10</w:t>
      </w:r>
      <w:r>
        <w:rPr/>
        <w:t>元；除此之外不存在其他因抵押或冻结等对使用有限制、存放在境外、有潜在回收风险的款项。</w:t>
      </w:r>
    </w:p>
    <w:p>
      <w:pPr>
        <w:pStyle w:val="BodyText"/>
        <w:spacing w:line="240" w:lineRule="auto" w:before="13"/>
        <w:ind w:left="512" w:right="0"/>
        <w:jc w:val="left"/>
      </w:pPr>
      <w:r>
        <w:rPr/>
        <w:t>注</w:t>
      </w:r>
      <w:r>
        <w:rPr>
          <w:rFonts w:ascii="Times New Roman" w:hAnsi="Times New Roman" w:cs="Times New Roman" w:eastAsia="Times New Roman" w:hint="default"/>
        </w:rPr>
        <w:t>2</w:t>
      </w:r>
      <w:r>
        <w:rPr/>
        <w:t>：期末银行存款中包含计提的尚未到期定期存款利息</w:t>
      </w:r>
      <w:r>
        <w:rPr>
          <w:rFonts w:ascii="Times New Roman" w:hAnsi="Times New Roman" w:cs="Times New Roman" w:eastAsia="Times New Roman" w:hint="default"/>
        </w:rPr>
        <w:t>400,770.66</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、交易性金融资产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508,908,643.58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740,838,727.02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508,908,643.58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740,838,727.02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508,908,643.58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740,838,727.02</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60" w:lineRule="auto" w:before="37"/>
        <w:ind w:right="5714"/>
        <w:jc w:val="left"/>
      </w:pPr>
      <w:r>
        <w:rPr/>
        <w:t>其他说明： 报告期末公司理财产品主要系保本浮动收益型结构性存款产品。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0"/>
        <w:jc w:val="left"/>
        <w:rPr>
          <w:rFonts w:ascii="Tahoma" w:hAnsi="Tahoma" w:cs="Tahoma" w:eastAsia="Tahoma" w:hint="default"/>
        </w:rPr>
      </w:pPr>
      <w:r>
        <w:rPr>
          <w:rFonts w:ascii="Tahoma" w:hAnsi="Tahoma" w:cs="Tahoma" w:eastAsia="Tahoma" w:hint="default"/>
        </w:rPr>
        <w:t>3</w:t>
      </w:r>
      <w:r>
        <w:rPr/>
        <w:t>、应收票据</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）应收票据分类列示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50,591,010.16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33,969,729.01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84,560,739.17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82,564,300.79</w:t>
            </w:r>
          </w:p>
        </w:tc>
      </w:tr>
    </w:tbl>
    <w:p>
      <w:pPr>
        <w:pStyle w:val="BodyText"/>
        <w:spacing w:line="240" w:lineRule="auto" w:before="49"/>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931"/>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84,560,7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39.17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84,560,73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0.79</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未逾期票据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84,560,7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39.17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84,560,73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0.79</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84,560,7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39.17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84,560,73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9.17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82,564,30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0.79</w:t>
            </w:r>
          </w:p>
        </w:tc>
      </w:tr>
    </w:tbl>
    <w:p>
      <w:pPr>
        <w:pStyle w:val="BodyText"/>
        <w:spacing w:line="240" w:lineRule="auto" w:before="49"/>
        <w:ind w:right="0"/>
        <w:jc w:val="left"/>
      </w:pPr>
      <w:r>
        <w:rPr/>
        <w:t>按单项计提坏账准备：</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pPr>
      <w:r>
        <w:rPr/>
        <w:t>按组合计提坏账准备：</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）本期计提、收回或转回的坏账准备情况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本期计提坏账准备情况：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0"/>
        <w:jc w:val="left"/>
      </w:pPr>
      <w:r>
        <w:rPr/>
        <w:t>其中本期坏账准备收回或转回金额重要的：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）期末公司已质押的应收票据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4774;height:392" coordorigin="17,14" coordsize="4774,392">
              <v:shape style="position:absolute;left:17;top:14;width:4774;height:392" coordorigin="17,14" coordsize="4774,392" path="m17,14l4790,14,4790,406,17,406,17,14xe" filled="true" fillcolor="#d3d3d3" stroked="false">
                <v:path arrowok="t"/>
                <v:fill type="solid"/>
              </v:shape>
            </v:group>
            <v:group style="position:absolute;left:4800;top:14;width:4774;height:392" coordorigin="4800,14" coordsize="4774,392">
              <v:shape style="position:absolute;left:4800;top:14;width:4774;height:392" coordorigin="4800,14" coordsize="4774,392" path="m4800,14l9574,14,9574,406,4800,406,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89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84;height:2" coordorigin="5,410" coordsize="4784,2">
              <v:shape style="position:absolute;left:5;top:410;width:4784;height:2" coordorigin="5,410" coordsize="4784,0" path="m5,410l4788,410e" filled="false" stroked="true" strokeweight=".479988pt" strokecolor="#000000">
                <v:path arrowok="t"/>
              </v:shape>
            </v:group>
            <v:group style="position:absolute;left:4793;top:14;width:2;height:401" coordorigin="4793,14" coordsize="2,401">
              <v:shape style="position:absolute;left:4793;top:14;width:2;height:401" coordorigin="4793,14" coordsize="0,401" path="m4793,14l4793,415e" filled="false" stroked="true" strokeweight=".48001pt" strokecolor="#000000">
                <v:path arrowok="t"/>
              </v:shape>
            </v:group>
            <v:group style="position:absolute;left:4798;top:410;width:4776;height:2" coordorigin="4798,410" coordsize="4776,2">
              <v:shape style="position:absolute;left:4798;top:410;width:4776;height:2" coordorigin="4798,410" coordsize="4776,0" path="m4798,410l9574,410e" filled="false" stroked="true" strokeweight=".479988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）期末公司已背书或贴现且在资产负债表日尚未到期的应收票据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49,194,075.62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49,194,075.62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）期末公司因出票人未履约而将其转应收账款的票据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4"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left="296" w:right="1123" w:hanging="144"/>
        <w:jc w:val="left"/>
      </w:pPr>
      <w:r>
        <w:rPr/>
        <w:t>其他说明 </w:t>
      </w:r>
      <w:r>
        <w:rPr>
          <w:spacing w:val="-1"/>
        </w:rPr>
        <w:t>银行承兑汇票的承兑人是商业银行，由于商业银行具有较高的信用，银行承兑汇票到期不获支付的可能性较低，故本公司</w:t>
      </w:r>
    </w:p>
    <w:p>
      <w:pPr>
        <w:pStyle w:val="BodyText"/>
        <w:spacing w:line="224" w:lineRule="exact"/>
        <w:ind w:right="0"/>
        <w:jc w:val="left"/>
      </w:pPr>
      <w:r>
        <w:rPr/>
        <w:t>将已背书或贴现的银行承兑汇票予以终止确认。但如果该等票据到期不获支付，依据《票据法》之规定，公司仍将对持票人</w:t>
      </w:r>
    </w:p>
    <w:p>
      <w:pPr>
        <w:pStyle w:val="BodyText"/>
        <w:spacing w:line="316" w:lineRule="auto" w:before="76"/>
        <w:ind w:left="368" w:right="5858" w:hanging="216"/>
        <w:jc w:val="left"/>
      </w:pPr>
      <w:r>
        <w:rPr/>
        <w:t>承担连带责任。 期末公司不存在因出票人未履约而将其转应收账款的票据。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t>（</w:t>
      </w:r>
      <w:r>
        <w:rPr>
          <w:rFonts w:ascii="Tahoma" w:hAnsi="Tahoma" w:cs="Tahoma" w:eastAsia="Tahoma" w:hint="default"/>
        </w:rPr>
        <w:t>6</w:t>
      </w:r>
      <w:r>
        <w:rPr/>
        <w:t>）本期实际核销的应收票据情况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4774;height:392" coordorigin="17,14" coordsize="4774,392">
              <v:shape style="position:absolute;left:17;top:14;width:4774;height:392" coordorigin="17,14" coordsize="4774,392" path="m17,14l4790,14,4790,406,17,406,17,14xe" filled="true" fillcolor="#d3d3d3" stroked="false">
                <v:path arrowok="t"/>
                <v:fill type="solid"/>
              </v:shape>
            </v:group>
            <v:group style="position:absolute;left:4800;top:14;width:4774;height:392" coordorigin="4800,14" coordsize="4774,392">
              <v:shape style="position:absolute;left:4800;top:14;width:4774;height:392" coordorigin="4800,14" coordsize="4774,392" path="m4800,14l9574,14,9574,406,4800,406,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84;height:2" coordorigin="5,410" coordsize="4784,2">
              <v:shape style="position:absolute;left:5;top:410;width:4784;height:2" coordorigin="5,410" coordsize="4784,0" path="m5,410l4788,410e" filled="false" stroked="true" strokeweight=".480011pt" strokecolor="#000000">
                <v:path arrowok="t"/>
              </v:shape>
            </v:group>
            <v:group style="position:absolute;left:4793;top:14;width:2;height:401" coordorigin="4793,14" coordsize="2,401">
              <v:shape style="position:absolute;left:4793;top:14;width:2;height:401" coordorigin="4793,14" coordsize="0,401" path="m4793,14l4793,415e" filled="false" stroked="true" strokeweight=".48001pt" strokecolor="#000000">
                <v:path arrowok="t"/>
              </v:shape>
            </v:group>
            <v:group style="position:absolute;left:4798;top:410;width:4776;height:2" coordorigin="4798,410" coordsize="4776,2">
              <v:shape style="position:absolute;left:4798;top:410;width:4776;height:2" coordorigin="4798,410" coordsize="4776,0" path="m4798,410l9574,410e" filled="false" stroked="true" strokeweight=".480011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6;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其中重要的应收票据核销情况：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footerReference w:type="default" r:id="rId47"/>
          <w:pgSz w:w="11910" w:h="16840"/>
          <w:pgMar w:footer="982" w:header="885" w:top="1100" w:bottom="1180" w:left="980" w:right="0"/>
          <w:pgNumType w:start="60"/>
        </w:sectPr>
      </w:pPr>
    </w:p>
    <w:p>
      <w:pPr>
        <w:spacing w:line="240" w:lineRule="auto" w:before="5"/>
        <w:rPr>
          <w:rFonts w:ascii="宋体" w:hAnsi="宋体" w:cs="宋体" w:eastAsia="宋体" w:hint="default"/>
          <w:sz w:val="22"/>
          <w:szCs w:val="22"/>
        </w:rPr>
      </w:pPr>
    </w:p>
    <w:p>
      <w:pPr>
        <w:pStyle w:val="BodyText"/>
        <w:spacing w:line="360" w:lineRule="auto" w:before="37"/>
        <w:ind w:right="9134"/>
        <w:jc w:val="left"/>
      </w:pPr>
      <w:r>
        <w:rPr/>
        <w:t>应收票据核销说明：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、应收账款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）应收账款分类披露</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1,194,07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1,194,07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8,432,177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4,996,834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1,194,07</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1,194,07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3,435,343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3,435,343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1,163,96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6,948.56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75,185,5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1,088,781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,408.55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1,066,570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68,452,53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998,117,66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应收客户款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1,163,96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6,948.56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75,185,5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1,088,781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,408.55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1,066,570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68,452,53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998,117,66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1.52</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1,165,16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1,024.59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76,379,6</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16.04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1,088,781</w:t>
            </w:r>
          </w:p>
          <w:p>
            <w:pPr>
              <w:pStyle w:val="TableParagraph"/>
              <w:spacing w:line="240" w:lineRule="auto" w:before="102"/>
              <w:ind w:left="193" w:right="0"/>
              <w:jc w:val="center"/>
              <w:rPr>
                <w:rFonts w:ascii="Times New Roman" w:hAnsi="Times New Roman" w:cs="Times New Roman" w:eastAsia="Times New Roman" w:hint="default"/>
                <w:sz w:val="18"/>
                <w:szCs w:val="18"/>
              </w:rPr>
            </w:pPr>
            <w:r>
              <w:rPr>
                <w:rFonts w:ascii="Times New Roman"/>
                <w:sz w:val="18"/>
              </w:rPr>
              <w:t>,408.55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1,075,002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,373.23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76,884,71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998,117,66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1.52</w:t>
            </w:r>
          </w:p>
        </w:tc>
      </w:tr>
    </w:tbl>
    <w:p>
      <w:pPr>
        <w:pStyle w:val="BodyText"/>
        <w:spacing w:line="240" w:lineRule="auto" w:before="4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1,194,076.03</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成都三叶鞋业有限公司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362,437.54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362,437.54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成都双流新得亿鞋业有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231,638.49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231,638.49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重庆重光玻璃制品有限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1,194,076.03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1,194,076.03</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75,185,540.01</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按组合计提坏账准备的应收 账款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1,163,966,948.56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75,185,540.01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1,163,966,948.56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75,185,540.01</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5" w:footer="982" w:top="1100" w:bottom="1180" w:left="980" w:right="0"/>
        </w:sectPr>
      </w:pPr>
    </w:p>
    <w:p>
      <w:pPr>
        <w:pStyle w:val="BodyText"/>
        <w:spacing w:line="357" w:lineRule="auto" w:before="49"/>
        <w:ind w:right="-20"/>
        <w:jc w:val="left"/>
      </w:pPr>
      <w:r>
        <w:rPr/>
        <w:t>确定该组合依据的说明： 无</w:t>
      </w:r>
    </w:p>
    <w:p>
      <w:pPr>
        <w:pStyle w:val="BodyText"/>
        <w:spacing w:line="240" w:lineRule="auto" w:before="29"/>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133" w:space="6694"/>
            <w:col w:w="210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按账龄披露</w:t>
      </w:r>
    </w:p>
    <w:p>
      <w:pPr>
        <w:pStyle w:val="BodyText"/>
        <w:spacing w:line="240" w:lineRule="auto" w:before="41"/>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1,129,264,909.01</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1,129,264,909.01</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7,218,039.87</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11,357,605.78</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17,320,469.93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3,686,523.13</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13,633,946.80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1,165,161,024.59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）本期计提、收回或转回的坏账准备情况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本期计提坏账准备情况：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4783"/>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4"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独计提坏账准备的</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4,996,834.14</w:t>
            </w: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4,996,834.14</w:t>
            </w:r>
          </w:p>
        </w:tc>
        <w:tc>
          <w:tcPr>
            <w:tcW w:w="1594" w:type="dxa"/>
            <w:vMerge/>
            <w:tcBorders>
              <w:left w:val="single" w:sz="4" w:space="0" w:color="000000"/>
              <w:right w:val="single" w:sz="4" w:space="0" w:color="000000"/>
            </w:tcBorders>
          </w:tcPr>
          <w:p>
            <w:pPr/>
          </w:p>
        </w:tc>
      </w:tr>
      <w:tr>
        <w:trPr>
          <w:trHeight w:val="350"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单独计提坏账准备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3,435,343.79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600,000.00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219,512.12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2,621,755.64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1,194,076.03</w:t>
            </w:r>
          </w:p>
        </w:tc>
      </w:tr>
      <w:tr>
        <w:trPr>
          <w:trHeight w:val="349"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68,452,533.78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12,169,741.16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2,797,082.97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2,639,651.96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75,185,540.01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76,884,711.71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12,769,741.16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3,016,595.09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10,258,241.74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76,379,616.04</w:t>
            </w:r>
          </w:p>
        </w:tc>
      </w:tr>
    </w:tbl>
    <w:p>
      <w:pPr>
        <w:pStyle w:val="BodyText"/>
        <w:spacing w:line="240" w:lineRule="auto" w:before="49"/>
        <w:ind w:right="0"/>
        <w:jc w:val="left"/>
      </w:pPr>
      <w:r>
        <w:rPr/>
        <w:t>其中本期坏账准备收回或转回金额重要的：</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3</w:t>
      </w:r>
      <w:r>
        <w:rPr/>
        <w:t>）本期实际核销的应收账款情况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客户货款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10,258,241.74</w:t>
            </w:r>
          </w:p>
        </w:tc>
      </w:tr>
    </w:tbl>
    <w:p>
      <w:pPr>
        <w:pStyle w:val="BodyText"/>
        <w:spacing w:line="240" w:lineRule="auto" w:before="49"/>
        <w:ind w:right="0"/>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遵义市盛发实业有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4,996,834.14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债务人宣告破产无 履约能力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上海靓讯工贸有限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668,063.30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法院判决书显示债 务人无履约能力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广州南方高科有限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320,652.04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重庆市太白酒厂销 售公司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250,409.02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深圳市金鸿彩包装 制品有限公司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210,710.50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6,446,669.00</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134"/>
        <w:jc w:val="left"/>
      </w:pPr>
      <w:r>
        <w:rPr/>
        <w:t>应收账款核销说明： 无</w:t>
      </w:r>
    </w:p>
    <w:p>
      <w:pPr>
        <w:spacing w:after="0" w:line="36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）按欠款方归集的期末余额前五名的应收账款情况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80"/>
        <w:gridCol w:w="2530"/>
        <w:gridCol w:w="2530"/>
        <w:gridCol w:w="2527"/>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88,001,014.49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4,400,050.72</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54,195,783.49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2,709,789.17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49,316,048.26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2,465,802.41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34,977,919.89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1,748,895.99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32,938,570.94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1,646,928.55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259,429,337.07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22.26%</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）因金融资产转移而终止确认的应收账款</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6</w:t>
      </w:r>
      <w:r>
        <w:rPr/>
        <w:t>）转移应收账款且继续涉入形成的资产、负债金额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、预付款项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）预付款项按账龄列示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17,819,277.70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91.64%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8,818,115.52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287,433.27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999,532.80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688,569.16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279,049.30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649,942.91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336,151.73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19,445,223.04</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10,432,849.35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5895"/>
        <w:jc w:val="left"/>
      </w:pPr>
      <w:r>
        <w:rPr/>
        <w:t>账龄超过</w:t>
      </w:r>
      <w:r>
        <w:rPr>
          <w:spacing w:val="-46"/>
        </w:rPr>
        <w:t> </w:t>
      </w:r>
      <w:r>
        <w:rPr>
          <w:rFonts w:ascii="Times New Roman" w:hAnsi="Times New Roman" w:cs="Times New Roman" w:eastAsia="Times New Roman" w:hint="default"/>
        </w:rPr>
        <w:t>1 </w:t>
      </w:r>
      <w:r>
        <w:rPr/>
        <w:t>年且金额重要的预付款项未及时结算原因的说明： 无</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）按预付对象归集的期末余额前五名的预付款情况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159"/>
        <w:gridCol w:w="2626"/>
        <w:gridCol w:w="3070"/>
      </w:tblGrid>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17" w:right="0"/>
              <w:jc w:val="left"/>
              <w:rPr>
                <w:rFonts w:ascii="宋体" w:hAnsi="宋体" w:cs="宋体" w:eastAsia="宋体" w:hint="default"/>
                <w:sz w:val="18"/>
                <w:szCs w:val="18"/>
              </w:rPr>
            </w:pPr>
            <w:r>
              <w:rPr>
                <w:rFonts w:ascii="宋体" w:hAnsi="宋体" w:cs="宋体" w:eastAsia="宋体" w:hint="default"/>
                <w:sz w:val="18"/>
                <w:szCs w:val="18"/>
              </w:rPr>
              <w:t>占预付账款金额比例</w:t>
            </w:r>
          </w:p>
        </w:tc>
      </w:tr>
    </w:tbl>
    <w:p>
      <w:pPr>
        <w:spacing w:after="0" w:line="240"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Tahoma" w:hAnsi="Tahoma" w:cs="Tahoma" w:eastAsia="Tahoma"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4159"/>
        <w:gridCol w:w="2626"/>
        <w:gridCol w:w="3070"/>
      </w:tblGrid>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Sappi papier Hdding</w:t>
            </w:r>
            <w:r>
              <w:rPr>
                <w:rFonts w:ascii="Times New Roman"/>
                <w:spacing w:val="-7"/>
                <w:sz w:val="18"/>
              </w:rPr>
              <w:t> </w:t>
            </w:r>
            <w:r>
              <w:rPr>
                <w:rFonts w:ascii="Times New Roman"/>
                <w:sz w:val="18"/>
              </w:rPr>
              <w:t>Gmbh</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8,868,479.85</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45.61%</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安徽蓝天盈丰环保科技有限公司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2,018,201.67</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10.38%</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毕瑞贸易（上海）有限公司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1,522,548.00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7.83%</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江苏省电力公司吴江市供电公司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695,418.58</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3.58%</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深圳特科姆印刷技术有限公司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3.39%</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42" w:right="0"/>
              <w:jc w:val="left"/>
              <w:rPr>
                <w:rFonts w:ascii="Times New Roman" w:hAnsi="Times New Roman" w:cs="Times New Roman" w:eastAsia="Times New Roman" w:hint="default"/>
                <w:sz w:val="18"/>
                <w:szCs w:val="18"/>
              </w:rPr>
            </w:pPr>
            <w:r>
              <w:rPr>
                <w:rFonts w:ascii="Times New Roman"/>
                <w:sz w:val="18"/>
              </w:rPr>
              <w:t>13,764,648.10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70.79%</w:t>
            </w:r>
          </w:p>
        </w:tc>
      </w:tr>
    </w:tbl>
    <w:p>
      <w:pPr>
        <w:spacing w:line="240" w:lineRule="auto" w:before="10"/>
        <w:rPr>
          <w:rFonts w:ascii="Tahoma" w:hAnsi="Tahoma" w:cs="Tahoma" w:eastAsia="Tahoma" w:hint="default"/>
          <w:sz w:val="26"/>
          <w:szCs w:val="26"/>
        </w:rPr>
      </w:pPr>
    </w:p>
    <w:p>
      <w:pPr>
        <w:pStyle w:val="BodyText"/>
        <w:spacing w:line="357" w:lineRule="auto" w:before="37"/>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6</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93,467,618.53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57,934,852.99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93,467,618.53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57,934,852.99</w:t>
            </w:r>
          </w:p>
        </w:tc>
      </w:tr>
    </w:tbl>
    <w:p>
      <w:pPr>
        <w:spacing w:line="240" w:lineRule="auto" w:before="3"/>
        <w:rPr>
          <w:rFonts w:ascii="宋体" w:hAnsi="宋体" w:cs="宋体" w:eastAsia="宋体" w:hint="default"/>
          <w:sz w:val="19"/>
          <w:szCs w:val="19"/>
        </w:rPr>
      </w:pPr>
    </w:p>
    <w:p>
      <w:pPr>
        <w:pStyle w:val="Heading4"/>
        <w:spacing w:line="508" w:lineRule="auto" w:before="36"/>
        <w:ind w:right="859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t>1</w:t>
      </w:r>
      <w:r>
        <w:rPr/>
        <w:t>）应收利息分类</w:t>
      </w:r>
      <w:r>
        <w:rPr>
          <w:rFonts w:ascii="Tahoma" w:hAnsi="Tahoma" w:cs="Tahoma" w:eastAsia="Tahoma" w:hint="default"/>
          <w:w w:val="80"/>
        </w:rPr>
        <w:t> </w:t>
      </w:r>
      <w:r>
        <w:rPr>
          <w:rFonts w:ascii="Tahoma" w:hAnsi="Tahoma" w:cs="Tahoma" w:eastAsia="Tahoma" w:hint="default"/>
        </w:rPr>
      </w:r>
    </w:p>
    <w:p>
      <w:pPr>
        <w:pStyle w:val="BodyText"/>
        <w:spacing w:line="240" w:lineRule="auto" w:before="62"/>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）重要逾期利息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511" w:lineRule="auto" w:before="36"/>
        <w:ind w:right="8594"/>
        <w:jc w:val="left"/>
        <w:rPr>
          <w:rFonts w:ascii="Tahoma" w:hAnsi="Tahoma" w:cs="Tahoma" w:eastAsia="Tahoma" w:hint="default"/>
        </w:rPr>
      </w:pPr>
      <w:r>
        <w:rPr/>
        <w:t>（</w:t>
      </w:r>
      <w:r>
        <w:rPr>
          <w:rFonts w:ascii="Tahoma" w:hAnsi="Tahoma" w:cs="Tahoma" w:eastAsia="Tahoma" w:hint="default"/>
        </w:rPr>
        <w:t>2</w:t>
      </w:r>
      <w:r>
        <w:rPr/>
        <w:t>）应收股利</w:t>
      </w:r>
      <w:r>
        <w:rPr>
          <w:rFonts w:ascii="Tahoma" w:hAnsi="Tahoma" w:cs="Tahoma" w:eastAsia="Tahoma" w:hint="default"/>
          <w:w w:val="80"/>
        </w:rPr>
        <w:t> </w:t>
      </w:r>
      <w:r>
        <w:rPr>
          <w:rFonts w:ascii="Tahoma" w:hAnsi="Tahoma" w:cs="Tahoma" w:eastAsia="Tahoma" w:hint="default"/>
        </w:rPr>
        <w:t>1</w:t>
      </w:r>
      <w:r>
        <w:rPr/>
        <w:t>）应收股利分类</w:t>
      </w:r>
      <w:r>
        <w:rPr>
          <w:rFonts w:ascii="Tahoma" w:hAnsi="Tahoma" w:cs="Tahoma" w:eastAsia="Tahoma" w:hint="default"/>
          <w:w w:val="80"/>
        </w:rPr>
        <w:t> </w:t>
      </w:r>
      <w:r>
        <w:rPr>
          <w:rFonts w:ascii="Tahoma" w:hAnsi="Tahoma" w:cs="Tahoma" w:eastAsia="Tahoma" w:hint="default"/>
        </w:rPr>
      </w:r>
    </w:p>
    <w:p>
      <w:pPr>
        <w:pStyle w:val="BodyText"/>
        <w:spacing w:line="240" w:lineRule="auto" w:before="5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）重要的账龄超过</w:t>
      </w:r>
      <w:r>
        <w:rPr>
          <w:spacing w:val="-57"/>
        </w:rPr>
        <w:t> </w:t>
      </w:r>
      <w:r>
        <w:rPr>
          <w:rFonts w:ascii="Tahoma" w:hAnsi="Tahoma" w:cs="Tahoma" w:eastAsia="Tahoma" w:hint="default"/>
        </w:rPr>
        <w:t>1</w:t>
      </w:r>
      <w:r>
        <w:rPr>
          <w:rFonts w:ascii="Tahoma" w:hAnsi="Tahoma" w:cs="Tahoma" w:eastAsia="Tahoma" w:hint="default"/>
          <w:spacing w:val="-20"/>
        </w:rPr>
        <w:t> </w:t>
      </w:r>
      <w:r>
        <w:rPr/>
        <w:t>年的应收股利</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其他说明：</w:t>
      </w:r>
    </w:p>
    <w:p>
      <w:pPr>
        <w:pStyle w:val="BodyText"/>
        <w:spacing w:line="240" w:lineRule="auto" w:before="43"/>
        <w:ind w:right="0"/>
        <w:jc w:val="left"/>
      </w:pPr>
      <w:r>
        <w:rPr/>
        <w:t>无</w:t>
      </w:r>
    </w:p>
    <w:p>
      <w:pPr>
        <w:spacing w:line="240" w:lineRule="auto" w:before="0"/>
        <w:rPr>
          <w:rFonts w:ascii="宋体" w:hAnsi="宋体" w:cs="宋体" w:eastAsia="宋体" w:hint="default"/>
          <w:sz w:val="18"/>
          <w:szCs w:val="18"/>
        </w:rPr>
      </w:pPr>
    </w:p>
    <w:p>
      <w:pPr>
        <w:pStyle w:val="Heading4"/>
        <w:spacing w:line="511" w:lineRule="auto" w:before="120"/>
        <w:ind w:right="6474"/>
        <w:jc w:val="left"/>
        <w:rPr>
          <w:rFonts w:ascii="Tahoma" w:hAnsi="Tahoma" w:cs="Tahoma" w:eastAsia="Tahoma" w:hint="default"/>
        </w:rPr>
      </w:pPr>
      <w:r>
        <w:rPr/>
        <w:t>（</w:t>
      </w:r>
      <w:r>
        <w:rPr>
          <w:rFonts w:ascii="Tahoma" w:hAnsi="Tahoma" w:cs="Tahoma" w:eastAsia="Tahoma" w:hint="default"/>
        </w:rPr>
        <w:t>3</w:t>
      </w:r>
      <w:r>
        <w:rPr/>
        <w:t>）其他应收款</w:t>
      </w:r>
      <w:r>
        <w:rPr>
          <w:rFonts w:ascii="Tahoma" w:hAnsi="Tahoma" w:cs="Tahoma" w:eastAsia="Tahoma" w:hint="default"/>
          <w:w w:val="80"/>
        </w:rPr>
        <w:t> </w:t>
      </w:r>
      <w:r>
        <w:rPr>
          <w:rFonts w:ascii="Tahoma" w:hAnsi="Tahoma" w:cs="Tahoma" w:eastAsia="Tahoma" w:hint="default"/>
        </w:rPr>
        <w:t>1</w:t>
      </w:r>
      <w:r>
        <w:rPr/>
        <w:t>）其他应收款按款项性质分类情况</w:t>
      </w:r>
      <w:r>
        <w:rPr>
          <w:rFonts w:ascii="Tahoma" w:hAnsi="Tahoma" w:cs="Tahoma" w:eastAsia="Tahoma" w:hint="default"/>
          <w:w w:val="80"/>
        </w:rPr>
        <w:t> </w:t>
      </w:r>
      <w:r>
        <w:rPr>
          <w:rFonts w:ascii="Tahoma" w:hAnsi="Tahoma" w:cs="Tahoma" w:eastAsia="Tahoma" w:hint="default"/>
        </w:rPr>
      </w:r>
    </w:p>
    <w:p>
      <w:pPr>
        <w:pStyle w:val="BodyText"/>
        <w:spacing w:line="240" w:lineRule="auto" w:before="5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47,853,541.68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27,160,879.07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31,904,044.84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20,811,036.59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10,988,780.55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8,407,890.99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车辆储值卡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68,652.13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3,371,333.30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2,162,869.21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94,136,675.81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58,611,327.99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676,475.00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676,475.00</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45,582.28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45,582.28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53,000.00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669,057.28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669,057.28</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933" w:space="489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56,551,535.76</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56,551,535.76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19,927,053.07</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5,169,394.34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12,488,692.64</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7,945,069.18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4,543,623.46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94,136,675.81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）本期计提、收回或转回的坏账准备情况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t>本期计提坏账准备情况：</w:t>
      </w:r>
    </w:p>
    <w:p>
      <w:pPr>
        <w:pStyle w:val="BodyText"/>
        <w:spacing w:line="240" w:lineRule="auto" w:before="11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721"/>
        <w:gridCol w:w="1342"/>
        <w:gridCol w:w="1457"/>
        <w:gridCol w:w="1594"/>
        <w:gridCol w:w="1334"/>
        <w:gridCol w:w="2122"/>
      </w:tblGrid>
      <w:tr>
        <w:trPr>
          <w:trHeight w:val="401" w:hRule="exact"/>
        </w:trPr>
        <w:tc>
          <w:tcPr>
            <w:tcW w:w="17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721" w:type="dxa"/>
            <w:vMerge/>
            <w:tcBorders>
              <w:left w:val="single" w:sz="4" w:space="0" w:color="000000"/>
              <w:bottom w:val="single" w:sz="4" w:space="0" w:color="000000"/>
              <w:right w:val="single" w:sz="4" w:space="0" w:color="000000"/>
            </w:tcBorders>
            <w:shd w:val="clear" w:color="auto" w:fill="D3D3D3"/>
          </w:tcPr>
          <w:p>
            <w:pPr/>
          </w:p>
        </w:tc>
        <w:tc>
          <w:tcPr>
            <w:tcW w:w="1342" w:type="dxa"/>
            <w:vMerge/>
            <w:tcBorders>
              <w:left w:val="single" w:sz="4" w:space="0" w:color="000000"/>
              <w:bottom w:val="single" w:sz="4" w:space="0" w:color="000000"/>
              <w:right w:val="single" w:sz="4" w:space="0" w:color="000000"/>
            </w:tcBorders>
            <w:shd w:val="clear" w:color="auto" w:fill="D3D3D3"/>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22" w:type="dxa"/>
            <w:vMerge/>
            <w:tcBorders>
              <w:left w:val="single" w:sz="4" w:space="0" w:color="000000"/>
              <w:bottom w:val="single" w:sz="4" w:space="0" w:color="000000"/>
              <w:right w:val="single" w:sz="4" w:space="0" w:color="000000"/>
            </w:tcBorders>
            <w:shd w:val="clear" w:color="auto" w:fill="D3D3D3"/>
          </w:tcPr>
          <w:p>
            <w:pPr/>
          </w:p>
        </w:tc>
      </w:tr>
      <w:tr>
        <w:trPr>
          <w:trHeight w:val="362" w:hRule="exact"/>
        </w:trPr>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单项金额不重大但单</w:t>
            </w:r>
          </w:p>
        </w:tc>
        <w:tc>
          <w:tcPr>
            <w:tcW w:w="1342" w:type="dxa"/>
            <w:tcBorders>
              <w:top w:val="single" w:sz="4" w:space="0" w:color="000000"/>
              <w:left w:val="single" w:sz="4" w:space="0" w:color="000000"/>
              <w:bottom w:val="nil" w:sz="6" w:space="0" w:color="auto"/>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212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独计提坏账准备的其</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623,475.00</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45,428.30</w:t>
            </w:r>
          </w:p>
        </w:tc>
        <w:tc>
          <w:tcPr>
            <w:tcW w:w="1594"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668,903.30</w:t>
            </w:r>
          </w:p>
        </w:tc>
      </w:tr>
      <w:tr>
        <w:trPr>
          <w:trHeight w:val="350" w:hRule="exact"/>
        </w:trPr>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212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tc>
        <w:tc>
          <w:tcPr>
            <w:tcW w:w="1342" w:type="dxa"/>
            <w:tcBorders>
              <w:top w:val="single" w:sz="4" w:space="0" w:color="000000"/>
              <w:left w:val="single" w:sz="4" w:space="0" w:color="000000"/>
              <w:bottom w:val="nil" w:sz="6" w:space="0" w:color="auto"/>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212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计提坏账准备的其他</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153.98</w:t>
            </w:r>
          </w:p>
        </w:tc>
        <w:tc>
          <w:tcPr>
            <w:tcW w:w="1594" w:type="dxa"/>
            <w:vMerge/>
            <w:tcBorders>
              <w:left w:val="single" w:sz="4" w:space="0" w:color="000000"/>
              <w:right w:val="single" w:sz="4" w:space="0" w:color="000000"/>
            </w:tcBorders>
          </w:tcPr>
          <w:p>
            <w:pP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153.98</w:t>
            </w:r>
          </w:p>
        </w:tc>
      </w:tr>
      <w:tr>
        <w:trPr>
          <w:trHeight w:val="351" w:hRule="exact"/>
        </w:trPr>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42"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212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676,475.00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45,582.28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669,057.28</w:t>
            </w:r>
          </w:p>
        </w:tc>
      </w:tr>
    </w:tbl>
    <w:p>
      <w:pPr>
        <w:pStyle w:val="BodyText"/>
        <w:spacing w:line="240" w:lineRule="auto" w:before="8"/>
        <w:ind w:right="0"/>
        <w:jc w:val="left"/>
      </w:pPr>
      <w:r>
        <w:rPr/>
        <w:t>注：其他应收款主要是保证金、备用金等，故未计提坏账准备。</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80" w:left="980" w:right="0"/>
        </w:sectPr>
      </w:pPr>
    </w:p>
    <w:p>
      <w:pPr>
        <w:pStyle w:val="Heading3"/>
        <w:spacing w:line="240" w:lineRule="auto" w:before="16"/>
        <w:ind w:right="-20"/>
        <w:jc w:val="left"/>
      </w:pP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713" w:space="4114"/>
            <w:col w:w="2103"/>
          </w:cols>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9"/>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4</w:t>
      </w:r>
      <w:r>
        <w:rPr/>
        <w:t>）本期实际核销的其他应收款情况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加工费及货款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53,000.00</w:t>
            </w:r>
          </w:p>
        </w:tc>
      </w:tr>
    </w:tbl>
    <w:p>
      <w:pPr>
        <w:pStyle w:val="BodyText"/>
        <w:spacing w:line="240" w:lineRule="auto" w:before="49"/>
        <w:ind w:right="0"/>
        <w:jc w:val="left"/>
      </w:pPr>
      <w:r>
        <w:rPr/>
        <w:t>其中重要的其他应收款核销情况：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954"/>
        <w:jc w:val="left"/>
      </w:pPr>
      <w:r>
        <w:rPr/>
        <w:t>其他应收款核销说明：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）按欠款方归集的期末余额前五名的其他应收款情况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东莞市第三人民法 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17.00%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宁乡经济技术开发 区建设投资有限公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泸州老窖酿酒有限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深圳市贵湖塘股份 合作公司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26,078,600.00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27.70%</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6</w:t>
      </w:r>
      <w:r>
        <w:rPr/>
        <w:t>）涉及政府补助的应收款项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7</w:t>
      </w:r>
      <w:r>
        <w:rPr/>
        <w:t>）因金融资产转移而终止确认的其他应收款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8</w:t>
      </w:r>
      <w:r>
        <w:rPr/>
        <w:t>）转移其他应收款且继续涉入形成的资产、负债金额</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7</w:t>
      </w:r>
      <w:r>
        <w:rPr/>
        <w:t>、存货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1</w:t>
      </w:r>
      <w:r>
        <w:rPr/>
        <w:t>）存货分类</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383,458,413.00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383,458,413.00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361,701,064.01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147,228.53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361,553,835.48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73,792,392.59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73,792,392.59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47,147,295.79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47,147,295.79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234,823,482.65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6,709,682.80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228,113,799.85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234,948,849.69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7,509,772.71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227,439,076.98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110,398.11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110,398.11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803,978.35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803,978.35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43,591,765.39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747,289.62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42,844,475.77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31,001,992.55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747,289.62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30,254,702.93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289,208.94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289,208.94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736,065,660.68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7,456,972.42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728,608,688.26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675,603,180.39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8,404,290.86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667,198,889.53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）存货跌价准备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147,228.53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147,228.53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7,509,772.71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2,531,536.44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3,331,626.35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6,709,682.80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747,289.62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747,289.62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8,404,290.86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2,531,536.44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3,478,854.88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7,456,972.42</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9"/>
        <w:rPr>
          <w:rFonts w:ascii="宋体" w:hAnsi="宋体" w:cs="宋体" w:eastAsia="宋体" w:hint="default"/>
          <w:sz w:val="21"/>
          <w:szCs w:val="21"/>
        </w:rPr>
      </w:pPr>
    </w:p>
    <w:p>
      <w:pPr>
        <w:spacing w:before="29"/>
        <w:ind w:left="152" w:right="0" w:firstLine="0"/>
        <w:jc w:val="left"/>
        <w:rPr>
          <w:rFonts w:ascii="宋体" w:hAnsi="宋体" w:cs="宋体" w:eastAsia="宋体" w:hint="default"/>
          <w:sz w:val="20"/>
          <w:szCs w:val="20"/>
        </w:rPr>
      </w:pPr>
      <w:r>
        <w:rPr>
          <w:rFonts w:ascii="宋体" w:hAnsi="宋体" w:cs="宋体" w:eastAsia="宋体" w:hint="default"/>
          <w:sz w:val="20"/>
          <w:szCs w:val="20"/>
        </w:rPr>
        <w:t>存货跌价准备计提依据及本年转回或转销原因：</w:t>
      </w:r>
    </w:p>
    <w:p>
      <w:pPr>
        <w:spacing w:line="240" w:lineRule="auto" w:before="5"/>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502"/>
        <w:gridCol w:w="2813"/>
        <w:gridCol w:w="2710"/>
        <w:gridCol w:w="2830"/>
      </w:tblGrid>
      <w:tr>
        <w:trPr>
          <w:trHeight w:val="34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86" w:right="0"/>
              <w:jc w:val="left"/>
              <w:rPr>
                <w:rFonts w:ascii="宋体" w:hAnsi="宋体" w:cs="宋体" w:eastAsia="宋体" w:hint="default"/>
                <w:sz w:val="18"/>
                <w:szCs w:val="18"/>
              </w:rPr>
            </w:pPr>
            <w:r>
              <w:rPr>
                <w:rFonts w:ascii="宋体" w:hAnsi="宋体" w:cs="宋体" w:eastAsia="宋体" w:hint="default"/>
                <w:sz w:val="18"/>
                <w:szCs w:val="18"/>
              </w:rPr>
              <w:t>实现销售或者处置</w:t>
            </w:r>
          </w:p>
        </w:tc>
      </w:tr>
      <w:tr>
        <w:trPr>
          <w:trHeight w:val="34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86" w:right="0"/>
              <w:jc w:val="left"/>
              <w:rPr>
                <w:rFonts w:ascii="宋体" w:hAnsi="宋体" w:cs="宋体" w:eastAsia="宋体" w:hint="default"/>
                <w:sz w:val="18"/>
                <w:szCs w:val="18"/>
              </w:rPr>
            </w:pPr>
            <w:r>
              <w:rPr>
                <w:rFonts w:ascii="宋体" w:hAnsi="宋体" w:cs="宋体" w:eastAsia="宋体" w:hint="default"/>
                <w:sz w:val="18"/>
                <w:szCs w:val="18"/>
              </w:rPr>
              <w:t>实现销售或者处置</w:t>
            </w:r>
          </w:p>
        </w:tc>
      </w:tr>
      <w:tr>
        <w:trPr>
          <w:trHeight w:val="34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）存货期末余额含有借款费用资本化金额的说明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4</w:t>
      </w:r>
      <w:r>
        <w:rPr/>
        <w:t>）期末建造合同形成的已完工未结算资产情况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2;height:392" coordorigin="17,14" coordsize="4772,392">
              <v:shape style="position:absolute;left:17;top:14;width:4772;height:392" coordorigin="17,14" coordsize="4772,392" path="m17,14l4788,14,4788,406,17,406,17,14xe" filled="true" fillcolor="#d3d3d3" stroked="false">
                <v:path arrowok="t"/>
                <v:fill type="solid"/>
              </v:shape>
            </v:group>
            <v:group style="position:absolute;left:4798;top:14;width:4776;height:392" coordorigin="4798,14" coordsize="4776,392">
              <v:shape style="position:absolute;left:4798;top:14;width:4776;height:392" coordorigin="4798,14" coordsize="4776,392" path="m4798,14l9574,14,9574,406,4798,406,4798,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88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79988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7998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2;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6;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8</w:t>
      </w:r>
      <w:r>
        <w:rPr/>
        <w:t>、其他流动资产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footerReference w:type="default" r:id="rId48"/>
          <w:pgSz w:w="11910" w:h="16840"/>
          <w:pgMar w:footer="982" w:header="885" w:top="1100" w:bottom="1180" w:left="980" w:right="0"/>
          <w:pgNumType w:start="70"/>
        </w:sectPr>
      </w:pPr>
    </w:p>
    <w:p>
      <w:pPr>
        <w:pStyle w:val="BodyText"/>
        <w:spacing w:line="240" w:lineRule="auto" w:before="37"/>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97,574,508.02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94,249,408.32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3,235,931.60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2,573,872.28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100,810,439.62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96,823,280.60</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9</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四川金剑 包装制品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r>
      <w:tr>
        <w:trPr>
          <w:trHeight w:val="363"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浙江甲骨</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文超级码</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30,400,00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1,328,554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31,728,55</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科技股份</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.67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4.67</w:t>
            </w:r>
          </w:p>
        </w:tc>
        <w:tc>
          <w:tcPr>
            <w:tcW w:w="797" w:type="dxa"/>
            <w:vMerge/>
            <w:tcBorders>
              <w:left w:val="single" w:sz="4" w:space="0" w:color="000000"/>
              <w:right w:val="single" w:sz="4" w:space="0" w:color="000000"/>
            </w:tcBorders>
          </w:tcPr>
          <w:p>
            <w:pPr/>
          </w:p>
        </w:tc>
      </w:tr>
      <w:tr>
        <w:trPr>
          <w:trHeight w:val="349"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30,400,00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31,728,55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31,728,55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10</w:t>
      </w:r>
      <w:r>
        <w:rPr/>
        <w:t>、其他权益工具投资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49"/>
        <w:ind w:right="0"/>
        <w:jc w:val="left"/>
      </w:pPr>
      <w:r>
        <w:rPr/>
        <w:t>分项披露本期非交易性权益工具投资</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357" w:lineRule="auto" w:before="50"/>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11</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）采用成本计量模式的投资性房地产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）采用公允价值计量模式的投资性房地产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after="0" w:line="240" w:lineRule="auto"/>
        <w:jc w:val="right"/>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506,898,981.88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506,898,981.88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931,140,924.66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38,415,349.25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969,556,273.91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779,955,261.20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36,017,512.10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815,972,773.30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151,185,663.46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2,397,837.15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153,583,500.61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1,438,039,906.54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38,415,349.25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1,476,455,255.79</w:t>
            </w:r>
          </w:p>
        </w:tc>
      </w:tr>
    </w:tbl>
    <w:p>
      <w:pPr>
        <w:spacing w:line="240" w:lineRule="auto" w:before="12"/>
        <w:rPr>
          <w:rFonts w:ascii="宋体" w:hAnsi="宋体" w:cs="宋体" w:eastAsia="宋体" w:hint="default"/>
          <w:sz w:val="20"/>
          <w:szCs w:val="20"/>
        </w:rPr>
      </w:pPr>
    </w:p>
    <w:p>
      <w:pPr>
        <w:pStyle w:val="BodyText"/>
        <w:spacing w:line="316" w:lineRule="auto" w:before="37"/>
        <w:ind w:right="1130"/>
        <w:jc w:val="both"/>
      </w:pPr>
      <w:r>
        <w:rPr>
          <w:spacing w:val="-2"/>
        </w:rPr>
        <w:t>备注：公司委托沃克森（北京）国际资产评估有限公司对自持投资性房地产进行评估以确定投资性房地产的公允价值，评估</w:t>
      </w:r>
      <w:r>
        <w:rPr>
          <w:spacing w:val="-64"/>
        </w:rPr>
        <w:t> </w:t>
      </w:r>
      <w:r>
        <w:rPr>
          <w:spacing w:val="-64"/>
        </w:rPr>
      </w:r>
      <w:r>
        <w:rPr/>
        <w:t>报告以</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日为评估基准日，分别出具了（</w:t>
      </w:r>
      <w:r>
        <w:rPr>
          <w:rFonts w:ascii="Times New Roman" w:hAnsi="Times New Roman" w:cs="Times New Roman" w:eastAsia="Times New Roman" w:hint="default"/>
        </w:rPr>
        <w:t>1</w:t>
      </w:r>
      <w:r>
        <w:rPr/>
        <w:t>）沃克森评报字【</w:t>
      </w:r>
      <w:r>
        <w:rPr>
          <w:rFonts w:ascii="Times New Roman" w:hAnsi="Times New Roman" w:cs="Times New Roman" w:eastAsia="Times New Roman" w:hint="default"/>
        </w:rPr>
        <w:t>2020</w:t>
      </w:r>
      <w:r>
        <w:rPr/>
        <w:t>】第</w:t>
      </w:r>
      <w:r>
        <w:rPr>
          <w:spacing w:val="-46"/>
        </w:rPr>
        <w:t> </w:t>
      </w:r>
      <w:r>
        <w:rPr>
          <w:rFonts w:ascii="Times New Roman" w:hAnsi="Times New Roman" w:cs="Times New Roman" w:eastAsia="Times New Roman" w:hint="default"/>
        </w:rPr>
        <w:t>0133</w:t>
      </w:r>
      <w:r>
        <w:rPr>
          <w:rFonts w:ascii="Times New Roman" w:hAnsi="Times New Roman" w:cs="Times New Roman" w:eastAsia="Times New Roman" w:hint="default"/>
          <w:spacing w:val="1"/>
        </w:rPr>
        <w:t> </w:t>
      </w:r>
      <w:r>
        <w:rPr/>
        <w:t>号《美盈森集团股份有限公司因</w:t>
      </w:r>
    </w:p>
    <w:p>
      <w:pPr>
        <w:pStyle w:val="BodyText"/>
        <w:spacing w:line="240" w:lineRule="auto" w:before="1"/>
        <w:ind w:right="0"/>
        <w:jc w:val="both"/>
      </w:pPr>
      <w:r>
        <w:rPr/>
        <w:t>会计核算需了解投资性房地产市场价值资产评估报告》，采用市场法和收益法确定评估总值</w:t>
      </w:r>
      <w:r>
        <w:rPr>
          <w:spacing w:val="-45"/>
        </w:rPr>
        <w:t> </w:t>
      </w:r>
      <w:r>
        <w:rPr>
          <w:rFonts w:ascii="Times New Roman" w:hAnsi="Times New Roman" w:cs="Times New Roman" w:eastAsia="Times New Roman" w:hint="default"/>
        </w:rPr>
        <w:t>128,412.38</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w:t>
      </w:r>
      <w:r>
        <w:rPr/>
        <w:t>）沃克森</w:t>
      </w:r>
    </w:p>
    <w:p>
      <w:pPr>
        <w:pStyle w:val="BodyText"/>
        <w:spacing w:line="240" w:lineRule="auto" w:before="63"/>
        <w:ind w:right="0"/>
        <w:jc w:val="both"/>
      </w:pPr>
      <w:r>
        <w:rPr/>
        <w:t>评报字【</w:t>
      </w:r>
      <w:r>
        <w:rPr>
          <w:rFonts w:ascii="Times New Roman" w:hAnsi="Times New Roman" w:cs="Times New Roman" w:eastAsia="Times New Roman" w:hint="default"/>
        </w:rPr>
        <w:t>2020</w:t>
      </w:r>
      <w:r>
        <w:rPr/>
        <w:t>】第</w:t>
      </w:r>
      <w:r>
        <w:rPr>
          <w:spacing w:val="-43"/>
        </w:rPr>
        <w:t> </w:t>
      </w:r>
      <w:r>
        <w:rPr>
          <w:rFonts w:ascii="Times New Roman" w:hAnsi="Times New Roman" w:cs="Times New Roman" w:eastAsia="Times New Roman" w:hint="default"/>
        </w:rPr>
        <w:t>0113</w:t>
      </w:r>
      <w:r>
        <w:rPr>
          <w:rFonts w:ascii="Times New Roman" w:hAnsi="Times New Roman" w:cs="Times New Roman" w:eastAsia="Times New Roman" w:hint="default"/>
          <w:spacing w:val="2"/>
        </w:rPr>
        <w:t> </w:t>
      </w:r>
      <w:r>
        <w:rPr/>
        <w:t>号《重庆市美盈森环保包装工程有限公司因会计核算需了解位于重庆市沙坪坝西永组团投资性房地</w:t>
      </w:r>
    </w:p>
    <w:p>
      <w:pPr>
        <w:pStyle w:val="BodyText"/>
        <w:spacing w:line="240" w:lineRule="auto" w:before="65"/>
        <w:ind w:right="0"/>
        <w:jc w:val="both"/>
        <w:rPr>
          <w:rFonts w:ascii="Times New Roman" w:hAnsi="Times New Roman" w:cs="Times New Roman" w:eastAsia="Times New Roman" w:hint="default"/>
        </w:rPr>
      </w:pPr>
      <w:r>
        <w:rPr/>
        <w:t>产及土地使用权公允价值资产评估报告》，采用收益法确定评估总值 </w:t>
      </w:r>
      <w:r>
        <w:rPr>
          <w:rFonts w:ascii="Times New Roman" w:hAnsi="Times New Roman" w:cs="Times New Roman" w:eastAsia="Times New Roman" w:hint="default"/>
        </w:rPr>
        <w:t>9,088.49  </w:t>
      </w:r>
      <w:r>
        <w:rPr/>
        <w:t>万元；（</w:t>
      </w:r>
      <w:r>
        <w:rPr>
          <w:rFonts w:ascii="Times New Roman" w:hAnsi="Times New Roman" w:cs="Times New Roman" w:eastAsia="Times New Roman" w:hint="default"/>
        </w:rPr>
        <w:t>3</w:t>
      </w:r>
      <w:r>
        <w:rPr/>
        <w:t>）沃克森评报字【</w:t>
      </w:r>
      <w:r>
        <w:rPr>
          <w:rFonts w:ascii="Times New Roman" w:hAnsi="Times New Roman" w:cs="Times New Roman" w:eastAsia="Times New Roman" w:hint="default"/>
        </w:rPr>
        <w:t>2020</w:t>
      </w:r>
      <w:r>
        <w:rPr/>
        <w:t>】第</w:t>
      </w:r>
      <w:r>
        <w:rPr>
          <w:spacing w:val="-2"/>
        </w:rPr>
        <w:t> </w:t>
      </w:r>
      <w:r>
        <w:rPr>
          <w:rFonts w:ascii="Times New Roman" w:hAnsi="Times New Roman" w:cs="Times New Roman" w:eastAsia="Times New Roman" w:hint="default"/>
        </w:rPr>
        <w:t>0104</w:t>
      </w:r>
    </w:p>
    <w:p>
      <w:pPr>
        <w:pStyle w:val="BodyText"/>
        <w:spacing w:line="240" w:lineRule="auto" w:before="63"/>
        <w:ind w:right="0"/>
        <w:jc w:val="both"/>
      </w:pPr>
      <w:r>
        <w:rPr>
          <w:spacing w:val="-81"/>
        </w:rPr>
        <w:t>号</w:t>
      </w:r>
      <w:r>
        <w:rPr/>
        <w:t>《成都市美盈森环保科技有限公司因会计核算需了解位于成都崇州经济开发区崇阳大道</w:t>
      </w:r>
      <w:r>
        <w:rPr>
          <w:spacing w:val="-46"/>
        </w:rPr>
        <w:t> </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号投资性房地产市场价值</w:t>
      </w:r>
      <w:r>
        <w:rPr>
          <w:spacing w:val="-2"/>
        </w:rPr>
        <w:t>资</w:t>
      </w:r>
      <w:r>
        <w:rPr/>
        <w:t>产</w:t>
      </w:r>
    </w:p>
    <w:p>
      <w:pPr>
        <w:pStyle w:val="BodyText"/>
        <w:spacing w:line="309" w:lineRule="auto" w:before="65"/>
        <w:ind w:right="1130"/>
        <w:jc w:val="both"/>
      </w:pPr>
      <w:r>
        <w:rPr/>
        <w:t>评估报告》，采用收益法确定评估总值</w:t>
      </w:r>
      <w:r>
        <w:rPr>
          <w:spacing w:val="-52"/>
        </w:rPr>
        <w:t> </w:t>
      </w:r>
      <w:r>
        <w:rPr>
          <w:rFonts w:ascii="Times New Roman" w:hAnsi="Times New Roman" w:cs="Times New Roman" w:eastAsia="Times New Roman" w:hint="default"/>
        </w:rPr>
        <w:t>5,626.18</w:t>
      </w:r>
      <w:r>
        <w:rPr>
          <w:rFonts w:ascii="Times New Roman" w:hAnsi="Times New Roman" w:cs="Times New Roman" w:eastAsia="Times New Roman" w:hint="default"/>
          <w:spacing w:val="-8"/>
        </w:rPr>
        <w:t> </w:t>
      </w:r>
      <w:r>
        <w:rPr>
          <w:spacing w:val="-3"/>
        </w:rPr>
        <w:t>万元；（</w:t>
      </w:r>
      <w:r>
        <w:rPr>
          <w:rFonts w:ascii="Times New Roman" w:hAnsi="Times New Roman" w:cs="Times New Roman" w:eastAsia="Times New Roman" w:hint="default"/>
          <w:spacing w:val="-3"/>
        </w:rPr>
        <w:t>4</w:t>
      </w:r>
      <w:r>
        <w:rPr>
          <w:spacing w:val="-3"/>
        </w:rPr>
        <w:t>）沃克森评报字【</w:t>
      </w:r>
      <w:r>
        <w:rPr>
          <w:rFonts w:ascii="Times New Roman" w:hAnsi="Times New Roman" w:cs="Times New Roman" w:eastAsia="Times New Roman" w:hint="default"/>
          <w:spacing w:val="-3"/>
        </w:rPr>
        <w:t>2020</w:t>
      </w:r>
      <w:r>
        <w:rPr>
          <w:spacing w:val="-3"/>
        </w:rPr>
        <w:t>】第</w:t>
      </w:r>
      <w:r>
        <w:rPr>
          <w:spacing w:val="-52"/>
        </w:rPr>
        <w:t> </w:t>
      </w:r>
      <w:r>
        <w:rPr>
          <w:rFonts w:ascii="Times New Roman" w:hAnsi="Times New Roman" w:cs="Times New Roman" w:eastAsia="Times New Roman" w:hint="default"/>
        </w:rPr>
        <w:t>0116</w:t>
      </w:r>
      <w:r>
        <w:rPr>
          <w:rFonts w:ascii="Times New Roman" w:hAnsi="Times New Roman" w:cs="Times New Roman" w:eastAsia="Times New Roman" w:hint="default"/>
          <w:spacing w:val="-8"/>
        </w:rPr>
        <w:t> </w:t>
      </w:r>
      <w:r>
        <w:rPr/>
        <w:t>号《苏州美盈森环保科技有限公 </w:t>
      </w:r>
      <w:r>
        <w:rPr>
          <w:spacing w:val="-2"/>
        </w:rPr>
        <w:t>司因会计核算需了解位于苏州市吴江经济技术开发区云津北路以东、南巷路以南投资性房地产公允价值资产评估报告》，采</w:t>
      </w:r>
      <w:r>
        <w:rPr>
          <w:spacing w:val="-62"/>
        </w:rPr>
        <w:t> </w:t>
      </w:r>
      <w:r>
        <w:rPr>
          <w:spacing w:val="-62"/>
        </w:rPr>
      </w:r>
      <w:r>
        <w:rPr/>
        <w:t>用收益法确定评估总值</w:t>
      </w:r>
      <w:r>
        <w:rPr>
          <w:spacing w:val="-50"/>
        </w:rPr>
        <w:t> </w:t>
      </w:r>
      <w:r>
        <w:rPr>
          <w:rFonts w:ascii="Times New Roman" w:hAnsi="Times New Roman" w:cs="Times New Roman" w:eastAsia="Times New Roman" w:hint="default"/>
        </w:rPr>
        <w:t>3,314.94</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5</w:t>
      </w:r>
      <w:r>
        <w:rPr>
          <w:spacing w:val="-4"/>
        </w:rPr>
        <w:t>）沃克森评报字【</w:t>
      </w:r>
      <w:r>
        <w:rPr>
          <w:rFonts w:ascii="Times New Roman" w:hAnsi="Times New Roman" w:cs="Times New Roman" w:eastAsia="Times New Roman" w:hint="default"/>
          <w:spacing w:val="-4"/>
        </w:rPr>
        <w:t>2020</w:t>
      </w:r>
      <w:r>
        <w:rPr>
          <w:spacing w:val="-4"/>
        </w:rPr>
        <w:t>】第</w:t>
      </w:r>
      <w:r>
        <w:rPr>
          <w:spacing w:val="-52"/>
        </w:rPr>
        <w:t> </w:t>
      </w:r>
      <w:r>
        <w:rPr>
          <w:rFonts w:ascii="Times New Roman" w:hAnsi="Times New Roman" w:cs="Times New Roman" w:eastAsia="Times New Roman" w:hint="default"/>
        </w:rPr>
        <w:t>0134</w:t>
      </w:r>
      <w:r>
        <w:rPr>
          <w:rFonts w:ascii="Times New Roman" w:hAnsi="Times New Roman" w:cs="Times New Roman" w:eastAsia="Times New Roman" w:hint="default"/>
          <w:spacing w:val="-3"/>
        </w:rPr>
        <w:t> </w:t>
      </w:r>
      <w:r>
        <w:rPr/>
        <w:t>号《长沙美盈森智谷科技有限公司因会计核算需</w:t>
      </w:r>
    </w:p>
    <w:p>
      <w:pPr>
        <w:pStyle w:val="BodyText"/>
        <w:spacing w:line="240" w:lineRule="auto" w:before="7"/>
        <w:ind w:right="0"/>
        <w:jc w:val="both"/>
      </w:pPr>
      <w:r>
        <w:rPr/>
        <w:t>了解位于长沙市宁乡经开区永佳路</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号投资性房地产市场价值资产评估报告》，采用收益法确定评估总值</w:t>
      </w:r>
      <w:r>
        <w:rPr>
          <w:spacing w:val="-48"/>
        </w:rPr>
        <w:t> </w:t>
      </w:r>
      <w:r>
        <w:rPr>
          <w:rFonts w:ascii="Times New Roman" w:hAnsi="Times New Roman" w:cs="Times New Roman" w:eastAsia="Times New Roman" w:hint="default"/>
        </w:rPr>
        <w:t>1,203.54</w:t>
      </w:r>
      <w:r>
        <w:rPr>
          <w:rFonts w:ascii="Times New Roman" w:hAnsi="Times New Roman" w:cs="Times New Roman" w:eastAsia="Times New Roman" w:hint="default"/>
          <w:spacing w:val="-1"/>
        </w:rPr>
        <w:t> </w:t>
      </w:r>
      <w:r>
        <w:rPr/>
        <w:t>万元。</w:t>
      </w:r>
    </w:p>
    <w:p>
      <w:pPr>
        <w:spacing w:line="240" w:lineRule="auto" w:before="13"/>
        <w:rPr>
          <w:rFonts w:ascii="宋体" w:hAnsi="宋体" w:cs="宋体" w:eastAsia="宋体" w:hint="default"/>
          <w:sz w:val="25"/>
          <w:szCs w:val="25"/>
        </w:rPr>
      </w:pPr>
    </w:p>
    <w:p>
      <w:pPr>
        <w:pStyle w:val="Heading4"/>
        <w:spacing w:line="240" w:lineRule="auto"/>
        <w:ind w:right="0"/>
        <w:jc w:val="both"/>
        <w:rPr>
          <w:rFonts w:ascii="Tahoma" w:hAnsi="Tahoma" w:cs="Tahoma" w:eastAsia="Tahoma" w:hint="default"/>
        </w:rPr>
      </w:pPr>
      <w:r>
        <w:rPr/>
        <w:t>（</w:t>
      </w:r>
      <w:r>
        <w:rPr>
          <w:rFonts w:ascii="Tahoma" w:hAnsi="Tahoma" w:cs="Tahoma" w:eastAsia="Tahoma" w:hint="default"/>
        </w:rPr>
        <w:t>3</w:t>
      </w:r>
      <w:r>
        <w:rPr/>
        <w:t>）未办妥产权证书的投资性房地产情况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重庆美盈森部分厂房及宿舍楼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52,469,538.94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成都美盈森部分厂房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产权证书尚未办理完成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长沙美盈森部分厂房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12</w:t>
      </w:r>
      <w:r>
        <w:rPr/>
        <w:t>、固定资产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1,249,979,254.47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1,219,297,623.63</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1,249,979,254.47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1,219,297,623.63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1</w:t>
      </w:r>
      <w:r>
        <w:rPr/>
        <w:t>）固定资产情况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849,379,381.79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713,452,256.17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47,480,222.01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40,549,178.13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9,534,597.80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1,660,395,635.90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190,616,309.28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200,791,509.58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2,066,193.01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2,883,107.77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28,495,220.56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424,852,340.20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1,242,285.85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72,130,098.09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1,940,016.26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2,524,227.96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4,669,850.88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82,506,479.04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189,374,023.43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128,597,039.51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96,692.93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234,482.76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23,825,369.68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342,127,608.31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64,371.98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29,483.82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124,397.05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218,252.85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）投资性房地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265,460,116.58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44,302,612.98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2,880,578.23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351,262.36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25,257,681.14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338,252,251.29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44,302,612.98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2,880,578.23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351,262.36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25,257,681.14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72,792,134.71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）转投资性房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265,460,116.58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265,460,116.58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774,535,574.49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869,941,152.77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46,665,836.79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43,081,023.54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12,772,137.22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1,746,995,724.81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100,671,123.02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271,100,872.68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33,386,978.02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26,555,344.58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4,349,397.28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436,063,715.58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26,313,383.56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47,665,176.16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2,447,174.86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5,907,098.97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950,051.59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83,282,885.14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26,313,383.56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47,657,465.59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2,426,047.11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5,875,585.05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950,051.59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83,222,532.90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21,127.75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60,352.24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4,163,094.34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15,866,630.59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1,978,602.51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598,342.44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48,919.21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22,655,589.09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15,866,630.59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1,978,602.51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598,342.44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48,919.21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18,492,494.75</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4,163,094.34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4,163,094.34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122,821,412.24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302,899,418.25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33,855,550.37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31,864,101.11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5,250,529.66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496,691,011.63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4,983,548.90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50,747.79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5,034,296.69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4,700,699.08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4,708,837.98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2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4,700,699.08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4,708,837.98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282,849.82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325,458.71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651,714,162.25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566,758,884.70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12,767,677.53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11,216,922.43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7,521,607.56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1,249,979,254.47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748,708,258.77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437,367,834.59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14,042,496.20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13,993,833.55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5,185,200.52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1,219,297,623.63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）暂时闲置的固定资产情况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）通过融资租赁租入的固定资产情况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）通过经营租赁租出的固定资产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4769;height:392" coordorigin="17,14" coordsize="4769,392">
              <v:shape style="position:absolute;left:17;top:14;width:4769;height:392" coordorigin="17,14" coordsize="4769,392" path="m17,14l4786,14,4786,406,17,406,17,14xe" filled="true" fillcolor="#d3d3d3" stroked="false">
                <v:path arrowok="t"/>
                <v:fill type="solid"/>
              </v:shape>
            </v:group>
            <v:group style="position:absolute;left:4795;top:14;width:4779;height:392" coordorigin="4795,14" coordsize="4779,392">
              <v:shape style="position:absolute;left:4795;top:14;width:4779;height:392" coordorigin="4795,14" coordsize="4779,392" path="m4795,14l9574,14,9574,406,4795,406,4795,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81;height:2" coordorigin="5,410" coordsize="4781,2">
              <v:shape style="position:absolute;left:5;top:410;width:4781;height:2" coordorigin="5,410" coordsize="4781,0" path="m5,410l4786,410e" filled="false" stroked="true" strokeweight=".479965pt" strokecolor="#000000">
                <v:path arrowok="t"/>
              </v:shape>
            </v:group>
            <v:group style="position:absolute;left:4790;top:14;width:2;height:401" coordorigin="4790,14" coordsize="2,401">
              <v:shape style="position:absolute;left:4790;top:14;width:2;height:401" coordorigin="4790,14" coordsize="0,401" path="m4790,14l4790,415e" filled="false" stroked="true" strokeweight=".479989pt" strokecolor="#000000">
                <v:path arrowok="t"/>
              </v:shape>
            </v:group>
            <v:group style="position:absolute;left:4795;top:410;width:4779;height:2" coordorigin="4795,410" coordsize="4779,2">
              <v:shape style="position:absolute;left:4795;top:410;width:4779;height:2" coordorigin="4795,410" coordsize="4779,0" path="m4795,410l9574,410e" filled="false" stroked="true" strokeweight=".479965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2220;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1"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85" w:footer="982" w:top="1100" w:bottom="1180" w:left="980" w:right="0"/>
        </w:sectPr>
      </w:pPr>
    </w:p>
    <w:p>
      <w:pPr>
        <w:spacing w:line="240" w:lineRule="auto" w:before="3"/>
        <w:rPr>
          <w:rFonts w:ascii="宋体" w:hAnsi="宋体" w:cs="宋体" w:eastAsia="宋体" w:hint="default"/>
          <w:sz w:val="24"/>
          <w:szCs w:val="24"/>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1;height:2" coordorigin="5,413" coordsize="4781,2">
              <v:shape style="position:absolute;left:5;top:413;width:4781;height:2" coordorigin="5,413" coordsize="4781,0" path="m5,413l4786,413e" filled="false" stroked="true" strokeweight=".48pt" strokecolor="#000000">
                <v:path arrowok="t"/>
              </v:shape>
            </v:group>
            <v:group style="position:absolute;left:4790;top:14;width:2;height:404" coordorigin="4790,14" coordsize="2,404">
              <v:shape style="position:absolute;left:4790;top:14;width:2;height:404" coordorigin="4790,14" coordsize="0,404" path="m4790,14l4790,418e" filled="false" stroked="true" strokeweight=".479989pt" strokecolor="#000000">
                <v:path arrowok="t"/>
              </v:shape>
            </v:group>
            <v:group style="position:absolute;left:4795;top:413;width:4779;height:2" coordorigin="4795,413" coordsize="4779,2">
              <v:shape style="position:absolute;left:4795;top:413;width:4779;height:2" coordorigin="4795,413" coordsize="4779,0" path="m4795,413l9574,413e" filled="false" stroked="true" strokeweight=".4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38;top:126;width:18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）未办妥产权证书的固定资产情况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79,112,720.93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224,006,936.29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成都美盈森厂区厂房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52,083,390.71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产权证书尚未办理完成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长沙美盈森厂区厂房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57,585,865.94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金之彩宿迁厂区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24,893,214.82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金之彩泸州厂区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18,388,935.14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金之彩合江厂区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2,381,377.14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产权证书尚待办理完成</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6</w:t>
      </w:r>
      <w:r>
        <w:rPr/>
        <w:t>）固定资产清理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13</w:t>
      </w:r>
      <w:r>
        <w:rPr/>
        <w:t>、在建工程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265,996,461.39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265,996,461.39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316,579,242.27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1</w:t>
      </w:r>
      <w:r>
        <w:rPr/>
        <w:t>）在建工程情况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环保包装生产建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18,288,851.48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18,288,851.48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14,995,476.85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14,995,476.85</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（东莞）项目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1,190,939.94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1,190,939.94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4,508,070.97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4,508,070.97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（成都）项目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12,064,761.75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12,064,761.75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69,969,482.51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69,969,482.51</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149,221,028.03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149,221,028.03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138,351,134.15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138,351,134.15</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9,799,390.69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9,799,390.69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54,204,265.62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54,204,265.62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智能包装研发生 产基地项目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241,104.52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241,104.52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223,179.99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223,179.99</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美盈森包装印刷 工业进出口贸易 及保税加工（岳 阳）项目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65,212,364.93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65,212,364.93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24,215,522.97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24,215,522.97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基于装备制造的 智慧包装工业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2,105,367.43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2,105,367.43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164,514.38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164,514.38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高端环保包装生 产基地项目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377,957.36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377,957.36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7,494,695.26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7,494,695.26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9,947,594.83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9,947,594.83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265,996,461.39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265,996,461.39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316,579,242.27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316,579,242.27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）重要在建工程项目本期变动情况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（东莞）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660,476,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4,508,07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34,825,2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38,142,3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1,190,93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44.07%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截止本 报告披 </w:t>
            </w:r>
            <w:r>
              <w:rPr>
                <w:rFonts w:ascii="宋体" w:hAnsi="宋体" w:cs="宋体" w:eastAsia="宋体" w:hint="default"/>
                <w:spacing w:val="-11"/>
                <w:sz w:val="18"/>
                <w:szCs w:val="18"/>
              </w:rPr>
              <w:t>露日，已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逐步投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（长沙）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138,351,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79,174,1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68,304,2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67.87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149,221,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028.03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54.60%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截止本 报告披 </w:t>
            </w:r>
            <w:r>
              <w:rPr>
                <w:rFonts w:ascii="宋体" w:hAnsi="宋体" w:cs="宋体" w:eastAsia="宋体" w:hint="default"/>
                <w:spacing w:val="-11"/>
                <w:sz w:val="18"/>
                <w:szCs w:val="18"/>
              </w:rPr>
              <w:t>露日，已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逐步投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（成都）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600,703,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69,969,4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39,298,8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97,203,5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12,064,7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28.91%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截止本 报告披 </w:t>
            </w:r>
            <w:r>
              <w:rPr>
                <w:rFonts w:ascii="宋体" w:hAnsi="宋体" w:cs="宋体" w:eastAsia="宋体" w:hint="default"/>
                <w:spacing w:val="-11"/>
                <w:sz w:val="18"/>
                <w:szCs w:val="18"/>
              </w:rPr>
              <w:t>露日，已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逐步投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 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54,204,2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66,026,7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110,431,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643.34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9,799,39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21.19%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截止本 报告披 </w:t>
            </w:r>
            <w:r>
              <w:rPr>
                <w:rFonts w:ascii="宋体" w:hAnsi="宋体" w:cs="宋体" w:eastAsia="宋体" w:hint="default"/>
                <w:spacing w:val="-11"/>
                <w:sz w:val="18"/>
                <w:szCs w:val="18"/>
              </w:rPr>
              <w:t>露日，已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逐步投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64"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包装印</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刷工业</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56"/>
              <w:jc w:val="left"/>
              <w:rPr>
                <w:rFonts w:ascii="宋体" w:hAnsi="宋体" w:cs="宋体" w:eastAsia="宋体" w:hint="default"/>
                <w:sz w:val="18"/>
                <w:szCs w:val="18"/>
              </w:rPr>
            </w:pPr>
            <w:r>
              <w:rPr>
                <w:rFonts w:ascii="宋体" w:hAnsi="宋体" w:cs="宋体" w:eastAsia="宋体" w:hint="default"/>
                <w:sz w:val="18"/>
                <w:szCs w:val="18"/>
              </w:rPr>
              <w:t>进出口 贸易及</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2" w:right="0"/>
              <w:jc w:val="left"/>
              <w:rPr>
                <w:rFonts w:ascii="Times New Roman" w:hAnsi="Times New Roman" w:cs="Times New Roman" w:eastAsia="Times New Roman" w:hint="default"/>
                <w:sz w:val="18"/>
                <w:szCs w:val="18"/>
              </w:rPr>
            </w:pPr>
            <w:r>
              <w:rPr>
                <w:rFonts w:ascii="Times New Roman"/>
                <w:sz w:val="18"/>
              </w:rPr>
              <w:t>24,215,5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22.97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2" w:right="0"/>
              <w:jc w:val="left"/>
              <w:rPr>
                <w:rFonts w:ascii="Times New Roman" w:hAnsi="Times New Roman" w:cs="Times New Roman" w:eastAsia="Times New Roman" w:hint="default"/>
                <w:sz w:val="18"/>
                <w:szCs w:val="18"/>
              </w:rPr>
            </w:pPr>
            <w:r>
              <w:rPr>
                <w:rFonts w:ascii="Times New Roman"/>
                <w:sz w:val="18"/>
              </w:rPr>
              <w:t>40,996,8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41.96</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1" w:right="0"/>
              <w:jc w:val="left"/>
              <w:rPr>
                <w:rFonts w:ascii="Times New Roman" w:hAnsi="Times New Roman" w:cs="Times New Roman" w:eastAsia="Times New Roman" w:hint="default"/>
                <w:sz w:val="18"/>
                <w:szCs w:val="18"/>
              </w:rPr>
            </w:pPr>
            <w:r>
              <w:rPr>
                <w:rFonts w:ascii="Times New Roman"/>
                <w:sz w:val="18"/>
              </w:rPr>
              <w:t>65,212,3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64.93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15.62%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保税加</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工（岳</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11"/>
                <w:sz w:val="18"/>
                <w:szCs w:val="18"/>
              </w:rPr>
              <w:t>阳）项目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3,061,18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291,248,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476.22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260,321,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870.31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314,081,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861.19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237,488,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485.34</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）本期计提在建工程减值准备情况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）工程物资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3854"/>
        <w:gridCol w:w="3583"/>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131"/>
        <w:gridCol w:w="1330"/>
        <w:gridCol w:w="1327"/>
        <w:gridCol w:w="1198"/>
        <w:gridCol w:w="1195"/>
        <w:gridCol w:w="1195"/>
        <w:gridCol w:w="1193"/>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14</w:t>
      </w:r>
      <w:r>
        <w:rPr/>
        <w:t>、生产性生物资产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）采用成本计量模式的生产性生物资产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2,193,167.57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971,952.53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971,952.53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971,952.53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971,952.53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20,288.78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20,288.78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20,288.78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20,288.78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3,144,831.32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3,144,831.32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3,144,831.32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3,144,831.32</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2,193,167.57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2,193,167.57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）采用公允价值计量模式的生产性生物资产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15</w:t>
      </w:r>
      <w:r>
        <w:rPr/>
        <w:t>、无形资产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）无形资产情况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461,859,661.01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6,203,485.34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468,063,146.35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148,494,617.17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17,241.38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148,511,858.55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148,494,617.17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17,241.38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148,511,858.55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43,130,363.80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43,130,363.80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43,130,363.80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43,130,363.80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567,223,914.38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6,220,726.72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573,444,641.10</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45,203,226.06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4,244,887.38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49,448,113.44</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10,912,888.90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797,170.91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11,710,059.81</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10,912,888.90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797,170.91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11,710,059.81</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5,516,595.87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5,516,595.87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5,516,595.87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5,516,595.87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50,599,519.09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5,042,058.29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55,641,577.38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516,624,395.29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1,178,668.43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517,803,063.72</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416,656,434.95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1,958,597.96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418,615,032.91</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）未办妥产权证书的土地使用权情况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郑州美盈森土地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32,062,594.43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after="0" w:line="240" w:lineRule="auto"/>
        <w:jc w:val="left"/>
        <w:rPr>
          <w:rFonts w:ascii="宋体" w:hAnsi="宋体" w:cs="宋体" w:eastAsia="宋体" w:hint="default"/>
          <w:sz w:val="18"/>
          <w:szCs w:val="18"/>
        </w:rPr>
        <w:sectPr>
          <w:footerReference w:type="default" r:id="rId49"/>
          <w:pgSz w:w="11910" w:h="16840"/>
          <w:pgMar w:footer="982" w:header="885" w:top="1100" w:bottom="1180" w:left="980" w:right="0"/>
          <w:pgNumType w:start="80"/>
        </w:sectPr>
      </w:pPr>
    </w:p>
    <w:p>
      <w:pPr>
        <w:spacing w:line="240" w:lineRule="auto" w:before="5"/>
        <w:rPr>
          <w:rFonts w:ascii="宋体" w:hAnsi="宋体" w:cs="宋体" w:eastAsia="宋体" w:hint="default"/>
          <w:sz w:val="22"/>
          <w:szCs w:val="22"/>
        </w:rPr>
      </w:pPr>
    </w:p>
    <w:p>
      <w:pPr>
        <w:pStyle w:val="BodyText"/>
        <w:spacing w:line="360" w:lineRule="auto" w:before="37"/>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16</w:t>
      </w:r>
      <w:r>
        <w:rPr/>
        <w:t>、商誉</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）商誉账面原值</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174,891,428.47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）商誉减值准备</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174,891,428.47</w:t>
            </w:r>
          </w:p>
        </w:tc>
      </w:tr>
    </w:tbl>
    <w:p>
      <w:pPr>
        <w:pStyle w:val="BodyText"/>
        <w:spacing w:line="357" w:lineRule="auto" w:before="49"/>
        <w:ind w:right="7514"/>
        <w:jc w:val="left"/>
      </w:pPr>
      <w:r>
        <w:rPr/>
        <w:t>商誉所在资产组或资产组组合的相关信息 无</w:t>
      </w:r>
    </w:p>
    <w:p>
      <w:pPr>
        <w:pStyle w:val="BodyText"/>
        <w:spacing w:line="316" w:lineRule="auto" w:before="29"/>
        <w:ind w:right="0"/>
        <w:jc w:val="left"/>
      </w:pPr>
      <w:r>
        <w:rPr>
          <w:spacing w:val="-2"/>
        </w:rPr>
        <w:t>说明商誉减值测试过程、关键参数（如预计未来现金流量现值时的预测期增长率、稳定期增长率、利润率、折现率、预测期</w:t>
      </w:r>
      <w:r>
        <w:rPr>
          <w:spacing w:val="-71"/>
        </w:rPr>
        <w:t> </w:t>
      </w:r>
      <w:r>
        <w:rPr>
          <w:spacing w:val="-71"/>
        </w:rPr>
      </w:r>
      <w:r>
        <w:rPr/>
        <w:t>等）及商誉减值损失的确认方法：</w:t>
      </w:r>
    </w:p>
    <w:p>
      <w:pPr>
        <w:pStyle w:val="BodyText"/>
        <w:spacing w:line="357" w:lineRule="auto" w:before="59"/>
        <w:ind w:right="9134"/>
        <w:jc w:val="left"/>
      </w:pPr>
      <w:r>
        <w:rPr/>
        <w:t>无 商誉减值测试的影响 无</w:t>
      </w:r>
    </w:p>
    <w:p>
      <w:pPr>
        <w:pStyle w:val="BodyText"/>
        <w:spacing w:line="357" w:lineRule="auto" w:before="2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17</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9"/>
                <w:sz w:val="18"/>
                <w:szCs w:val="18"/>
              </w:rPr>
              <w:t>办公场所装修费、绿</w:t>
            </w:r>
            <w:r>
              <w:rPr>
                <w:rFonts w:ascii="宋体" w:hAnsi="宋体" w:cs="宋体" w:eastAsia="宋体" w:hint="default"/>
                <w:sz w:val="18"/>
                <w:szCs w:val="18"/>
              </w:rPr>
              <w:t> 化工程、景观湖等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17,960,376.84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12,664,672.10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9,976,121.44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20,648,927.50</w:t>
            </w:r>
          </w:p>
        </w:tc>
      </w:tr>
    </w:tbl>
    <w:p>
      <w:pPr>
        <w:spacing w:after="0" w:line="240" w:lineRule="auto"/>
        <w:jc w:val="lef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17,960,376.84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12,664,672.10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9,976,121.44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20,648,927.50</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18</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）未经抵销的递延所得税资产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83,802,484.06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12,865,451.53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94,234,263.30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14,724,688.72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8,698,888.57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1,894,833.32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3,575,555.29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607,333.29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663,418.33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99,512.75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420,224.44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63,033.67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93,164,790.96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14,859,797.60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98,230,043.03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15,395,055.68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）未经抵销的递延所得税负债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按公允价值模式计量的 投资性房地产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861,636,850.94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129,527,776.98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190,008,372.41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29,367,629.61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861,636,850.94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129,527,776.98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190,008,372.41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29,367,629.61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）以抵销后净额列示的递延所得税资产或负债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14,859,797.60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15,395,055.68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129,527,776.98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29,367,629.61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）未确认递延所得税资产明细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92,436,157.32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82,892,878.45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92,436,157.32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82,892,878.45</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）未确认递延所得税资产的可抵扣亏损将于以下年度到期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2,131,615.77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5,220,989.69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6,616,742.57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19,040,704.55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24,477,791.24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16,907,480.24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18,263,002.29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31,403,726.58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31,403,726.58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19,863,256.26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92,436,157.32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82,892,878.45</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19</w:t>
      </w:r>
      <w:r>
        <w:rPr/>
        <w:t>、其他非流动资产</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885" w:footer="982" w:top="1100" w:bottom="1180" w:left="980" w:right="0"/>
        </w:sectPr>
      </w:pPr>
    </w:p>
    <w:p>
      <w:pPr>
        <w:pStyle w:val="BodyText"/>
        <w:spacing w:line="240" w:lineRule="auto" w:before="37"/>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35,757,408.59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96,148,072.13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支付土地款及交易保证金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5,996,853.88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129,021,500.00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4,621,028.18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2,087,991.97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46,375,290.65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227,257,564.10</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20</w:t>
      </w:r>
      <w:r>
        <w:rPr/>
        <w:t>、短期借款</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）短期借款分类</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461,154,106.48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399,106,125.89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461,154,106.48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399,106,125.89</w:t>
            </w:r>
          </w:p>
        </w:tc>
      </w:tr>
    </w:tbl>
    <w:p>
      <w:pPr>
        <w:pStyle w:val="BodyText"/>
        <w:spacing w:line="357" w:lineRule="auto" w:before="49"/>
        <w:ind w:right="8954"/>
        <w:jc w:val="left"/>
      </w:pPr>
      <w:r>
        <w:rPr/>
        <w:t>短期借款分类的说明： 无</w:t>
      </w:r>
    </w:p>
    <w:p>
      <w:pPr>
        <w:spacing w:after="0" w:line="357" w:lineRule="auto"/>
        <w:jc w:val="left"/>
        <w:sectPr>
          <w:type w:val="continuous"/>
          <w:pgSz w:w="11910" w:h="16840"/>
          <w:pgMar w:top="106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）已逾期未偿还的短期借款情况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本期末已逾期未偿还的短期借款总额为</w:t>
      </w:r>
      <w:r>
        <w:rPr>
          <w:spacing w:val="-47"/>
        </w:rPr>
        <w:t> </w:t>
      </w:r>
      <w:r>
        <w:rPr>
          <w:rFonts w:ascii="Times New Roman" w:hAnsi="Times New Roman" w:cs="Times New Roman" w:eastAsia="Times New Roman" w:hint="default"/>
        </w:rPr>
        <w:t>0.00 </w:t>
      </w:r>
      <w:r>
        <w:rPr/>
        <w:t>元，其中重要的已逾期未偿还的短期借款情况如下：</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0"/>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21</w:t>
      </w:r>
      <w:r>
        <w:rPr/>
        <w:t>、应付票据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605,387,333.73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517,588,314.52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605,387,333.73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517,588,314.52</w:t>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rFonts w:ascii="Tahoma" w:hAnsi="Tahoma" w:cs="Tahoma" w:eastAsia="Tahoma" w:hint="default"/>
        </w:rPr>
      </w:pPr>
      <w:r>
        <w:rPr>
          <w:rFonts w:ascii="Tahoma" w:hAnsi="Tahoma" w:cs="Tahoma" w:eastAsia="Tahoma" w:hint="default"/>
        </w:rPr>
        <w:t>22</w:t>
      </w:r>
      <w:r>
        <w:rPr/>
        <w:t>、应付账款</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）应付账款列示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537,967,003.78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587,587,698.52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62,190,460.79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41,754,066.57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600,157,464.57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629,341,765.09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）账龄超过</w:t>
      </w:r>
      <w:r>
        <w:rPr>
          <w:spacing w:val="-58"/>
        </w:rPr>
        <w:t> </w:t>
      </w:r>
      <w:r>
        <w:rPr>
          <w:rFonts w:ascii="Tahoma" w:hAnsi="Tahoma" w:cs="Tahoma" w:eastAsia="Tahoma" w:hint="default"/>
        </w:rPr>
        <w:t>1</w:t>
      </w:r>
      <w:r>
        <w:rPr>
          <w:rFonts w:ascii="Tahoma" w:hAnsi="Tahoma" w:cs="Tahoma" w:eastAsia="Tahoma" w:hint="default"/>
          <w:spacing w:val="-20"/>
        </w:rPr>
        <w:t> </w:t>
      </w:r>
      <w:r>
        <w:rPr/>
        <w:t>年的重要应付账款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重庆中达正建筑工程有限公司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5,474,686.45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江西亚华建筑工程有限公司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2,841,046.39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厦门安能建设有限公司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3,375,208.36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江苏农垦盐城建设工程有限公司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5,859,268.58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工程款尚未结算完成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17,550,209.78</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854"/>
        <w:jc w:val="left"/>
      </w:pPr>
      <w:r>
        <w:rPr/>
        <w:t>其他说明： 无</w:t>
      </w:r>
    </w:p>
    <w:p>
      <w:pPr>
        <w:spacing w:after="0" w:line="357"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23</w:t>
      </w:r>
      <w:r>
        <w:rPr/>
        <w:t>、预收款项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1</w:t>
      </w:r>
      <w:r>
        <w:rPr/>
        <w:t>）预收款项列示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9,768,005.10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12,743,065.88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4,736,539.65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5,095,463.85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14,504,544.75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17,838,529.73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）账龄超过</w:t>
      </w:r>
      <w:r>
        <w:rPr>
          <w:spacing w:val="-58"/>
        </w:rPr>
        <w:t> </w:t>
      </w:r>
      <w:r>
        <w:rPr>
          <w:rFonts w:ascii="Tahoma" w:hAnsi="Tahoma" w:cs="Tahoma" w:eastAsia="Tahoma" w:hint="default"/>
        </w:rPr>
        <w:t>1</w:t>
      </w:r>
      <w:r>
        <w:rPr>
          <w:rFonts w:ascii="Tahoma" w:hAnsi="Tahoma" w:cs="Tahoma" w:eastAsia="Tahoma" w:hint="default"/>
          <w:spacing w:val="-20"/>
        </w:rPr>
        <w:t> </w:t>
      </w:r>
      <w:r>
        <w:rPr/>
        <w:t>年的重要预收款项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）期末建造合同形成的已结算未完工项目情况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69;height:394" coordorigin="17,14" coordsize="4769,394">
              <v:shape style="position:absolute;left:17;top:14;width:4769;height:394" coordorigin="17,14" coordsize="4769,394" path="m17,14l4786,14,4786,408,17,408,17,14xe" filled="true" fillcolor="#d3d3d3" stroked="false">
                <v:path arrowok="t"/>
                <v:fill type="solid"/>
              </v:shape>
            </v:group>
            <v:group style="position:absolute;left:4795;top:14;width:4779;height:394" coordorigin="4795,14" coordsize="4779,394">
              <v:shape style="position:absolute;left:4795;top:14;width:4779;height:394" coordorigin="4795,14" coordsize="4779,394" path="m4795,14l9574,14,9574,408,4795,408,4795,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79;height:2" coordorigin="5,413" coordsize="4779,2">
              <v:shape style="position:absolute;left:5;top:413;width:4779;height:2" coordorigin="5,413" coordsize="4779,0" path="m5,413l4783,413e" filled="false" stroked="true" strokeweight=".480011pt" strokecolor="#000000">
                <v:path arrowok="t"/>
              </v:shape>
            </v:group>
            <v:group style="position:absolute;left:4788;top:14;width:2;height:404" coordorigin="4788,14" coordsize="2,404">
              <v:shape style="position:absolute;left:4788;top:14;width:2;height:404" coordorigin="4788,14" coordsize="0,404" path="m4788,14l4788,418e" filled="false" stroked="true" strokeweight=".479988pt" strokecolor="#000000">
                <v:path arrowok="t"/>
              </v:shape>
            </v:group>
            <v:group style="position:absolute;left:4793;top:413;width:4781;height:2" coordorigin="4793,413" coordsize="4781,2">
              <v:shape style="position:absolute;left:4793;top:413;width:4781;height:2" coordorigin="4793,413" coordsize="4781,0" path="m4793,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2220;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6;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24</w:t>
      </w:r>
      <w:r>
        <w:rPr/>
        <w:t>、应付职工薪酬</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）应付职工薪酬列示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36,391,926.11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453,431,867.22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447,026,143.06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42,797,650.27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50,121.62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23,607,447.33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23,599,877.23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57,691.72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459,648.30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2,075,868.96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2,265,706.26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269,811.00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36,901,696.03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479,115,183.51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472,891,726.55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43,125,152.99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）短期薪酬列示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36,101,328.99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415,655,506.61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409,538,723.27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42,218,112.33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19,536.32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23,069,802.58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23,051,115.35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38,223.55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9,942.21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9,305,702.45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9,283,856.70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31,787.96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7,298,367.43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7,284,366.28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22,553.11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1,260.89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728,541.04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720,755.73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1,025,089.73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1,025,030.44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253,704.25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253,704.25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5,143,887.40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5,132,699.40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12,468.00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259,838.59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256,968.18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19,748.34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497,058.43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36,391,926.11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453,431,867.22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447,026,143.06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42,797,650.27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）设定提存计划列示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47,780.82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22,820,295.35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22,828,143.92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39,932.25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787,151.98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771,733.31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17,759.47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50,121.62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23,607,447.33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23,599,877.23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57,691.72</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25</w:t>
      </w:r>
      <w:r>
        <w:rPr/>
        <w:t>、应交税费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10,976,583.32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9,503,229.49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15,757,839.66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25,136,264.42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683,733.82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646,505.19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627,503.15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1,165,096.30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557,420.65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902,093.45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1,755,846.02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1,526,679.87</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30,358,926.62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38,879,868.72</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26</w:t>
      </w:r>
      <w:r>
        <w:rPr/>
        <w:t>、其他应付款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31,101,251.31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18,761,942.38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31,101,251.31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18,761,942.38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1</w:t>
      </w:r>
      <w:r>
        <w:rPr/>
        <w:t>）应付利息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）应付股利</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0"/>
        <w:ind w:right="499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7"/>
        <w:rPr>
          <w:rFonts w:ascii="宋体" w:hAnsi="宋体" w:cs="宋体" w:eastAsia="宋体" w:hint="default"/>
          <w:sz w:val="21"/>
          <w:szCs w:val="21"/>
        </w:rPr>
      </w:pPr>
    </w:p>
    <w:p>
      <w:pPr>
        <w:pStyle w:val="Heading4"/>
        <w:spacing w:line="508" w:lineRule="auto"/>
        <w:ind w:right="6474"/>
        <w:jc w:val="left"/>
        <w:rPr>
          <w:rFonts w:ascii="Tahoma" w:hAnsi="Tahoma" w:cs="Tahoma" w:eastAsia="Tahoma" w:hint="default"/>
        </w:rPr>
      </w:pPr>
      <w:r>
        <w:rPr/>
        <w:t>（</w:t>
      </w:r>
      <w:r>
        <w:rPr>
          <w:rFonts w:ascii="Tahoma" w:hAnsi="Tahoma" w:cs="Tahoma" w:eastAsia="Tahoma" w:hint="default"/>
        </w:rPr>
        <w:t>3</w:t>
      </w:r>
      <w:r>
        <w:rPr/>
        <w:t>）其他应付款</w:t>
      </w:r>
      <w:r>
        <w:rPr>
          <w:rFonts w:ascii="Tahoma" w:hAnsi="Tahoma" w:cs="Tahoma" w:eastAsia="Tahoma" w:hint="default"/>
          <w:w w:val="80"/>
        </w:rPr>
        <w:t> </w:t>
      </w:r>
      <w:r>
        <w:rPr>
          <w:rFonts w:ascii="Tahoma" w:hAnsi="Tahoma" w:cs="Tahoma" w:eastAsia="Tahoma" w:hint="default"/>
        </w:rPr>
        <w:t>1</w:t>
      </w:r>
      <w:r>
        <w:rPr/>
        <w:t>）按款项性质列示其他应付款</w:t>
      </w:r>
      <w:r>
        <w:rPr>
          <w:rFonts w:ascii="Tahoma" w:hAnsi="Tahoma" w:cs="Tahoma" w:eastAsia="Tahoma" w:hint="default"/>
          <w:w w:val="80"/>
        </w:rPr>
        <w:t> </w:t>
      </w:r>
      <w:r>
        <w:rPr>
          <w:rFonts w:ascii="Tahoma" w:hAnsi="Tahoma" w:cs="Tahoma" w:eastAsia="Tahoma" w:hint="default"/>
        </w:rPr>
      </w:r>
    </w:p>
    <w:p>
      <w:pPr>
        <w:pStyle w:val="BodyText"/>
        <w:spacing w:line="240" w:lineRule="auto" w:before="62"/>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2,072,661.86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1,765,131.25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18,211,572.58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11,346,480.36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8,817,016.87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5,650,330.77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31,101,251.31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18,761,942.38</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）账龄超过</w:t>
      </w:r>
      <w:r>
        <w:rPr>
          <w:spacing w:val="-57"/>
        </w:rPr>
        <w:t> </w:t>
      </w:r>
      <w:r>
        <w:rPr>
          <w:rFonts w:ascii="Tahoma" w:hAnsi="Tahoma" w:cs="Tahoma" w:eastAsia="Tahoma" w:hint="default"/>
        </w:rPr>
        <w:t>1</w:t>
      </w:r>
      <w:r>
        <w:rPr>
          <w:rFonts w:ascii="Tahoma" w:hAnsi="Tahoma" w:cs="Tahoma" w:eastAsia="Tahoma" w:hint="default"/>
          <w:spacing w:val="-20"/>
        </w:rPr>
        <w:t> </w:t>
      </w:r>
      <w:r>
        <w:rPr/>
        <w:t>年的重要其他应付款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深圳世纪摇篮科技有限公司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徐宇波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647,100.00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1,147,100.00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27</w:t>
      </w:r>
      <w:r>
        <w:rPr/>
        <w:t>、递延收益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7,691,704.00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1,775,196.28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100,412,297.38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7,691,704.00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100,412,297.38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5"/>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6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7"/>
              <w:jc w:val="left"/>
              <w:rPr>
                <w:rFonts w:ascii="宋体" w:hAnsi="宋体" w:cs="宋体" w:eastAsia="宋体" w:hint="default"/>
                <w:sz w:val="18"/>
                <w:szCs w:val="18"/>
              </w:rPr>
            </w:pPr>
            <w:r>
              <w:rPr>
                <w:rFonts w:ascii="宋体" w:hAnsi="宋体" w:cs="宋体" w:eastAsia="宋体" w:hint="default"/>
                <w:sz w:val="18"/>
                <w:szCs w:val="18"/>
              </w:rPr>
              <w:t>战略性新兴 产业专项资</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1,726,422.57</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1,426,422.57</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金资助项目</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投资项目</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发展专项资</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555,555.29</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66,666.72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488,888.57</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深圳家居</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7"/>
              <w:jc w:val="left"/>
              <w:rPr>
                <w:rFonts w:ascii="宋体" w:hAnsi="宋体" w:cs="宋体" w:eastAsia="宋体" w:hint="default"/>
                <w:sz w:val="18"/>
                <w:szCs w:val="18"/>
              </w:rPr>
            </w:pPr>
            <w:r>
              <w:rPr>
                <w:rFonts w:ascii="宋体" w:hAnsi="宋体" w:cs="宋体" w:eastAsia="宋体" w:hint="default"/>
                <w:sz w:val="18"/>
                <w:szCs w:val="18"/>
              </w:rPr>
              <w:t>产品创意设 计工程实验</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3,088,911.80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429,999.96</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2,658,911.84</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室项目</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年代</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金属复合工 艺技改项目</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拨款</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实现自动</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7"/>
              <w:jc w:val="left"/>
              <w:rPr>
                <w:rFonts w:ascii="宋体" w:hAnsi="宋体" w:cs="宋体" w:eastAsia="宋体" w:hint="default"/>
                <w:sz w:val="18"/>
                <w:szCs w:val="18"/>
              </w:rPr>
            </w:pPr>
            <w:r>
              <w:rPr>
                <w:rFonts w:ascii="宋体" w:hAnsi="宋体" w:cs="宋体" w:eastAsia="宋体" w:hint="default"/>
                <w:sz w:val="18"/>
                <w:szCs w:val="18"/>
              </w:rPr>
              <w:t>一体化包装 生产线的工</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艺创新项目</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废纸循环 纸浮雕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印刷产品产 业化及市场 推广项目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环保立体 代金属高档 包装项目研 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微纳结构 材料高端印 刷文化工程 实验室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招商引资 固定资产投 资补助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638,888.89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45,361,111.11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降低 </w:t>
            </w:r>
            <w:r>
              <w:rPr>
                <w:rFonts w:ascii="Times New Roman" w:hAnsi="Times New Roman" w:cs="Times New Roman" w:eastAsia="Times New Roman" w:hint="default"/>
                <w:sz w:val="18"/>
                <w:szCs w:val="18"/>
              </w:rPr>
              <w:t>VOC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排放的 绿色印刷关 键技术研究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产业发展 引导资金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31,604,900.00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31,604,900.00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长沙投资 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招商引 资专项扶持 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6,145,000.00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宿迁投资 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1,546,704.00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29,640.71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1,517,063.29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94,495,789.66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7,691,704.00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1,775,196.28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100,412,297.38</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28</w:t>
      </w:r>
      <w:r>
        <w:rPr/>
        <w:t>、股本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401"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1,531,323,685.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1,531,323,685.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60" w:lineRule="auto" w:before="37"/>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29</w:t>
      </w:r>
      <w:r>
        <w:rPr/>
        <w:t>、资本公积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1,243,220,158.45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1,243,220,158.45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1,243,220,158.45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1,243,220,158.45</w:t>
            </w:r>
          </w:p>
        </w:tc>
      </w:tr>
    </w:tbl>
    <w:p>
      <w:pPr>
        <w:pStyle w:val="BodyText"/>
        <w:spacing w:line="357" w:lineRule="auto" w:before="49"/>
        <w:ind w:right="6614"/>
        <w:jc w:val="left"/>
      </w:pPr>
      <w:r>
        <w:rPr/>
        <w:t>其他说明，包括本期增减变动情况、变动原因说明：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30</w:t>
      </w:r>
      <w:r>
        <w:rPr/>
        <w:t>、其他综合收益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56"/>
        <w:gridCol w:w="974"/>
        <w:gridCol w:w="852"/>
        <w:gridCol w:w="1051"/>
        <w:gridCol w:w="852"/>
        <w:gridCol w:w="852"/>
        <w:gridCol w:w="852"/>
        <w:gridCol w:w="852"/>
        <w:gridCol w:w="727"/>
      </w:tblGrid>
      <w:tr>
        <w:trPr>
          <w:trHeight w:val="403" w:hRule="exact"/>
        </w:trPr>
        <w:tc>
          <w:tcPr>
            <w:tcW w:w="2556" w:type="dxa"/>
            <w:vMerge w:val="restart"/>
            <w:tcBorders>
              <w:top w:val="single" w:sz="4" w:space="0" w:color="000000"/>
              <w:left w:val="single" w:sz="4" w:space="0" w:color="000000"/>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7" w:hRule="exact"/>
        </w:trPr>
        <w:tc>
          <w:tcPr>
            <w:tcW w:w="2556" w:type="dxa"/>
            <w:vMerge/>
            <w:tcBorders>
              <w:left w:val="single" w:sz="4" w:space="0" w:color="000000"/>
              <w:bottom w:val="nil" w:sz="6" w:space="0" w:color="auto"/>
              <w:right w:val="single" w:sz="4" w:space="0" w:color="000000"/>
            </w:tcBorders>
            <w:shd w:val="clear" w:color="auto" w:fill="D3D3D3"/>
          </w:tcPr>
          <w:p>
            <w:pPr/>
          </w:p>
        </w:tc>
        <w:tc>
          <w:tcPr>
            <w:tcW w:w="974" w:type="dxa"/>
            <w:vMerge/>
            <w:tcBorders>
              <w:left w:val="single" w:sz="4" w:space="0" w:color="000000"/>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7"/>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2" w:right="57"/>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51" w:right="57"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2" w:right="57"/>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7"/>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3D3D3"/>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71,680,309.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519,504,3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37.34</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77,764,35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441,739,9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83.54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513,420,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293.10</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5,731,553.5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2,442,354.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2,442,354.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8,173,90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7.74</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65,948,756.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517,061,9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83.13</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77,764,35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439,297,6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29.33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505,246,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385.36</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71,680,309.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519,504,3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37.34</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77,764,35</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3.80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441,739,9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83.54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513,420,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293.10</w:t>
            </w:r>
          </w:p>
        </w:tc>
      </w:tr>
    </w:tbl>
    <w:p>
      <w:pPr>
        <w:pStyle w:val="BodyText"/>
        <w:spacing w:line="360" w:lineRule="auto" w:before="49"/>
        <w:ind w:right="3554"/>
        <w:jc w:val="left"/>
      </w:pPr>
      <w:r>
        <w:rPr/>
        <w:t>其他说明，包括对现金流量套期损益的有效部分转为被套期项目初始确认金额调整： 将重分类进损益的其他综合收益中的其他，主要系自用固定资产转为投资性房地产而产生。</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31</w:t>
      </w:r>
      <w:r>
        <w:rPr/>
        <w:t>、盈余公积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19,352,472.73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183,247,899.94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163,895,427.21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19,352,472.73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183,247,899.94</w:t>
            </w:r>
          </w:p>
        </w:tc>
      </w:tr>
    </w:tbl>
    <w:p>
      <w:pPr>
        <w:pStyle w:val="BodyText"/>
        <w:spacing w:line="360" w:lineRule="auto" w:before="49"/>
        <w:ind w:right="4389"/>
        <w:jc w:val="left"/>
      </w:pPr>
      <w:r>
        <w:rPr/>
        <w:t>盈余公积说明，包括本期增减变动情况、变动原因说明： 本期增加的盈余公积为</w:t>
      </w:r>
      <w:r>
        <w:rPr>
          <w:rFonts w:ascii="Times New Roman" w:hAnsi="Times New Roman" w:cs="Times New Roman" w:eastAsia="Times New Roman" w:hint="default"/>
        </w:rPr>
        <w:t>:</w:t>
      </w:r>
      <w:r>
        <w:rPr/>
        <w:t>依据公司法规定</w:t>
      </w:r>
      <w:r>
        <w:rPr>
          <w:rFonts w:ascii="Times New Roman" w:hAnsi="Times New Roman" w:cs="Times New Roman" w:eastAsia="Times New Roman" w:hint="default"/>
        </w:rPr>
        <w:t>,</w:t>
      </w:r>
      <w:r>
        <w:rPr/>
        <w:t>按照净利润的</w:t>
      </w:r>
      <w:r>
        <w:rPr>
          <w:rFonts w:ascii="Times New Roman" w:hAnsi="Times New Roman" w:cs="Times New Roman" w:eastAsia="Times New Roman" w:hint="default"/>
        </w:rPr>
        <w:t>10%</w:t>
      </w:r>
      <w:r>
        <w:rPr/>
        <w:t>提取的法定盈余公积。</w:t>
      </w:r>
    </w:p>
    <w:p>
      <w:pPr>
        <w:spacing w:after="0" w:line="360" w:lineRule="auto"/>
        <w:jc w:val="left"/>
        <w:sectPr>
          <w:footerReference w:type="default" r:id="rId50"/>
          <w:pgSz w:w="11910" w:h="16840"/>
          <w:pgMar w:footer="982" w:header="885" w:top="1100" w:bottom="1180" w:left="980" w:right="0"/>
          <w:pgNumType w:start="9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32</w:t>
      </w:r>
      <w:r>
        <w:rPr/>
        <w:t>、未分配利润</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1,466,366,406.97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1,307,039,303.05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1,466,366,406.97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1,307,039,303.05</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535,279,249.14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401,205,568.76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19,352,472.73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41,376,385.79</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306,264,737.00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200,502,079.05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1,676,028,446.38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1,466,366,406.97</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33</w:t>
      </w:r>
      <w:r>
        <w:rPr/>
        <w:t>、营业收入和营业成本</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3,287,349,427.25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2,296,316,817.68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3,125,396,512.31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2,186,861,518.27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104,783,204.38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7,793,394.56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123,549,037.04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9,348,541.57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3,392,132,631.63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2,304,110,212.24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3,248,945,549.35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2,196,210,059.84</w:t>
            </w:r>
          </w:p>
        </w:tc>
      </w:tr>
    </w:tbl>
    <w:p>
      <w:pPr>
        <w:pStyle w:val="BodyText"/>
        <w:spacing w:line="240" w:lineRule="auto" w:before="49"/>
        <w:ind w:right="0"/>
        <w:jc w:val="left"/>
      </w:pPr>
      <w:r>
        <w:rPr/>
        <w:t>是否已执行新收入准则</w:t>
      </w:r>
    </w:p>
    <w:p>
      <w:pPr>
        <w:pStyle w:val="BodyText"/>
        <w:spacing w:line="348" w:lineRule="auto" w:before="115"/>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其他说明 无</w:t>
      </w:r>
    </w:p>
    <w:p>
      <w:pPr>
        <w:spacing w:line="240" w:lineRule="auto" w:before="0"/>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34</w:t>
      </w:r>
      <w:r>
        <w:rPr/>
        <w:t>、税金及附加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8,219,099.40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10,858,129.62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6,692,423.03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8,695,825.72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9,718,904.67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5,978,136.01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7,144,093.23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7,587,330.59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45,175.90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49,437.47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2,144,047.13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2,606,481.36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424,396.77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640,449.78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34,388,140.13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36,415,790.55</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35</w:t>
      </w:r>
      <w:r>
        <w:rPr/>
        <w:t>、销售费用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5,918,537.49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4,629,199.96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6,363,219.90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7,544,229.48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51,889,102.91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51,216,537.97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47,147,502.89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49,605,065.69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3,077,648.38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3,181,002.78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1,412,836.92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1,153,039.30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84,823,664.99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82,077,606.94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13,861,261.33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9,660,682.20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4,103,981.11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6,048,693.55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5,640,871.88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3,360,344.08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252,573.06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215,299.68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12,434.88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8,171,386.88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9,670,430.03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1,272,864.00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1,113,414.17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4,624,690.68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4,483,057.98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263,661.39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3,355,844.41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4,407,532.26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242,189,532.19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238,380,120.95</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36</w:t>
      </w:r>
      <w:r>
        <w:rPr/>
        <w:t>、管理费用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2,807,082.49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4,201,001.36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5,523,118.24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4,616,058.83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4,746,972.24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5,547,096.82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83,595,985.61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80,222,350.07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6,283,444.13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6,857,027.64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9,397,655.07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10,426,999.46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771,599.48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749,562.28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18,915,428.44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21,150,386.17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4,089,779.24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3,977,414.42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1,637,623.43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1,826,303.35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8,564,035.53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6,020,129.64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4,745,295.32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5,493,138.64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18,420,675.41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13,033,684.81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4,168,445.04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2,787,448.40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1,579,818.48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1,812,183.68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11,710,059.81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9,990,401.24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570,037.11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629,919.54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9,608,010.57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10,637,841.38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166,971.81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178,966.30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282,315.12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787,533.43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258,178.28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5,670,390.88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7,208,880.58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5,264,587.33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3,791,567.97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2,476,298.43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1,893,974.58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211,253,807.49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204,079,870.59</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37</w:t>
      </w:r>
      <w:r>
        <w:rPr/>
        <w:t>、研发费用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90,404,681.85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69,698,804.55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50,565,603.11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48,839,709.32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2,010,664.92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1,795,217.86</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4,410,213.34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6,747,905.41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147,391,163.22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127,081,637.14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38</w:t>
      </w:r>
      <w:r>
        <w:rPr/>
        <w:t>、财务费用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17,480,112.59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16,165,646.29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13,048,320.60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19,732,308.16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28,007,845.20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23,998,256.77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29,889,521.86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41,268,395.65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4,367,375.84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1,590,280.82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6,917,491.17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-19,246,519.93</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39</w:t>
      </w:r>
      <w:r>
        <w:rPr/>
        <w:t>、其他收益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年市战略性新兴产业专项资金资助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深圳家居产品创意设计工程实验室项目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429,999.96</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军 民融合专项资金第一批资助款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深圳市监督管理局第一批专利资助费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科学枝术研发投入补助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995,500.00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投资项目发展专项资金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66,666.72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66,666.72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年代金属复合工艺技改项目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深圳市科技创新委员会企业研发资助款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1,393,000.00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175,536.05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296,638.22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东莞市财政局机器换人项目补助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1,402,500.00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深圳市光明区规上企业做大做强资助款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879,145.00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年科技创新技术服务平台资助款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批退新型墙体材料专项基金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612,623.30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东莞市科技局高新培育补贴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东莞市经济和信息化局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年倍增</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东莞市科学技术局倍增计划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贯标认证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科学技术局</w:t>
            </w:r>
            <w:r>
              <w:rPr>
                <w:rFonts w:ascii="Times New Roman" w:hAnsi="Times New Roman" w:cs="Times New Roman" w:eastAsia="Times New Roman" w:hint="default"/>
                <w:sz w:val="18"/>
                <w:szCs w:val="18"/>
              </w:rPr>
              <w:t>-</w:t>
            </w:r>
            <w:r>
              <w:rPr>
                <w:rFonts w:ascii="宋体" w:hAnsi="宋体" w:cs="宋体" w:eastAsia="宋体" w:hint="default"/>
                <w:sz w:val="18"/>
                <w:szCs w:val="18"/>
              </w:rPr>
              <w:t>专利优势补助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财政国库</w:t>
            </w:r>
            <w:r>
              <w:rPr>
                <w:rFonts w:ascii="Times New Roman" w:hAnsi="Times New Roman" w:cs="Times New Roman" w:eastAsia="Times New Roman" w:hint="default"/>
                <w:sz w:val="18"/>
                <w:szCs w:val="18"/>
              </w:rPr>
              <w:t>-</w:t>
            </w:r>
            <w:r>
              <w:rPr>
                <w:rFonts w:ascii="宋体" w:hAnsi="宋体" w:cs="宋体" w:eastAsia="宋体" w:hint="default"/>
                <w:sz w:val="18"/>
                <w:szCs w:val="18"/>
              </w:rPr>
              <w:t>企业知知产权贯标补助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吴江经济开发区经发局对于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年度工 业转型升级扶持项目款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东莞市科学技术局补贴（研发补助）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267,700.00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工业设计创新改革成果转化项目资助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深圳龙华新区科技创新局高新技术补贴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1,146,239.27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329,636.30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深圳市经济贸易和信息化委员会出口信 用保险保费资助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光明区发展和财政局研发投入资助项目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高技能人才培训项目补助款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深圳市光明区财政局光明区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年经济 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光明财政局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年度企业研发投入资助 奖励项目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光明区科技创新局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年高新技术产业 化资助项目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深圳市市场监督管理局《企业知识产权 管理规范》资助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深圳市人居环境委员会大气环境质量提 升补贴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232,758.00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批退新型墙体材料专项基金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203,225.10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东莞市工业和信息化局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自动化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1,138,400.00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东莞市经济和信息化局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年倍增</w:t>
            </w:r>
            <w:r>
              <w:rPr>
                <w:rFonts w:ascii="Times New Roman" w:hAnsi="Times New Roman" w:cs="Times New Roman" w:eastAsia="Times New Roman" w:hint="default"/>
                <w:sz w:val="18"/>
                <w:szCs w:val="18"/>
              </w:rPr>
              <w:t>-</w:t>
            </w:r>
            <w:r>
              <w:rPr>
                <w:rFonts w:ascii="宋体" w:hAnsi="宋体" w:cs="宋体" w:eastAsia="宋体" w:hint="default"/>
                <w:sz w:val="18"/>
                <w:szCs w:val="18"/>
              </w:rPr>
              <w:t>智 能改造项目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东莞市工业和信息化局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智能改 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美之兰小升规项目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沙坪坝经信委项目补助资金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招商引资固定资产投资补助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638,888.89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宿迁投资补助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29,640.71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泗洪市场监督管理局专利补助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75,471.82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长沙投资补助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13,818,826.52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11,322,409.50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40</w:t>
      </w:r>
      <w:r>
        <w:rPr/>
        <w:t>、投资收益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1,328,554.67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-1,218,546.30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15,900,379.62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12,908,667.30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16,010,387.99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12,908,667.30</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41</w:t>
      </w:r>
      <w:r>
        <w:rPr/>
        <w:t>、公允价值变动收益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153,583,500.61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42,352,887.72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153,583,500.61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42,352,887.72</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42</w:t>
      </w:r>
      <w:r>
        <w:rPr/>
        <w:t>、信用减值损失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7,417.72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-9,723,184.75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-9,715,767.03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after="0" w:line="36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43</w:t>
      </w:r>
      <w:r>
        <w:rPr/>
        <w:t>、资产减值损失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885" w:footer="982" w:top="1100" w:bottom="1180" w:left="980" w:right="0"/>
        </w:sectPr>
      </w:pPr>
    </w:p>
    <w:p>
      <w:pPr>
        <w:pStyle w:val="BodyText"/>
        <w:spacing w:line="240" w:lineRule="auto" w:before="37"/>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-18,963,082.40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-2,891,526.70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-3,839,140.09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-4,858,950.41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-29,979,249.25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-2,891,526.70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-57,640,422.15</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44</w:t>
      </w:r>
      <w:r>
        <w:rPr/>
        <w:t>、资产处置收益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44,323.11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-969,614.68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44,323.11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-969,614.68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45</w:t>
      </w:r>
      <w:r>
        <w:rPr/>
        <w:t>、营业外收入</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2,410,261.03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2,410,261.03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固定资产损坏报废利得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25,428.32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25,428.32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2,103,611.92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474,428.51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2,103,611.92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4,539,301.27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748,528.51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4,539,301.27</w:t>
            </w:r>
          </w:p>
        </w:tc>
      </w:tr>
    </w:tbl>
    <w:p>
      <w:pPr>
        <w:pStyle w:val="BodyText"/>
        <w:spacing w:line="240" w:lineRule="auto" w:before="49"/>
        <w:ind w:right="0"/>
        <w:jc w:val="left"/>
      </w:pPr>
      <w:r>
        <w:rPr/>
        <w:t>计入当期损益的政府补助：</w:t>
      </w:r>
    </w:p>
    <w:p>
      <w:pPr>
        <w:pStyle w:val="BodyText"/>
        <w:spacing w:line="240" w:lineRule="auto" w:before="115"/>
        <w:ind w:left="0" w:right="1133"/>
        <w:jc w:val="right"/>
      </w:pPr>
      <w:r>
        <w:rPr/>
        <w:pict>
          <v:shape style="position:absolute;margin-left:262.681885pt;margin-top:59.101715pt;width:59.65pt;height:66.5pt;mso-position-horizontal-relative:page;mso-position-vertical-relative:paragraph;z-index:-153805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69.639984pt;margin-top:59.101715pt;width:52.7pt;height:66.5pt;mso-position-horizontal-relative:page;mso-position-vertical-relative:paragraph;z-index:-1538032" coordorigin="5393,1182" coordsize="1054,1330">
            <v:group style="position:absolute;left:5393;top:1182;width:1054;height:1330" coordorigin="5393,1182" coordsize="1054,1330">
              <v:shape style="position:absolute;left:5393;top:1182;width:1054;height:1330" coordorigin="5393,1182" coordsize="1054,1330" path="m5393,1182l6446,1182,6446,2512,5393,2512,5393,1182xe" filled="true" fillcolor="#ffffff" stroked="false">
                <v:path arrowok="t"/>
                <v:fill type="solid"/>
              </v:shape>
            </v:group>
            <v:group style="position:absolute;left:5417;top:1650;width:1006;height:394" coordorigin="5417,1650" coordsize="1006,394">
              <v:shape style="position:absolute;left:5417;top:1650;width:1006;height:394" coordorigin="5417,1650" coordsize="1006,394" path="m5417,1650l6422,1650,6422,2044,5417,2044,5417,1650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项目奖励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吴江区经济 技术开发区 经发局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114,100.00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262.681885pt;margin-top:72.479996pt;width:59.65pt;height:66.4pt;mso-position-horizontal-relative:page;mso-position-vertical-relative:page;z-index:-153800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62.681885pt;margin-top:469.440002pt;width:59.65pt;height:66.4pt;mso-position-horizontal-relative:page;mso-position-vertical-relative:page;z-index:-153798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69.639984pt;margin-top:72.479996pt;width:52.7pt;height:66.4pt;mso-position-horizontal-relative:page;mso-position-vertical-relative:page;z-index:-1537960" coordorigin="5393,1450" coordsize="1054,1328">
            <v:group style="position:absolute;left:5393;top:1450;width:1054;height:1328" coordorigin="5393,1450" coordsize="1054,1328">
              <v:shape style="position:absolute;left:5393;top:1450;width:1054;height:1328" coordorigin="5393,1450" coordsize="1054,1328" path="m5393,1450l6446,1450,6446,2777,5393,2777,5393,1450xe" filled="true" fillcolor="#ffffff" stroked="false">
                <v:path arrowok="t"/>
                <v:fill type="solid"/>
              </v:shape>
            </v:group>
            <v:group style="position:absolute;left:5417;top:1918;width:1006;height:392" coordorigin="5417,1918" coordsize="1006,392">
              <v:shape style="position:absolute;left:5417;top:1918;width:1006;height:392" coordorigin="5417,1918" coordsize="1006,392" path="m5417,1918l6422,1918,6422,2309,5417,2309,5417,1918xe" filled="true" fillcolor="#ffffff" stroked="false">
                <v:path arrowok="t"/>
                <v:fill type="solid"/>
              </v:shape>
            </v:group>
            <w10:wrap type="none"/>
          </v:group>
        </w:pict>
      </w:r>
      <w:r>
        <w:rPr/>
        <w:pict>
          <v:group style="position:absolute;margin-left:269.639984pt;margin-top:469.440002pt;width:52.7pt;height:66.4pt;mso-position-horizontal-relative:page;mso-position-vertical-relative:page;z-index:-1537936" coordorigin="5393,9389" coordsize="1054,1328">
            <v:group style="position:absolute;left:5393;top:9389;width:1054;height:1328" coordorigin="5393,9389" coordsize="1054,1328">
              <v:shape style="position:absolute;left:5393;top:9389;width:1054;height:1328" coordorigin="5393,9389" coordsize="1054,1328" path="m5393,9389l6446,9389,6446,10716,5393,10716,5393,9389xe" filled="true" fillcolor="#ffffff" stroked="false">
                <v:path arrowok="t"/>
                <v:fill type="solid"/>
              </v:shape>
            </v:group>
            <v:group style="position:absolute;left:5417;top:9857;width:1006;height:392" coordorigin="5417,9857" coordsize="1006,392">
              <v:shape style="position:absolute;left:5417;top:9857;width:1006;height:392" coordorigin="5417,9857" coordsize="1006,392" path="m5417,9857l6422,9857,6422,10248,5417,10248,5417,9857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吴江区经济 技术开发区 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129"/>
              <w:jc w:val="left"/>
              <w:rPr>
                <w:rFonts w:ascii="宋体" w:hAnsi="宋体" w:cs="宋体" w:eastAsia="宋体" w:hint="default"/>
                <w:sz w:val="18"/>
                <w:szCs w:val="18"/>
              </w:rPr>
            </w:pPr>
            <w:r>
              <w:rPr>
                <w:rFonts w:ascii="宋体" w:hAnsi="宋体" w:cs="宋体" w:eastAsia="宋体" w:hint="default"/>
                <w:sz w:val="18"/>
                <w:szCs w:val="18"/>
              </w:rPr>
              <w:t>安全考核奖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中国白酒金 三角酒业园 区管理委员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29"/>
              <w:jc w:val="both"/>
              <w:rPr>
                <w:rFonts w:ascii="宋体" w:hAnsi="宋体" w:cs="宋体" w:eastAsia="宋体" w:hint="default"/>
                <w:sz w:val="18"/>
                <w:szCs w:val="18"/>
              </w:rPr>
            </w:pPr>
            <w:r>
              <w:rPr>
                <w:rFonts w:ascii="宋体" w:hAnsi="宋体" w:cs="宋体" w:eastAsia="宋体" w:hint="default"/>
                <w:sz w:val="18"/>
                <w:szCs w:val="18"/>
              </w:rPr>
              <w:t>新区政府规 模企业奖补 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洋河新区财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招用困难群</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光明区统战</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体社保补贴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和社会建设</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216,311.03</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和招用奖励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国家高新技 术企业认定 市级奖补资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深圳市光明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29"/>
              <w:jc w:val="left"/>
              <w:rPr>
                <w:rFonts w:ascii="宋体" w:hAnsi="宋体" w:cs="宋体" w:eastAsia="宋体" w:hint="default"/>
                <w:sz w:val="18"/>
                <w:szCs w:val="18"/>
              </w:rPr>
            </w:pPr>
            <w:r>
              <w:rPr>
                <w:rFonts w:ascii="宋体" w:hAnsi="宋体" w:cs="宋体" w:eastAsia="宋体" w:hint="default"/>
                <w:sz w:val="18"/>
                <w:szCs w:val="18"/>
              </w:rPr>
              <w:t>科技创新奖 励经费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吴江经济技 术开发区科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高质量发展</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吴江经济技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经济工作先</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术开发区经</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1,268,100.00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进奖励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发局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4" w:right="129"/>
              <w:jc w:val="both"/>
              <w:rPr>
                <w:rFonts w:ascii="宋体" w:hAnsi="宋体" w:cs="宋体" w:eastAsia="宋体" w:hint="default"/>
                <w:sz w:val="18"/>
                <w:szCs w:val="18"/>
              </w:rPr>
            </w:pPr>
            <w:r>
              <w:rPr>
                <w:rFonts w:ascii="宋体" w:hAnsi="宋体" w:cs="宋体" w:eastAsia="宋体" w:hint="default"/>
                <w:sz w:val="18"/>
                <w:szCs w:val="18"/>
              </w:rPr>
              <w:t>招用建卡贫 困户税费减 免</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4" w:lineRule="auto" w:before="160"/>
              <w:ind w:left="23" w:right="127"/>
              <w:jc w:val="left"/>
              <w:rPr>
                <w:rFonts w:ascii="宋体" w:hAnsi="宋体" w:cs="宋体" w:eastAsia="宋体" w:hint="default"/>
                <w:sz w:val="18"/>
                <w:szCs w:val="18"/>
              </w:rPr>
            </w:pPr>
            <w:r>
              <w:rPr>
                <w:rFonts w:ascii="宋体" w:hAnsi="宋体" w:cs="宋体" w:eastAsia="宋体" w:hint="default"/>
                <w:sz w:val="18"/>
                <w:szCs w:val="18"/>
              </w:rPr>
              <w:t>沙坪坝财政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pacing w:val="-1"/>
                <w:sz w:val="18"/>
              </w:rPr>
              <w:t>83,850.00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29"/>
              <w:jc w:val="left"/>
              <w:rPr>
                <w:rFonts w:ascii="宋体" w:hAnsi="宋体" w:cs="宋体" w:eastAsia="宋体" w:hint="default"/>
                <w:sz w:val="18"/>
                <w:szCs w:val="18"/>
              </w:rPr>
            </w:pPr>
            <w:r>
              <w:rPr>
                <w:rFonts w:ascii="宋体" w:hAnsi="宋体" w:cs="宋体" w:eastAsia="宋体" w:hint="default"/>
                <w:sz w:val="18"/>
                <w:szCs w:val="18"/>
              </w:rPr>
              <w:t>安全生产文 明施工奖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宁乡经开区 管理委员会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160"/>
              <w:ind w:left="24" w:right="129"/>
              <w:jc w:val="left"/>
              <w:rPr>
                <w:rFonts w:ascii="宋体" w:hAnsi="宋体" w:cs="宋体" w:eastAsia="宋体" w:hint="default"/>
                <w:sz w:val="18"/>
                <w:szCs w:val="18"/>
              </w:rPr>
            </w:pPr>
            <w:r>
              <w:rPr>
                <w:rFonts w:ascii="宋体" w:hAnsi="宋体" w:cs="宋体" w:eastAsia="宋体" w:hint="default"/>
                <w:sz w:val="18"/>
                <w:szCs w:val="18"/>
              </w:rPr>
              <w:t>招商引资奖 励款</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127"/>
              <w:jc w:val="both"/>
              <w:rPr>
                <w:rFonts w:ascii="宋体" w:hAnsi="宋体" w:cs="宋体" w:eastAsia="宋体" w:hint="default"/>
                <w:sz w:val="18"/>
                <w:szCs w:val="18"/>
              </w:rPr>
            </w:pPr>
            <w:r>
              <w:rPr>
                <w:rFonts w:ascii="宋体" w:hAnsi="宋体" w:cs="宋体" w:eastAsia="宋体" w:hint="default"/>
                <w:sz w:val="18"/>
                <w:szCs w:val="18"/>
              </w:rPr>
              <w:t>西安经济技 术开发区管 理委员会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192,000.00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29"/>
              <w:jc w:val="left"/>
              <w:rPr>
                <w:rFonts w:ascii="宋体" w:hAnsi="宋体" w:cs="宋体" w:eastAsia="宋体" w:hint="default"/>
                <w:sz w:val="18"/>
                <w:szCs w:val="18"/>
              </w:rPr>
            </w:pPr>
            <w:r>
              <w:rPr>
                <w:rFonts w:ascii="宋体" w:hAnsi="宋体" w:cs="宋体" w:eastAsia="宋体" w:hint="default"/>
                <w:sz w:val="18"/>
                <w:szCs w:val="18"/>
              </w:rPr>
              <w:t>飞地园区企 业贡献奖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泸州市纳溪 区人民政府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泸州纳溪区</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台阶奖励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经济信息科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0"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学技术局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2,410,261.03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274,100.00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46</w:t>
      </w:r>
      <w:r>
        <w:rPr/>
        <w:t>、营业外支出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4,388,103.55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3,884,416.89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4,388,103.55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固定资产损坏报废损失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753,410.79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2,020,189.20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753,410.79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5,393,514.34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6,484,189.09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5,393,514.34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47</w:t>
      </w:r>
      <w:r>
        <w:rPr/>
        <w:t>、所得税费用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）所得税费用表</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after="0" w:line="240" w:lineRule="auto"/>
        <w:jc w:val="right"/>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62,330,803.92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70,326,705.23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22,946,194.61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5,480,228.33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85,276,998.53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75,806,933.56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）会计利润与所得税费用调整过程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78"/>
        <w:gridCol w:w="4790"/>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615,877,816.62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92,381,672.49</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-832,969.72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1,612,030.34</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-199,283.20</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5,631,413.17</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-1,154,506.12</w:t>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7,217,549.77</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政策优惠</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-3,313,923.32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-16,064,984.88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85,276,998.53</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spacing w:line="547" w:lineRule="auto" w:before="0"/>
        <w:ind w:left="152" w:right="7423" w:firstLine="0"/>
        <w:jc w:val="left"/>
        <w:rPr>
          <w:rFonts w:ascii="Tahoma" w:hAnsi="Tahoma" w:cs="Tahoma" w:eastAsia="Tahoma" w:hint="default"/>
          <w:sz w:val="21"/>
          <w:szCs w:val="21"/>
        </w:rPr>
      </w:pPr>
      <w:r>
        <w:rPr>
          <w:rFonts w:ascii="Tahoma" w:hAnsi="Tahoma" w:cs="Tahoma" w:eastAsia="Tahoma" w:hint="default"/>
          <w:sz w:val="21"/>
          <w:szCs w:val="21"/>
        </w:rPr>
        <w:t>48</w:t>
      </w:r>
      <w:r>
        <w:rPr>
          <w:rFonts w:ascii="宋体" w:hAnsi="宋体" w:cs="宋体" w:eastAsia="宋体" w:hint="default"/>
          <w:sz w:val="21"/>
          <w:szCs w:val="21"/>
        </w:rPr>
        <w:t>、其他综合收益</w:t>
      </w:r>
      <w:r>
        <w:rPr>
          <w:rFonts w:ascii="Tahoma" w:hAnsi="Tahoma" w:cs="Tahoma" w:eastAsia="Tahoma" w:hint="default"/>
          <w:w w:val="80"/>
          <w:sz w:val="21"/>
          <w:szCs w:val="21"/>
        </w:rPr>
        <w:t> </w:t>
      </w:r>
      <w:r>
        <w:rPr>
          <w:rFonts w:ascii="宋体" w:hAnsi="宋体" w:cs="宋体" w:eastAsia="宋体" w:hint="default"/>
          <w:sz w:val="18"/>
          <w:szCs w:val="18"/>
        </w:rPr>
        <w:t>详见附注七、合并财务报表项目注释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ahoma" w:hAnsi="Tahoma" w:cs="Tahoma" w:eastAsia="Tahoma" w:hint="default"/>
          <w:sz w:val="21"/>
          <w:szCs w:val="21"/>
        </w:rPr>
        <w:t>49</w:t>
      </w:r>
      <w:r>
        <w:rPr>
          <w:rFonts w:ascii="宋体" w:hAnsi="宋体" w:cs="宋体" w:eastAsia="宋体" w:hint="default"/>
          <w:sz w:val="21"/>
          <w:szCs w:val="21"/>
        </w:rPr>
        <w:t>、现金流量表项目</w:t>
      </w:r>
      <w:r>
        <w:rPr>
          <w:rFonts w:ascii="Tahoma" w:hAnsi="Tahoma" w:cs="Tahoma" w:eastAsia="Tahoma" w:hint="default"/>
          <w:w w:val="80"/>
          <w:sz w:val="21"/>
          <w:szCs w:val="21"/>
        </w:rPr>
        <w:t> </w:t>
      </w:r>
      <w:r>
        <w:rPr>
          <w:rFonts w:ascii="Tahoma" w:hAnsi="Tahoma" w:cs="Tahoma" w:eastAsia="Tahoma" w:hint="default"/>
          <w:sz w:val="21"/>
          <w:szCs w:val="21"/>
        </w:rPr>
      </w:r>
    </w:p>
    <w:p>
      <w:pPr>
        <w:pStyle w:val="Heading4"/>
        <w:spacing w:line="240" w:lineRule="auto" w:before="1"/>
        <w:ind w:right="0"/>
        <w:jc w:val="left"/>
        <w:rPr>
          <w:rFonts w:ascii="Tahoma" w:hAnsi="Tahoma" w:cs="Tahoma" w:eastAsia="Tahoma" w:hint="default"/>
        </w:rPr>
      </w:pPr>
      <w:r>
        <w:rPr/>
        <w:t>（</w:t>
      </w:r>
      <w:r>
        <w:rPr>
          <w:rFonts w:ascii="Tahoma" w:hAnsi="Tahoma" w:cs="Tahoma" w:eastAsia="Tahoma" w:hint="default"/>
        </w:rPr>
        <w:t>1</w:t>
      </w:r>
      <w:r>
        <w:rPr/>
        <w:t>）收到的其他与经营活动有关的现金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24,037,039.56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50,703,519.25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13,048,320.60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32,003,173.57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18,794,015.44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11,345,803.08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押金、定金及保证金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16,798,985.72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10,108,779.94</w:t>
            </w:r>
          </w:p>
        </w:tc>
      </w:tr>
    </w:tbl>
    <w:p>
      <w:pPr>
        <w:spacing w:after="0" w:line="240" w:lineRule="auto"/>
        <w:jc w:val="right"/>
        <w:rPr>
          <w:rFonts w:ascii="Times New Roman" w:hAnsi="Times New Roman" w:cs="Times New Roman" w:eastAsia="Times New Roman" w:hint="default"/>
          <w:sz w:val="18"/>
          <w:szCs w:val="18"/>
        </w:rPr>
        <w:sectPr>
          <w:footerReference w:type="default" r:id="rId51"/>
          <w:pgSz w:w="11910" w:h="16840"/>
          <w:pgMar w:footer="982" w:header="885" w:top="1100" w:bottom="1180" w:left="980" w:right="0"/>
          <w:pgNumType w:start="10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8,552,088.53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42,505.29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81,230,449.85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104,203,781.13</w:t>
            </w:r>
          </w:p>
        </w:tc>
      </w:tr>
    </w:tbl>
    <w:p>
      <w:pPr>
        <w:pStyle w:val="BodyText"/>
        <w:spacing w:line="357" w:lineRule="auto" w:before="49"/>
        <w:ind w:right="751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）支付的其他与经营活动有关的现金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73,005,686.95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71,358,019.58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7,738,351.61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9,466,673.01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5,655,064.02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3,869,256.24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1,556,664.55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1,629,794.87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8,629,100.21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10,439,612.27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1,542,623.28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1,418,609.49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25,003,282.81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18,531,872.90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8,164,293.90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8,661,733.44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29,862,211.55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44,960,899.85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4,367,375.84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1,588,017.41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41,575,829.51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18,219,228.50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35,236,712.04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24,878,745.00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242,337,196.27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215,022,462.56</w:t>
            </w:r>
          </w:p>
        </w:tc>
      </w:tr>
    </w:tbl>
    <w:p>
      <w:pPr>
        <w:pStyle w:val="BodyText"/>
        <w:spacing w:line="357" w:lineRule="auto" w:before="49"/>
        <w:ind w:right="751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）收到的其他与投资活动有关的现金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）支付的其他与投资活动有关的现金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34,583,200.96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34,583,200.96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支付的其他与投资活动有关的现金说明：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5</w:t>
      </w:r>
      <w:r>
        <w:rPr/>
        <w:t>）收到的其他与筹资活动有关的现金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收到少数股东往来借款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514"/>
        <w:jc w:val="left"/>
      </w:pPr>
      <w:r>
        <w:rPr/>
        <w:t>收到的其他与筹资活动有关的现金说明：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6</w:t>
      </w:r>
      <w:r>
        <w:rPr/>
        <w:t>）支付的其他与筹资活动有关的现金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139,508.17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94,106.15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61,008,416.97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139,508.17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61,102,523.12</w:t>
            </w:r>
          </w:p>
        </w:tc>
      </w:tr>
    </w:tbl>
    <w:p>
      <w:pPr>
        <w:pStyle w:val="BodyText"/>
        <w:spacing w:line="357" w:lineRule="auto" w:before="49"/>
        <w:ind w:right="751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50</w:t>
      </w:r>
      <w:r>
        <w:rPr/>
        <w:t>、现金流量表补充资料</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）现金流量表补充资料</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530,600,818.09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392,455,923.76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12,607,293.73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57,640,422.15</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83,594,889.69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66,520,210.61</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11,866,911.92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9,990,401.25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9,987,041.92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7,345,204.62</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r>
        <w:rPr/>
        <w:pict>
          <v:shape style="position:absolute;margin-left:217.081131pt;margin-top:188.639999pt;width:158.550pt;height:19.6pt;mso-position-horizontal-relative:page;mso-position-vertical-relative:page;z-index:-153791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17.081131pt;margin-top:208.679993pt;width:158.550pt;height:19.6pt;mso-position-horizontal-relative:page;mso-position-vertical-relative:page;z-index:-153788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23.320007pt;margin-top:188.639999pt;width:152.3pt;height:39.6pt;mso-position-horizontal-relative:page;mso-position-vertical-relative:page;z-index:-1537864" coordorigin="4466,3773" coordsize="3046,792">
            <v:group style="position:absolute;left:4466;top:3773;width:3046;height:392" coordorigin="4466,3773" coordsize="3046,392">
              <v:shape style="position:absolute;left:4466;top:3773;width:3046;height:392" coordorigin="4466,3773" coordsize="3046,392" path="m4466,3773l7512,3773,7512,4164,4466,4164,4466,3773xe" filled="true" fillcolor="#ffffff" stroked="false">
                <v:path arrowok="t"/>
                <v:fill type="solid"/>
              </v:shape>
            </v:group>
            <v:group style="position:absolute;left:4466;top:4174;width:3046;height:392" coordorigin="4466,4174" coordsize="3046,392">
              <v:shape style="position:absolute;left:4466;top:4174;width:3046;height:392" coordorigin="4466,4174" coordsize="3046,392" path="m4466,4174l7512,4174,7512,4565,4466,4565,4466,4174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-44,323.11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969,614.68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727,982.47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2,020,189.20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-153,583,500.61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-42,352,887.72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16,770,410.99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-17,270,138.19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-16,010,387.99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-12,908,667.30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535,258.08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-1,842,547.50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100,160,147.37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7,307,406.03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-64,301,325.43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-13,181,091.70</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-146,921,091.67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-442,840,179.66</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55,140,220.87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260,072,707.15</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441,130,346.32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273,926,567.38</w:t>
            </w:r>
          </w:p>
        </w:tc>
      </w:tr>
      <w:tr>
        <w:trPr>
          <w:trHeight w:val="162"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297" w:lineRule="auto" w:before="50"/>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979,216,548.27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989,511,500.82</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-10,294,952.55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-1,163,785,709.13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）本期支付的取得子公司的现金净额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）本期收到的处置子公司的现金净额</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3"/>
        <w:rPr>
          <w:rFonts w:ascii="宋体" w:hAnsi="宋体" w:cs="宋体" w:eastAsia="宋体" w:hint="default"/>
          <w:sz w:val="24"/>
          <w:szCs w:val="24"/>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978;height:392" coordorigin="17,14" coordsize="4978,392">
              <v:shape style="position:absolute;left:17;top:14;width:4978;height:392" coordorigin="17,14" coordsize="4978,392" path="m17,14l4994,14,4994,406,17,406,17,14xe" filled="true" fillcolor="#d3d3d3" stroked="false">
                <v:path arrowok="t"/>
                <v:fill type="solid"/>
              </v:shape>
            </v:group>
            <v:group style="position:absolute;left:5004;top:14;width:4570;height:392" coordorigin="5004,14" coordsize="4570,392">
              <v:shape style="position:absolute;left:5004;top:14;width:4570;height:392" coordorigin="5004,14" coordsize="4570,392" path="m5004,14l9574,14,9574,406,5004,406,5004,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988;height:2" coordorigin="5,413" coordsize="4988,2">
              <v:shape style="position:absolute;left:5;top:413;width:4988;height:2" coordorigin="5,413" coordsize="4988,0" path="m5,413l4992,413e" filled="false" stroked="true" strokeweight=".48pt" strokecolor="#000000">
                <v:path arrowok="t"/>
              </v:shape>
            </v:group>
            <v:group style="position:absolute;left:4997;top:14;width:2;height:404" coordorigin="4997,14" coordsize="2,404">
              <v:shape style="position:absolute;left:4997;top:14;width:2;height:404" coordorigin="4997,14" coordsize="0,404" path="m4997,14l4997,418e" filled="false" stroked="true" strokeweight=".48001pt" strokecolor="#000000">
                <v:path arrowok="t"/>
              </v:shape>
            </v:group>
            <v:group style="position:absolute;left:5002;top:413;width:4572;height:2" coordorigin="5002,413" coordsize="4572,2">
              <v:shape style="position:absolute;left:5002;top:413;width:4572;height:2" coordorigin="5002,413" coordsize="4572,0" path="m5002,413l9574,413e" filled="false" stroked="true" strokeweight=".4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38;top:126;width:541;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p>
                  </w:txbxContent>
                </v:textbox>
                <w10:wrap type="none"/>
              </v:shape>
              <v:shape style="position:absolute;left:7226;top:129;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）现金和现金等价物的构成</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979,216,548.27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649,502.65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597,925.67</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912,937,958.76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983,843,706.57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65,629,086.86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5,069,868.58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979,216,548.27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989,511,500.82</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51</w:t>
      </w:r>
      <w:r>
        <w:rPr/>
        <w:t>、所有者权益变动表项目注释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40"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rFonts w:ascii="Tahoma" w:hAnsi="Tahoma" w:cs="Tahoma" w:eastAsia="Tahoma" w:hint="default"/>
        </w:rPr>
        <w:t>52</w:t>
      </w:r>
      <w:r>
        <w:rPr/>
        <w:t>、外币货币性项目</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）外币货币性项目</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279,458,869.04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30,638,665.12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213,741,455.57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253,000.04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1,977,321.81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3,279,627.22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2,937,824.48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2,547,399.00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0.23260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592,520.51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199,996,672,321.00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60,209,746.67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430,661,342.97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57,716,604.44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402,642,575.92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12,378.99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96,748.00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6,345,248.39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5,683,946.60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8,429,251.79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0.23260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1,960,629.09</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496"/>
        <w:gridCol w:w="2292"/>
        <w:gridCol w:w="2390"/>
        <w:gridCol w:w="2390"/>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67,354,895,492.00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20,277,443.36</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116,905,812.10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14,958,200.00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116,905,812.10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29,177,245.77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2,929,120.36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20,434,129.46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2,071,107.50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393,750.00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352,713.37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7,199,420.00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0.23260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1,674,572.38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15,428,218,972.01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0.000301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4,644,723.06</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61" w:lineRule="auto"/>
        <w:ind w:right="0"/>
        <w:jc w:val="left"/>
        <w:rPr>
          <w:rFonts w:ascii="Tahoma" w:hAnsi="Tahoma" w:cs="Tahoma" w:eastAsia="Tahoma" w:hint="default"/>
        </w:rPr>
      </w:pPr>
      <w:r>
        <w:rPr/>
        <w:t>（</w:t>
      </w:r>
      <w:r>
        <w:rPr>
          <w:rFonts w:ascii="Tahoma" w:hAnsi="Tahoma" w:cs="Tahoma" w:eastAsia="Tahoma" w:hint="default"/>
        </w:rPr>
        <w:t>2</w:t>
      </w:r>
      <w:r>
        <w:rPr/>
        <w:t>）境外经营实体说明，包括对于重要的境外经营实体，应披露其境外主要经营地、记账本位币及选择</w:t>
      </w:r>
      <w:r>
        <w:rPr>
          <w:spacing w:val="-38"/>
        </w:rPr>
        <w:t> </w:t>
      </w:r>
      <w:r>
        <w:rPr>
          <w:spacing w:val="-38"/>
        </w:rPr>
      </w:r>
      <w:r>
        <w:rPr/>
        <w:t>依据，记账本位币发生变化的还应披露原因。</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62"/>
        <w:gridCol w:w="2465"/>
        <w:gridCol w:w="2465"/>
        <w:gridCol w:w="2462"/>
      </w:tblGrid>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86" w:right="0"/>
              <w:jc w:val="left"/>
              <w:rPr>
                <w:rFonts w:ascii="宋体" w:hAnsi="宋体" w:cs="宋体" w:eastAsia="宋体" w:hint="default"/>
                <w:sz w:val="18"/>
                <w:szCs w:val="18"/>
              </w:rPr>
            </w:pPr>
            <w:r>
              <w:rPr>
                <w:rFonts w:ascii="宋体" w:hAnsi="宋体" w:cs="宋体" w:eastAsia="宋体" w:hint="default"/>
                <w:sz w:val="18"/>
                <w:szCs w:val="18"/>
              </w:rPr>
              <w:t>境外经营实体</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739"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美盈森（香港）国际控股有限公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主要业务以港币计价</w:t>
            </w:r>
          </w:p>
        </w:tc>
      </w:tr>
      <w:tr>
        <w:trPr>
          <w:trHeight w:val="425"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中国台湾</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新台币</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主要业务以新台币计价</w:t>
            </w:r>
          </w:p>
        </w:tc>
      </w:tr>
      <w:tr>
        <w:trPr>
          <w:trHeight w:val="739"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4" w:right="403"/>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6"/>
                <w:sz w:val="18"/>
              </w:rPr>
              <w:t> </w:t>
            </w:r>
            <w:r>
              <w:rPr>
                <w:rFonts w:ascii="Times New Roman"/>
                <w:sz w:val="18"/>
              </w:rPr>
              <w:t>(VIETNAM)</w:t>
            </w:r>
            <w:r>
              <w:rPr>
                <w:rFonts w:ascii="Times New Roman"/>
                <w:w w:val="99"/>
                <w:sz w:val="18"/>
              </w:rPr>
              <w:t> </w:t>
            </w:r>
            <w:r>
              <w:rPr>
                <w:rFonts w:ascii="Times New Roman"/>
                <w:sz w:val="18"/>
              </w:rPr>
              <w:t>COMPANY</w:t>
            </w:r>
            <w:r>
              <w:rPr>
                <w:rFonts w:ascii="Times New Roman"/>
                <w:spacing w:val="-5"/>
                <w:sz w:val="18"/>
              </w:rPr>
              <w:t> </w:t>
            </w:r>
            <w:r>
              <w:rPr>
                <w:rFonts w:ascii="Times New Roman"/>
                <w:sz w:val="18"/>
              </w:rPr>
              <w:t>LIMITED</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越南</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越南盾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主要业务以越南盾计价</w:t>
            </w:r>
          </w:p>
        </w:tc>
      </w:tr>
      <w:tr>
        <w:trPr>
          <w:trHeight w:val="427"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1"/>
                <w:sz w:val="18"/>
              </w:rPr>
              <w:t> </w:t>
            </w:r>
            <w:r>
              <w:rPr>
                <w:rFonts w:ascii="Times New Roman"/>
                <w:sz w:val="18"/>
              </w:rPr>
              <w:t>Inc</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美国加州</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主要业务以美元计价</w:t>
            </w:r>
          </w:p>
        </w:tc>
      </w:tr>
      <w:tr>
        <w:trPr>
          <w:trHeight w:val="1051"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61"/>
              <w:ind w:left="4" w:right="10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MYS</w:t>
            </w:r>
            <w:r>
              <w:rPr>
                <w:rFonts w:ascii="宋体" w:hAnsi="宋体" w:cs="宋体" w:eastAsia="宋体" w:hint="default"/>
                <w:sz w:val="18"/>
                <w:szCs w:val="18"/>
              </w:rPr>
              <w:t>（</w:t>
            </w:r>
            <w:r>
              <w:rPr>
                <w:rFonts w:ascii="Times New Roman" w:hAnsi="Times New Roman" w:cs="Times New Roman" w:eastAsia="Times New Roman" w:hint="default"/>
                <w:sz w:val="18"/>
                <w:szCs w:val="18"/>
              </w:rPr>
              <w:t>DONG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NAI</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PACKAGING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越南</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越南盾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主要业务以越南盾计价</w:t>
            </w:r>
          </w:p>
        </w:tc>
      </w:tr>
      <w:tr>
        <w:trPr>
          <w:trHeight w:val="1051"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3"/>
              <w:ind w:left="4" w:right="347"/>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3"/>
                <w:sz w:val="18"/>
              </w:rPr>
              <w:t> </w:t>
            </w:r>
            <w:r>
              <w:rPr>
                <w:rFonts w:ascii="Times New Roman"/>
                <w:sz w:val="18"/>
              </w:rPr>
              <w:t>(VIETNAM)</w:t>
            </w:r>
            <w:r>
              <w:rPr>
                <w:rFonts w:ascii="Times New Roman"/>
                <w:w w:val="99"/>
                <w:sz w:val="18"/>
              </w:rPr>
              <w:t> </w:t>
            </w:r>
            <w:r>
              <w:rPr>
                <w:rFonts w:ascii="Times New Roman"/>
                <w:sz w:val="18"/>
              </w:rPr>
              <w:t>PACKING</w:t>
            </w:r>
            <w:r>
              <w:rPr>
                <w:rFonts w:ascii="Times New Roman"/>
                <w:spacing w:val="-5"/>
                <w:sz w:val="18"/>
              </w:rPr>
              <w:t> </w:t>
            </w:r>
            <w:r>
              <w:rPr>
                <w:rFonts w:ascii="Times New Roman"/>
                <w:sz w:val="18"/>
              </w:rPr>
              <w:t>THCHNOLOGY</w:t>
            </w:r>
            <w:r>
              <w:rPr>
                <w:rFonts w:ascii="Times New Roman"/>
                <w:w w:val="99"/>
                <w:sz w:val="18"/>
              </w:rPr>
              <w:t> </w:t>
            </w:r>
            <w:r>
              <w:rPr>
                <w:rFonts w:ascii="Times New Roman"/>
                <w:sz w:val="18"/>
              </w:rPr>
              <w:t>CO.,LTD</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越南</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越南盾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主要业务以越南盾计价</w:t>
            </w:r>
          </w:p>
        </w:tc>
      </w:tr>
      <w:tr>
        <w:trPr>
          <w:trHeight w:val="1051" w:hRule="exact"/>
        </w:trPr>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3"/>
              <w:ind w:left="4" w:right="347"/>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3"/>
                <w:sz w:val="18"/>
              </w:rPr>
              <w:t> </w:t>
            </w:r>
            <w:r>
              <w:rPr>
                <w:rFonts w:ascii="Times New Roman"/>
                <w:sz w:val="18"/>
              </w:rPr>
              <w:t>(VIETNAM)</w:t>
            </w:r>
            <w:r>
              <w:rPr>
                <w:rFonts w:ascii="Times New Roman"/>
                <w:w w:val="99"/>
                <w:sz w:val="18"/>
              </w:rPr>
              <w:t> </w:t>
            </w:r>
            <w:r>
              <w:rPr>
                <w:rFonts w:ascii="Times New Roman"/>
                <w:sz w:val="18"/>
              </w:rPr>
              <w:t>PACKING</w:t>
            </w:r>
            <w:r>
              <w:rPr>
                <w:rFonts w:ascii="Times New Roman"/>
                <w:spacing w:val="-5"/>
                <w:sz w:val="18"/>
              </w:rPr>
              <w:t> </w:t>
            </w:r>
            <w:r>
              <w:rPr>
                <w:rFonts w:ascii="Times New Roman"/>
                <w:sz w:val="18"/>
              </w:rPr>
              <w:t>THCHNOLOGY</w:t>
            </w:r>
            <w:r>
              <w:rPr>
                <w:rFonts w:ascii="Times New Roman"/>
                <w:w w:val="99"/>
                <w:sz w:val="18"/>
              </w:rPr>
              <w:t> </w:t>
            </w:r>
            <w:r>
              <w:rPr>
                <w:rFonts w:ascii="Times New Roman"/>
                <w:sz w:val="18"/>
              </w:rPr>
              <w:t>CO.,LTD</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泰国</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泰铢</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主要业务以泰铢计价</w:t>
            </w:r>
          </w:p>
        </w:tc>
      </w:tr>
    </w:tbl>
    <w:p>
      <w:pPr>
        <w:spacing w:after="0" w:line="240"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53</w:t>
      </w:r>
      <w:r>
        <w:rPr/>
        <w:t>、套期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4634"/>
        <w:jc w:val="left"/>
      </w:pPr>
      <w:r>
        <w:rPr/>
        <w:t>按照套期类别披露套期项目及相关套期工具、被套期风险的定性和定量信息：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54</w:t>
      </w:r>
      <w:r>
        <w:rPr/>
        <w:t>、政府补助</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）政府补助基本情况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年市战略性新兴产业专 项资金资助项目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1,426,422.57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投资项目发展专项资金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488,888.57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66,666.72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深圳家居产品创意设计工程 实验室项目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2,658,911.84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429,999.96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年代金属复合工艺技改 项目拨款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宿迁投资补助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1,517,063.29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29,640.71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实现自动一体化包装生产线 的工艺创新项目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废纸循环纸浮雕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印刷产品 产业化及市场推广项目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环保立体代金属高档包装项 目研发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微纳结构材料高端印刷文化 工程实验室</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招商引资固定资产投资补助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45,361,111.11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638,888.89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VOC </w:t>
            </w:r>
            <w:r>
              <w:rPr>
                <w:rFonts w:ascii="宋体" w:hAnsi="宋体" w:cs="宋体" w:eastAsia="宋体" w:hint="default"/>
                <w:sz w:val="18"/>
                <w:szCs w:val="18"/>
              </w:rPr>
              <w:t>排放的绿色印刷关 键技术研究</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产业发展引导资金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31,604,900.00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长沙投资补助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招商引资专项扶持资金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6,145,000.00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深圳市科技创新委员会企业 研发资助款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深圳市监督管理局第一批专 利资助费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个人所得税手续费返还款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175,536.05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175,536.05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1,146,239.27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1,146,239.27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深圳市经济贸易和信息化委 员会出口信用保险保费资助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光明区发展和财政局研发投 入资助项目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高技能人才培训项目补助款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深圳市光明区财政局光明区</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年经济发展专项资金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光明财政局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 发投入资助奖励项目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光明区科技创新局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 新技术产业化资助项目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深圳市市场监督管理局《企业 知识产权管理规范》资助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深圳市人居环境委员会大气 环境质量提升补贴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232,758.00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232,758.00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批退新型墙体材料 专项基金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203,225.10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203,225.10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东莞市工业和信息化局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自动化项目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1,138,400.00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1,138,400.00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东莞市经济和信息化局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年倍增</w:t>
            </w:r>
            <w:r>
              <w:rPr>
                <w:rFonts w:ascii="Times New Roman" w:hAnsi="Times New Roman" w:cs="Times New Roman" w:eastAsia="Times New Roman" w:hint="default"/>
                <w:sz w:val="18"/>
                <w:szCs w:val="18"/>
              </w:rPr>
              <w:t>-</w:t>
            </w:r>
            <w:r>
              <w:rPr>
                <w:rFonts w:ascii="宋体" w:hAnsi="宋体" w:cs="宋体" w:eastAsia="宋体" w:hint="default"/>
                <w:sz w:val="18"/>
                <w:szCs w:val="18"/>
              </w:rPr>
              <w:t>智能改造项目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东莞市工业和信息化局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智能改造项目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美之兰小升规项目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沙坪坝经信委项目补助资金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泗洪市场监督管理局专利补 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75,471.82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75,471.82</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光明区统战和社会建设局招 用困难群体社保补贴和招用 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216,311.03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216,311.03</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深圳市光明区财政局国家高 新技术企业认定市级奖补资 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吴江经济技术开发区科技局 科技创新奖励经费</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吴江经济技术开发区经发局 高质量发展经济工作先进奖 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1,268,100.00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沙坪坝财政局招用建卡贫困 户税费减免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83,850.00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宁乡经开区管理委员会安全 生产文明施工奖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西安经济技术开发区管理委 员会招商引资奖励款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泸州市纳溪区人民政府飞地 园区企业贡献奖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泸州纳溪区经济信息科学技 术局台阶奖励</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114,866,188.65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16,229,087.55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）政府补助退回情况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7"/>
        <w:ind w:left="0" w:right="1137"/>
        <w:jc w:val="right"/>
      </w:pPr>
      <w:r>
        <w:rPr/>
        <w:pict>
          <v:shape style="position:absolute;margin-left:56.399998pt;margin-top:-134.758270pt;width:479.2pt;height:185.5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3"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金之彩环保立体代金属高档包装项目研</w:t>
                        </w: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发未在项目实施期内严格按照已约定的</w:t>
                        </w:r>
                      </w:p>
                    </w:tc>
                  </w:tr>
                  <w:tr>
                    <w:trPr>
                      <w:trHeight w:val="313"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环保立体代金属高档包装项目研发</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646,500.00</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使用范围或使用进度计划规范使用资</w:t>
                        </w:r>
                      </w:p>
                    </w:tc>
                  </w:tr>
                  <w:tr>
                    <w:trPr>
                      <w:trHeight w:val="311" w:hRule="exact"/>
                    </w:trPr>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金，逾期通过验收，退回补助款项至深</w:t>
                        </w:r>
                      </w:p>
                    </w:tc>
                  </w:tr>
                  <w:tr>
                    <w:trPr>
                      <w:trHeight w:val="352"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圳市财政委员会财政专户。</w:t>
                        </w:r>
                      </w:p>
                    </w:tc>
                  </w:tr>
                  <w:tr>
                    <w:trPr>
                      <w:trHeight w:val="362"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金之彩深圳微纳结构材料高端印刷文化</w:t>
                        </w:r>
                      </w:p>
                    </w:tc>
                  </w:tr>
                  <w:tr>
                    <w:trPr>
                      <w:trHeight w:val="935"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314" w:lineRule="auto" w:before="160"/>
                          <w:ind w:left="24" w:right="91"/>
                          <w:jc w:val="left"/>
                          <w:rPr>
                            <w:rFonts w:ascii="宋体" w:hAnsi="宋体" w:cs="宋体" w:eastAsia="宋体" w:hint="default"/>
                            <w:sz w:val="18"/>
                            <w:szCs w:val="18"/>
                          </w:rPr>
                        </w:pPr>
                        <w:r>
                          <w:rPr>
                            <w:rFonts w:ascii="宋体" w:hAnsi="宋体" w:cs="宋体" w:eastAsia="宋体" w:hint="default"/>
                            <w:sz w:val="18"/>
                            <w:szCs w:val="18"/>
                          </w:rPr>
                          <w:t>深圳微纳结构材料高端印刷文化工程实 验室项目</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93"/>
                          <w:jc w:val="both"/>
                          <w:rPr>
                            <w:rFonts w:ascii="宋体" w:hAnsi="宋体" w:cs="宋体" w:eastAsia="宋体" w:hint="default"/>
                            <w:sz w:val="18"/>
                            <w:szCs w:val="18"/>
                          </w:rPr>
                        </w:pPr>
                        <w:r>
                          <w:rPr>
                            <w:rFonts w:ascii="宋体" w:hAnsi="宋体" w:cs="宋体" w:eastAsia="宋体" w:hint="default"/>
                            <w:sz w:val="18"/>
                            <w:szCs w:val="18"/>
                          </w:rPr>
                          <w:t>工程实验室项目未按要求实施并完成项 目建设，逾期未完成项目验收而被撤项 退回补助款项至深圳市财政局财政专</w:t>
                        </w:r>
                      </w:p>
                    </w:tc>
                  </w:tr>
                  <w:tr>
                    <w:trPr>
                      <w:trHeight w:val="352"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360" w:lineRule="auto" w:before="37"/>
        <w:ind w:right="1034"/>
        <w:jc w:val="left"/>
      </w:pPr>
      <w:r>
        <w:rPr/>
        <w:t>其他说明： 公司已将上述政府补助退回事项作为金之彩原股东违约的一项证据向深圳仲裁委提交，并请求追偿金之彩原股东违约责任。</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55</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rFonts w:ascii="Tahoma" w:hAnsi="Tahoma" w:cs="Tahoma" w:eastAsia="Tahoma" w:hint="default"/>
        </w:rPr>
      </w:pPr>
      <w:r>
        <w:rPr/>
        <w:t>八、合并范围的变更</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、非同一控制下企业合并</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）本期发生的非同一控制下企业合并</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）合并成本及商誉</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2" coordorigin="17,14" coordsize="4774,392">
              <v:shape style="position:absolute;left:17;top:14;width:4774;height:392" coordorigin="17,14" coordsize="4774,392" path="m17,14l4790,14,4790,406,17,406,17,14xe" filled="true" fillcolor="#d3d3d3" stroked="false">
                <v:path arrowok="t"/>
                <v:fill type="solid"/>
              </v:shape>
            </v:group>
            <v:group style="position:absolute;left:4800;top:14;width:4774;height:392" coordorigin="4800,14" coordsize="4774,392">
              <v:shape style="position:absolute;left:4800;top:14;width:4774;height:392" coordorigin="4800,14" coordsize="4774,392" path="m4800,14l9574,14,9574,406,4800,406,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79988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7998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782;height:402" type="#_x0000_t202" filled="false" stroked="false">
                <v:textbox inset="0,0,0,0">
                  <w:txbxContent>
                    <w:p>
                      <w:pPr>
                        <w:spacing w:before="53"/>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4"/>
        <w:jc w:val="left"/>
      </w:pPr>
      <w:r>
        <w:rPr/>
        <w:t>合并成本公允价值的确定方法、或有对价及其变动的说明： 无</w:t>
      </w:r>
    </w:p>
    <w:p>
      <w:pPr>
        <w:pStyle w:val="BodyText"/>
        <w:spacing w:line="357" w:lineRule="auto" w:before="29"/>
        <w:ind w:right="8594"/>
        <w:jc w:val="left"/>
      </w:pPr>
      <w:r>
        <w:rPr/>
        <w:t>大额商誉形成的主要原因： 无</w:t>
      </w:r>
    </w:p>
    <w:p>
      <w:pPr>
        <w:pStyle w:val="BodyText"/>
        <w:spacing w:line="360" w:lineRule="auto" w:before="2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）被购买方于购买日可辨认资产、负债</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14"/>
        <w:jc w:val="left"/>
      </w:pPr>
      <w:r>
        <w:rPr/>
        <w:t>可辨认资产、负债公允价值的确定方法： 无 企业合并中承担的被购买方的或有负债：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）购买日之前持有的股权按照公允价值重新计量产生的利得或损失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）购买日或合并当期期末无法合理确定合并对价或被购买方可辨认资产、负债公允价值的相关说明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6</w:t>
      </w:r>
      <w:r>
        <w:rPr/>
        <w:t>）其他说明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2</w:t>
      </w:r>
      <w:r>
        <w:rPr/>
        <w:t>、同一控制下企业合并</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）本期发生的同一控制下企业合并</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）合并成本</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1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80011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80011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782;height:404" type="#_x0000_t202" filled="false" stroked="false">
                <v:textbox inset="0,0,0,0">
                  <w:txbxContent>
                    <w:p>
                      <w:pPr>
                        <w:spacing w:before="53"/>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8594"/>
        <w:jc w:val="left"/>
      </w:pPr>
      <w:r>
        <w:rPr/>
        <w:t>或有对价及其变动的说明：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）合并日被合并方资产、负债的账面价值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3"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pt;height:41.2pt;mso-position-horizontal-relative:char;mso-position-vertical-relative:line" coordorigin="0,0" coordsize="9586,824">
            <v:group style="position:absolute;left:17;top:14;width:3180;height:392" coordorigin="17,14" coordsize="3180,392">
              <v:shape style="position:absolute;left:17;top:14;width:3180;height:392" coordorigin="17,14" coordsize="3180,392" path="m17,14l3197,14,3197,406,17,406,17,14xe" filled="true" fillcolor="#d3d3d3" stroked="false">
                <v:path arrowok="t"/>
                <v:fill type="solid"/>
              </v:shape>
            </v:group>
            <v:group style="position:absolute;left:3206;top:14;width:6370;height:392" coordorigin="3206,14" coordsize="6370,392">
              <v:shape style="position:absolute;left:3206;top:14;width:6370;height:392" coordorigin="3206,14" coordsize="6370,392" path="m3206,14l9576,14,9576,406,3206,406,3206,14xe" filled="true" fillcolor="#d3d3d3" stroked="false">
                <v:path arrowok="t"/>
                <v:fill type="solid"/>
              </v:shape>
            </v:group>
            <v:group style="position:absolute;left:5;top:10;width:9572;height:2" coordorigin="5,10" coordsize="9572,2">
              <v:shape style="position:absolute;left:5;top:10;width:9572;height:2" coordorigin="5,10" coordsize="9572,0" path="m5,10l9576,10e" filled="false" stroked="true" strokeweight=".479965pt" strokecolor="#000000">
                <v:path arrowok="t"/>
              </v:shape>
            </v:group>
            <v:group style="position:absolute;left:10;top:14;width:2;height:392" coordorigin="10,14" coordsize="2,392">
              <v:shape style="position:absolute;left:10;top:14;width:2;height:392" coordorigin="10,14" coordsize="0,392" path="m10,14l10,406e" filled="false" stroked="true" strokeweight=".479999pt" strokecolor="#000000">
                <v:path arrowok="t"/>
              </v:shape>
            </v:group>
            <v:group style="position:absolute;left:3199;top:14;width:2;height:392" coordorigin="3199,14" coordsize="2,392">
              <v:shape style="position:absolute;left:3199;top:14;width:2;height:392" coordorigin="3199,14" coordsize="0,392" path="m3199,14l3199,406e" filled="false" stroked="true" strokeweight=".480011pt" strokecolor="#000000">
                <v:path arrowok="t"/>
              </v:shape>
            </v:group>
            <v:group style="position:absolute;left:17;top:415;width:3180;height:394" coordorigin="17,415" coordsize="3180,394">
              <v:shape style="position:absolute;left:17;top:415;width:3180;height:394" coordorigin="17,415" coordsize="3180,394" path="m17,415l3197,415,3197,809,17,809,17,415xe" filled="true" fillcolor="#d3d3d3" stroked="false">
                <v:path arrowok="t"/>
                <v:fill type="solid"/>
              </v:shape>
            </v:group>
            <v:group style="position:absolute;left:3206;top:415;width:3180;height:394" coordorigin="3206,415" coordsize="3180,394">
              <v:shape style="position:absolute;left:3206;top:415;width:3180;height:394" coordorigin="3206,415" coordsize="3180,394" path="m3206,415l6386,415,6386,809,3206,809,3206,415xe" filled="true" fillcolor="#d3d3d3" stroked="false">
                <v:path arrowok="t"/>
                <v:fill type="solid"/>
              </v:shape>
            </v:group>
            <v:group style="position:absolute;left:6396;top:415;width:3180;height:394" coordorigin="6396,415" coordsize="3180,394">
              <v:shape style="position:absolute;left:6396;top:415;width:3180;height:394" coordorigin="6396,415" coordsize="3180,394" path="m6396,415l9576,415,9576,809,6396,809,6396,415xe" filled="true" fillcolor="#d3d3d3" stroked="false">
                <v:path arrowok="t"/>
                <v:fill type="solid"/>
              </v:shape>
            </v:group>
            <v:group style="position:absolute;left:5;top:410;width:9572;height:2" coordorigin="5,410" coordsize="9572,2">
              <v:shape style="position:absolute;left:5;top:410;width:9572;height:2" coordorigin="5,410" coordsize="9572,0" path="m5,410l9576,410e" filled="false" stroked="true" strokeweight=".480011pt" strokecolor="#000000">
                <v:path arrowok="t"/>
              </v:shape>
            </v:group>
            <v:group style="position:absolute;left:10;top:415;width:2;height:404" coordorigin="10,415" coordsize="2,404">
              <v:shape style="position:absolute;left:10;top:415;width:2;height:404" coordorigin="10,415" coordsize="0,404" path="m10,415l10,818e" filled="false" stroked="true" strokeweight=".479999pt" strokecolor="#000000">
                <v:path arrowok="t"/>
              </v:shape>
            </v:group>
            <v:group style="position:absolute;left:5;top:814;width:3190;height:2" coordorigin="5,814" coordsize="3190,2">
              <v:shape style="position:absolute;left:5;top:814;width:3190;height:2" coordorigin="5,814" coordsize="3190,0" path="m5,814l3194,814e" filled="false" stroked="true" strokeweight=".480011pt" strokecolor="#000000">
                <v:path arrowok="t"/>
              </v:shape>
            </v:group>
            <v:group style="position:absolute;left:3199;top:415;width:2;height:404" coordorigin="3199,415" coordsize="2,404">
              <v:shape style="position:absolute;left:3199;top:415;width:2;height:404" coordorigin="3199,415" coordsize="0,404" path="m3199,415l3199,818e" filled="false" stroked="true" strokeweight=".480011pt" strokecolor="#000000">
                <v:path arrowok="t"/>
              </v:shape>
            </v:group>
            <v:group style="position:absolute;left:3204;top:814;width:3180;height:2" coordorigin="3204,814" coordsize="3180,2">
              <v:shape style="position:absolute;left:3204;top:814;width:3180;height:2" coordorigin="3204,814" coordsize="3180,0" path="m3204,814l6384,814e" filled="false" stroked="true" strokeweight=".480011pt" strokecolor="#000000">
                <v:path arrowok="t"/>
              </v:shape>
            </v:group>
            <v:group style="position:absolute;left:6389;top:415;width:2;height:404" coordorigin="6389,415" coordsize="2,404">
              <v:shape style="position:absolute;left:6389;top:415;width:2;height:404" coordorigin="6389,415" coordsize="0,404" path="m6389,415l6389,818e" filled="false" stroked="true" strokeweight=".479988pt" strokecolor="#000000">
                <v:path arrowok="t"/>
              </v:shape>
            </v:group>
            <v:group style="position:absolute;left:6394;top:814;width:3183;height:2" coordorigin="6394,814" coordsize="3183,2">
              <v:shape style="position:absolute;left:6394;top:814;width:3183;height:2" coordorigin="6394,814" coordsize="3183,0" path="m6394,814l9576,814e" filled="false" stroked="true" strokeweight=".480011pt" strokecolor="#000000">
                <v:path arrowok="t"/>
              </v:shape>
            </v:group>
            <v:group style="position:absolute;left:9581;top:5;width:2;height:814" coordorigin="9581,5" coordsize="2,814">
              <v:shape style="position:absolute;left:9581;top:5;width:2;height:814" coordorigin="9581,5" coordsize="0,814" path="m9581,5l9581,818e" filled="false" stroked="true" strokeweight=".479966pt" strokecolor="#000000">
                <v:path arrowok="t"/>
              </v:shape>
              <v:shape style="position:absolute;left:3199;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9;top:410;width:3192;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7514"/>
        <w:jc w:val="left"/>
      </w:pPr>
      <w:r>
        <w:rPr/>
        <w:t>企业合并中承担的被合并方的或有负债：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、反向购买</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交易基本信息、交易构成反向购买的依据、上市公司保留的资产、负债是否构成业务及其依据、合并成本的确定、按照权益</w:t>
      </w:r>
    </w:p>
    <w:p>
      <w:pPr>
        <w:spacing w:after="0" w:line="240" w:lineRule="auto"/>
        <w:jc w:val="left"/>
        <w:sectPr>
          <w:footerReference w:type="default" r:id="rId52"/>
          <w:pgSz w:w="11910" w:h="16840"/>
          <w:pgMar w:footer="982" w:header="885" w:top="1100" w:bottom="1180" w:left="980" w:right="0"/>
          <w:pgNumType w:start="110"/>
        </w:sectPr>
      </w:pPr>
    </w:p>
    <w:p>
      <w:pPr>
        <w:spacing w:line="240" w:lineRule="auto" w:before="5"/>
        <w:rPr>
          <w:rFonts w:ascii="宋体" w:hAnsi="宋体" w:cs="宋体" w:eastAsia="宋体" w:hint="default"/>
          <w:sz w:val="22"/>
          <w:szCs w:val="22"/>
        </w:rPr>
      </w:pPr>
    </w:p>
    <w:p>
      <w:pPr>
        <w:pStyle w:val="BodyText"/>
        <w:spacing w:line="360" w:lineRule="auto" w:before="37"/>
        <w:ind w:right="7514"/>
        <w:jc w:val="left"/>
      </w:pPr>
      <w:r>
        <w:rPr/>
        <w:t>性交易处理时调整权益的金额及其计算：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、处置子公司</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是否存在单次处置对子公司投资即丧失控制权的情形</w:t>
      </w:r>
    </w:p>
    <w:p>
      <w:pPr>
        <w:pStyle w:val="BodyText"/>
        <w:spacing w:line="340"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、其他原因的合并范围变动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38" w:lineRule="auto"/>
        <w:ind w:right="0"/>
        <w:jc w:val="left"/>
      </w:pPr>
      <w:r>
        <w:rPr/>
        <w:t>说明其他原因导致的合并范围变动（如，新设子公司、清算子公司等）及其相关情况： </w:t>
      </w:r>
      <w:r>
        <w:rPr>
          <w:spacing w:val="-2"/>
        </w:rPr>
        <w:t>在上年度财务报告编制的基础上，公司本年度将福建美盈森、青岛美盈森、文麻生物、同奈美盈森、越南包装技术、美达科</w:t>
      </w:r>
      <w:r>
        <w:rPr>
          <w:spacing w:val="-68"/>
        </w:rPr>
        <w:t> </w:t>
      </w:r>
      <w:r>
        <w:rPr>
          <w:spacing w:val="-68"/>
        </w:rPr>
      </w:r>
      <w:r>
        <w:rPr>
          <w:spacing w:val="-4"/>
        </w:rPr>
        <w:t>技纳入合并报表范围；本年度深圳市汇天云网科技有限公司完成注销登记，合并报表范围减少深圳市汇天云网科技有限公司。</w:t>
      </w:r>
    </w:p>
    <w:p>
      <w:pPr>
        <w:pStyle w:val="BodyText"/>
        <w:spacing w:line="300" w:lineRule="auto" w:before="2"/>
        <w:ind w:right="1124"/>
        <w:jc w:val="left"/>
      </w:pPr>
      <w:r>
        <w:rPr/>
        <w:t>（</w:t>
      </w:r>
      <w:r>
        <w:rPr>
          <w:rFonts w:ascii="Times New Roman" w:hAnsi="Times New Roman" w:cs="Times New Roman" w:eastAsia="Times New Roman" w:hint="default"/>
        </w:rPr>
        <w:t>1</w:t>
      </w:r>
      <w:r>
        <w:rPr/>
        <w:t>）本期公司设立福建美盈森环保科技有限公司，于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24</w:t>
      </w:r>
      <w:r>
        <w:rPr/>
        <w:t>日完成办理工商设立登记手续，并取得统一社会信用代 码为</w:t>
      </w:r>
      <w:r>
        <w:rPr>
          <w:rFonts w:ascii="Times New Roman" w:hAnsi="Times New Roman" w:cs="Times New Roman" w:eastAsia="Times New Roman" w:hint="default"/>
        </w:rPr>
        <w:t>91350181MA32FLXY12</w:t>
      </w:r>
      <w:r>
        <w:rPr/>
        <w:t>的企业法人营业执照；按照相应的会计编制规则，公司本期将福建美盈森纳入合并报表范围。</w:t>
      </w:r>
    </w:p>
    <w:p>
      <w:pPr>
        <w:pStyle w:val="BodyText"/>
        <w:spacing w:line="300" w:lineRule="auto" w:before="13"/>
        <w:ind w:right="1124"/>
        <w:jc w:val="left"/>
      </w:pPr>
      <w:r>
        <w:rPr/>
        <w:t>（</w:t>
      </w:r>
      <w:r>
        <w:rPr>
          <w:rFonts w:ascii="Times New Roman" w:hAnsi="Times New Roman" w:cs="Times New Roman" w:eastAsia="Times New Roman" w:hint="default"/>
        </w:rPr>
        <w:t>2</w:t>
      </w:r>
      <w:r>
        <w:rPr/>
        <w:t>）本期公司设立青岛美盈森智谷科技有限公司，于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16</w:t>
      </w:r>
      <w:r>
        <w:rPr/>
        <w:t>日完成办理工商设立登记手续，并取得统一社会信用代 码为</w:t>
      </w:r>
      <w:r>
        <w:rPr>
          <w:rFonts w:ascii="Times New Roman" w:hAnsi="Times New Roman" w:cs="Times New Roman" w:eastAsia="Times New Roman" w:hint="default"/>
        </w:rPr>
        <w:t>91370211MA3PRH8U53</w:t>
      </w:r>
      <w:r>
        <w:rPr/>
        <w:t>的企业法人营业执照；按照相应的会计编制规则，公司本期将青岛美盈森纳入合并报表范围。</w:t>
      </w:r>
    </w:p>
    <w:p>
      <w:pPr>
        <w:pStyle w:val="BodyText"/>
        <w:spacing w:line="300" w:lineRule="auto" w:before="13"/>
        <w:ind w:right="1132"/>
        <w:jc w:val="both"/>
      </w:pPr>
      <w:r>
        <w:rPr/>
        <w:t>（</w:t>
      </w:r>
      <w:r>
        <w:rPr>
          <w:rFonts w:ascii="Times New Roman" w:hAnsi="Times New Roman" w:cs="Times New Roman" w:eastAsia="Times New Roman" w:hint="default"/>
        </w:rPr>
        <w:t>3</w:t>
      </w:r>
      <w:r>
        <w:rPr/>
        <w:t>）本期由公司合资设立云南文麻生物科技有限公司，于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06</w:t>
      </w:r>
      <w:r>
        <w:rPr/>
        <w:t>日完成办理工商设立登记手续，并取得统一社会信 用代码为</w:t>
      </w:r>
      <w:r>
        <w:rPr>
          <w:rFonts w:ascii="Times New Roman" w:hAnsi="Times New Roman" w:cs="Times New Roman" w:eastAsia="Times New Roman" w:hint="default"/>
        </w:rPr>
        <w:t>91532600MA6NULCB6X</w:t>
      </w:r>
      <w:r>
        <w:rPr/>
        <w:t>的企业法人营业执照，该公司注册资本</w:t>
      </w:r>
      <w:r>
        <w:rPr>
          <w:rFonts w:ascii="Times New Roman" w:hAnsi="Times New Roman" w:cs="Times New Roman" w:eastAsia="Times New Roman" w:hint="default"/>
        </w:rPr>
        <w:t>5000</w:t>
      </w:r>
      <w:r>
        <w:rPr/>
        <w:t>万元，公司持股</w:t>
      </w:r>
      <w:r>
        <w:rPr>
          <w:rFonts w:ascii="Times New Roman" w:hAnsi="Times New Roman" w:cs="Times New Roman" w:eastAsia="Times New Roman" w:hint="default"/>
        </w:rPr>
        <w:t>70%</w:t>
      </w:r>
      <w:r>
        <w:rPr/>
        <w:t>；按照相应的会计报表编 制规则，公司本期将文麻生物纳入合并报表范围。</w:t>
      </w:r>
    </w:p>
    <w:p>
      <w:pPr>
        <w:pStyle w:val="BodyText"/>
        <w:spacing w:line="300" w:lineRule="auto" w:before="31"/>
        <w:ind w:right="1121"/>
        <w:jc w:val="left"/>
      </w:pPr>
      <w:r>
        <w:rPr/>
        <w:t>（</w:t>
      </w:r>
      <w:r>
        <w:rPr>
          <w:rFonts w:ascii="Times New Roman" w:hAnsi="Times New Roman" w:cs="Times New Roman" w:eastAsia="Times New Roman" w:hint="default"/>
        </w:rPr>
        <w:t>4</w:t>
      </w:r>
      <w:r>
        <w:rPr/>
        <w:t>）本期由公司全资子公司越南美盈森设立：</w:t>
      </w:r>
      <w:r>
        <w:rPr>
          <w:rFonts w:ascii="Times New Roman" w:hAnsi="Times New Roman" w:cs="Times New Roman" w:eastAsia="Times New Roman" w:hint="default"/>
        </w:rPr>
        <w:t>MYS</w:t>
      </w:r>
      <w:r>
        <w:rPr/>
        <w:t>（</w:t>
      </w:r>
      <w:r>
        <w:rPr>
          <w:rFonts w:ascii="Times New Roman" w:hAnsi="Times New Roman" w:cs="Times New Roman" w:eastAsia="Times New Roman" w:hint="default"/>
        </w:rPr>
        <w:t>DONG NAI</w:t>
      </w:r>
      <w:r>
        <w:rPr/>
        <w:t>） </w:t>
      </w:r>
      <w:r>
        <w:rPr>
          <w:rFonts w:ascii="Times New Roman" w:hAnsi="Times New Roman" w:cs="Times New Roman" w:eastAsia="Times New Roman" w:hint="default"/>
        </w:rPr>
        <w:t>PACKAGING TECHNOLOGY COMPANY</w:t>
      </w:r>
      <w:r>
        <w:rPr>
          <w:rFonts w:ascii="Times New Roman" w:hAnsi="Times New Roman" w:cs="Times New Roman" w:eastAsia="Times New Roman" w:hint="default"/>
          <w:spacing w:val="-27"/>
        </w:rPr>
        <w:t> </w:t>
      </w:r>
      <w:r>
        <w:rPr>
          <w:rFonts w:ascii="Times New Roman" w:hAnsi="Times New Roman" w:cs="Times New Roman" w:eastAsia="Times New Roman" w:hint="default"/>
        </w:rPr>
        <w:t>LIMITED</w:t>
      </w:r>
      <w:r>
        <w:rPr/>
        <w:t>， 取得越南同奈省投资计划局颁发的《营业登记证明书》和越南同奈省工业区管理委员会颁发的《投资证书》，于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4</w:t>
      </w:r>
      <w:r>
        <w:rPr/>
        <w:t>日完成办理设立登记手续，并取得编号为</w:t>
      </w:r>
      <w:r>
        <w:rPr>
          <w:rFonts w:ascii="Times New Roman" w:hAnsi="Times New Roman" w:cs="Times New Roman" w:eastAsia="Times New Roman" w:hint="default"/>
        </w:rPr>
        <w:t>3603672568</w:t>
      </w:r>
      <w:r>
        <w:rPr/>
        <w:t>的企业注册证书，该公司注册资本：</w:t>
      </w:r>
      <w:r>
        <w:rPr>
          <w:rFonts w:ascii="Times New Roman" w:hAnsi="Times New Roman" w:cs="Times New Roman" w:eastAsia="Times New Roman" w:hint="default"/>
        </w:rPr>
        <w:t>232.80</w:t>
      </w:r>
      <w:r>
        <w:rPr/>
        <w:t>亿越南盾，越南美盈森 持股</w:t>
      </w:r>
      <w:r>
        <w:rPr>
          <w:rFonts w:ascii="Times New Roman" w:hAnsi="Times New Roman" w:cs="Times New Roman" w:eastAsia="Times New Roman" w:hint="default"/>
        </w:rPr>
        <w:t>100%</w:t>
      </w:r>
      <w:r>
        <w:rPr/>
        <w:t>；按照相应的会计报表编制规则，公司本期将同奈美盈森纳入合并报表范围。</w:t>
      </w:r>
    </w:p>
    <w:p>
      <w:pPr>
        <w:pStyle w:val="BodyText"/>
        <w:spacing w:line="300" w:lineRule="auto" w:before="13"/>
        <w:ind w:right="1064"/>
        <w:jc w:val="left"/>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w:t>
      </w:r>
      <w:r>
        <w:rPr>
          <w:rFonts w:ascii="Times New Roman" w:hAnsi="Times New Roman" w:cs="Times New Roman" w:eastAsia="Times New Roman" w:hint="default"/>
          <w:spacing w:val="-11"/>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0"/>
        </w:rPr>
        <w:t> </w:t>
      </w:r>
      <w:r>
        <w:rPr>
          <w:rFonts w:ascii="Times New Roman" w:hAnsi="Times New Roman" w:cs="Times New Roman" w:eastAsia="Times New Roman" w:hint="default"/>
        </w:rPr>
        <w:t>(VIETNAM)</w:t>
      </w:r>
      <w:r>
        <w:rPr>
          <w:rFonts w:ascii="Times New Roman" w:hAnsi="Times New Roman" w:cs="Times New Roman" w:eastAsia="Times New Roman" w:hint="default"/>
          <w:spacing w:val="-12"/>
        </w:rPr>
        <w:t> </w:t>
      </w:r>
      <w:r>
        <w:rPr>
          <w:rFonts w:ascii="Times New Roman" w:hAnsi="Times New Roman" w:cs="Times New Roman" w:eastAsia="Times New Roman" w:hint="default"/>
        </w:rPr>
        <w:t>PACKING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THCHNOLOGY</w:t>
      </w:r>
      <w:r>
        <w:rPr>
          <w:rFonts w:ascii="Times New Roman" w:hAnsi="Times New Roman" w:cs="Times New Roman" w:eastAsia="Times New Roman" w:hint="default"/>
          <w:spacing w:val="-9"/>
        </w:rPr>
        <w:t> </w:t>
      </w:r>
      <w:r>
        <w:rPr>
          <w:rFonts w:ascii="Times New Roman" w:hAnsi="Times New Roman" w:cs="Times New Roman" w:eastAsia="Times New Roman" w:hint="default"/>
        </w:rPr>
        <w:t>CO.,LTD</w:t>
      </w:r>
      <w:r>
        <w:rPr/>
        <w:t>，取得由越南 河南省计划与投资局商业登记室颁发的《营业登记证明书》，于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日完成办理设立登记手续，并取得编号为 </w:t>
      </w:r>
      <w:r>
        <w:rPr>
          <w:rFonts w:ascii="Times New Roman" w:hAnsi="Times New Roman" w:cs="Times New Roman" w:eastAsia="Times New Roman" w:hint="default"/>
        </w:rPr>
        <w:t>0700834402</w:t>
      </w:r>
      <w:r>
        <w:rPr/>
        <w:t>的企业注册证书，该公司注册资本：</w:t>
      </w:r>
      <w:r>
        <w:rPr>
          <w:rFonts w:ascii="Times New Roman" w:hAnsi="Times New Roman" w:cs="Times New Roman" w:eastAsia="Times New Roman" w:hint="default"/>
        </w:rPr>
        <w:t>4,861.50</w:t>
      </w:r>
      <w:r>
        <w:rPr/>
        <w:t>亿越南盾，香港美盈森持股</w:t>
      </w:r>
      <w:r>
        <w:rPr>
          <w:rFonts w:ascii="Times New Roman" w:hAnsi="Times New Roman" w:cs="Times New Roman" w:eastAsia="Times New Roman" w:hint="default"/>
        </w:rPr>
        <w:t>100%</w:t>
      </w:r>
      <w:r>
        <w:rPr/>
        <w:t>；按照相应的会计报表编制规则， 公司本期将越南包装技术纳入合并报表范围。</w:t>
      </w:r>
    </w:p>
    <w:p>
      <w:pPr>
        <w:pStyle w:val="BodyText"/>
        <w:spacing w:line="300" w:lineRule="auto" w:before="31"/>
        <w:ind w:right="1124"/>
        <w:jc w:val="left"/>
      </w:pPr>
      <w:r>
        <w:rPr/>
        <w:t>（</w:t>
      </w:r>
      <w:r>
        <w:rPr>
          <w:rFonts w:ascii="Times New Roman" w:hAnsi="Times New Roman" w:cs="Times New Roman" w:eastAsia="Times New Roman" w:hint="default"/>
        </w:rPr>
        <w:t>6</w:t>
      </w:r>
      <w:r>
        <w:rPr/>
        <w:t>）本期由公司全资子公司香港美盈森与源胜国际有限公司、陶亚峰、陶元生、葛长帅分别以</w:t>
      </w:r>
      <w:r>
        <w:rPr>
          <w:rFonts w:ascii="Times New Roman" w:hAnsi="Times New Roman" w:cs="Times New Roman" w:eastAsia="Times New Roman" w:hint="default"/>
        </w:rPr>
        <w:t>58%</w:t>
      </w:r>
      <w:r>
        <w:rPr/>
        <w:t>、</w:t>
      </w:r>
      <w:r>
        <w:rPr>
          <w:rFonts w:ascii="Times New Roman" w:hAnsi="Times New Roman" w:cs="Times New Roman" w:eastAsia="Times New Roman" w:hint="default"/>
        </w:rPr>
        <w:t>37%</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spacing w:val="-2"/>
        </w:rPr>
        <w:t>的比例于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日共同在泰国春武里府设立了美达科技包装（泰国）有限公司，于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日完成办理设立登记</w:t>
      </w:r>
      <w:r>
        <w:rPr>
          <w:spacing w:val="-58"/>
        </w:rPr>
        <w:t> </w:t>
      </w:r>
      <w:r>
        <w:rPr>
          <w:spacing w:val="-58"/>
        </w:rPr>
      </w:r>
      <w:r>
        <w:rPr/>
        <w:t>手续，并取得编号为</w:t>
      </w:r>
      <w:r>
        <w:rPr>
          <w:rFonts w:ascii="Times New Roman" w:hAnsi="Times New Roman" w:cs="Times New Roman" w:eastAsia="Times New Roman" w:hint="default"/>
        </w:rPr>
        <w:t>0205562046651</w:t>
      </w:r>
      <w:r>
        <w:rPr/>
        <w:t>的企业法人营业执照，该公司注册资本</w:t>
      </w:r>
      <w:r>
        <w:rPr>
          <w:rFonts w:ascii="Times New Roman" w:hAnsi="Times New Roman" w:cs="Times New Roman" w:eastAsia="Times New Roman" w:hint="default"/>
        </w:rPr>
        <w:t>9000</w:t>
      </w:r>
      <w:r>
        <w:rPr/>
        <w:t>万泰铢；按照相应的会计报表编制规则，公 司本期将美达科技纳入合并报表范围。</w:t>
      </w:r>
    </w:p>
    <w:p>
      <w:pPr>
        <w:pStyle w:val="BodyText"/>
        <w:spacing w:line="300" w:lineRule="auto" w:before="31"/>
        <w:ind w:right="1134"/>
        <w:jc w:val="both"/>
      </w:pPr>
      <w:r>
        <w:rPr>
          <w:spacing w:val="-2"/>
        </w:rPr>
        <w:t>（</w:t>
      </w:r>
      <w:r>
        <w:rPr>
          <w:rFonts w:ascii="Times New Roman" w:hAnsi="Times New Roman" w:cs="Times New Roman" w:eastAsia="Times New Roman" w:hint="default"/>
          <w:spacing w:val="-2"/>
        </w:rPr>
        <w:t>7</w:t>
      </w:r>
      <w:r>
        <w:rPr>
          <w:spacing w:val="-2"/>
        </w:rPr>
        <w:t>）本期公司的下属全资子公司深圳市汇天云网科技有限公司申请注销登记，于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月取得深圳市市场监督管理局</w:t>
      </w:r>
      <w:r>
        <w:rPr>
          <w:spacing w:val="-65"/>
        </w:rPr>
        <w:t> </w:t>
      </w:r>
      <w:r>
        <w:rPr>
          <w:spacing w:val="-65"/>
        </w:rPr>
      </w:r>
      <w:r>
        <w:rPr/>
        <w:t>的《企业注销通知书》核准公司注销登记。按照相应的会计报表编制规则，自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日之后，公司的合并范围减少子 公司深圳市汇天云网科技有限公司。</w:t>
      </w:r>
    </w:p>
    <w:p>
      <w:pPr>
        <w:spacing w:line="240" w:lineRule="auto" w:before="10"/>
        <w:rPr>
          <w:rFonts w:ascii="宋体" w:hAnsi="宋体" w:cs="宋体" w:eastAsia="宋体" w:hint="default"/>
          <w:sz w:val="23"/>
          <w:szCs w:val="23"/>
        </w:rPr>
      </w:pPr>
    </w:p>
    <w:p>
      <w:pPr>
        <w:pStyle w:val="Heading4"/>
        <w:spacing w:line="240" w:lineRule="auto"/>
        <w:ind w:right="0"/>
        <w:jc w:val="left"/>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rFonts w:ascii="Tahoma" w:hAnsi="Tahoma" w:cs="Tahoma" w:eastAsia="Tahoma" w:hint="default"/>
        </w:rPr>
      </w:pPr>
      <w:r>
        <w:rPr/>
        <w:t>九、在其他主体中的权益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、在子公司中的权益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）企业集团的构成</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美盈森（香港） 国际控股有限公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美莲检测有限公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包装印刷行业检 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郑州市美盈森环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长沙美盈森智谷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Tahoma" w:hAnsi="Tahoma" w:cs="Tahoma" w:eastAsia="Tahoma" w:hint="default"/>
          <w:sz w:val="26"/>
          <w:szCs w:val="26"/>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佛山市美盈森绿 谷科技有限公司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中大绿谷实业股 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湖南美盈森实业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安徽美盈森智谷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1"/>
                <w:sz w:val="18"/>
              </w:rPr>
              <w:t> </w:t>
            </w:r>
            <w:r>
              <w:rPr>
                <w:rFonts w:ascii="Times New Roman"/>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西安美盈森智谷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福建美盈森环保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福建福清市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福建福清市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青岛美盈森智谷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云南文麻生物科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云南文山市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云南文山市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农业、消费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6974"/>
        <w:jc w:val="left"/>
      </w:pPr>
      <w:r>
        <w:rPr/>
        <w:t>在子公司的持股比例不同于表决权比例的说明： 无</w:t>
      </w:r>
    </w:p>
    <w:p>
      <w:pPr>
        <w:pStyle w:val="BodyText"/>
        <w:spacing w:line="360" w:lineRule="auto" w:before="29"/>
        <w:ind w:right="2834"/>
        <w:jc w:val="left"/>
      </w:pPr>
      <w:r>
        <w:rPr/>
        <w:t>持有半数或以下表决权但仍控制被投资单位、以及持有半数以上表决权但不控制被投资单位的依据： 无</w:t>
      </w:r>
    </w:p>
    <w:p>
      <w:pPr>
        <w:pStyle w:val="BodyText"/>
        <w:spacing w:line="357" w:lineRule="auto" w:before="27"/>
        <w:ind w:right="6434"/>
        <w:jc w:val="left"/>
      </w:pPr>
      <w:r>
        <w:rPr/>
        <w:t>对于纳入合并范围的重要的结构化主体，控制的依据： 无</w:t>
      </w:r>
    </w:p>
    <w:p>
      <w:pPr>
        <w:pStyle w:val="BodyText"/>
        <w:spacing w:line="357" w:lineRule="auto" w:before="29"/>
        <w:ind w:right="7694"/>
        <w:jc w:val="left"/>
      </w:pPr>
      <w:r>
        <w:rPr/>
        <w:t>确定公司是代理人还是委托人的依据： 无</w:t>
      </w:r>
    </w:p>
    <w:p>
      <w:pPr>
        <w:pStyle w:val="BodyText"/>
        <w:spacing w:line="360" w:lineRule="auto" w:before="2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）重要的非全资子公司</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深圳市金之彩文化创意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-4,721,122.11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33,823,742.74</w:t>
            </w:r>
          </w:p>
        </w:tc>
      </w:tr>
    </w:tbl>
    <w:p>
      <w:pPr>
        <w:pStyle w:val="BodyText"/>
        <w:spacing w:line="357" w:lineRule="auto" w:before="49"/>
        <w:ind w:right="6434"/>
        <w:jc w:val="left"/>
      </w:pPr>
      <w:r>
        <w:rPr/>
        <w:t>子公司少数股东的持股比例不同于表决权比例的说明： 无</w:t>
      </w:r>
    </w:p>
    <w:p>
      <w:pPr>
        <w:spacing w:after="0" w:line="357"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60" w:lineRule="auto" w:before="37"/>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）重要非全资子公司的主要财务信息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63"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61"/>
              <w:jc w:val="both"/>
              <w:rPr>
                <w:rFonts w:ascii="宋体" w:hAnsi="宋体" w:cs="宋体" w:eastAsia="宋体" w:hint="default"/>
                <w:sz w:val="18"/>
                <w:szCs w:val="18"/>
              </w:rPr>
            </w:pPr>
            <w:r>
              <w:rPr>
                <w:rFonts w:ascii="宋体" w:hAnsi="宋体" w:cs="宋体" w:eastAsia="宋体" w:hint="default"/>
                <w:sz w:val="18"/>
                <w:szCs w:val="18"/>
              </w:rPr>
              <w:t>金之彩 文化创 意有限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111,267,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605.30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61,658,0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172,925,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638.49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52,795,5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4,337,06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57,132,5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111,278,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889.78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68,886,3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180,165,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202.64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45,615,0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79.46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48,635,0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79.46</w:t>
            </w:r>
          </w:p>
        </w:tc>
      </w:tr>
      <w:tr>
        <w:trPr>
          <w:trHeight w:val="352"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141,642,193.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-15,737,073.6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-15,737,073.6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12,430,452.2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163,514,811.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-31,582,106.5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-31,582,106.5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-5,574,197.52</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）使用企业集团资产和清偿企业集团债务的重大限制</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5</w:t>
      </w:r>
      <w:r>
        <w:rPr/>
        <w:t>）向纳入合并财务报表范围的结构化主体提供的财务支持或其他支持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、在子公司的所有者权益份额发生变化且仍控制子公司的交易</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）在子公司所有者权益份额发生变化的情况说明</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）交易对于少数股东权益及归属于母公司所有者权益的影响</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5pt;mso-position-horizontal-relative:char;mso-position-vertical-relative:line" coordorigin="0,0" coordsize="9584,423">
            <v:group style="position:absolute;left:17;top:14;width:4774;height:394" coordorigin="17,14" coordsize="4774,394">
              <v:shape style="position:absolute;left:17;top:14;width:4774;height:394" coordorigin="17,14" coordsize="4774,394" path="m17,14l4790,14,4790,408,17,408,17,14xe" filled="true" fillcolor="#d3d3d3" stroked="false">
                <v:path arrowok="t"/>
                <v:fill type="solid"/>
              </v:shape>
            </v:group>
            <v:group style="position:absolute;left:4800;top:14;width:4774;height:394" coordorigin="4800,14" coordsize="4774,394">
              <v:shape style="position:absolute;left:4800;top:14;width:4774;height:394" coordorigin="4800,14" coordsize="4774,394" path="m4800,14l9574,14,9574,408,4800,408,4800,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79999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6;height:2" coordorigin="4798,413" coordsize="4776,2">
              <v:shape style="position:absolute;left:4798;top:413;width:4776;height:2" coordorigin="4798,413" coordsize="4776,0" path="m4798,413l9574,413e" filled="false" stroked="true" strokeweight=".479999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group>
          </v:group>
        </w:pict>
      </w:r>
      <w:r>
        <w:rPr>
          <w:rFonts w:ascii="宋体" w:hAnsi="宋体" w:cs="宋体" w:eastAsia="宋体" w:hint="default"/>
          <w:position w:val="-7"/>
          <w:sz w:val="20"/>
          <w:szCs w:val="20"/>
        </w:rPr>
      </w:r>
    </w:p>
    <w:p>
      <w:pPr>
        <w:pStyle w:val="BodyText"/>
        <w:spacing w:line="357" w:lineRule="auto" w:before="44"/>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、在合营安排或联营企业中的权益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）重要的合营企业或联营企业</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区块链防伪溯源</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74"/>
              <w:jc w:val="both"/>
              <w:rPr>
                <w:rFonts w:ascii="宋体" w:hAnsi="宋体" w:cs="宋体" w:eastAsia="宋体" w:hint="default"/>
                <w:sz w:val="18"/>
                <w:szCs w:val="18"/>
              </w:rPr>
            </w:pPr>
            <w:r>
              <w:rPr>
                <w:rFonts w:ascii="宋体" w:hAnsi="宋体" w:cs="宋体" w:eastAsia="宋体" w:hint="default"/>
                <w:sz w:val="18"/>
                <w:szCs w:val="18"/>
              </w:rPr>
              <w:t>浙江甲骨文超级 码科技股份有限 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0"/>
              <w:ind w:right="0"/>
              <w:jc w:val="left"/>
              <w:rPr>
                <w:rFonts w:ascii="Tahoma" w:hAnsi="Tahoma" w:cs="Tahoma" w:eastAsia="Tahoma"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0"/>
              <w:ind w:right="0"/>
              <w:jc w:val="left"/>
              <w:rPr>
                <w:rFonts w:ascii="Tahoma" w:hAnsi="Tahoma" w:cs="Tahoma" w:eastAsia="Tahoma"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6" w:right="69"/>
              <w:jc w:val="both"/>
              <w:rPr>
                <w:rFonts w:ascii="宋体" w:hAnsi="宋体" w:cs="宋体" w:eastAsia="宋体" w:hint="default"/>
                <w:sz w:val="18"/>
                <w:szCs w:val="18"/>
              </w:rPr>
            </w:pPr>
            <w:r>
              <w:rPr>
                <w:rFonts w:ascii="宋体" w:hAnsi="宋体" w:cs="宋体" w:eastAsia="宋体" w:hint="default"/>
                <w:sz w:val="18"/>
                <w:szCs w:val="18"/>
              </w:rPr>
              <w:t>营销、农业信息 化、质量安全体 系化与数字智能 化技术服务的服</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6"/>
              <w:ind w:right="0"/>
              <w:jc w:val="left"/>
              <w:rPr>
                <w:rFonts w:ascii="Tahoma" w:hAnsi="Tahoma" w:cs="Tahoma" w:eastAsia="Tahoma" w:hint="default"/>
                <w:sz w:val="24"/>
                <w:szCs w:val="2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0"/>
              <w:ind w:right="0"/>
              <w:jc w:val="left"/>
              <w:rPr>
                <w:rFonts w:ascii="Tahoma" w:hAnsi="Tahoma" w:cs="Tahoma" w:eastAsia="Tahoma"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0"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务商</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49"/>
        <w:ind w:right="5894"/>
        <w:jc w:val="left"/>
      </w:pPr>
      <w:r>
        <w:rPr/>
        <w:t>在合营企业或联营企业的持股比例不同于表决权比例的说明： 无</w:t>
      </w:r>
    </w:p>
    <w:p>
      <w:pPr>
        <w:pStyle w:val="BodyText"/>
        <w:spacing w:line="319" w:lineRule="auto" w:before="2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w:t>
      </w:r>
      <w:r>
        <w:rPr>
          <w:spacing w:val="-2"/>
        </w:rPr>
        <w:t>根据浙江甲骨文超级码科技股份有限公司股东协议，甲骨文超级码董事会成员为</w:t>
      </w:r>
      <w:r>
        <w:rPr>
          <w:rFonts w:ascii="Times New Roman" w:hAnsi="Times New Roman" w:cs="Times New Roman" w:eastAsia="Times New Roman" w:hint="default"/>
          <w:spacing w:val="-2"/>
        </w:rPr>
        <w:t>5</w:t>
      </w:r>
      <w:r>
        <w:rPr>
          <w:spacing w:val="-2"/>
        </w:rPr>
        <w:t>人，公司有权提名</w:t>
      </w:r>
      <w:r>
        <w:rPr>
          <w:rFonts w:ascii="Times New Roman" w:hAnsi="Times New Roman" w:cs="Times New Roman" w:eastAsia="Times New Roman" w:hint="default"/>
          <w:spacing w:val="-2"/>
        </w:rPr>
        <w:t>1</w:t>
      </w:r>
      <w:r>
        <w:rPr>
          <w:spacing w:val="-2"/>
        </w:rPr>
        <w:t>人担任甲骨文超级码公</w:t>
      </w:r>
      <w:r>
        <w:rPr>
          <w:spacing w:val="-65"/>
        </w:rPr>
        <w:t> </w:t>
      </w:r>
      <w:r>
        <w:rPr/>
        <w:t>司董事；按照会计准则，属于重大影响的权益性投资即联营企业投资，采用权益法核算。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rFonts w:ascii="Tahoma" w:hAnsi="Tahoma" w:cs="Tahoma" w:eastAsia="Tahoma" w:hint="default"/>
        </w:rPr>
      </w:pPr>
      <w:r>
        <w:rPr/>
        <w:t>（</w:t>
      </w:r>
      <w:r>
        <w:rPr>
          <w:rFonts w:ascii="Tahoma" w:hAnsi="Tahoma" w:cs="Tahoma" w:eastAsia="Tahoma" w:hint="default"/>
        </w:rPr>
        <w:t>2</w:t>
      </w:r>
      <w:r>
        <w:rPr/>
        <w:t>）重要合营企业的主要财务信息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）重要联营企业的主要财务信息</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137,745,828.85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83,347,644.94</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7,112,222.36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6,719,699.09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144,858,051.21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90,067,344.03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60,350,725.59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53,193,946.71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420,487.15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423,264.10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60,771,212.74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53,617,210.81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-732,277.65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-1,266,551.47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84,819,116.12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37,716,684.69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8,481,911.61</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31,728,554.67</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121,241,587.03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96,806,868.06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16,856,284.50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13,182,975.78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16,856,284.50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13,182,975.78</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）不重要的合营企业和联营企业的汇总财务信息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5</w:t>
      </w:r>
      <w:r>
        <w:rPr/>
        <w:t>）合营企业或联营企业向本公司转移资金的能力存在重大限制的说明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6</w:t>
      </w:r>
      <w:r>
        <w:rPr/>
        <w:t>）合营企业或联营企业发生的超额亏损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49"/>
        <w:ind w:right="10034"/>
        <w:jc w:val="left"/>
      </w:pPr>
      <w:r>
        <w:rPr/>
        <w:t>其他说明 无</w:t>
      </w:r>
    </w:p>
    <w:p>
      <w:pPr>
        <w:spacing w:after="0" w:line="357"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7</w:t>
      </w:r>
      <w:r>
        <w:rPr/>
        <w:t>）与合营企业投资相关的未确认承诺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8</w:t>
      </w:r>
      <w:r>
        <w:rPr/>
        <w:t>）与合营企业或联营企业投资相关的或有负债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4</w:t>
      </w:r>
      <w:r>
        <w:rPr/>
        <w:t>、重要的共同经营</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无</w:t>
      </w:r>
    </w:p>
    <w:p>
      <w:pPr>
        <w:pStyle w:val="BodyText"/>
        <w:spacing w:line="357" w:lineRule="auto" w:before="29"/>
        <w:ind w:right="6794"/>
        <w:jc w:val="left"/>
      </w:pPr>
      <w:r>
        <w:rPr/>
        <w:t>共同经营为单独主体的，分类为共同经营的依据： 无</w:t>
      </w:r>
    </w:p>
    <w:p>
      <w:pPr>
        <w:pStyle w:val="BodyText"/>
        <w:spacing w:line="360" w:lineRule="auto" w:before="29"/>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both"/>
        <w:rPr>
          <w:rFonts w:ascii="Tahoma" w:hAnsi="Tahoma" w:cs="Tahoma" w:eastAsia="Tahoma" w:hint="default"/>
        </w:rPr>
      </w:pPr>
      <w:r>
        <w:rPr>
          <w:rFonts w:ascii="Tahoma" w:hAnsi="Tahoma" w:cs="Tahoma" w:eastAsia="Tahoma" w:hint="default"/>
        </w:rPr>
        <w:t>5</w:t>
      </w:r>
      <w:r>
        <w:rPr/>
        <w:t>、在未纳入合并财务报表范围的结构化主体中的权益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6614"/>
        <w:jc w:val="left"/>
      </w:pPr>
      <w:r>
        <w:rPr/>
        <w:t>未纳入合并财务报表范围的结构化主体的相关说明： 无</w:t>
      </w:r>
    </w:p>
    <w:p>
      <w:pPr>
        <w:spacing w:line="240" w:lineRule="auto" w:before="4"/>
        <w:rPr>
          <w:rFonts w:ascii="宋体" w:hAnsi="宋体" w:cs="宋体" w:eastAsia="宋体" w:hint="default"/>
          <w:sz w:val="20"/>
          <w:szCs w:val="20"/>
        </w:rPr>
      </w:pPr>
    </w:p>
    <w:p>
      <w:pPr>
        <w:pStyle w:val="Heading4"/>
        <w:spacing w:line="240" w:lineRule="auto"/>
        <w:ind w:right="0"/>
        <w:jc w:val="both"/>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3"/>
        <w:spacing w:line="240" w:lineRule="auto"/>
        <w:ind w:right="0"/>
        <w:jc w:val="both"/>
        <w:rPr>
          <w:rFonts w:ascii="Tahoma" w:hAnsi="Tahoma" w:cs="Tahoma" w:eastAsia="Tahoma" w:hint="default"/>
        </w:rPr>
      </w:pPr>
      <w:r>
        <w:rPr/>
        <w:t>十、与金融工具相关的风险</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0"/>
        <w:jc w:val="both"/>
      </w:pPr>
      <w:r>
        <w:rPr>
          <w:spacing w:val="-2"/>
        </w:rPr>
        <w:t>本公司的主要金融工具包括股权投资、应收账款、应付账款等，各项金融工具的详细情况已于相关附注内披露。与这些金融</w:t>
      </w:r>
      <w:r>
        <w:rPr>
          <w:spacing w:val="-65"/>
        </w:rPr>
        <w:t> </w:t>
      </w:r>
      <w:r>
        <w:rPr>
          <w:spacing w:val="-65"/>
        </w:rPr>
      </w:r>
      <w:r>
        <w:rPr>
          <w:spacing w:val="-2"/>
        </w:rPr>
        <w:t>工具有关的风险，以及本公司为降低这些风险所采取的风险管理政策如下所述。本公司管理层对这些风险敞口进行管理和监</w:t>
      </w:r>
      <w:r>
        <w:rPr>
          <w:spacing w:val="-64"/>
        </w:rPr>
        <w:t> </w:t>
      </w:r>
      <w:r>
        <w:rPr>
          <w:spacing w:val="-64"/>
        </w:rPr>
      </w:r>
      <w:r>
        <w:rPr/>
        <w:t>控以确保将上述风险控制在限定的范围之内。</w:t>
      </w:r>
    </w:p>
    <w:p>
      <w:pPr>
        <w:pStyle w:val="BodyText"/>
        <w:spacing w:line="316" w:lineRule="auto" w:before="59"/>
        <w:ind w:right="1132" w:firstLine="288"/>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60" w:lineRule="auto" w:before="57"/>
        <w:ind w:left="512" w:right="0" w:hanging="72"/>
        <w:jc w:val="left"/>
      </w:pPr>
      <w:r>
        <w:rPr/>
        <w:t>（一）风险管理目标和政策 本公司从事风险管理的目标是在风险和收益之间取得适当的平衡，将风险对本公司经营业绩的负面影响降低到最低水</w:t>
      </w:r>
    </w:p>
    <w:p>
      <w:pPr>
        <w:pStyle w:val="BodyText"/>
        <w:spacing w:line="222" w:lineRule="exact"/>
        <w:ind w:right="0"/>
        <w:jc w:val="both"/>
      </w:pPr>
      <w:r>
        <w:rPr/>
        <w:t>平，使股东及其其他权益投资者的利益最大化。基于该风险管理目标，本公司风险管理的基本策略是确定和分析本公司所面</w:t>
      </w:r>
    </w:p>
    <w:p>
      <w:pPr>
        <w:pStyle w:val="BodyText"/>
        <w:spacing w:line="316" w:lineRule="auto" w:before="76"/>
        <w:ind w:right="1126"/>
        <w:jc w:val="left"/>
        <w:rPr>
          <w:rFonts w:ascii="Tahoma" w:hAnsi="Tahoma" w:cs="Tahoma" w:eastAsia="Tahoma" w:hint="default"/>
        </w:rPr>
      </w:pPr>
      <w:r>
        <w:rPr>
          <w:spacing w:val="-2"/>
        </w:rPr>
        <w:t>临的各种风险，建立适当的风险承受底线和进行风险管理，并及时可靠地对各种风险进行监督，将风险控制在限定的范围之</w:t>
      </w:r>
      <w:r>
        <w:rPr>
          <w:spacing w:val="-62"/>
        </w:rPr>
        <w:t> </w:t>
      </w:r>
      <w:r>
        <w:rPr>
          <w:spacing w:val="-62"/>
        </w:rPr>
      </w:r>
      <w:r>
        <w:rPr/>
        <w:t>内。</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left="440" w:right="0"/>
        <w:jc w:val="left"/>
        <w:rPr>
          <w:rFonts w:ascii="Tahoma" w:hAnsi="Tahoma" w:cs="Tahoma" w:eastAsia="Tahoma" w:hint="default"/>
        </w:rPr>
      </w:pPr>
      <w:r>
        <w:rPr>
          <w:rFonts w:ascii="Times New Roman" w:hAnsi="Times New Roman" w:cs="Times New Roman" w:eastAsia="Times New Roman" w:hint="default"/>
        </w:rPr>
        <w:t>1.</w:t>
      </w:r>
      <w:r>
        <w:rPr/>
        <w:t>市场风险</w:t>
      </w:r>
      <w:r>
        <w:rPr>
          <w:rFonts w:ascii="Tahoma" w:hAnsi="Tahoma" w:cs="Tahoma" w:eastAsia="Tahoma" w:hint="default"/>
          <w:w w:val="80"/>
        </w:rPr>
        <w:t> </w:t>
      </w:r>
      <w:r>
        <w:rPr>
          <w:rFonts w:ascii="Tahoma" w:hAnsi="Tahoma" w:cs="Tahoma" w:eastAsia="Tahoma" w:hint="default"/>
        </w:rPr>
      </w:r>
    </w:p>
    <w:p>
      <w:pPr>
        <w:pStyle w:val="BodyText"/>
        <w:spacing w:line="240" w:lineRule="auto" w:before="101"/>
        <w:ind w:left="440" w:right="0"/>
        <w:jc w:val="left"/>
        <w:rPr>
          <w:rFonts w:ascii="Tahoma" w:hAnsi="Tahoma" w:cs="Tahoma" w:eastAsia="Tahoma" w:hint="default"/>
        </w:rPr>
      </w:pPr>
      <w:r>
        <w:rPr/>
        <w:t>（</w:t>
      </w:r>
      <w:r>
        <w:rPr>
          <w:rFonts w:ascii="Times New Roman" w:hAnsi="Times New Roman" w:cs="Times New Roman" w:eastAsia="Times New Roman" w:hint="default"/>
        </w:rPr>
        <w:t>1</w:t>
      </w:r>
      <w:r>
        <w:rPr/>
        <w:t>）外汇风险</w:t>
      </w:r>
      <w:r>
        <w:rPr>
          <w:rFonts w:ascii="Tahoma" w:hAnsi="Tahoma" w:cs="Tahoma" w:eastAsia="Tahoma" w:hint="default"/>
          <w:w w:val="80"/>
        </w:rPr>
        <w:t> </w:t>
      </w:r>
      <w:r>
        <w:rPr>
          <w:rFonts w:ascii="Tahoma" w:hAnsi="Tahoma" w:cs="Tahoma" w:eastAsia="Tahoma" w:hint="default"/>
        </w:rPr>
      </w:r>
    </w:p>
    <w:p>
      <w:pPr>
        <w:spacing w:after="0" w:line="240" w:lineRule="auto"/>
        <w:jc w:val="left"/>
        <w:rPr>
          <w:rFonts w:ascii="Tahoma" w:hAnsi="Tahoma" w:cs="Tahoma" w:eastAsia="Tahoma" w:hint="default"/>
        </w:rPr>
        <w:sectPr>
          <w:pgSz w:w="11910" w:h="16840"/>
          <w:pgMar w:header="885" w:footer="982" w:top="1100" w:bottom="1180" w:left="980" w:right="0"/>
        </w:sectPr>
      </w:pPr>
    </w:p>
    <w:p>
      <w:pPr>
        <w:spacing w:line="240" w:lineRule="auto" w:before="3"/>
        <w:rPr>
          <w:rFonts w:ascii="Tahoma" w:hAnsi="Tahoma" w:cs="Tahoma" w:eastAsia="Tahoma" w:hint="default"/>
          <w:sz w:val="24"/>
          <w:szCs w:val="24"/>
        </w:rPr>
      </w:pPr>
    </w:p>
    <w:p>
      <w:pPr>
        <w:pStyle w:val="BodyText"/>
        <w:spacing w:line="312" w:lineRule="auto" w:before="37"/>
        <w:ind w:right="1132" w:firstLine="292"/>
        <w:jc w:val="both"/>
      </w:pPr>
      <w:r>
        <w:rPr>
          <w:spacing w:val="-1"/>
        </w:rPr>
        <w:t>外汇风险指因汇率变动产生损失的风险。本公司承受外汇风险主要与港币、美元、台币、越南盾、泰铢及欧元有关，除</w:t>
      </w:r>
      <w:r>
        <w:rPr/>
        <w:t> </w:t>
      </w:r>
      <w:r>
        <w:rPr>
          <w:spacing w:val="-2"/>
        </w:rPr>
        <w:t>本公司及几个下属子公司以港币、台币、美元、越南盾、泰铢进行采购与销售外，本公司的其他主要业务活动以人民币计价</w:t>
      </w:r>
      <w:r>
        <w:rPr>
          <w:spacing w:val="-67"/>
        </w:rPr>
        <w:t> </w:t>
      </w:r>
      <w:r>
        <w:rPr>
          <w:spacing w:val="-67"/>
        </w:rPr>
      </w:r>
      <w:r>
        <w:rPr>
          <w:spacing w:val="-2"/>
        </w:rPr>
        <w:t>结算。于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日，除下表所述资产或负债为美元、港币、新台币、越南盾及欧元余额外，本公司的资产及负债均为</w:t>
      </w:r>
      <w:r>
        <w:rPr>
          <w:spacing w:val="-65"/>
        </w:rPr>
        <w:t> </w:t>
      </w:r>
      <w:r>
        <w:rPr>
          <w:spacing w:val="-65"/>
        </w:rPr>
      </w:r>
      <w:r>
        <w:rPr/>
        <w:t>人民币余额。该等外币余额的资产和负债产生的外汇风险可能对本公司的经营业绩产生影响。</w:t>
      </w:r>
    </w:p>
    <w:p>
      <w:pPr>
        <w:pStyle w:val="BodyText"/>
        <w:spacing w:line="240" w:lineRule="auto" w:before="63"/>
        <w:ind w:left="0" w:right="1088"/>
        <w:jc w:val="right"/>
        <w:rPr>
          <w:rFonts w:ascii="Tahoma" w:hAnsi="Tahoma" w:cs="Tahoma" w:eastAsia="Tahoma" w:hint="default"/>
        </w:rPr>
      </w:pPr>
      <w:r>
        <w:rPr>
          <w:spacing w:val="-1"/>
        </w:rPr>
        <w:t>单位：元</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994"/>
        <w:gridCol w:w="3125"/>
        <w:gridCol w:w="2520"/>
      </w:tblGrid>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6"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279,458,869.04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209,670,948.74</w:t>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430,661,342.97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398,331,140.66</w:t>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29,177,245.77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25,222,804.83</w:t>
            </w:r>
          </w:p>
        </w:tc>
      </w:tr>
      <w:tr>
        <w:trPr>
          <w:trHeight w:val="346"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116,905,812.10</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w:t>
            </w:r>
          </w:p>
        </w:tc>
      </w:tr>
    </w:tbl>
    <w:p>
      <w:pPr>
        <w:pStyle w:val="BodyText"/>
        <w:spacing w:line="360" w:lineRule="auto" w:before="49"/>
        <w:ind w:left="440" w:right="4994"/>
        <w:jc w:val="left"/>
        <w:rPr>
          <w:rFonts w:ascii="Tahoma" w:hAnsi="Tahoma" w:cs="Tahoma" w:eastAsia="Tahoma" w:hint="default"/>
        </w:rPr>
      </w:pPr>
      <w:r>
        <w:rPr/>
        <w:t>本公司密切关注汇率变动对本公司外汇风险的影响。</w:t>
      </w:r>
      <w:r>
        <w:rPr>
          <w:rFonts w:ascii="Tahoma" w:hAnsi="Tahoma" w:cs="Tahoma" w:eastAsia="Tahoma" w:hint="default"/>
          <w:w w:val="80"/>
        </w:rPr>
        <w:t> </w:t>
      </w:r>
      <w:r>
        <w:rPr/>
        <w:t>外汇风险敏感性分析：</w:t>
      </w:r>
      <w:r>
        <w:rPr>
          <w:rFonts w:ascii="Tahoma" w:hAnsi="Tahoma" w:cs="Tahoma" w:eastAsia="Tahoma" w:hint="default"/>
          <w:w w:val="80"/>
        </w:rPr>
        <w:t> </w:t>
      </w:r>
      <w:r>
        <w:rPr>
          <w:rFonts w:ascii="Tahoma" w:hAnsi="Tahoma" w:cs="Tahoma" w:eastAsia="Tahoma" w:hint="default"/>
        </w:rPr>
      </w:r>
    </w:p>
    <w:p>
      <w:pPr>
        <w:pStyle w:val="BodyText"/>
        <w:spacing w:line="316" w:lineRule="auto" w:before="25"/>
        <w:ind w:right="0" w:firstLine="288"/>
        <w:jc w:val="left"/>
        <w:rPr>
          <w:rFonts w:ascii="Tahoma" w:hAnsi="Tahoma" w:cs="Tahoma" w:eastAsia="Tahoma" w:hint="default"/>
        </w:rPr>
      </w:pPr>
      <w:r>
        <w:rPr>
          <w:spacing w:val="-1"/>
        </w:rPr>
        <w:t>外汇风险敏感性分析假设：所有境外经营净投资套期及现金流量套期均高度有效。在上述假设的基础上，在其他变量不</w:t>
      </w:r>
      <w:r>
        <w:rPr/>
        <w:t> 变的情况下，汇率可能发生的合理变动对当期损益和股东权益的税前影响如下：</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right="0"/>
        <w:jc w:val="left"/>
        <w:rPr>
          <w:rFonts w:ascii="Tahoma" w:hAnsi="Tahoma" w:cs="Tahoma" w:eastAsia="Tahoma" w:hint="default"/>
        </w:rPr>
      </w:pPr>
      <w:r>
        <w:rPr/>
        <w:t>单位：元</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241"/>
        <w:gridCol w:w="1819"/>
        <w:gridCol w:w="1543"/>
        <w:gridCol w:w="1826"/>
        <w:gridCol w:w="1546"/>
        <w:gridCol w:w="1682"/>
      </w:tblGrid>
      <w:tr>
        <w:trPr>
          <w:trHeight w:val="346"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19" w:type="dxa"/>
            <w:vMerge w:val="restart"/>
            <w:tcBorders>
              <w:top w:val="single" w:sz="6" w:space="0" w:color="000000"/>
              <w:left w:val="single" w:sz="6" w:space="0" w:color="000000"/>
              <w:right w:val="single" w:sz="6" w:space="0" w:color="000000"/>
            </w:tcBorders>
          </w:tcPr>
          <w:p>
            <w:pPr>
              <w:pStyle w:val="TableParagraph"/>
              <w:spacing w:line="240" w:lineRule="auto" w:before="1"/>
              <w:ind w:left="504"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32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19"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5"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2"/>
              <w:jc w:val="right"/>
              <w:rPr>
                <w:rFonts w:ascii="宋体" w:hAnsi="宋体" w:cs="宋体" w:eastAsia="宋体" w:hint="default"/>
                <w:sz w:val="20"/>
                <w:szCs w:val="20"/>
              </w:rPr>
            </w:pPr>
            <w:r>
              <w:rPr>
                <w:rFonts w:ascii="宋体" w:hAnsi="宋体" w:cs="宋体" w:eastAsia="宋体" w:hint="default"/>
                <w:w w:val="95"/>
                <w:sz w:val="20"/>
                <w:szCs w:val="20"/>
              </w:rPr>
              <w:t>对股东权益的影响</w:t>
            </w:r>
            <w:r>
              <w:rPr>
                <w:rFonts w:ascii="宋体" w:hAnsi="宋体" w:cs="宋体" w:eastAsia="宋体" w:hint="default"/>
                <w:sz w:val="20"/>
                <w:szCs w:val="20"/>
              </w:rPr>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85" w:lineRule="auto" w:before="1"/>
              <w:ind w:left="415" w:right="12" w:hanging="401"/>
              <w:jc w:val="left"/>
              <w:rPr>
                <w:rFonts w:ascii="宋体" w:hAnsi="宋体" w:cs="宋体" w:eastAsia="宋体" w:hint="default"/>
                <w:sz w:val="20"/>
                <w:szCs w:val="20"/>
              </w:rPr>
            </w:pPr>
            <w:r>
              <w:rPr>
                <w:rFonts w:ascii="宋体" w:hAnsi="宋体" w:cs="宋体" w:eastAsia="宋体" w:hint="default"/>
                <w:sz w:val="20"/>
                <w:szCs w:val="20"/>
              </w:rPr>
              <w:t>现金及现金等</w:t>
            </w:r>
            <w:r>
              <w:rPr>
                <w:rFonts w:ascii="宋体" w:hAnsi="宋体" w:cs="宋体" w:eastAsia="宋体" w:hint="default"/>
                <w:w w:val="99"/>
                <w:sz w:val="20"/>
                <w:szCs w:val="20"/>
              </w:rPr>
              <w:t> </w:t>
            </w:r>
            <w:r>
              <w:rPr>
                <w:rFonts w:ascii="宋体" w:hAnsi="宋体" w:cs="宋体" w:eastAsia="宋体" w:hint="default"/>
                <w:sz w:val="20"/>
                <w:szCs w:val="20"/>
              </w:rPr>
              <w:t>价物</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-2,794,588.69</w:t>
            </w:r>
            <w:r>
              <w:rPr>
                <w:rFonts w:ascii="Times New Roman"/>
                <w:sz w:val="20"/>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-2,794,588.69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-2,096,709.49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-2,096,709.49</w:t>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2,794,588.69</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2,794,588.69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2,096,709.49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2,096,709.49</w:t>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-4,306,613.43</w:t>
            </w:r>
            <w:r>
              <w:rPr>
                <w:rFonts w:ascii="Times New Roman"/>
                <w:sz w:val="20"/>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-4,306,613.43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-3,983,311.41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-3,983,311.41</w:t>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4,306,613.43</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4,306,613.43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3,983,311.41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3,983,311.41</w:t>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291,772.46</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291,772.46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252,228.05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252,228.05</w:t>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-291,772.46</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-291,772.46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-252,228.05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-252,228.05</w:t>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1,169,058.12</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1,169,058.12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w:t>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-1,169,058.12</w:t>
            </w:r>
            <w:r>
              <w:rPr>
                <w:rFonts w:ascii="Times New Roman"/>
                <w:sz w:val="20"/>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-1,169,058.12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w:t>
            </w:r>
          </w:p>
        </w:tc>
      </w:tr>
    </w:tbl>
    <w:p>
      <w:pPr>
        <w:spacing w:line="240" w:lineRule="auto" w:before="5"/>
        <w:rPr>
          <w:rFonts w:ascii="Tahoma" w:hAnsi="Tahoma" w:cs="Tahoma" w:eastAsia="Tahoma" w:hint="default"/>
          <w:sz w:val="29"/>
          <w:szCs w:val="29"/>
        </w:rPr>
      </w:pPr>
    </w:p>
    <w:p>
      <w:pPr>
        <w:pStyle w:val="BodyText"/>
        <w:spacing w:line="340" w:lineRule="auto" w:before="44"/>
        <w:ind w:left="440" w:right="3446"/>
        <w:jc w:val="left"/>
      </w:pPr>
      <w:r>
        <w:rPr/>
        <w:t>（</w:t>
      </w:r>
      <w:r>
        <w:rPr>
          <w:rFonts w:ascii="Times New Roman" w:hAnsi="Times New Roman" w:cs="Times New Roman" w:eastAsia="Times New Roman" w:hint="default"/>
        </w:rPr>
        <w:t>2</w:t>
      </w:r>
      <w:r>
        <w:rPr/>
        <w:t>）利率风险</w:t>
      </w:r>
      <w:r>
        <w:rPr>
          <w:rFonts w:ascii="Tahoma" w:hAnsi="Tahoma" w:cs="Tahoma" w:eastAsia="Tahoma" w:hint="default"/>
          <w:w w:val="80"/>
        </w:rPr>
        <w:t> </w:t>
      </w:r>
      <w:r>
        <w:rPr/>
        <w:t>利率风险，是指金融工具的公允价值或未来现金流量因市场利率变动而发生波动的风险。</w:t>
      </w:r>
    </w:p>
    <w:p>
      <w:pPr>
        <w:pStyle w:val="BodyText"/>
        <w:spacing w:line="316" w:lineRule="auto" w:before="41"/>
        <w:ind w:right="1130" w:firstLine="288"/>
        <w:jc w:val="both"/>
        <w:rPr>
          <w:rFonts w:ascii="Tahoma" w:hAnsi="Tahoma" w:cs="Tahoma" w:eastAsia="Tahoma" w:hint="default"/>
        </w:rPr>
      </w:pPr>
      <w:r>
        <w:rPr>
          <w:spacing w:val="-1"/>
        </w:rPr>
        <w:t>本公司面临的利率风险主要来源于银行短期借款。公司通过建立良好的银企关系，对授信额度、授信品种以及授信期限</w:t>
      </w:r>
      <w:r>
        <w:rPr/>
        <w:t> </w:t>
      </w:r>
      <w:r>
        <w:rPr>
          <w:spacing w:val="-2"/>
        </w:rPr>
        <w:t>进行合理的设计，保障银行授信额度充足，满足公司各类融资需求。尽管该政策不能使本公司完全避免支付的利率超出现行</w:t>
      </w:r>
      <w:r>
        <w:rPr>
          <w:spacing w:val="-62"/>
        </w:rPr>
        <w:t> </w:t>
      </w:r>
      <w:r>
        <w:rPr>
          <w:spacing w:val="-62"/>
        </w:rPr>
      </w:r>
      <w:r>
        <w:rPr/>
        <w:t>市场利率的风险，</w:t>
      </w:r>
      <w:r>
        <w:rPr>
          <w:spacing w:val="-3"/>
        </w:rPr>
        <w:t> </w:t>
      </w:r>
      <w:r>
        <w:rPr/>
        <w:t>也不能完全消除与利息支付波动相关的现金流量风险，但是管理层认为该政策实现了这些风险之间的合</w:t>
      </w:r>
      <w:r>
        <w:rPr>
          <w:spacing w:val="-87"/>
        </w:rPr>
        <w:t> </w:t>
      </w:r>
      <w:r>
        <w:rPr>
          <w:spacing w:val="-87"/>
        </w:rPr>
      </w:r>
      <w:r>
        <w:rPr/>
        <w:t>理平衡。</w:t>
      </w:r>
      <w:r>
        <w:rPr>
          <w:rFonts w:ascii="Tahoma" w:hAnsi="Tahoma" w:cs="Tahoma" w:eastAsia="Tahoma" w:hint="default"/>
          <w:w w:val="80"/>
        </w:rPr>
        <w:t> </w:t>
      </w:r>
      <w:r>
        <w:rPr>
          <w:rFonts w:ascii="Tahoma" w:hAnsi="Tahoma" w:cs="Tahoma" w:eastAsia="Tahoma" w:hint="default"/>
        </w:rPr>
      </w:r>
    </w:p>
    <w:p>
      <w:pPr>
        <w:pStyle w:val="BodyText"/>
        <w:spacing w:line="350" w:lineRule="auto" w:before="57"/>
        <w:ind w:left="440" w:right="7784"/>
        <w:jc w:val="left"/>
        <w:rPr>
          <w:rFonts w:ascii="Tahoma" w:hAnsi="Tahoma" w:cs="Tahoma" w:eastAsia="Tahoma" w:hint="default"/>
        </w:rPr>
      </w:pPr>
      <w:r>
        <w:rPr/>
        <w:t>（</w:t>
      </w:r>
      <w:r>
        <w:rPr>
          <w:rFonts w:ascii="Times New Roman" w:hAnsi="Times New Roman" w:cs="Times New Roman" w:eastAsia="Times New Roman" w:hint="default"/>
        </w:rPr>
        <w:t>3</w:t>
      </w:r>
      <w:r>
        <w:rPr/>
        <w:t>）其他价格风险</w:t>
      </w:r>
      <w:r>
        <w:rPr>
          <w:rFonts w:ascii="Tahoma" w:hAnsi="Tahoma" w:cs="Tahoma" w:eastAsia="Tahoma" w:hint="default"/>
          <w:w w:val="80"/>
        </w:rPr>
        <w:t> </w:t>
      </w:r>
      <w:r>
        <w:rPr/>
        <w:t>本公司无其他价格风险。</w:t>
      </w:r>
      <w:r>
        <w:rPr>
          <w:rFonts w:ascii="Tahoma" w:hAnsi="Tahoma" w:cs="Tahoma" w:eastAsia="Tahoma" w:hint="default"/>
          <w:w w:val="80"/>
        </w:rPr>
        <w:t> </w:t>
      </w:r>
      <w:r>
        <w:rPr>
          <w:rFonts w:ascii="Times New Roman" w:hAnsi="Times New Roman" w:cs="Times New Roman" w:eastAsia="Times New Roman" w:hint="default"/>
        </w:rPr>
        <w:t>2.</w:t>
      </w:r>
      <w:r>
        <w:rPr/>
        <w:t>信用风险</w:t>
      </w:r>
      <w:r>
        <w:rPr>
          <w:rFonts w:ascii="Tahoma" w:hAnsi="Tahoma" w:cs="Tahoma" w:eastAsia="Tahoma" w:hint="default"/>
          <w:w w:val="80"/>
        </w:rPr>
        <w:t> </w:t>
      </w:r>
      <w:r>
        <w:rPr>
          <w:rFonts w:ascii="Tahoma" w:hAnsi="Tahoma" w:cs="Tahoma" w:eastAsia="Tahoma" w:hint="default"/>
        </w:rPr>
      </w:r>
    </w:p>
    <w:p>
      <w:pPr>
        <w:pStyle w:val="BodyText"/>
        <w:spacing w:line="300" w:lineRule="auto" w:before="9"/>
        <w:ind w:right="1133" w:firstLine="360"/>
        <w:jc w:val="both"/>
        <w:rPr>
          <w:rFonts w:ascii="Tahoma" w:hAnsi="Tahoma" w:cs="Tahoma" w:eastAsia="Tahoma" w:hint="default"/>
        </w:rPr>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日，可能引起本公司财务损失的最大信用风险敞口主要来自于合同另一方未能履行付款义务而导致本</w:t>
      </w:r>
      <w:r>
        <w:rPr/>
        <w:t> 公司金融资产产生的损失，具体包括：</w:t>
      </w:r>
      <w:r>
        <w:rPr>
          <w:rFonts w:ascii="Tahoma" w:hAnsi="Tahoma" w:cs="Tahoma" w:eastAsia="Tahoma" w:hint="default"/>
          <w:w w:val="80"/>
        </w:rPr>
        <w:t> </w:t>
      </w:r>
      <w:r>
        <w:rPr>
          <w:rFonts w:ascii="Tahoma" w:hAnsi="Tahoma" w:cs="Tahoma" w:eastAsia="Tahoma" w:hint="default"/>
        </w:rPr>
      </w:r>
    </w:p>
    <w:p>
      <w:pPr>
        <w:pStyle w:val="BodyText"/>
        <w:spacing w:line="316" w:lineRule="auto" w:before="72"/>
        <w:ind w:right="1051" w:firstLine="360"/>
        <w:jc w:val="both"/>
        <w:rPr>
          <w:rFonts w:ascii="Tahoma" w:hAnsi="Tahoma" w:cs="Tahoma" w:eastAsia="Tahoma" w:hint="default"/>
        </w:rPr>
      </w:pPr>
      <w:r>
        <w:rPr/>
        <w:t>合并资产负债表中已确认的金融资产的账面金额；对于以公允价值计量的金融工具而言，账面价值反映了其风险敞口， 但并非最大风险敞口，其最大风险敞口将随着未来公允价值的变化而改变。</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left="440" w:right="0"/>
        <w:jc w:val="left"/>
      </w:pPr>
      <w:r>
        <w:rPr/>
        <w:t>为降低信用风险，本公司设立专门岗位负责确定信用额度、进行信用审批，并执行其他监控程序以确保采取必要的措施</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316" w:lineRule="auto" w:before="37"/>
        <w:ind w:right="0"/>
        <w:jc w:val="left"/>
        <w:rPr>
          <w:rFonts w:ascii="Tahoma" w:hAnsi="Tahoma" w:cs="Tahoma" w:eastAsia="Tahoma" w:hint="default"/>
        </w:rPr>
      </w:pPr>
      <w:r>
        <w:rPr>
          <w:spacing w:val="-2"/>
        </w:rPr>
        <w:t>回收过期债权；此外，本公司于每个资产负债表日审核每一单项应收款的回收情况，以确保就无法回收的款项计提充分的坏</w:t>
      </w:r>
      <w:r>
        <w:rPr>
          <w:spacing w:val="-65"/>
        </w:rPr>
        <w:t> </w:t>
      </w:r>
      <w:r>
        <w:rPr>
          <w:spacing w:val="-65"/>
        </w:rPr>
      </w:r>
      <w:r>
        <w:rPr/>
        <w:t>账准备。因此，本公司管理层认为本公司所承担的信用风险已经大为降低。</w:t>
      </w:r>
      <w:r>
        <w:rPr>
          <w:rFonts w:ascii="Tahoma" w:hAnsi="Tahoma" w:cs="Tahoma" w:eastAsia="Tahoma" w:hint="default"/>
          <w:w w:val="80"/>
        </w:rPr>
        <w:t> </w:t>
      </w:r>
      <w:r>
        <w:rPr>
          <w:rFonts w:ascii="Tahoma" w:hAnsi="Tahoma" w:cs="Tahoma" w:eastAsia="Tahoma" w:hint="default"/>
        </w:rPr>
      </w:r>
    </w:p>
    <w:p>
      <w:pPr>
        <w:pStyle w:val="BodyText"/>
        <w:spacing w:line="240" w:lineRule="auto" w:before="59"/>
        <w:ind w:left="440" w:right="0"/>
        <w:jc w:val="left"/>
        <w:rPr>
          <w:rFonts w:ascii="Tahoma" w:hAnsi="Tahoma" w:cs="Tahoma" w:eastAsia="Tahoma" w:hint="default"/>
        </w:rPr>
      </w:pPr>
      <w:r>
        <w:rPr/>
        <w:t>本公司的流动资金存放在信用评级较高的银行，故流动资金的信用风险较低。</w:t>
      </w:r>
      <w:r>
        <w:rPr>
          <w:rFonts w:ascii="Tahoma" w:hAnsi="Tahoma" w:cs="Tahoma" w:eastAsia="Tahoma" w:hint="default"/>
          <w:w w:val="80"/>
        </w:rPr>
        <w:t> </w:t>
      </w:r>
      <w:r>
        <w:rPr>
          <w:rFonts w:ascii="Tahoma" w:hAnsi="Tahoma" w:cs="Tahoma" w:eastAsia="Tahoma" w:hint="default"/>
        </w:rPr>
      </w:r>
    </w:p>
    <w:p>
      <w:pPr>
        <w:pStyle w:val="BodyText"/>
        <w:spacing w:line="240" w:lineRule="auto" w:before="115"/>
        <w:ind w:left="440" w:right="0"/>
        <w:jc w:val="left"/>
        <w:rPr>
          <w:rFonts w:ascii="Tahoma" w:hAnsi="Tahoma" w:cs="Tahoma" w:eastAsia="Tahoma" w:hint="default"/>
        </w:rPr>
      </w:pPr>
      <w:r>
        <w:rPr>
          <w:rFonts w:ascii="Times New Roman" w:hAnsi="Times New Roman" w:cs="Times New Roman" w:eastAsia="Times New Roman" w:hint="default"/>
        </w:rPr>
        <w:t>3.</w:t>
      </w:r>
      <w:r>
        <w:rPr/>
        <w:t>流动风险</w:t>
      </w:r>
      <w:r>
        <w:rPr>
          <w:rFonts w:ascii="Tahoma" w:hAnsi="Tahoma" w:cs="Tahoma" w:eastAsia="Tahoma" w:hint="default"/>
          <w:w w:val="80"/>
        </w:rPr>
        <w:t> </w:t>
      </w:r>
      <w:r>
        <w:rPr>
          <w:rFonts w:ascii="Tahoma" w:hAnsi="Tahoma" w:cs="Tahoma" w:eastAsia="Tahoma" w:hint="default"/>
        </w:rPr>
      </w:r>
    </w:p>
    <w:p>
      <w:pPr>
        <w:pStyle w:val="BodyText"/>
        <w:spacing w:line="316" w:lineRule="auto" w:before="103"/>
        <w:ind w:right="0" w:firstLine="360"/>
        <w:jc w:val="left"/>
      </w:pPr>
      <w:r>
        <w:rPr>
          <w:spacing w:val="-2"/>
        </w:rPr>
        <w:t>管理流动风险时，本公司管理层认为需要保持充分的现金及现金等价物并对其进行监控，以满足本公司经营需要，并降</w:t>
      </w:r>
      <w:r>
        <w:rPr/>
        <w:t> 低现金流量波动的影响。</w:t>
      </w:r>
    </w:p>
    <w:p>
      <w:pPr>
        <w:pStyle w:val="BodyText"/>
        <w:spacing w:line="240" w:lineRule="auto" w:before="59"/>
        <w:ind w:left="512" w:right="0"/>
        <w:jc w:val="left"/>
        <w:rPr>
          <w:rFonts w:ascii="Tahoma" w:hAnsi="Tahoma" w:cs="Tahoma" w:eastAsia="Tahoma" w:hint="default"/>
        </w:rPr>
      </w:pPr>
      <w:r>
        <w:rPr/>
        <w:t>于资产负债表日，本公司各项金融资产及金融负债以未折现的合同现金流量按到期日列示如下：</w:t>
      </w:r>
      <w:r>
        <w:rPr>
          <w:rFonts w:ascii="Tahoma" w:hAnsi="Tahoma" w:cs="Tahoma" w:eastAsia="Tahoma" w:hint="default"/>
          <w:w w:val="80"/>
        </w:rPr>
        <w:t> </w:t>
      </w:r>
      <w:r>
        <w:rPr>
          <w:rFonts w:ascii="Tahoma" w:hAnsi="Tahoma" w:cs="Tahoma" w:eastAsia="Tahoma" w:hint="default"/>
        </w:rPr>
      </w:r>
    </w:p>
    <w:p>
      <w:pPr>
        <w:pStyle w:val="BodyText"/>
        <w:spacing w:line="240" w:lineRule="auto" w:before="115"/>
        <w:ind w:left="0" w:right="1133"/>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26"/>
        <w:gridCol w:w="1615"/>
        <w:gridCol w:w="1522"/>
        <w:gridCol w:w="1464"/>
        <w:gridCol w:w="1464"/>
        <w:gridCol w:w="1764"/>
      </w:tblGrid>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7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非衍金融资产</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1,016,858,752.99</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1,016,858,752.99</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84,560,739.17</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84,560,739.17</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1,129,264,909.02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7,218,039.87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11,357,605.78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17,320,469.92</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1,165,161,024.59</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17,819,277.70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287,433.27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688,569.16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649,942.91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19,445,223.04</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56,551,535.76</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19,927,053.07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5,169,394.34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12,488,692.64</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94,136,675.81</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2,305,055,214.64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27,432,526.21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17,215,569.28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30,459,105.47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2,380,162,415.60</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非衍金融负债：</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605,387,333.73</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605,387,333.73</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短期借款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461,154,106.48</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461,154,106.48</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537,967,003.78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36,708,195.30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12,722,028.50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12,760,236.99</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600,157,464.57</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9,768,005.10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1,595,350.23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2,047,461.27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1,093,728.15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14,504,544.75</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23,423,476.75</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1,444,661.07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3,506,704.76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2,726,408.73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31,101,251.31</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1,637,699,925.84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39,748,206.60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18,276,194.53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16,580,373.87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1,712,304,700.84</w:t>
            </w:r>
          </w:p>
        </w:tc>
      </w:tr>
    </w:tbl>
    <w:p>
      <w:pPr>
        <w:spacing w:line="240" w:lineRule="auto" w:before="2"/>
        <w:rPr>
          <w:rFonts w:ascii="宋体" w:hAnsi="宋体" w:cs="宋体" w:eastAsia="宋体" w:hint="default"/>
          <w:sz w:val="27"/>
          <w:szCs w:val="27"/>
        </w:rPr>
      </w:pPr>
    </w:p>
    <w:p>
      <w:pPr>
        <w:pStyle w:val="BodyText"/>
        <w:tabs>
          <w:tab w:pos="1910" w:val="left" w:leader="none"/>
        </w:tabs>
        <w:spacing w:line="240" w:lineRule="auto" w:before="44"/>
        <w:ind w:left="0" w:right="8231"/>
        <w:jc w:val="center"/>
        <w:rPr>
          <w:rFonts w:ascii="Tahoma" w:hAnsi="Tahoma" w:cs="Tahoma" w:eastAsia="Tahoma" w:hint="default"/>
        </w:rPr>
      </w:pPr>
      <w:r>
        <w:rPr/>
        <w:t>（二）金融资产转移</w:t>
        <w:tab/>
      </w:r>
      <w:r>
        <w:rPr>
          <w:rFonts w:ascii="Tahoma" w:hAnsi="Tahoma" w:cs="Tahoma" w:eastAsia="Tahoma" w:hint="default"/>
          <w:w w:val="80"/>
        </w:rPr>
        <w:t> </w:t>
      </w:r>
      <w:r>
        <w:rPr>
          <w:rFonts w:ascii="Tahoma" w:hAnsi="Tahoma" w:cs="Tahoma" w:eastAsia="Tahoma" w:hint="default"/>
        </w:rPr>
      </w:r>
    </w:p>
    <w:p>
      <w:pPr>
        <w:pStyle w:val="BodyText"/>
        <w:spacing w:line="240" w:lineRule="auto" w:before="117"/>
        <w:ind w:right="0"/>
        <w:jc w:val="left"/>
        <w:rPr>
          <w:rFonts w:ascii="Tahoma" w:hAnsi="Tahoma" w:cs="Tahoma" w:eastAsia="Tahoma" w:hint="default"/>
        </w:rPr>
      </w:pPr>
      <w:r>
        <w:rPr/>
        <w:t>本公司本报告期未发生与金融资产转移有关的事项。</w:t>
      </w:r>
      <w:r>
        <w:rPr>
          <w:spacing w:val="-19"/>
        </w:rPr>
        <w:t> </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7"/>
        <w:rPr>
          <w:rFonts w:ascii="Tahoma" w:hAnsi="Tahoma" w:cs="Tahoma" w:eastAsia="Tahoma" w:hint="default"/>
          <w:sz w:val="20"/>
          <w:szCs w:val="20"/>
        </w:rPr>
      </w:pPr>
    </w:p>
    <w:p>
      <w:pPr>
        <w:pStyle w:val="Heading3"/>
        <w:spacing w:line="240" w:lineRule="auto"/>
        <w:ind w:right="0"/>
        <w:jc w:val="left"/>
        <w:rPr>
          <w:rFonts w:ascii="Tahoma" w:hAnsi="Tahoma" w:cs="Tahoma" w:eastAsia="Tahoma" w:hint="default"/>
        </w:rPr>
      </w:pPr>
      <w:r>
        <w:rPr/>
        <w:t>十一、公允价值的披露</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、以公允价值计量的资产和负债的期末公允价值</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508,908,643.58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508,908,643.58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（四）投资性房地产</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1,476,455,255.79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1,476,455,255.79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38,415,349.25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38,415,349.25</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1,438,039,906.54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1,438,039,906.54</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1,476,455,255.79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509,908,643.58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1,986,363,899.37</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、持续和非持续第一层次公允价值计量项目市价的确定依据</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Tahoma" w:hAnsi="Tahoma" w:cs="Tahoma" w:eastAsia="Tahoma" w:hint="default"/>
          <w:sz w:val="21"/>
          <w:szCs w:val="21"/>
        </w:rPr>
        <w:t>3</w:t>
      </w:r>
      <w:r>
        <w:rPr>
          <w:rFonts w:ascii="宋体" w:hAnsi="宋体" w:cs="宋体" w:eastAsia="宋体" w:hint="default"/>
          <w:sz w:val="21"/>
          <w:szCs w:val="21"/>
        </w:rPr>
        <w:t>、持续和非持续第二层次公允价值计量项目，采用的估值技术和重要参数的定性及定量信息</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16" w:lineRule="auto"/>
        <w:ind w:right="1045" w:firstLine="360"/>
        <w:jc w:val="both"/>
      </w:pPr>
      <w:r>
        <w:rPr>
          <w:spacing w:val="-2"/>
        </w:rPr>
        <w:t>公司已经出租的建筑物、土地均位于经济活跃的城市，根据出租建筑物的实际情况，因所在区域附近交易市场活跃，且</w:t>
      </w:r>
      <w:r>
        <w:rPr/>
        <w:t> </w:t>
      </w:r>
      <w:r>
        <w:rPr>
          <w:spacing w:val="-2"/>
        </w:rPr>
        <w:t>易找到类似的案例，故采用市场法进行估值，以公司聘请的评估师出具的评估结果定性和定量。对不易找到交易案例的厂房</w:t>
      </w:r>
      <w:r>
        <w:rPr>
          <w:spacing w:val="-62"/>
        </w:rPr>
        <w:t> </w:t>
      </w:r>
      <w:r>
        <w:rPr>
          <w:spacing w:val="-62"/>
        </w:rPr>
      </w:r>
      <w:r>
        <w:rPr>
          <w:spacing w:val="-4"/>
        </w:rPr>
        <w:t>等，因所在区域附近类似租赁市场较为活跃，故采用收益法进行估值，具体以公司聘请的评估师出具的评估结果定性和定量。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rFonts w:ascii="Tahoma" w:hAnsi="Tahoma" w:cs="Tahoma" w:eastAsia="Tahoma" w:hint="default"/>
        </w:rPr>
      </w:pPr>
      <w:r>
        <w:rPr>
          <w:rFonts w:ascii="Tahoma" w:hAnsi="Tahoma" w:cs="Tahoma" w:eastAsia="Tahoma" w:hint="default"/>
        </w:rPr>
        <w:t>4</w:t>
      </w:r>
      <w:r>
        <w:rPr/>
        <w:t>、持续和非持续第三层次公允价值计量项目，采用的估值技术和重要参数的定性及定量信息</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124"/>
        <w:jc w:val="left"/>
      </w:pPr>
      <w:r>
        <w:rPr/>
        <w:t>（</w:t>
      </w:r>
      <w:r>
        <w:rPr>
          <w:rFonts w:ascii="Times New Roman" w:hAnsi="Times New Roman" w:cs="Times New Roman" w:eastAsia="Times New Roman" w:hint="default"/>
        </w:rPr>
        <w:t>1</w:t>
      </w:r>
      <w:r>
        <w:rPr/>
        <w:t>）交易性金融资产为保本浮动型结构性存款的银行理财产品，以预测收益率预测未来现金流量，不可观察估计值是预期</w:t>
      </w:r>
      <w:r>
        <w:rPr>
          <w:spacing w:val="-85"/>
        </w:rPr>
        <w:t> </w:t>
      </w:r>
      <w:r>
        <w:rPr>
          <w:spacing w:val="-85"/>
        </w:rPr>
      </w:r>
      <w:r>
        <w:rPr/>
        <w:t>收益率。</w:t>
      </w:r>
    </w:p>
    <w:p>
      <w:pPr>
        <w:pStyle w:val="BodyText"/>
        <w:spacing w:line="300" w:lineRule="auto" w:before="72"/>
        <w:ind w:right="1124"/>
        <w:jc w:val="left"/>
      </w:pPr>
      <w:r>
        <w:rPr/>
        <w:t>（</w:t>
      </w:r>
      <w:r>
        <w:rPr>
          <w:rFonts w:ascii="Times New Roman" w:hAnsi="Times New Roman" w:cs="Times New Roman" w:eastAsia="Times New Roman" w:hint="default"/>
        </w:rPr>
        <w:t>2</w:t>
      </w:r>
      <w:r>
        <w:rPr/>
        <w:t>）其他权益工具投资系本公司持有的非上市公司股权，被投资企业经营环境和经营情况、财务状况未发生重大变化，所</w:t>
      </w:r>
      <w:r>
        <w:rPr>
          <w:spacing w:val="-85"/>
        </w:rPr>
        <w:t> </w:t>
      </w:r>
      <w:r>
        <w:rPr>
          <w:spacing w:val="-85"/>
        </w:rPr>
      </w:r>
      <w:r>
        <w:rPr/>
        <w:t>以公司按照投资成本作为公允价值的合理估计进行计量。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、持续的第三层次公允价值计量项目，期初与期末账面价值间的调节信息及不可观察参数敏感性分析</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Tahoma" w:hAnsi="Tahoma" w:cs="Tahoma" w:eastAsia="Tahoma" w:hint="default"/>
          <w:sz w:val="21"/>
          <w:szCs w:val="21"/>
        </w:rPr>
        <w:t>6</w:t>
      </w:r>
      <w:r>
        <w:rPr>
          <w:rFonts w:ascii="宋体" w:hAnsi="宋体" w:cs="宋体" w:eastAsia="宋体" w:hint="default"/>
          <w:sz w:val="21"/>
          <w:szCs w:val="21"/>
        </w:rPr>
        <w:t>、持续的公允价值计量项目，本期内发生各层级之间转换的，转换的原因及确定转换时点的政策</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Tahoma" w:hAnsi="Tahoma" w:cs="Tahoma" w:eastAsia="Tahoma" w:hint="default"/>
          <w:sz w:val="21"/>
          <w:szCs w:val="21"/>
        </w:rPr>
        <w:t>7</w:t>
      </w:r>
      <w:r>
        <w:rPr>
          <w:rFonts w:ascii="宋体" w:hAnsi="宋体" w:cs="宋体" w:eastAsia="宋体" w:hint="default"/>
          <w:sz w:val="21"/>
          <w:szCs w:val="21"/>
        </w:rPr>
        <w:t>、本期内发生的估值技术变更及变更原因</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Tahoma" w:hAnsi="Tahoma" w:cs="Tahoma" w:eastAsia="Tahoma" w:hint="default"/>
          <w:sz w:val="21"/>
          <w:szCs w:val="21"/>
        </w:rPr>
        <w:t>8</w:t>
      </w:r>
      <w:r>
        <w:rPr>
          <w:rFonts w:ascii="宋体" w:hAnsi="宋体" w:cs="宋体" w:eastAsia="宋体" w:hint="default"/>
          <w:sz w:val="21"/>
          <w:szCs w:val="21"/>
        </w:rPr>
        <w:t>、不以公允价值计量的金融资产和金融负债的公允价值情况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line="487" w:lineRule="auto" w:before="0"/>
        <w:ind w:left="152" w:right="7784" w:firstLine="0"/>
        <w:jc w:val="left"/>
        <w:rPr>
          <w:rFonts w:ascii="Tahoma" w:hAnsi="Tahoma" w:cs="Tahoma" w:eastAsia="Tahoma" w:hint="default"/>
          <w:sz w:val="21"/>
          <w:szCs w:val="21"/>
        </w:rPr>
      </w:pPr>
      <w:r>
        <w:rPr>
          <w:rFonts w:ascii="Tahoma" w:hAnsi="Tahoma" w:cs="Tahoma" w:eastAsia="Tahoma" w:hint="default"/>
          <w:sz w:val="21"/>
          <w:szCs w:val="21"/>
        </w:rPr>
        <w:t>9</w:t>
      </w:r>
      <w:r>
        <w:rPr>
          <w:rFonts w:ascii="宋体" w:hAnsi="宋体" w:cs="宋体" w:eastAsia="宋体" w:hint="default"/>
          <w:sz w:val="21"/>
          <w:szCs w:val="21"/>
        </w:rPr>
        <w:t>、其他</w:t>
      </w:r>
      <w:r>
        <w:rPr>
          <w:rFonts w:ascii="Tahoma" w:hAnsi="Tahoma" w:cs="Tahoma" w:eastAsia="Tahoma" w:hint="default"/>
          <w:w w:val="80"/>
          <w:sz w:val="21"/>
          <w:szCs w:val="21"/>
        </w:rPr>
        <w:t> </w:t>
      </w:r>
      <w:r>
        <w:rPr>
          <w:rFonts w:ascii="宋体" w:hAnsi="宋体" w:cs="宋体" w:eastAsia="宋体" w:hint="default"/>
          <w:sz w:val="24"/>
          <w:szCs w:val="24"/>
        </w:rPr>
        <w:t>十二、关联方及关联交易</w:t>
      </w:r>
      <w:r>
        <w:rPr>
          <w:rFonts w:ascii="宋体" w:hAnsi="宋体" w:cs="宋体" w:eastAsia="宋体" w:hint="default"/>
          <w:spacing w:val="-114"/>
          <w:sz w:val="24"/>
          <w:szCs w:val="24"/>
        </w:rPr>
        <w:t> </w:t>
      </w:r>
      <w:r>
        <w:rPr>
          <w:rFonts w:ascii="Tahoma" w:hAnsi="Tahoma" w:cs="Tahoma" w:eastAsia="Tahoma" w:hint="default"/>
          <w:spacing w:val="-114"/>
          <w:sz w:val="24"/>
          <w:szCs w:val="24"/>
        </w:rPr>
      </w:r>
      <w:r>
        <w:rPr>
          <w:rFonts w:ascii="Tahoma" w:hAnsi="Tahoma" w:cs="Tahoma" w:eastAsia="Tahoma" w:hint="default"/>
          <w:sz w:val="21"/>
          <w:szCs w:val="21"/>
        </w:rPr>
        <w:t>1</w:t>
      </w:r>
      <w:r>
        <w:rPr>
          <w:rFonts w:ascii="宋体" w:hAnsi="宋体" w:cs="宋体" w:eastAsia="宋体" w:hint="default"/>
          <w:sz w:val="21"/>
          <w:szCs w:val="21"/>
        </w:rPr>
        <w:t>、本企业的母公司情况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4"/>
        <w:rPr>
          <w:rFonts w:ascii="Tahoma" w:hAnsi="Tahoma" w:cs="Tahoma" w:eastAsia="Tahoma"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ahoma" w:hAnsi="Tahoma" w:cs="Tahoma" w:eastAsia="Tahoma" w:hint="default"/>
                <w:sz w:val="17"/>
                <w:szCs w:val="17"/>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ahoma" w:hAnsi="Tahoma" w:cs="Tahoma" w:eastAsia="Tahoma"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ahoma" w:hAnsi="Tahoma" w:cs="Tahoma" w:eastAsia="Tahoma"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ahoma" w:hAnsi="Tahoma" w:cs="Tahoma" w:eastAsia="Tahoma"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43.24%</w:t>
            </w:r>
          </w:p>
        </w:tc>
      </w:tr>
    </w:tbl>
    <w:p>
      <w:pPr>
        <w:spacing w:after="0" w:line="240" w:lineRule="auto"/>
        <w:jc w:val="left"/>
        <w:rPr>
          <w:rFonts w:ascii="Times New Roman" w:hAnsi="Times New Roman" w:cs="Times New Roman" w:eastAsia="Times New Roman" w:hint="default"/>
          <w:sz w:val="18"/>
          <w:szCs w:val="18"/>
        </w:rPr>
        <w:sectPr>
          <w:footerReference w:type="default" r:id="rId53"/>
          <w:pgSz w:w="11910" w:h="16840"/>
          <w:pgMar w:footer="982" w:header="885" w:top="1100" w:bottom="1180" w:left="980" w:right="0"/>
          <w:pgNumType w:start="120"/>
        </w:sectPr>
      </w:pPr>
    </w:p>
    <w:p>
      <w:pPr>
        <w:spacing w:line="240" w:lineRule="auto" w:before="3"/>
        <w:rPr>
          <w:rFonts w:ascii="Tahoma" w:hAnsi="Tahoma" w:cs="Tahoma" w:eastAsia="Tahoma" w:hint="default"/>
          <w:sz w:val="24"/>
          <w:szCs w:val="24"/>
        </w:rPr>
      </w:pPr>
    </w:p>
    <w:p>
      <w:pPr>
        <w:pStyle w:val="BodyText"/>
        <w:spacing w:line="338" w:lineRule="auto" w:before="37"/>
        <w:ind w:right="0"/>
        <w:jc w:val="left"/>
      </w:pPr>
      <w:r>
        <w:rPr/>
        <w:t>本企业的母公司情况的说明 </w:t>
      </w:r>
      <w:r>
        <w:rPr>
          <w:spacing w:val="-2"/>
        </w:rPr>
        <w:t>王海鹏先生担任中共美盈森集团股份有限公司委员会书记、公司董事长、东莞市环保包装行业协会会长，并兼任香港美盈森</w:t>
      </w:r>
      <w:r>
        <w:rPr>
          <w:spacing w:val="-62"/>
        </w:rPr>
        <w:t> </w:t>
      </w:r>
      <w:r>
        <w:rPr>
          <w:spacing w:val="-62"/>
        </w:rPr>
      </w:r>
      <w:r>
        <w:rPr/>
        <w:t>董事、广东佳宝隆科技有限公司董事、中大绿谷董事长兼总经理、美达科技董事。</w:t>
      </w:r>
    </w:p>
    <w:p>
      <w:pPr>
        <w:spacing w:line="240" w:lineRule="auto" w:before="0"/>
        <w:rPr>
          <w:rFonts w:ascii="宋体" w:hAnsi="宋体" w:cs="宋体" w:eastAsia="宋体" w:hint="default"/>
          <w:sz w:val="18"/>
          <w:szCs w:val="18"/>
        </w:rPr>
      </w:pPr>
    </w:p>
    <w:p>
      <w:pPr>
        <w:pStyle w:val="BodyText"/>
        <w:spacing w:line="360" w:lineRule="auto" w:before="158"/>
        <w:ind w:right="8414"/>
        <w:jc w:val="left"/>
      </w:pPr>
      <w:r>
        <w:rPr/>
        <w:t>本企业最终控制方是王海鹏。 其他说明：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2</w:t>
      </w:r>
      <w:r>
        <w:rPr/>
        <w:t>、本企业的子公司情况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本企业子公司的情况详见附注九、在子公司中的权益之说明。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3</w:t>
      </w:r>
      <w:r>
        <w:rPr/>
        <w:t>、本企业合营和联营企业情况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2294"/>
        <w:jc w:val="left"/>
      </w:pPr>
      <w:r>
        <w:rPr/>
        <w:t>本企业重要的合营或联营企业详见附注九、在合营安排或联营企业中的权益之说明。 本期与本公司发生关联方交易，或前期与本公司发生关联方交易形成余额的其他合营或联营企业情况如下：</w:t>
      </w: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68"/>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4</w:t>
      </w:r>
      <w:r>
        <w:rPr/>
        <w:t>、其他关联方情况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关联自然人（董事长）控制的法人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关联自然人（董事长）控制的法人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关联自然人（副董事长）担任董事的法人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南京巨光工贸有限公司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关联自然人（总裁）控制的法人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广东微马体育文化发展有限公司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关联自然人（总裁）担任监事的法人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杭州佰米智能科技发展有限公司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关联自然人（副董事长）担任董事的法人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浙江甲骨文超级码股份有限公司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关联自然人（副董事长）曾担任董事的法人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丽京投资服务有限公司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控股股东及其关系密切的家庭成员合计持股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关联自然人（副总裁）直接控制的法人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常富润企业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关联自然人（副总裁）直接控制的法人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深圳市天威视讯股份有限公司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关联自然人（原独立董事）曾担任独立董事的法人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深圳市飞荣达科技股份有限公司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关联自然人（原独立董事）担任执行合伙人的法人</w:t>
            </w:r>
          </w:p>
        </w:tc>
      </w:tr>
    </w:tbl>
    <w:p>
      <w:pPr>
        <w:spacing w:after="0" w:line="240"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Tahoma" w:hAnsi="Tahoma" w:cs="Tahoma" w:eastAsia="Tahoma" w:hint="default"/>
          <w:sz w:val="26"/>
          <w:szCs w:val="26"/>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华泰期货有限公司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福建海西金融租赁有限责任公司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欣旺达电子股份有限公司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中航三鑫股份有限公司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深圳市联建光电股份有限公司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中国（深圳）综合开发研究院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关联自然人（独立董事）担任副院长</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方大集团股份有限公司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深圳奥特迅电力设备股份有限公司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深圳市海格物流股份有限公司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成大沿海产业（大连）基金管理有限公司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关联自然人（独立董事）直接控制的法人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深圳市新翔实业发展有限公司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关联自然人（独立董事）直接控制的法人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浙银前源（杭州）资本管理有限公司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关联自然人（独立董事）直接控制的法人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湖南工业大学东莞包装学院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关联自然人（独立董事）担任教授</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株洲明德教育服务有限责任公司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关联自然人（独立董事）担任总经理的法人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深圳大学会计与财务研究所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关联自然人（原独立董事）担任所长</w:t>
            </w:r>
          </w:p>
        </w:tc>
      </w:tr>
    </w:tbl>
    <w:p>
      <w:pPr>
        <w:pStyle w:val="BodyText"/>
        <w:spacing w:line="240" w:lineRule="auto" w:before="49"/>
        <w:ind w:right="0"/>
        <w:jc w:val="left"/>
      </w:pPr>
      <w:r>
        <w:rPr/>
        <w:t>其他说明</w:t>
      </w:r>
    </w:p>
    <w:p>
      <w:pPr>
        <w:pStyle w:val="BodyText"/>
        <w:spacing w:line="300" w:lineRule="auto" w:before="115"/>
        <w:ind w:right="1154"/>
        <w:jc w:val="left"/>
      </w:pPr>
      <w:r>
        <w:rPr/>
        <w:t>其他关联方还包括公司董事、监事、高级管理人员、持股</w:t>
      </w:r>
      <w:r>
        <w:rPr>
          <w:rFonts w:ascii="Times New Roman" w:hAnsi="Times New Roman" w:cs="Times New Roman" w:eastAsia="Times New Roman" w:hint="default"/>
        </w:rPr>
        <w:t>5%</w:t>
      </w:r>
      <w:r>
        <w:rPr/>
        <w:t>以上股东、和与上述关联自然人关系密切的家庭成员及其对外 投资的企业。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rFonts w:ascii="Tahoma" w:hAnsi="Tahoma" w:cs="Tahoma" w:eastAsia="Tahoma" w:hint="default"/>
        </w:rPr>
      </w:pPr>
      <w:r>
        <w:rPr>
          <w:rFonts w:ascii="Tahoma" w:hAnsi="Tahoma" w:cs="Tahoma" w:eastAsia="Tahoma" w:hint="default"/>
        </w:rPr>
        <w:t>5</w:t>
      </w:r>
      <w:r>
        <w:rPr/>
        <w:t>、关联交易情况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）购销商品、提供和接受劳务的关联交易</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105,342.22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487,106.24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133,614.56</w:t>
            </w:r>
          </w:p>
        </w:tc>
      </w:tr>
    </w:tbl>
    <w:p>
      <w:pPr>
        <w:pStyle w:val="BodyText"/>
        <w:spacing w:line="240" w:lineRule="auto" w:before="49"/>
        <w:ind w:right="0"/>
        <w:jc w:val="left"/>
      </w:pPr>
      <w:r>
        <w:rPr/>
        <w:t>购销商品、提供和接受劳务的关联交易说明</w:t>
      </w:r>
    </w:p>
    <w:p>
      <w:pPr>
        <w:spacing w:after="0" w:line="240" w:lineRule="auto"/>
        <w:jc w:val="left"/>
        <w:sectPr>
          <w:pgSz w:w="11910" w:h="16840"/>
          <w:pgMar w:header="885" w:footer="982" w:top="1100" w:bottom="1180" w:left="980" w:right="0"/>
        </w:sectPr>
      </w:pPr>
    </w:p>
    <w:p>
      <w:pPr>
        <w:spacing w:line="240" w:lineRule="auto" w:before="5"/>
        <w:rPr>
          <w:rFonts w:ascii="宋体" w:hAnsi="宋体" w:cs="宋体" w:eastAsia="宋体" w:hint="default"/>
          <w:sz w:val="22"/>
          <w:szCs w:val="22"/>
        </w:rPr>
      </w:pPr>
    </w:p>
    <w:p>
      <w:pPr>
        <w:pStyle w:val="BodyText"/>
        <w:spacing w:line="240" w:lineRule="auto" w:before="37"/>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2</w:t>
      </w:r>
      <w:r>
        <w:rPr/>
        <w:t>）关联受托管理</w:t>
      </w:r>
      <w:r>
        <w:rPr>
          <w:rFonts w:ascii="Tahoma" w:hAnsi="Tahoma" w:cs="Tahoma" w:eastAsia="Tahoma" w:hint="default"/>
        </w:rPr>
        <w:t>/</w:t>
      </w:r>
      <w:r>
        <w:rPr/>
        <w:t>承包及委托管理</w:t>
      </w:r>
      <w:r>
        <w:rPr>
          <w:rFonts w:ascii="Tahoma" w:hAnsi="Tahoma" w:cs="Tahoma" w:eastAsia="Tahoma" w:hint="default"/>
        </w:rPr>
        <w:t>/</w:t>
      </w:r>
      <w:r>
        <w:rPr/>
        <w:t>出包情况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544" w:space="6283"/>
            <w:col w:w="210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90" w:right="21"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890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3</w:t>
      </w:r>
      <w:r>
        <w:rPr/>
        <w:t>）关联租赁情况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t>本公司作为出租方：</w:t>
      </w:r>
    </w:p>
    <w:p>
      <w:pPr>
        <w:pStyle w:val="BodyText"/>
        <w:spacing w:line="240" w:lineRule="auto" w:before="11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314"/>
        <w:jc w:val="left"/>
      </w:pPr>
      <w:r>
        <w:rPr/>
        <w:t>关联租赁情况说明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）关联担保情况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本公司作为担保方</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本公司作为被担保方</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314"/>
        <w:jc w:val="left"/>
      </w:pPr>
      <w:r>
        <w:rPr/>
        <w:t>关联担保情况说明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5</w:t>
      </w:r>
      <w:r>
        <w:rPr/>
        <w:t>）关联方资金拆借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6</w:t>
      </w:r>
      <w:r>
        <w:rPr/>
        <w:t>）关联方资产转让、债务重组情况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7</w:t>
      </w:r>
      <w:r>
        <w:rPr/>
        <w:t>）关键管理人员报酬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6,609,445.00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3,942,308.00</w:t>
            </w:r>
          </w:p>
        </w:tc>
      </w:tr>
    </w:tbl>
    <w:p>
      <w:pPr>
        <w:spacing w:after="0" w:line="240" w:lineRule="auto"/>
        <w:jc w:val="right"/>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8</w:t>
      </w:r>
      <w:r>
        <w:rPr/>
        <w:t>）其他关联交易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6</w:t>
      </w:r>
      <w:r>
        <w:rPr/>
        <w:t>、关联方应收应付款项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）应收项目</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28,539.25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1,426.96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92,843.25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4,642.16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）应付项目</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7</w:t>
      </w:r>
      <w:r>
        <w:rPr/>
        <w:t>、关联方承诺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8</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十三、股份支付</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、股份支付总体情况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、以权益结算的股份支付情况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、以现金结算的股份支付情况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w:t>
      </w:r>
      <w:r>
        <w:rPr/>
        <w:t>、股份支付的修改、终止情况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5</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十四、承诺及或有事项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、重要承诺事项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6254"/>
        <w:jc w:val="left"/>
      </w:pPr>
      <w:r>
        <w:rPr/>
        <w:t>资产负债表日存在的重要承诺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日，公司无需要披露的重要承诺事项。</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、或有事项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）资产负债表日存在的重要或有事项</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）公司没有需要披露的重要或有事项，也应予以说明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3</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十五、资产负债表日后事项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、重要的非调整事项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、利润分配情况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after="0" w:line="240" w:lineRule="auto"/>
        <w:jc w:val="righ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both"/>
        <w:rPr>
          <w:rFonts w:ascii="Tahoma" w:hAnsi="Tahoma" w:cs="Tahoma" w:eastAsia="Tahoma" w:hint="default"/>
        </w:rPr>
      </w:pPr>
      <w:r>
        <w:rPr>
          <w:rFonts w:ascii="Tahoma" w:hAnsi="Tahoma" w:cs="Tahoma" w:eastAsia="Tahoma" w:hint="default"/>
        </w:rPr>
        <w:t>3</w:t>
      </w:r>
      <w:r>
        <w:rPr/>
        <w:t>、销售退回</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rFonts w:ascii="Tahoma" w:hAnsi="Tahoma" w:cs="Tahoma" w:eastAsia="Tahoma" w:hint="default"/>
        </w:rPr>
      </w:pPr>
      <w:r>
        <w:rPr>
          <w:rFonts w:ascii="Tahoma" w:hAnsi="Tahoma" w:cs="Tahoma" w:eastAsia="Tahoma" w:hint="default"/>
        </w:rPr>
        <w:t>4</w:t>
      </w:r>
      <w:r>
        <w:rPr/>
        <w:t>、其他资产负债表日后事项说明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pPr>
      <w:r>
        <w:rPr/>
        <w:t>对新型冠状病毒肺炎疫情的影响评估</w:t>
      </w:r>
    </w:p>
    <w:p>
      <w:pPr>
        <w:pStyle w:val="BodyText"/>
        <w:spacing w:line="309" w:lineRule="auto" w:before="117"/>
        <w:ind w:right="1130"/>
        <w:jc w:val="both"/>
      </w:pPr>
      <w:r>
        <w:rPr/>
        <w:t>新冠肺炎疫情</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月爆发以来，公司全面贯彻落实党和国家各级政府疫情防控工作部署，在做好疫情防控的同时，积极</w:t>
      </w:r>
      <w:r>
        <w:rPr>
          <w:spacing w:val="-87"/>
        </w:rPr>
        <w:t> </w:t>
      </w:r>
      <w:r>
        <w:rPr>
          <w:spacing w:val="-87"/>
        </w:rPr>
      </w:r>
      <w:r>
        <w:rPr>
          <w:spacing w:val="-2"/>
        </w:rPr>
        <w:t>应对疫情可能对生产经营带来的影响。新冠疫情虽然给部分行业及整体经济运行带来明显影响，但因公司及各主要经营主体</w:t>
      </w:r>
      <w:r>
        <w:rPr>
          <w:spacing w:val="-64"/>
        </w:rPr>
        <w:t> </w:t>
      </w:r>
      <w:r>
        <w:rPr>
          <w:spacing w:val="-64"/>
        </w:rPr>
      </w:r>
      <w:r>
        <w:rPr/>
        <w:t>子公司均在非严重疫区，且公司及主要经营主体子公司于</w:t>
      </w:r>
      <w:r>
        <w:rPr>
          <w:rFonts w:ascii="Times New Roman" w:hAnsi="Times New Roman" w:cs="Times New Roman" w:eastAsia="Times New Roman" w:hint="default"/>
        </w:rPr>
        <w:t>2</w:t>
      </w:r>
      <w:r>
        <w:rPr/>
        <w:t>月上旬陆续开始复工，截止本报告出具日，疫情对公司经营产生</w:t>
      </w:r>
      <w:r>
        <w:rPr>
          <w:spacing w:val="-85"/>
        </w:rPr>
        <w:t> </w:t>
      </w:r>
      <w:r>
        <w:rPr>
          <w:spacing w:val="-85"/>
        </w:rPr>
      </w:r>
      <w:r>
        <w:rPr>
          <w:spacing w:val="-2"/>
        </w:rPr>
        <w:t>的影响有限，后续影响程度将取决于全国疫情防控的情况、持续时间以及各项调控政策的实施。欧美疫情爆发可能对全球经</w:t>
      </w:r>
      <w:r>
        <w:rPr>
          <w:spacing w:val="-62"/>
        </w:rPr>
        <w:t> </w:t>
      </w:r>
      <w:r>
        <w:rPr>
          <w:spacing w:val="-62"/>
        </w:rPr>
      </w:r>
      <w:r>
        <w:rPr/>
        <w:t>济带来的影响也可能对公司经营产生一定程度影响。</w:t>
      </w:r>
    </w:p>
    <w:p>
      <w:pPr>
        <w:spacing w:line="240" w:lineRule="auto" w:before="1"/>
        <w:rPr>
          <w:rFonts w:ascii="宋体" w:hAnsi="宋体" w:cs="宋体" w:eastAsia="宋体" w:hint="default"/>
          <w:sz w:val="21"/>
          <w:szCs w:val="21"/>
        </w:rPr>
      </w:pPr>
    </w:p>
    <w:p>
      <w:pPr>
        <w:pStyle w:val="Heading3"/>
        <w:spacing w:line="240" w:lineRule="auto"/>
        <w:ind w:right="0"/>
        <w:jc w:val="both"/>
        <w:rPr>
          <w:rFonts w:ascii="Tahoma" w:hAnsi="Tahoma" w:cs="Tahoma" w:eastAsia="Tahoma" w:hint="default"/>
        </w:rPr>
      </w:pPr>
      <w:r>
        <w:rPr/>
        <w:t>十六、其他重要事项</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both"/>
        <w:rPr>
          <w:rFonts w:ascii="Tahoma" w:hAnsi="Tahoma" w:cs="Tahoma" w:eastAsia="Tahoma" w:hint="default"/>
        </w:rPr>
      </w:pPr>
      <w:r>
        <w:rPr>
          <w:rFonts w:ascii="Tahoma" w:hAnsi="Tahoma" w:cs="Tahoma" w:eastAsia="Tahoma" w:hint="default"/>
        </w:rPr>
        <w:t>1</w:t>
      </w:r>
      <w:r>
        <w:rPr/>
        <w:t>、前期会计差错更正</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）追溯重述法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）未来适用法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ahoma" w:hAnsi="Tahoma" w:cs="Tahoma" w:eastAsia="Tahoma" w:hint="default"/>
          <w:sz w:val="20"/>
          <w:szCs w:val="20"/>
        </w:rPr>
      </w:pPr>
    </w:p>
    <w:p>
      <w:pPr>
        <w:spacing w:before="36"/>
        <w:ind w:left="152" w:right="0" w:firstLine="0"/>
        <w:jc w:val="left"/>
        <w:rPr>
          <w:rFonts w:ascii="Tahoma" w:hAnsi="Tahoma" w:cs="Tahoma" w:eastAsia="Tahoma" w:hint="default"/>
          <w:sz w:val="21"/>
          <w:szCs w:val="21"/>
        </w:rPr>
      </w:pPr>
      <w:r>
        <w:rPr>
          <w:rFonts w:ascii="Tahoma" w:hAnsi="Tahoma" w:cs="Tahoma" w:eastAsia="Tahoma" w:hint="default"/>
          <w:sz w:val="21"/>
          <w:szCs w:val="21"/>
        </w:rPr>
        <w:t>2</w:t>
      </w:r>
      <w:r>
        <w:rPr>
          <w:rFonts w:ascii="宋体" w:hAnsi="宋体" w:cs="宋体" w:eastAsia="宋体" w:hint="default"/>
          <w:sz w:val="21"/>
          <w:szCs w:val="21"/>
        </w:rPr>
        <w:t>、债务重组</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3</w:t>
      </w:r>
      <w:r>
        <w:rPr/>
        <w:t>、资产置换</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）非货币性资产交换</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2</w:t>
      </w:r>
      <w:r>
        <w:rPr/>
        <w:t>）其他资产置换</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4</w:t>
      </w:r>
      <w:r>
        <w:rPr/>
        <w:t>、年金计划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5</w:t>
      </w:r>
      <w:r>
        <w:rPr/>
        <w:t>、终止经营</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9"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深圳市汇天云网 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-68,203.00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68,203.00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68,203.00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68,203.00</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6</w:t>
      </w:r>
      <w:r>
        <w:rPr/>
        <w:t>、分部信息</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）报告分部的确定依据与会计政策</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left"/>
      </w:pPr>
      <w:r>
        <w:rPr/>
        <w:t>根据公司的销售特点，公司分为自制产品销售、第三方采购销售两部分，并执行统一会计政策。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2</w:t>
      </w:r>
      <w:r>
        <w:rPr/>
        <w:t>）报告分部的财务信息</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自制品销售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第三采购销售</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2,434,854,663.20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852,494,764.05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3,287,349,427.25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1,636,688,969.25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659,627,848.43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2,296,316,817.68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三、信用减值损失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-7,196,217.25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-2,519,549.78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-9,715,767.03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-2,141,679.01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-749,847.69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-2,891,526.70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94,932,592.71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94,932,592.71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496,020,554.87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119,857,261.75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615,877,816.62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68,681,064.63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16,595,933.90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85,276,998.53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427,339,490.24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103,261,327.85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530,600,818.09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）公司无报告分部的，或者不能披露各报告分部的资产总额和负债总额的，应说明原因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4</w:t>
      </w:r>
      <w:r>
        <w:rPr/>
        <w:t>）其他说明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7</w:t>
      </w:r>
      <w:r>
        <w:rPr/>
        <w:t>、其他对投资者决策有影响的重要交易和事项</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8</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rFonts w:ascii="Tahoma" w:hAnsi="Tahoma" w:cs="Tahoma" w:eastAsia="Tahoma" w:hint="default"/>
        </w:rPr>
      </w:pPr>
      <w:r>
        <w:rPr/>
        <w:t>十七、母公司财务报表主要项目注释</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、应收账款</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）应收账款分类披露</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352,630,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289.76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25,950,3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86.08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326,679,9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401,146,5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24,714,43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376,432,14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应收客户款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342,115,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062.53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25,950,3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86.08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326,679,9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336,735,9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66.31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24,714,43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376,432,14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6.31</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10,515,2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27.23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64,410,61</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7.85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352,630,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289.76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25,950,3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86.08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326,679,9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401,146,5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24,714,43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376,432,14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6.31</w:t>
            </w:r>
          </w:p>
        </w:tc>
      </w:tr>
    </w:tbl>
    <w:p>
      <w:pPr>
        <w:pStyle w:val="BodyText"/>
        <w:spacing w:line="240" w:lineRule="auto" w:before="49"/>
        <w:ind w:right="0"/>
        <w:jc w:val="left"/>
      </w:pPr>
      <w:r>
        <w:rPr/>
        <w:t>按单项计提坏账准备：</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25,950,386.08</w:t>
      </w:r>
    </w:p>
    <w:p>
      <w:pPr>
        <w:pStyle w:val="BodyText"/>
        <w:spacing w:line="240" w:lineRule="auto" w:before="101"/>
        <w:ind w:left="0" w:right="113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pt;mso-position-horizontal-relative:char;mso-position-vertical-relative:line" coordorigin="0,0" coordsize="9584,420">
            <v:group style="position:absolute;left:17;top:14;width:2381;height:392" coordorigin="17,14" coordsize="2381,392">
              <v:shape style="position:absolute;left:17;top:14;width:2381;height:392" coordorigin="17,14" coordsize="2381,392" path="m17,14l2398,14,2398,406,17,406,17,14xe" filled="true" fillcolor="#d3d3d3" stroked="false">
                <v:path arrowok="t"/>
                <v:fill type="solid"/>
              </v:shape>
            </v:group>
            <v:group style="position:absolute;left:2407;top:14;width:7167;height:392" coordorigin="2407,14" coordsize="7167,392">
              <v:shape style="position:absolute;left:2407;top:14;width:7167;height:392" coordorigin="2407,14" coordsize="7167,392" path="m2407,14l9574,14,9574,406,2407,406,240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8001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2393;height:2" coordorigin="5,410" coordsize="2393,2">
              <v:shape style="position:absolute;left:5;top:410;width:2393;height:2" coordorigin="5,410" coordsize="2393,0" path="m5,410l2398,410e" filled="false" stroked="true" strokeweight=".479966pt" strokecolor="#000000">
                <v:path arrowok="t"/>
              </v:shape>
            </v:group>
            <v:group style="position:absolute;left:2402;top:14;width:2;height:401" coordorigin="2402,14" coordsize="2,401">
              <v:shape style="position:absolute;left:2402;top:14;width:2;height:401" coordorigin="2402,14" coordsize="0,401" path="m2402,14l2402,415e" filled="false" stroked="true" strokeweight=".48pt" strokecolor="#000000">
                <v:path arrowok="t"/>
              </v:shape>
            </v:group>
            <v:group style="position:absolute;left:2407;top:410;width:7167;height:2" coordorigin="2407,410" coordsize="7167,2">
              <v:shape style="position:absolute;left:2407;top:410;width:7167;height:2" coordorigin="2407,410" coordsize="7167,0" path="m2407,410l9574,410e" filled="false" stroked="true" strokeweight=".479966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11;top:10;width:2392;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5630;top:126;width:721;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应收客户款</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342,115,062.53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25,950,386.08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342,115,062.53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25,950,386.08</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54"/>
          <w:pgSz w:w="11910" w:h="16840"/>
          <w:pgMar w:footer="982" w:header="885" w:top="1100" w:bottom="1180" w:left="980" w:right="0"/>
          <w:pgNumType w:start="130"/>
        </w:sectPr>
      </w:pPr>
    </w:p>
    <w:p>
      <w:pPr>
        <w:pStyle w:val="BodyText"/>
        <w:spacing w:line="357" w:lineRule="auto" w:before="49"/>
        <w:ind w:right="-20"/>
        <w:jc w:val="left"/>
      </w:pPr>
      <w:r>
        <w:rPr/>
        <w:t>确定该组合依据的说明： 无</w:t>
      </w:r>
    </w:p>
    <w:p>
      <w:pPr>
        <w:pStyle w:val="BodyText"/>
        <w:spacing w:line="240" w:lineRule="auto" w:before="29"/>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133" w:space="669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pStyle w:val="BodyText"/>
        <w:spacing w:line="357" w:lineRule="auto" w:before="49"/>
        <w:ind w:right="-20"/>
        <w:jc w:val="left"/>
      </w:pPr>
      <w:r>
        <w:rPr/>
        <w:t>确定该组合依据的说明： 无</w:t>
      </w:r>
    </w:p>
    <w:p>
      <w:pPr>
        <w:pStyle w:val="BodyText"/>
        <w:spacing w:line="240" w:lineRule="auto" w:before="29"/>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133" w:space="6694"/>
            <w:col w:w="210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0"/>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按账龄披露</w:t>
      </w:r>
    </w:p>
    <w:p>
      <w:pPr>
        <w:pStyle w:val="BodyText"/>
        <w:spacing w:line="240" w:lineRule="auto" w:before="43"/>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339,781,436.04</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339,781,436.04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1,648,172.94</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782,276.92</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10,418,403.86</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2,511,437.94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7,906,965.92</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352,630,289.76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）本期计提、收回或转回的坏账准备情况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right="0"/>
        <w:jc w:val="left"/>
      </w:pPr>
      <w:r>
        <w:rPr/>
        <w:t>本期计提坏账准备情况：</w:t>
      </w:r>
    </w:p>
    <w:p>
      <w:pPr>
        <w:pStyle w:val="BodyText"/>
        <w:spacing w:line="240" w:lineRule="auto" w:before="11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应收客户款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24,714,437.85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1,841,607.23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605,659.00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25,950,386.08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24,714,437.85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1,841,607.23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605,659.00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25,950,386.08</w:t>
            </w:r>
          </w:p>
        </w:tc>
      </w:tr>
    </w:tbl>
    <w:p>
      <w:pPr>
        <w:pStyle w:val="BodyText"/>
        <w:spacing w:line="240" w:lineRule="auto" w:before="49"/>
        <w:ind w:right="0"/>
        <w:jc w:val="left"/>
      </w:pPr>
      <w:r>
        <w:rPr/>
        <w:t>其中本期坏账准备收回或转回金额重要的：</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t>（</w:t>
      </w:r>
      <w:r>
        <w:rPr>
          <w:rFonts w:ascii="Tahoma" w:hAnsi="Tahoma" w:cs="Tahoma" w:eastAsia="Tahoma" w:hint="default"/>
        </w:rPr>
        <w:t>3</w:t>
      </w:r>
      <w:r>
        <w:rPr/>
        <w:t>）本期实际核销的应收账款情况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其中重要的应收账款核销情况：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134"/>
        <w:jc w:val="left"/>
      </w:pPr>
      <w:r>
        <w:rPr/>
        <w:t>应收账款核销说明：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t>（</w:t>
      </w:r>
      <w:r>
        <w:rPr>
          <w:rFonts w:ascii="Tahoma" w:hAnsi="Tahoma" w:cs="Tahoma" w:eastAsia="Tahoma" w:hint="default"/>
        </w:rPr>
        <w:t>4</w:t>
      </w:r>
      <w:r>
        <w:rPr/>
        <w:t>）按欠款方归集的期末余额前五名的应收账款情况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88,001,014.49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4,400,050.72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39,503,833.13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w w:val="95"/>
                <w:sz w:val="18"/>
              </w:rPr>
              <w:t>11.20%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1,975,191.66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32,938,570.94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1,646,928.55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30,432,058.93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1,521,602.95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12,006,598.04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600,329.90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202,882,075.53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57.53%</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5</w:t>
      </w:r>
      <w:r>
        <w:rPr/>
        <w:t>）因金融资产转移而终止确认的应收账款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6</w:t>
      </w:r>
      <w:r>
        <w:rPr/>
        <w:t>）转移应收账款且继续涉入形成的资产、负债金额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127,709,158.30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153,906,910.60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127,709,158.30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153,906,910.60</w:t>
            </w:r>
          </w:p>
        </w:tc>
      </w:tr>
    </w:tbl>
    <w:p>
      <w:pPr>
        <w:spacing w:line="240" w:lineRule="auto" w:before="3"/>
        <w:rPr>
          <w:rFonts w:ascii="宋体" w:hAnsi="宋体" w:cs="宋体" w:eastAsia="宋体" w:hint="default"/>
          <w:sz w:val="19"/>
          <w:szCs w:val="19"/>
        </w:rPr>
      </w:pPr>
    </w:p>
    <w:p>
      <w:pPr>
        <w:pStyle w:val="Heading4"/>
        <w:spacing w:line="508" w:lineRule="auto" w:before="36"/>
        <w:ind w:right="859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t>1</w:t>
      </w:r>
      <w:r>
        <w:rPr/>
        <w:t>）应收利息分类</w:t>
      </w:r>
      <w:r>
        <w:rPr>
          <w:rFonts w:ascii="Tahoma" w:hAnsi="Tahoma" w:cs="Tahoma" w:eastAsia="Tahoma" w:hint="default"/>
          <w:w w:val="80"/>
        </w:rPr>
        <w:t> </w:t>
      </w:r>
      <w:r>
        <w:rPr>
          <w:rFonts w:ascii="Tahoma" w:hAnsi="Tahoma" w:cs="Tahoma" w:eastAsia="Tahoma" w:hint="default"/>
        </w:rPr>
      </w:r>
    </w:p>
    <w:p>
      <w:pPr>
        <w:pStyle w:val="BodyText"/>
        <w:spacing w:line="240" w:lineRule="auto" w:before="62"/>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）重要逾期利息</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511" w:lineRule="auto"/>
        <w:ind w:right="8594"/>
        <w:jc w:val="left"/>
        <w:rPr>
          <w:rFonts w:ascii="Tahoma" w:hAnsi="Tahoma" w:cs="Tahoma" w:eastAsia="Tahoma" w:hint="default"/>
        </w:rPr>
      </w:pPr>
      <w:r>
        <w:rPr/>
        <w:t>（</w:t>
      </w:r>
      <w:r>
        <w:rPr>
          <w:rFonts w:ascii="Tahoma" w:hAnsi="Tahoma" w:cs="Tahoma" w:eastAsia="Tahoma" w:hint="default"/>
        </w:rPr>
        <w:t>2</w:t>
      </w:r>
      <w:r>
        <w:rPr/>
        <w:t>）应收股利</w:t>
      </w:r>
      <w:r>
        <w:rPr>
          <w:rFonts w:ascii="Tahoma" w:hAnsi="Tahoma" w:cs="Tahoma" w:eastAsia="Tahoma" w:hint="default"/>
          <w:w w:val="80"/>
        </w:rPr>
        <w:t> </w:t>
      </w:r>
      <w:r>
        <w:rPr>
          <w:rFonts w:ascii="Tahoma" w:hAnsi="Tahoma" w:cs="Tahoma" w:eastAsia="Tahoma" w:hint="default"/>
        </w:rPr>
        <w:t>1</w:t>
      </w:r>
      <w:r>
        <w:rPr/>
        <w:t>）应收股利分类</w:t>
      </w:r>
      <w:r>
        <w:rPr>
          <w:rFonts w:ascii="Tahoma" w:hAnsi="Tahoma" w:cs="Tahoma" w:eastAsia="Tahoma" w:hint="default"/>
          <w:w w:val="80"/>
        </w:rPr>
        <w:t> </w:t>
      </w:r>
      <w:r>
        <w:rPr>
          <w:rFonts w:ascii="Tahoma" w:hAnsi="Tahoma" w:cs="Tahoma" w:eastAsia="Tahoma" w:hint="default"/>
        </w:rPr>
      </w:r>
    </w:p>
    <w:p>
      <w:pPr>
        <w:pStyle w:val="BodyText"/>
        <w:spacing w:line="240" w:lineRule="auto" w:before="60"/>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）重要的账龄超过</w:t>
      </w:r>
      <w:r>
        <w:rPr>
          <w:spacing w:val="-57"/>
        </w:rPr>
        <w:t> </w:t>
      </w:r>
      <w:r>
        <w:rPr>
          <w:rFonts w:ascii="Tahoma" w:hAnsi="Tahoma" w:cs="Tahoma" w:eastAsia="Tahoma" w:hint="default"/>
        </w:rPr>
        <w:t>1</w:t>
      </w:r>
      <w:r>
        <w:rPr>
          <w:rFonts w:ascii="Tahoma" w:hAnsi="Tahoma" w:cs="Tahoma" w:eastAsia="Tahoma" w:hint="default"/>
          <w:spacing w:val="-20"/>
        </w:rPr>
        <w:t> </w:t>
      </w:r>
      <w:r>
        <w:rPr/>
        <w:t>年的应收股利</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其他说明：</w:t>
      </w:r>
    </w:p>
    <w:p>
      <w:pPr>
        <w:pStyle w:val="BodyText"/>
        <w:spacing w:line="240" w:lineRule="auto" w:before="39"/>
        <w:ind w:right="0"/>
        <w:jc w:val="left"/>
      </w:pPr>
      <w:r>
        <w:rPr/>
        <w:t>无</w:t>
      </w:r>
    </w:p>
    <w:p>
      <w:pPr>
        <w:spacing w:line="240" w:lineRule="auto" w:before="0"/>
        <w:rPr>
          <w:rFonts w:ascii="宋体" w:hAnsi="宋体" w:cs="宋体" w:eastAsia="宋体" w:hint="default"/>
          <w:sz w:val="18"/>
          <w:szCs w:val="18"/>
        </w:rPr>
      </w:pPr>
    </w:p>
    <w:p>
      <w:pPr>
        <w:pStyle w:val="Heading4"/>
        <w:spacing w:line="511" w:lineRule="auto" w:before="120"/>
        <w:ind w:right="6474"/>
        <w:jc w:val="left"/>
        <w:rPr>
          <w:rFonts w:ascii="Tahoma" w:hAnsi="Tahoma" w:cs="Tahoma" w:eastAsia="Tahoma" w:hint="default"/>
        </w:rPr>
      </w:pPr>
      <w:r>
        <w:rPr/>
        <w:t>（</w:t>
      </w:r>
      <w:r>
        <w:rPr>
          <w:rFonts w:ascii="Tahoma" w:hAnsi="Tahoma" w:cs="Tahoma" w:eastAsia="Tahoma" w:hint="default"/>
        </w:rPr>
        <w:t>3</w:t>
      </w:r>
      <w:r>
        <w:rPr/>
        <w:t>）其他应收款</w:t>
      </w:r>
      <w:r>
        <w:rPr>
          <w:rFonts w:ascii="Tahoma" w:hAnsi="Tahoma" w:cs="Tahoma" w:eastAsia="Tahoma" w:hint="default"/>
          <w:w w:val="80"/>
        </w:rPr>
        <w:t> </w:t>
      </w:r>
      <w:r>
        <w:rPr>
          <w:rFonts w:ascii="Tahoma" w:hAnsi="Tahoma" w:cs="Tahoma" w:eastAsia="Tahoma" w:hint="default"/>
        </w:rPr>
        <w:t>1</w:t>
      </w:r>
      <w:r>
        <w:rPr/>
        <w:t>）其他应收款按款项性质分类情况</w:t>
      </w:r>
      <w:r>
        <w:rPr>
          <w:rFonts w:ascii="Tahoma" w:hAnsi="Tahoma" w:cs="Tahoma" w:eastAsia="Tahoma" w:hint="default"/>
          <w:w w:val="80"/>
        </w:rPr>
        <w:t> </w:t>
      </w:r>
      <w:r>
        <w:rPr>
          <w:rFonts w:ascii="Tahoma" w:hAnsi="Tahoma" w:cs="Tahoma" w:eastAsia="Tahoma" w:hint="default"/>
        </w:rPr>
      </w:r>
    </w:p>
    <w:p>
      <w:pPr>
        <w:pStyle w:val="BodyText"/>
        <w:spacing w:line="240" w:lineRule="auto" w:before="5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11,160,004.54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10,466,442.54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11,617,290.14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3,808,393.22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2,964,677.72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6,107,293.99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101,967,185.90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133,524,780.85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127,709,158.30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153,906,910.60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2</w:t>
      </w:r>
      <w:r>
        <w:rPr/>
        <w:t>）坏账准备计提情况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5" w:footer="982" w:top="1100" w:bottom="118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933" w:space="4894"/>
            <w:col w:w="2103"/>
          </w:cols>
        </w:sectPr>
      </w:pP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39,160,459.82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39,160,459.82</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11,555,576.04</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814,722.88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76,178,399.56</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9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15,587,670.73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9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60,590,728.83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127,709,158.30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3</w:t>
      </w:r>
      <w:r>
        <w:rPr/>
        <w:t>）本期计提、收回或转回的坏账准备情况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t>本期计提坏账准备情况：</w:t>
      </w:r>
    </w:p>
    <w:p>
      <w:pPr>
        <w:pStyle w:val="BodyText"/>
        <w:spacing w:line="240" w:lineRule="auto" w:before="11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8"/>
        <w:gridCol w:w="1303"/>
        <w:gridCol w:w="1591"/>
        <w:gridCol w:w="1594"/>
        <w:gridCol w:w="1303"/>
        <w:gridCol w:w="1889"/>
      </w:tblGrid>
      <w:tr>
        <w:trPr>
          <w:trHeight w:val="401" w:hRule="exact"/>
        </w:trPr>
        <w:tc>
          <w:tcPr>
            <w:tcW w:w="18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8" w:type="dxa"/>
            <w:vMerge/>
            <w:tcBorders>
              <w:left w:val="single" w:sz="4" w:space="0" w:color="000000"/>
              <w:bottom w:val="single" w:sz="4" w:space="0" w:color="000000"/>
              <w:right w:val="single" w:sz="4" w:space="0" w:color="000000"/>
            </w:tcBorders>
            <w:shd w:val="clear" w:color="auto" w:fill="D3D3D3"/>
          </w:tcPr>
          <w:p>
            <w:pPr/>
          </w:p>
        </w:tc>
        <w:tc>
          <w:tcPr>
            <w:tcW w:w="1303" w:type="dxa"/>
            <w:vMerge/>
            <w:tcBorders>
              <w:left w:val="single" w:sz="4" w:space="0" w:color="000000"/>
              <w:bottom w:val="single" w:sz="4" w:space="0" w:color="000000"/>
              <w:right w:val="single" w:sz="4" w:space="0" w:color="000000"/>
            </w:tcBorders>
            <w:shd w:val="clear" w:color="auto" w:fill="D3D3D3"/>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0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pStyle w:val="BodyText"/>
        <w:spacing w:line="240" w:lineRule="auto" w:before="8"/>
        <w:ind w:right="-20"/>
        <w:jc w:val="left"/>
      </w:pPr>
      <w:r>
        <w:rPr/>
        <w:t>无</w:t>
      </w:r>
    </w:p>
    <w:p>
      <w:pPr>
        <w:pStyle w:val="Heading3"/>
        <w:spacing w:line="240" w:lineRule="auto" w:before="28"/>
        <w:ind w:right="-20"/>
        <w:jc w:val="left"/>
      </w:pP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713" w:space="4114"/>
            <w:col w:w="2103"/>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4</w:t>
      </w:r>
      <w:r>
        <w:rPr/>
        <w:t>）本期实际核销的其他应收款情况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5"/>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954"/>
        <w:jc w:val="left"/>
      </w:pPr>
      <w:r>
        <w:rPr/>
        <w:t>其他应收款核销说明： 无</w:t>
      </w:r>
    </w:p>
    <w:p>
      <w:pPr>
        <w:spacing w:line="240" w:lineRule="auto" w:before="4"/>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）按欠款方归集的期末余额前五名的其他应收款情况</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after="0" w:line="240" w:lineRule="auto"/>
        <w:jc w:val="right"/>
        <w:sectPr>
          <w:type w:val="continuous"/>
          <w:pgSz w:w="11910" w:h="16840"/>
          <w:pgMar w:top="106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美盈森（香港）国际 控股有限公司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78,656,765.95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东莞市美盈森环保科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21,786,181.01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宁乡经济技术开发区 建设投资有限公司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海信容声（广东）冰 箱有限公司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108,382,946.96</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84.87%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6</w:t>
      </w:r>
      <w:r>
        <w:rPr/>
        <w:t>）涉及政府补助的应收款项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3"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7</w:t>
      </w:r>
      <w:r>
        <w:rPr/>
        <w:t>）因金融资产转移而终止确认的其他应收款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8</w:t>
      </w:r>
      <w:r>
        <w:rPr/>
        <w:t>）转移其他应收款且继续涉入形成的资产、负债金额</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3</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3,201,681,674.35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3,026,790,245.88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3,168,651,674.35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2,993,760,245.88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31,728,554.67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31,728,554.67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3,233,410,229.02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3,058,518,800.55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3,168,651,674.35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174,891,428.47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2,993,760,245.88</w:t>
            </w:r>
          </w:p>
        </w:tc>
      </w:tr>
    </w:tbl>
    <w:p>
      <w:pPr>
        <w:spacing w:after="0" w:line="240" w:lineRule="auto"/>
        <w:jc w:val="center"/>
        <w:rPr>
          <w:rFonts w:ascii="Times New Roman" w:hAnsi="Times New Roman" w:cs="Times New Roman" w:eastAsia="Times New Roman" w:hint="default"/>
          <w:sz w:val="18"/>
          <w:szCs w:val="18"/>
        </w:rPr>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1</w:t>
      </w:r>
      <w:r>
        <w:rPr/>
        <w:t>）对子公司投资</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166"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重庆市美盈森 环保包装工程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280,000,000.00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物联网科技有</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25"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vMerge/>
            <w:tcBorders>
              <w:left w:val="single" w:sz="4" w:space="0" w:color="000000"/>
              <w:right w:val="single" w:sz="4" w:space="0" w:color="000000"/>
            </w:tcBorders>
          </w:tcPr>
          <w:p>
            <w:pPr/>
          </w:p>
        </w:tc>
      </w:tr>
      <w:tr>
        <w:trPr>
          <w:trHeight w:val="349"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东莞市美盈森 环保科技有限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675,002,500.00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苏州美盈森环 保科技有限公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478,311,400.0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478,311,400.00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美盈森（香港）</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国际控股有限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9" w:right="0"/>
              <w:jc w:val="center"/>
              <w:rPr>
                <w:rFonts w:ascii="Times New Roman" w:hAnsi="Times New Roman" w:cs="Times New Roman" w:eastAsia="Times New Roman" w:hint="default"/>
                <w:sz w:val="18"/>
                <w:szCs w:val="18"/>
              </w:rPr>
            </w:pPr>
            <w:r>
              <w:rPr>
                <w:rFonts w:ascii="Times New Roman"/>
                <w:sz w:val="18"/>
              </w:rPr>
              <w:t>81,563,070.00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25" w:right="0"/>
              <w:jc w:val="center"/>
              <w:rPr>
                <w:rFonts w:ascii="Times New Roman" w:hAnsi="Times New Roman" w:cs="Times New Roman" w:eastAsia="Times New Roman" w:hint="default"/>
                <w:sz w:val="18"/>
                <w:szCs w:val="18"/>
              </w:rPr>
            </w:pPr>
            <w:r>
              <w:rPr>
                <w:rFonts w:ascii="Times New Roman"/>
                <w:sz w:val="18"/>
              </w:rPr>
              <w:t>81,563,070.00</w:t>
            </w:r>
          </w:p>
        </w:tc>
        <w:tc>
          <w:tcPr>
            <w:tcW w:w="1214" w:type="dxa"/>
            <w:vMerge/>
            <w:tcBorders>
              <w:left w:val="single" w:sz="4" w:space="0" w:color="000000"/>
              <w:right w:val="single" w:sz="4" w:space="0" w:color="000000"/>
            </w:tcBorders>
          </w:tcPr>
          <w:p>
            <w:pPr/>
          </w:p>
        </w:tc>
      </w:tr>
      <w:tr>
        <w:trPr>
          <w:trHeight w:val="351"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363"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环保科技有限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25" w:right="0"/>
              <w:jc w:val="center"/>
              <w:rPr>
                <w:rFonts w:ascii="Times New Roman" w:hAnsi="Times New Roman" w:cs="Times New Roman" w:eastAsia="Times New Roman" w:hint="default"/>
                <w:sz w:val="18"/>
                <w:szCs w:val="18"/>
              </w:rPr>
            </w:pPr>
            <w:r>
              <w:rPr>
                <w:rFonts w:ascii="Times New Roman"/>
                <w:sz w:val="18"/>
              </w:rPr>
              <w:t>10,000,000.00</w:t>
            </w:r>
          </w:p>
        </w:tc>
        <w:tc>
          <w:tcPr>
            <w:tcW w:w="1214" w:type="dxa"/>
            <w:vMerge/>
            <w:tcBorders>
              <w:left w:val="single" w:sz="4" w:space="0" w:color="000000"/>
              <w:right w:val="single" w:sz="4" w:space="0" w:color="000000"/>
            </w:tcBorders>
          </w:tcPr>
          <w:p>
            <w:pPr/>
          </w:p>
        </w:tc>
      </w:tr>
      <w:tr>
        <w:trPr>
          <w:trHeight w:val="349"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成都市美盈森 环保科技有限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环保科技有限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25" w:right="0"/>
              <w:jc w:val="center"/>
              <w:rPr>
                <w:rFonts w:ascii="Times New Roman" w:hAnsi="Times New Roman" w:cs="Times New Roman" w:eastAsia="Times New Roman" w:hint="default"/>
                <w:sz w:val="18"/>
                <w:szCs w:val="18"/>
              </w:rPr>
            </w:pPr>
            <w:r>
              <w:rPr>
                <w:rFonts w:ascii="Times New Roman"/>
                <w:sz w:val="18"/>
              </w:rPr>
              <w:t>20,000,000.00</w:t>
            </w:r>
          </w:p>
        </w:tc>
        <w:tc>
          <w:tcPr>
            <w:tcW w:w="1214" w:type="dxa"/>
            <w:vMerge/>
            <w:tcBorders>
              <w:left w:val="single" w:sz="4" w:space="0" w:color="000000"/>
              <w:right w:val="single" w:sz="4" w:space="0" w:color="000000"/>
            </w:tcBorders>
          </w:tcPr>
          <w:p>
            <w:pPr/>
          </w:p>
        </w:tc>
      </w:tr>
      <w:tr>
        <w:trPr>
          <w:trHeight w:val="349"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深圳市金之彩 文化创意有限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112,108,571.5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112,108,571.53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174,891,428.47</w:t>
            </w:r>
          </w:p>
        </w:tc>
      </w:tr>
      <w:tr>
        <w:trPr>
          <w:trHeight w:val="363"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链管理有限公</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85" w:right="0"/>
              <w:jc w:val="center"/>
              <w:rPr>
                <w:rFonts w:ascii="Times New Roman" w:hAnsi="Times New Roman" w:cs="Times New Roman" w:eastAsia="Times New Roman" w:hint="default"/>
                <w:sz w:val="18"/>
                <w:szCs w:val="18"/>
              </w:rPr>
            </w:pPr>
            <w:r>
              <w:rPr>
                <w:rFonts w:ascii="Times New Roman"/>
                <w:sz w:val="18"/>
              </w:rPr>
              <w:t>11,500,000.00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31" w:right="0"/>
              <w:jc w:val="center"/>
              <w:rPr>
                <w:rFonts w:ascii="Times New Roman" w:hAnsi="Times New Roman" w:cs="Times New Roman" w:eastAsia="Times New Roman" w:hint="default"/>
                <w:sz w:val="18"/>
                <w:szCs w:val="18"/>
              </w:rPr>
            </w:pPr>
            <w:r>
              <w:rPr>
                <w:rFonts w:ascii="Times New Roman"/>
                <w:sz w:val="18"/>
              </w:rPr>
              <w:t>11,500,000.00</w:t>
            </w:r>
          </w:p>
        </w:tc>
        <w:tc>
          <w:tcPr>
            <w:tcW w:w="1214" w:type="dxa"/>
            <w:vMerge/>
            <w:tcBorders>
              <w:left w:val="single" w:sz="4" w:space="0" w:color="000000"/>
              <w:right w:val="single" w:sz="4" w:space="0" w:color="000000"/>
            </w:tcBorders>
          </w:tcPr>
          <w:p>
            <w:pPr/>
          </w:p>
        </w:tc>
      </w:tr>
      <w:tr>
        <w:trPr>
          <w:trHeight w:val="349"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小美集科技有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4" w:type="dxa"/>
            <w:vMerge w:val="restart"/>
            <w:tcBorders>
              <w:top w:val="single" w:sz="4" w:space="0" w:color="000000"/>
              <w:left w:val="single" w:sz="4" w:space="0" w:color="000000"/>
              <w:right w:val="single" w:sz="4" w:space="0" w:color="000000"/>
            </w:tcBorders>
          </w:tcPr>
          <w:p>
            <w:pPr/>
          </w:p>
        </w:tc>
      </w:tr>
      <w:tr>
        <w:trPr>
          <w:trHeight w:val="313"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环保科技有限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9" w:right="0"/>
              <w:jc w:val="center"/>
              <w:rPr>
                <w:rFonts w:ascii="Times New Roman" w:hAnsi="Times New Roman" w:cs="Times New Roman" w:eastAsia="Times New Roman" w:hint="default"/>
                <w:sz w:val="18"/>
                <w:szCs w:val="18"/>
              </w:rPr>
            </w:pPr>
            <w:r>
              <w:rPr>
                <w:rFonts w:ascii="Times New Roman"/>
                <w:sz w:val="18"/>
              </w:rPr>
              <w:t>48,900,000.00</w:t>
            </w:r>
          </w:p>
        </w:tc>
        <w:tc>
          <w:tcPr>
            <w:tcW w:w="1166"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5" w:right="0"/>
              <w:jc w:val="center"/>
              <w:rPr>
                <w:rFonts w:ascii="Times New Roman" w:hAnsi="Times New Roman" w:cs="Times New Roman" w:eastAsia="Times New Roman" w:hint="default"/>
                <w:sz w:val="18"/>
                <w:szCs w:val="18"/>
              </w:rPr>
            </w:pPr>
            <w:r>
              <w:rPr>
                <w:rFonts w:ascii="Times New Roman"/>
                <w:sz w:val="18"/>
              </w:rPr>
              <w:t>48,900,000.00</w:t>
            </w:r>
          </w:p>
        </w:tc>
        <w:tc>
          <w:tcPr>
            <w:tcW w:w="1214" w:type="dxa"/>
            <w:vMerge/>
            <w:tcBorders>
              <w:left w:val="single" w:sz="4" w:space="0" w:color="000000"/>
              <w:right w:val="single" w:sz="4" w:space="0" w:color="000000"/>
            </w:tcBorders>
          </w:tcPr>
          <w:p>
            <w:pPr/>
          </w:p>
        </w:tc>
      </w:tr>
      <w:tr>
        <w:trPr>
          <w:trHeight w:val="350"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bl>
    <w:p>
      <w:pPr>
        <w:spacing w:after="0"/>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长沙美盈森智 谷科技有限公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湖南美盈森实 业有限公司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05"/>
              <w:jc w:val="left"/>
              <w:rPr>
                <w:rFonts w:ascii="Times New Roman" w:hAnsi="Times New Roman" w:cs="Times New Roman" w:eastAsia="Times New Roman" w:hint="default"/>
                <w:sz w:val="18"/>
                <w:szCs w:val="18"/>
              </w:rPr>
            </w:pPr>
            <w:r>
              <w:rPr>
                <w:rFonts w:ascii="Times New Roman"/>
                <w:sz w:val="18"/>
              </w:rPr>
              <w:t>MYS</w:t>
            </w:r>
            <w:r>
              <w:rPr>
                <w:rFonts w:ascii="Times New Roman"/>
                <w:spacing w:val="-1"/>
                <w:sz w:val="18"/>
              </w:rPr>
              <w:t> </w:t>
            </w:r>
            <w:r>
              <w:rPr>
                <w:rFonts w:ascii="Times New Roman"/>
                <w:sz w:val="18"/>
              </w:rPr>
              <w:t>Global</w:t>
            </w:r>
            <w:r>
              <w:rPr>
                <w:rFonts w:ascii="Times New Roman"/>
                <w:w w:val="99"/>
                <w:sz w:val="18"/>
              </w:rPr>
              <w:t> </w:t>
            </w:r>
            <w:r>
              <w:rPr>
                <w:rFonts w:ascii="Times New Roman"/>
                <w:sz w:val="18"/>
              </w:rPr>
              <w:t>Inc.</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6,805,300.00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6,805,300.00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中大绿谷实业 股份有限公司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安徽美盈森智 谷科技有限公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201,069,404.3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201,069,404.35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佛山市美盈森 绿谷科技有限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天津美盈森智 谷科技有限公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1,000,000.00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西安美盈森智 谷科技有限公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23,500,000.00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福建美盈森环 保科技有限公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云南文麻生物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2,993,760,245.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33,030,000.00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3,026,790,245.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174,891,428.47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）对联营、合营企业投资</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885" w:footer="982" w:top="1100" w:bottom="118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3"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浙江甲骨</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文超级码</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30,400,00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1,328,554</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31,728,55</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科技股份</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.67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8"/>
                <w:szCs w:val="18"/>
              </w:rPr>
            </w:pPr>
            <w:r>
              <w:rPr>
                <w:rFonts w:ascii="Times New Roman"/>
                <w:spacing w:val="-1"/>
                <w:sz w:val="18"/>
              </w:rPr>
              <w:t>4.67</w:t>
            </w:r>
          </w:p>
        </w:tc>
        <w:tc>
          <w:tcPr>
            <w:tcW w:w="797" w:type="dxa"/>
            <w:vMerge/>
            <w:tcBorders>
              <w:left w:val="single" w:sz="4" w:space="0" w:color="000000"/>
              <w:right w:val="single" w:sz="4" w:space="0" w:color="000000"/>
            </w:tcBorders>
          </w:tcPr>
          <w:p>
            <w:pPr/>
          </w:p>
        </w:tc>
      </w:tr>
      <w:tr>
        <w:trPr>
          <w:trHeight w:val="349"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30,400,00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31,728,55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30,400,00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31,728,55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3</w:t>
      </w:r>
      <w:r>
        <w:rPr/>
        <w:t>）其他说明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4</w:t>
      </w:r>
      <w:r>
        <w:rPr/>
        <w:t>、营业收入和营业成本</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1,083,114,021.31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848,577,633.78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985,962,305.26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740,300,343.37</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20,599,819.92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399,174.94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26,325,098.20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290,670.21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1,103,713,841.23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848,976,808.72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1,012,287,403.46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740,591,013.58</w:t>
            </w:r>
          </w:p>
        </w:tc>
      </w:tr>
    </w:tbl>
    <w:p>
      <w:pPr>
        <w:pStyle w:val="BodyText"/>
        <w:spacing w:line="240" w:lineRule="auto" w:before="49"/>
        <w:ind w:right="0"/>
        <w:jc w:val="left"/>
      </w:pPr>
      <w:r>
        <w:rPr/>
        <w:t>是否已执行新收入准则</w:t>
      </w:r>
    </w:p>
    <w:p>
      <w:pPr>
        <w:pStyle w:val="BodyText"/>
        <w:spacing w:line="35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其他说明： 无</w:t>
      </w:r>
    </w:p>
    <w:p>
      <w:pPr>
        <w:spacing w:line="240" w:lineRule="auto" w:before="11"/>
        <w:rPr>
          <w:rFonts w:ascii="宋体" w:hAnsi="宋体" w:cs="宋体" w:eastAsia="宋体" w:hint="default"/>
          <w:sz w:val="20"/>
          <w:szCs w:val="20"/>
        </w:rPr>
      </w:pPr>
    </w:p>
    <w:p>
      <w:pPr>
        <w:pStyle w:val="Heading4"/>
        <w:spacing w:line="240" w:lineRule="auto"/>
        <w:ind w:right="0"/>
        <w:jc w:val="left"/>
        <w:rPr>
          <w:rFonts w:ascii="Tahoma" w:hAnsi="Tahoma" w:cs="Tahoma" w:eastAsia="Tahoma" w:hint="default"/>
        </w:rPr>
      </w:pPr>
      <w:r>
        <w:rPr>
          <w:rFonts w:ascii="Tahoma" w:hAnsi="Tahoma" w:cs="Tahoma" w:eastAsia="Tahoma" w:hint="default"/>
        </w:rPr>
        <w:t>5</w:t>
      </w:r>
      <w:r>
        <w:rPr/>
        <w:t>、投资收益</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left="0" w:right="11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1,328,554.67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461,722,446.28</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503,734.81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1,832,289.48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461,722,446.28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pgSz w:w="11910" w:h="16840"/>
          <w:pgMar w:header="885" w:footer="982" w:top="1100" w:bottom="118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rFonts w:ascii="Tahoma" w:hAnsi="Tahoma" w:cs="Tahoma" w:eastAsia="Tahoma" w:hint="default"/>
        </w:rPr>
      </w:pPr>
      <w:r>
        <w:rPr/>
        <w:t>十八、补充资料</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1</w:t>
      </w:r>
      <w:r>
        <w:rPr/>
        <w:t>、当期非经常性损益明细表</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5"/>
          <w:szCs w:val="25"/>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3"/>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37"/>
        <w:ind w:left="0" w:right="1138"/>
        <w:jc w:val="right"/>
      </w:pPr>
      <w:r>
        <w:rPr/>
        <w:pict>
          <v:shape style="position:absolute;margin-left:56.399998pt;margin-top:-112.738297pt;width:479.2pt;height:243.8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-1,902,205.66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3"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16,229,087.55</w:t>
                        </w:r>
                      </w:p>
                    </w:tc>
                    <w:tc>
                      <w:tcPr>
                        <w:tcW w:w="3185" w:type="dxa"/>
                        <w:vMerge/>
                        <w:tcBorders>
                          <w:left w:val="single" w:sz="4" w:space="0" w:color="000000"/>
                          <w:right w:val="single" w:sz="4" w:space="0" w:color="000000"/>
                        </w:tcBorders>
                      </w:tcPr>
                      <w:p>
                        <w:pPr/>
                      </w:p>
                    </w:tc>
                  </w:tr>
                  <w:tr>
                    <w:trPr>
                      <w:trHeight w:val="350"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nil" w:sz="6" w:space="0" w:color="auto"/>
                          <w:left w:val="single" w:sz="12" w:space="0" w:color="D3D3D3"/>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15,900,379.62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主要系公司、重庆美盈森、成都美盈森</w:t>
                        </w:r>
                      </w:p>
                    </w:tc>
                  </w:tr>
                  <w:tr>
                    <w:trPr>
                      <w:trHeight w:val="201" w:hRule="exact"/>
                    </w:trPr>
                    <w:tc>
                      <w:tcPr>
                        <w:tcW w:w="3324"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60" w:type="dxa"/>
                        <w:vMerge/>
                        <w:tcBorders>
                          <w:left w:val="single" w:sz="4" w:space="0" w:color="000000"/>
                          <w:bottom w:val="nil" w:sz="6" w:space="0" w:color="auto"/>
                          <w:right w:val="single" w:sz="4" w:space="0" w:color="000000"/>
                        </w:tcBorders>
                      </w:tcPr>
                      <w:p>
                        <w:pPr/>
                      </w:p>
                    </w:tc>
                    <w:tc>
                      <w:tcPr>
                        <w:tcW w:w="3185" w:type="dxa"/>
                        <w:vMerge/>
                        <w:tcBorders>
                          <w:left w:val="single" w:sz="4" w:space="0" w:color="000000"/>
                          <w:bottom w:val="nil" w:sz="6" w:space="0" w:color="auto"/>
                          <w:right w:val="single" w:sz="4" w:space="0" w:color="000000"/>
                        </w:tcBorders>
                      </w:tcPr>
                      <w:p>
                        <w:pPr/>
                      </w:p>
                    </w:tc>
                  </w:tr>
                  <w:tr>
                    <w:trPr>
                      <w:trHeight w:val="313" w:hRule="exact"/>
                    </w:trPr>
                    <w:tc>
                      <w:tcPr>
                        <w:tcW w:w="3324" w:type="dxa"/>
                        <w:vMerge/>
                        <w:tcBorders>
                          <w:left w:val="single" w:sz="4" w:space="0" w:color="000000"/>
                          <w:right w:val="single" w:sz="4" w:space="0" w:color="000000"/>
                        </w:tcBorders>
                        <w:shd w:val="clear" w:color="auto" w:fill="D3D3D3"/>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153,583,500.61</w:t>
                        </w: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65"/>
                          <w:jc w:val="center"/>
                          <w:rPr>
                            <w:rFonts w:ascii="宋体" w:hAnsi="宋体" w:cs="宋体" w:eastAsia="宋体" w:hint="default"/>
                            <w:sz w:val="18"/>
                            <w:szCs w:val="18"/>
                          </w:rPr>
                        </w:pPr>
                        <w:r>
                          <w:rPr>
                            <w:rFonts w:ascii="宋体" w:hAnsi="宋体" w:cs="宋体" w:eastAsia="宋体" w:hint="default"/>
                            <w:sz w:val="18"/>
                            <w:szCs w:val="18"/>
                          </w:rPr>
                          <w:t>苏州美盈森、长沙美盈森投资性房地产</w:t>
                        </w:r>
                      </w:p>
                    </w:tc>
                  </w:tr>
                  <w:tr>
                    <w:trPr>
                      <w:trHeight w:val="189" w:hRule="exact"/>
                    </w:trPr>
                    <w:tc>
                      <w:tcPr>
                        <w:tcW w:w="3324" w:type="dxa"/>
                        <w:vMerge/>
                        <w:tcBorders>
                          <w:left w:val="single" w:sz="4" w:space="0" w:color="000000"/>
                          <w:bottom w:val="nil" w:sz="6" w:space="0" w:color="auto"/>
                          <w:right w:val="single" w:sz="4" w:space="0" w:color="000000"/>
                        </w:tcBorders>
                        <w:shd w:val="clear" w:color="auto" w:fill="D3D3D3"/>
                      </w:tcPr>
                      <w:p>
                        <w:pPr/>
                      </w:p>
                    </w:tc>
                    <w:tc>
                      <w:tcPr>
                        <w:tcW w:w="3060" w:type="dxa"/>
                        <w:vMerge w:val="restart"/>
                        <w:tcBorders>
                          <w:top w:val="nil" w:sz="6" w:space="0" w:color="auto"/>
                          <w:left w:val="single" w:sz="4" w:space="0" w:color="000000"/>
                          <w:right w:val="single" w:sz="4" w:space="0" w:color="000000"/>
                        </w:tcBorders>
                      </w:tcPr>
                      <w:p>
                        <w:pPr/>
                      </w:p>
                    </w:tc>
                    <w:tc>
                      <w:tcPr>
                        <w:tcW w:w="3185" w:type="dxa"/>
                        <w:vMerge w:val="restart"/>
                        <w:tcBorders>
                          <w:top w:val="nil" w:sz="6" w:space="0" w:color="auto"/>
                          <w:left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公允价值变动损益形成</w:t>
                        </w: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-2,536,491.63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28,600,116.22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1,724,744.18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150,949,410.09</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7"/>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rFonts w:ascii="Tahoma" w:hAnsi="Tahoma" w:cs="Tahoma" w:eastAsia="Tahoma" w:hint="default"/>
        </w:rPr>
      </w:pPr>
      <w:r>
        <w:rPr>
          <w:rFonts w:ascii="Tahoma" w:hAnsi="Tahoma" w:cs="Tahoma" w:eastAsia="Tahoma" w:hint="default"/>
        </w:rPr>
        <w:t>2</w:t>
      </w:r>
      <w:r>
        <w:rPr/>
        <w:t>、净资产收益率及每股收益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0.3496</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0.2510</w:t>
            </w:r>
          </w:p>
        </w:tc>
      </w:tr>
    </w:tbl>
    <w:p>
      <w:pPr>
        <w:spacing w:line="240" w:lineRule="auto" w:before="10"/>
        <w:rPr>
          <w:rFonts w:ascii="Tahoma" w:hAnsi="Tahoma" w:cs="Tahoma" w:eastAsia="Tahoma" w:hint="default"/>
          <w:sz w:val="20"/>
          <w:szCs w:val="20"/>
        </w:rPr>
      </w:pPr>
    </w:p>
    <w:p>
      <w:pPr>
        <w:spacing w:before="36"/>
        <w:ind w:left="152" w:right="0" w:firstLine="0"/>
        <w:jc w:val="left"/>
        <w:rPr>
          <w:rFonts w:ascii="Tahoma" w:hAnsi="Tahoma" w:cs="Tahoma" w:eastAsia="Tahoma" w:hint="default"/>
          <w:sz w:val="21"/>
          <w:szCs w:val="21"/>
        </w:rPr>
      </w:pPr>
      <w:r>
        <w:rPr>
          <w:rFonts w:ascii="Tahoma" w:hAnsi="Tahoma" w:cs="Tahoma" w:eastAsia="Tahoma" w:hint="default"/>
          <w:sz w:val="21"/>
          <w:szCs w:val="21"/>
        </w:rPr>
        <w:t>3</w:t>
      </w:r>
      <w:r>
        <w:rPr>
          <w:rFonts w:ascii="宋体" w:hAnsi="宋体" w:cs="宋体" w:eastAsia="宋体" w:hint="default"/>
          <w:sz w:val="21"/>
          <w:szCs w:val="21"/>
        </w:rPr>
        <w:t>、境内外会计准则下会计数据差异</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before="0"/>
        <w:ind w:left="15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）同时按照国际会计准则与按中国会计准则披露的财务报告中净利润和净资产差异情况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85" w:footer="982" w:top="1100" w:bottom="118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rFonts w:ascii="Tahoma" w:hAnsi="Tahoma" w:cs="Tahoma" w:eastAsia="Tahoma" w:hint="default"/>
        </w:rPr>
      </w:pPr>
      <w:r>
        <w:rPr/>
        <w:t>（</w:t>
      </w:r>
      <w:r>
        <w:rPr>
          <w:rFonts w:ascii="Tahoma" w:hAnsi="Tahoma" w:cs="Tahoma" w:eastAsia="Tahoma" w:hint="default"/>
        </w:rPr>
        <w:t>2</w:t>
      </w:r>
      <w:r>
        <w:rPr/>
        <w:t>）同时按照境外会计准则与按中国会计准则披露的财务报告中净利润和净资产差异情况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4"/>
        <w:spacing w:line="261" w:lineRule="auto"/>
        <w:ind w:right="0"/>
        <w:jc w:val="left"/>
        <w:rPr>
          <w:rFonts w:ascii="Tahoma" w:hAnsi="Tahoma" w:cs="Tahoma" w:eastAsia="Tahoma" w:hint="default"/>
        </w:rPr>
      </w:pPr>
      <w:r>
        <w:rPr/>
        <w:t>（</w:t>
      </w:r>
      <w:r>
        <w:rPr>
          <w:rFonts w:ascii="Tahoma" w:hAnsi="Tahoma" w:cs="Tahoma" w:eastAsia="Tahoma" w:hint="default"/>
        </w:rPr>
        <w:t>3</w:t>
      </w:r>
      <w:r>
        <w:rPr/>
        <w:t>）境内外会计准则下会计数据差异原因说明，对已经境外审计机构审计的数据进行差异调节的，应注</w:t>
      </w:r>
      <w:r>
        <w:rPr>
          <w:spacing w:val="-38"/>
        </w:rPr>
        <w:t> </w:t>
      </w:r>
      <w:r>
        <w:rPr>
          <w:spacing w:val="-38"/>
        </w:rPr>
      </w:r>
      <w:r>
        <w:rPr/>
        <w:t>明该境外机构的名称</w:t>
      </w:r>
      <w:r>
        <w:rPr>
          <w:rFonts w:ascii="Tahoma" w:hAnsi="Tahoma" w:cs="Tahoma" w:eastAsia="Tahoma" w:hint="default"/>
          <w:w w:val="80"/>
        </w:rPr>
        <w:t> </w:t>
      </w:r>
      <w:r>
        <w:rPr>
          <w:rFonts w:ascii="Tahoma" w:hAnsi="Tahoma" w:cs="Tahoma" w:eastAsia="Tahoma" w:hint="default"/>
        </w:rPr>
      </w:r>
    </w:p>
    <w:p>
      <w:pPr>
        <w:spacing w:line="240" w:lineRule="auto" w:before="3"/>
        <w:rPr>
          <w:rFonts w:ascii="Tahoma" w:hAnsi="Tahoma" w:cs="Tahoma" w:eastAsia="Tahoma" w:hint="default"/>
          <w:sz w:val="28"/>
          <w:szCs w:val="28"/>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rFonts w:ascii="Tahoma" w:hAnsi="Tahoma" w:cs="Tahoma" w:eastAsia="Tahoma" w:hint="default"/>
        </w:rPr>
      </w:pPr>
      <w:r>
        <w:rPr>
          <w:rFonts w:ascii="Tahoma" w:hAnsi="Tahoma" w:cs="Tahoma" w:eastAsia="Tahoma" w:hint="default"/>
        </w:rPr>
        <w:t>4</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left"/>
      </w:pPr>
      <w:r>
        <w:rPr/>
        <w:t>无</w:t>
      </w:r>
    </w:p>
    <w:p>
      <w:pPr>
        <w:spacing w:after="0" w:line="240" w:lineRule="auto"/>
        <w:jc w:val="left"/>
        <w:sectPr>
          <w:footerReference w:type="default" r:id="rId55"/>
          <w:pgSz w:w="11910" w:h="16840"/>
          <w:pgMar w:footer="982" w:header="885" w:top="1100" w:bottom="1180" w:left="980" w:right="0"/>
          <w:pgNumType w:start="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2"/>
        <w:spacing w:line="240" w:lineRule="auto"/>
        <w:ind w:left="3390" w:right="0"/>
        <w:jc w:val="left"/>
        <w:rPr>
          <w:rFonts w:ascii="Tahoma" w:hAnsi="Tahoma" w:cs="Tahoma" w:eastAsia="Tahoma" w:hint="default"/>
        </w:rPr>
      </w:pPr>
      <w:bookmarkStart w:name="_TOC_250000" w:id="12"/>
      <w:r>
        <w:rPr/>
        <w:t>第十三节</w:t>
      </w:r>
      <w:r>
        <w:rPr>
          <w:spacing w:val="9"/>
        </w:rPr>
        <w:t> </w:t>
      </w:r>
      <w:r>
        <w:rPr>
          <w:rFonts w:ascii="Tahoma" w:hAnsi="Tahoma" w:cs="Tahoma" w:eastAsia="Tahoma" w:hint="default"/>
          <w:spacing w:val="9"/>
        </w:rPr>
      </w:r>
      <w:r>
        <w:rPr/>
        <w:t>备查文件目录</w:t>
      </w:r>
      <w:r>
        <w:rPr>
          <w:rFonts w:ascii="Tahoma" w:hAnsi="Tahoma" w:cs="Tahoma" w:eastAsia="Tahoma" w:hint="default"/>
          <w:w w:val="80"/>
        </w:rPr>
        <w:t> </w:t>
      </w:r>
      <w:bookmarkEnd w:id="12"/>
      <w:r>
        <w:rPr>
          <w:rFonts w:ascii="Tahoma" w:hAnsi="Tahoma" w:cs="Tahoma" w:eastAsia="Tahoma" w:hint="default"/>
        </w:rPr>
      </w:r>
    </w:p>
    <w:p>
      <w:pPr>
        <w:spacing w:line="240" w:lineRule="auto" w:before="0"/>
        <w:rPr>
          <w:rFonts w:ascii="Tahoma" w:hAnsi="Tahoma" w:cs="Tahoma" w:eastAsia="Tahoma" w:hint="default"/>
          <w:sz w:val="30"/>
          <w:szCs w:val="30"/>
        </w:rPr>
      </w:pPr>
    </w:p>
    <w:p>
      <w:pPr>
        <w:pStyle w:val="BodyText"/>
        <w:spacing w:line="314" w:lineRule="auto" w:before="204"/>
        <w:ind w:right="3014"/>
        <w:jc w:val="left"/>
      </w:pPr>
      <w:r>
        <w:rPr/>
        <w:t>一、载有公司法定代表人签名的</w:t>
      </w:r>
      <w:r>
        <w:rPr>
          <w:rFonts w:ascii="Times New Roman" w:hAnsi="Times New Roman" w:cs="Times New Roman" w:eastAsia="Times New Roman" w:hint="default"/>
        </w:rPr>
        <w:t>2019</w:t>
      </w:r>
      <w:r>
        <w:rPr/>
        <w:t>年年度报告文本。 二、载有公司负责人、主管会计工作负责人、会计机构负责人签名并盖章的财务报表。 三、载有会计师事务所盖章、注册会计师签名并盖章的审计报告原件。 四、报告期内在中国证监会指定信息披露载体上公开披露过的所有公司文件的正本及公告的原稿。 五、以上备查文件的备置地点：公司证券部。</w:t>
      </w:r>
    </w:p>
    <w:sectPr>
      <w:pgSz w:w="11910" w:h="16840"/>
      <w:pgMar w:header="885" w:footer="982" w:top="110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328" type="#_x0000_t75" stroked="false">
          <v:imagedata r:id="rId1" o:title=""/>
        </v:shape>
      </w:pict>
    </w:r>
    <w:r>
      <w:rPr/>
      <w:pict>
        <v:shape style="position:absolute;margin-left:533pt;margin-top:795.5177pt;width:6.5pt;height:11pt;mso-position-horizontal-relative:page;mso-position-vertical-relative:page;z-index:-1539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896" type="#_x0000_t75" stroked="false">
          <v:imagedata r:id="rId1" o:title=""/>
        </v:shape>
      </w:pict>
    </w:r>
    <w:r>
      <w:rPr/>
      <w:pict>
        <v:shape style="position:absolute;margin-left:527.559998pt;margin-top:781.837585pt;width:13.1pt;height:11pt;mso-position-horizontal-relative:page;mso-position-vertical-relative:page;z-index:-1538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848" type="#_x0000_t75" stroked="false">
          <v:imagedata r:id="rId1" o:title=""/>
        </v:shape>
      </w:pict>
    </w:r>
    <w:r>
      <w:rPr/>
      <w:pict>
        <v:shape style="position:absolute;margin-left:527.559998pt;margin-top:781.837585pt;width:13.1pt;height:11pt;mso-position-horizontal-relative:page;mso-position-vertical-relative:page;z-index:-1538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800" type="#_x0000_t75" stroked="false">
          <v:imagedata r:id="rId1" o:title=""/>
        </v:shape>
      </w:pict>
    </w:r>
    <w:r>
      <w:rPr/>
      <w:pict>
        <v:shape style="position:absolute;margin-left:523pt;margin-top:781.837585pt;width:17.6pt;height:11pt;mso-position-horizontal-relative:page;mso-position-vertical-relative:page;z-index:-1538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704" type="#_x0000_t75" stroked="false">
          <v:imagedata r:id="rId1" o:title=""/>
        </v:shape>
      </w:pict>
    </w:r>
    <w:r>
      <w:rPr/>
      <w:pict>
        <v:shape style="position:absolute;margin-left:494.23999pt;margin-top:774.757629pt;width:17.1pt;height:11pt;mso-position-horizontal-relative:page;mso-position-vertical-relative:page;z-index:-1538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w:t>
                </w:r>
                <w:r>
                  <w:rPr/>
                  <w:fldChar w:fldCharType="end"/>
                </w:r>
                <w:r>
                  <w:rPr>
                    <w:rFonts w:ascii="Times New Roman"/>
                    <w:spacing w:val="1"/>
                  </w:rPr>
                  <w:t> </w:t>
                </w:r>
                <w:r>
                  <w:rPr>
                    <w:rFonts w:ascii="Times New Roman"/>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608" type="#_x0000_t75" stroked="false">
          <v:imagedata r:id="rId1" o:title=""/>
        </v:shape>
      </w:pict>
    </w:r>
    <w:r>
      <w:rPr/>
      <w:pict>
        <v:shape style="position:absolute;margin-left:532pt;margin-top:781.837585pt;width:8.5pt;height:11pt;mso-position-horizontal-relative:page;mso-position-vertical-relative:page;z-index:-1538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560" type="#_x0000_t75" stroked="false">
          <v:imagedata r:id="rId1" o:title=""/>
        </v:shape>
      </w:pict>
    </w:r>
    <w:r>
      <w:rPr/>
      <w:pict>
        <v:shape style="position:absolute;margin-left:527.559998pt;margin-top:781.837585pt;width:13.1pt;height:11pt;mso-position-horizontal-relative:page;mso-position-vertical-relative:page;z-index:-1538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512" type="#_x0000_t75" stroked="false">
          <v:imagedata r:id="rId1" o:title=""/>
        </v:shape>
      </w:pict>
    </w:r>
    <w:r>
      <w:rPr/>
      <w:pict>
        <v:shape style="position:absolute;margin-left:527.559998pt;margin-top:781.837585pt;width:13.1pt;height:11pt;mso-position-horizontal-relative:page;mso-position-vertical-relative:page;z-index:-1538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464" type="#_x0000_t75" stroked="false">
          <v:imagedata r:id="rId1" o:title=""/>
        </v:shape>
      </w:pict>
    </w:r>
    <w:r>
      <w:rPr/>
      <w:pict>
        <v:shape style="position:absolute;margin-left:527.559998pt;margin-top:781.837585pt;width:13.1pt;height:11pt;mso-position-horizontal-relative:page;mso-position-vertical-relative:page;z-index:-1538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416" type="#_x0000_t75" stroked="false">
          <v:imagedata r:id="rId1" o:title=""/>
        </v:shape>
      </w:pict>
    </w:r>
    <w:r>
      <w:rPr/>
      <w:pict>
        <v:shape style="position:absolute;margin-left:527.559998pt;margin-top:781.837585pt;width:13.1pt;height:11pt;mso-position-horizontal-relative:page;mso-position-vertical-relative:page;z-index:-153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368" type="#_x0000_t75" stroked="false">
          <v:imagedata r:id="rId1" o:title=""/>
        </v:shape>
      </w:pict>
    </w:r>
    <w:r>
      <w:rPr/>
      <w:pict>
        <v:shape style="position:absolute;margin-left:527.559998pt;margin-top:781.837585pt;width:13.1pt;height:11pt;mso-position-horizontal-relative:page;mso-position-vertical-relative:page;z-index:-1538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280" type="#_x0000_t75" stroked="false">
          <v:imagedata r:id="rId1" o:title=""/>
        </v:shape>
      </w:pict>
    </w:r>
    <w:r>
      <w:rPr/>
      <w:pict>
        <v:shape style="position:absolute;margin-left:532pt;margin-top:781.837585pt;width:8.5pt;height:11pt;mso-position-horizontal-relative:page;mso-position-vertical-relative:page;z-index:-1539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320" type="#_x0000_t75" stroked="false">
          <v:imagedata r:id="rId1" o:title=""/>
        </v:shape>
      </w:pict>
    </w:r>
    <w:r>
      <w:rPr/>
      <w:pict>
        <v:shape style="position:absolute;margin-left:527.559998pt;margin-top:781.837585pt;width:13.1pt;height:11pt;mso-position-horizontal-relative:page;mso-position-vertical-relative:page;z-index:-1538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272" type="#_x0000_t75" stroked="false">
          <v:imagedata r:id="rId1" o:title=""/>
        </v:shape>
      </w:pict>
    </w:r>
    <w:r>
      <w:rPr/>
      <w:pict>
        <v:shape style="position:absolute;margin-left:527.559998pt;margin-top:781.837585pt;width:13.1pt;height:11pt;mso-position-horizontal-relative:page;mso-position-vertical-relative:page;z-index:-1538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224" type="#_x0000_t75" stroked="false">
          <v:imagedata r:id="rId1" o:title=""/>
        </v:shape>
      </w:pict>
    </w:r>
    <w:r>
      <w:rPr/>
      <w:pict>
        <v:shape style="position:absolute;margin-left:527.559998pt;margin-top:781.837585pt;width:13.1pt;height:11pt;mso-position-horizontal-relative:page;mso-position-vertical-relative:page;z-index:-1538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176" type="#_x0000_t75" stroked="false">
          <v:imagedata r:id="rId1" o:title=""/>
        </v:shape>
      </w:pict>
    </w:r>
    <w:r>
      <w:rPr/>
      <w:pict>
        <v:shape style="position:absolute;margin-left:527.559998pt;margin-top:781.837585pt;width:13.1pt;height:11pt;mso-position-horizontal-relative:page;mso-position-vertical-relative:page;z-index:-1538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128" type="#_x0000_t75" stroked="false">
          <v:imagedata r:id="rId1" o:title=""/>
        </v:shape>
      </w:pict>
    </w:r>
    <w:r>
      <w:rPr/>
      <w:pict>
        <v:shape style="position:absolute;margin-left:527.559998pt;margin-top:781.837585pt;width:13.1pt;height:11pt;mso-position-horizontal-relative:page;mso-position-vertical-relative:page;z-index:-1538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080" type="#_x0000_t75" stroked="false">
          <v:imagedata r:id="rId1" o:title=""/>
        </v:shape>
      </w:pict>
    </w:r>
    <w:r>
      <w:rPr/>
      <w:pict>
        <v:shape style="position:absolute;margin-left:523pt;margin-top:781.837585pt;width:17.6pt;height:11pt;mso-position-horizontal-relative:page;mso-position-vertical-relative:page;z-index:-1538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032" type="#_x0000_t75" stroked="false">
          <v:imagedata r:id="rId1" o:title=""/>
        </v:shape>
      </w:pict>
    </w:r>
    <w:r>
      <w:rPr/>
      <w:pict>
        <v:shape style="position:absolute;margin-left:523.359985pt;margin-top:781.837585pt;width:17.25pt;height:11pt;mso-position-horizontal-relative:page;mso-position-vertical-relative:page;z-index:-1538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7984" type="#_x0000_t75" stroked="false">
          <v:imagedata r:id="rId1" o:title=""/>
        </v:shape>
      </w:pict>
    </w:r>
    <w:r>
      <w:rPr/>
      <w:pict>
        <v:shape style="position:absolute;margin-left:523pt;margin-top:781.837585pt;width:17.6pt;height:11pt;mso-position-horizontal-relative:page;mso-position-vertical-relative:page;z-index:-1537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7936" type="#_x0000_t75" stroked="false">
          <v:imagedata r:id="rId1" o:title=""/>
        </v:shape>
      </w:pict>
    </w:r>
    <w:r>
      <w:rPr/>
      <w:pict>
        <v:shape style="position:absolute;margin-left:523pt;margin-top:781.837585pt;width:17.6pt;height:11pt;mso-position-horizontal-relative:page;mso-position-vertical-relative:page;z-index:-1537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7888" type="#_x0000_t75" stroked="false">
          <v:imagedata r:id="rId1" o:title=""/>
        </v:shape>
      </w:pict>
    </w:r>
    <w:r>
      <w:rPr/>
      <w:pict>
        <v:shape style="position:absolute;margin-left:523pt;margin-top:781.837585pt;width:17.6pt;height:11pt;mso-position-horizontal-relative:page;mso-position-vertical-relative:page;z-index:-1537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232" type="#_x0000_t75" stroked="false">
          <v:imagedata r:id="rId1" o:title=""/>
        </v:shape>
      </w:pict>
    </w:r>
    <w:r>
      <w:rPr/>
      <w:pict>
        <v:shape style="position:absolute;margin-left:527.559998pt;margin-top:781.837585pt;width:13.1pt;height:11pt;mso-position-horizontal-relative:page;mso-position-vertical-relative:page;z-index:-1539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184" type="#_x0000_t75" stroked="false">
          <v:imagedata r:id="rId1" o:title=""/>
        </v:shape>
      </w:pict>
    </w:r>
    <w:r>
      <w:rPr/>
      <w:pict>
        <v:shape style="position:absolute;margin-left:527.559998pt;margin-top:781.837585pt;width:13.1pt;height:11pt;mso-position-horizontal-relative:page;mso-position-vertical-relative:page;z-index:-1539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136" type="#_x0000_t75" stroked="false">
          <v:imagedata r:id="rId1" o:title=""/>
        </v:shape>
      </w:pict>
    </w:r>
    <w:r>
      <w:rPr/>
      <w:pict>
        <v:shape style="position:absolute;margin-left:527.559998pt;margin-top:781.837585pt;width:13.1pt;height:11pt;mso-position-horizontal-relative:page;mso-position-vertical-relative:page;z-index:-1539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088" type="#_x0000_t75" stroked="false">
          <v:imagedata r:id="rId1" o:title=""/>
        </v:shape>
      </w:pict>
    </w:r>
    <w:r>
      <w:rPr/>
      <w:pict>
        <v:shape style="position:absolute;margin-left:527.559998pt;margin-top:781.837585pt;width:13.1pt;height:11pt;mso-position-horizontal-relative:page;mso-position-vertical-relative:page;z-index:-1539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9040" type="#_x0000_t75" stroked="false">
          <v:imagedata r:id="rId1" o:title=""/>
        </v:shape>
      </w:pict>
    </w:r>
    <w:r>
      <w:rPr/>
      <w:pict>
        <v:shape style="position:absolute;margin-left:527.559998pt;margin-top:781.837585pt;width:13.1pt;height:11pt;mso-position-horizontal-relative:page;mso-position-vertical-relative:page;z-index:-1539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992" type="#_x0000_t75" stroked="false">
          <v:imagedata r:id="rId1" o:title=""/>
        </v:shape>
      </w:pict>
    </w:r>
    <w:r>
      <w:rPr/>
      <w:pict>
        <v:shape style="position:absolute;margin-left:527.559998pt;margin-top:781.837585pt;width:13.1pt;height:11pt;mso-position-horizontal-relative:page;mso-position-vertical-relative:page;z-index:-1538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538944" type="#_x0000_t75" stroked="false">
          <v:imagedata r:id="rId1" o:title=""/>
        </v:shape>
      </w:pict>
    </w:r>
    <w:r>
      <w:rPr/>
      <w:pict>
        <v:shape style="position:absolute;margin-left:527.559998pt;margin-top:781.837585pt;width:13.1pt;height:11pt;mso-position-horizontal-relative:page;mso-position-vertical-relative:page;z-index:-1538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pt;margin-top:36.635155pt;width:186.6pt;height:11.15pt;mso-position-horizontal-relative:page;mso-position-vertical-relative:page;z-index:-1539352" type="#_x0000_t202" filled="false" stroked="false">
          <v:textbox inset="0,0,0,0">
            <w:txbxContent>
              <w:p>
                <w:pPr>
                  <w:pStyle w:val="BodyText"/>
                  <w:spacing w:line="206" w:lineRule="exact"/>
                  <w:ind w:left="20" w:right="0"/>
                  <w:jc w:val="left"/>
                </w:pPr>
                <w:r>
                  <w:rPr/>
                  <w:t>美盈森集团股份有限公司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39999pt;margin-top:55.559998pt;width:428.05pt;height:.1pt;mso-position-horizontal-relative:page;mso-position-vertical-relative:page;z-index:-1538752" coordorigin="1673,1111" coordsize="8561,2">
          <v:shape style="position:absolute;left:1673;top:1111;width:8561;height:2" coordorigin="1673,1111" coordsize="8561,0" path="m1673,1111l10234,1111e" filled="false" stroked="true" strokeweight=".72pt" strokecolor="#000000">
            <v:path arrowok="t"/>
          </v:shape>
          <w10:wrap type="none"/>
        </v:group>
      </w:pict>
    </w:r>
    <w:r>
      <w:rPr/>
      <w:pict>
        <v:shape style="position:absolute;margin-left:324.679993pt;margin-top:43.235157pt;width:186.6pt;height:11.15pt;mso-position-horizontal-relative:page;mso-position-vertical-relative:page;z-index:-1538728" type="#_x0000_t202" filled="false" stroked="false">
          <v:textbox inset="0,0,0,0">
            <w:txbxContent>
              <w:p>
                <w:pPr>
                  <w:pStyle w:val="BodyText"/>
                  <w:spacing w:line="206" w:lineRule="exact"/>
                  <w:ind w:left="20" w:right="0"/>
                  <w:jc w:val="left"/>
                </w:pPr>
                <w:r>
                  <w:rPr/>
                  <w:t>美盈森集团股份有限公司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997pt;margin-top:55.559998pt;width:484.8pt;height:.1pt;mso-position-horizontal-relative:page;mso-position-vertical-relative:page;z-index:-1538656"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53pt;margin-top:43.235157pt;width:186.6pt;height:11.15pt;mso-position-horizontal-relative:page;mso-position-vertical-relative:page;z-index:-1538632" type="#_x0000_t202" filled="false" stroked="false">
          <v:textbox inset="0,0,0,0">
            <w:txbxContent>
              <w:p>
                <w:pPr>
                  <w:pStyle w:val="BodyText"/>
                  <w:spacing w:line="206" w:lineRule="exact"/>
                  <w:ind w:left="20" w:right="0"/>
                  <w:jc w:val="left"/>
                </w:pPr>
                <w:r>
                  <w:rPr/>
                  <w:t>美盈森集团股份有限公司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pPr>
    <w:rPr>
      <w:rFonts w:ascii="Times New Roman" w:hAnsi="Times New Roman" w:eastAsia="Times New Roman"/>
      <w:sz w:val="28"/>
      <w:szCs w:val="28"/>
    </w:rPr>
  </w:style>
  <w:style w:styleId="TOC2" w:type="paragraph">
    <w:name w:val="TOC 2"/>
    <w:basedOn w:val="Normal"/>
    <w:uiPriority w:val="1"/>
    <w:qFormat/>
    <w:pPr>
      <w:spacing w:before="236"/>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spacing w:before="7"/>
      <w:ind w:left="3164"/>
      <w:outlineLvl w:val="2"/>
    </w:pPr>
    <w:rPr>
      <w:rFonts w:ascii="宋体" w:hAnsi="宋体" w:eastAsia="宋体"/>
      <w:sz w:val="30"/>
      <w:szCs w:val="30"/>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mys.com/" TargetMode="External"/><Relationship Id="rId10" Type="http://schemas.openxmlformats.org/officeDocument/2006/relationships/hyperlink" Target="mailto:mys.stock@szmy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oter" Target="footer7.xml"/><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image" Target="media/image15.jpeg"/><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yperlink" Target="http://www.cninfo.com/" TargetMode="External"/><Relationship Id="rId37" Type="http://schemas.openxmlformats.org/officeDocument/2006/relationships/header" Target="header2.xml"/><Relationship Id="rId38" Type="http://schemas.openxmlformats.org/officeDocument/2006/relationships/footer" Target="footer13.xml"/><Relationship Id="rId39" Type="http://schemas.openxmlformats.org/officeDocument/2006/relationships/header" Target="header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footer" Target="footer2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wenmin</dc:creator>
  <dc:title>Microsoft Word - 2019å¹´å¹´åº¦æ−¥å‚−å–¨æŒ⁄</dc:title>
  <dcterms:created xsi:type="dcterms:W3CDTF">2020-05-19T01:26:42Z</dcterms:created>
  <dcterms:modified xsi:type="dcterms:W3CDTF">2020-05-19T01:26:42Z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LastSaved">
    <vt:filetime>2020-05-18T00:00:00Z</vt:filetime>
  </property>
</Properties>
</file>