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844" w:lineRule="exact"/>
        <w:ind w:left="40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212697" cy="117138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12697" cy="1171384"/>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深圳键桥通讯技术股份有限公司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424" w:right="3400" w:firstLine="0"/>
        <w:jc w:val="center"/>
        <w:rPr>
          <w:rFonts w:ascii="Times New Roman" w:hAnsi="Times New Roman" w:cs="Times New Roman" w:eastAsia="Times New Roman" w:hint="default"/>
          <w:sz w:val="30"/>
          <w:szCs w:val="30"/>
        </w:rPr>
      </w:pPr>
      <w:r>
        <w:rPr>
          <w:rFonts w:ascii="Times New Roman"/>
          <w:b/>
          <w:sz w:val="30"/>
        </w:rPr>
        <w:t>2016-025</w:t>
      </w:r>
      <w:r>
        <w:rPr>
          <w:rFonts w:ascii="Times New Roman"/>
          <w:sz w:val="3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1"/>
        <w:rPr>
          <w:rFonts w:ascii="Times New Roman" w:hAnsi="Times New Roman" w:cs="Times New Roman" w:eastAsia="Times New Roman" w:hint="default"/>
          <w:b/>
          <w:bCs/>
          <w:sz w:val="44"/>
          <w:szCs w:val="44"/>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18"/>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18" w:firstLine="482"/>
        <w:jc w:val="left"/>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338" w:lineRule="auto" w:before="136"/>
        <w:ind w:right="1118" w:firstLine="482"/>
        <w:jc w:val="left"/>
        <w:rPr>
          <w:b w:val="0"/>
          <w:bCs w:val="0"/>
        </w:rPr>
      </w:pPr>
      <w:r>
        <w:rPr>
          <w:spacing w:val="2"/>
        </w:rPr>
        <w:t>公司负责人王永彬、主管会计工作负责人蒋华良及会计机构负责人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彭艳</w:t>
      </w:r>
      <w:r>
        <w:rPr>
          <w:spacing w:val="2"/>
          <w:w w:val="99"/>
        </w:rPr>
        <w:t> </w:t>
      </w:r>
      <w:r>
        <w:rPr/>
        <w:t>梅声明：保证年度报告中财务报告的真实、准确、完整。</w:t>
      </w:r>
      <w:r>
        <w:rPr>
          <w:b w:val="0"/>
          <w:bCs w:val="0"/>
        </w:rPr>
      </w:r>
    </w:p>
    <w:p>
      <w:pPr>
        <w:pStyle w:val="Heading2"/>
        <w:spacing w:line="432" w:lineRule="auto" w:before="155"/>
        <w:ind w:left="636" w:right="1118"/>
        <w:jc w:val="left"/>
        <w:rPr>
          <w:b w:val="0"/>
          <w:bCs w:val="0"/>
        </w:rPr>
      </w:pPr>
      <w:r>
        <w:rPr/>
        <w:t>所有董事均已出席了审议本报告的董事会会议。</w:t>
      </w:r>
      <w:r>
        <w:rPr>
          <w:w w:val="99"/>
        </w:rPr>
        <w:t> </w:t>
      </w:r>
      <w:r>
        <w:rPr>
          <w:w w:val="95"/>
        </w:rPr>
        <w:t>本报告中涉及的未来发展计划等前瞻性陈述属于计划性事项，不构成公司对投资者的实</w:t>
      </w:r>
      <w:r>
        <w:rPr>
          <w:b w:val="0"/>
          <w:bCs w:val="0"/>
        </w:rPr>
      </w:r>
    </w:p>
    <w:p>
      <w:pPr>
        <w:pStyle w:val="Heading2"/>
        <w:spacing w:line="277" w:lineRule="exact"/>
        <w:ind w:right="0"/>
        <w:jc w:val="both"/>
        <w:rPr>
          <w:b w:val="0"/>
          <w:bCs w:val="0"/>
        </w:rPr>
      </w:pPr>
      <w:r>
        <w:rPr/>
        <w:t>质性承诺，敬请投资者注意投资风险。</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32"/>
          <w:szCs w:val="32"/>
        </w:rPr>
      </w:pPr>
    </w:p>
    <w:p>
      <w:pPr>
        <w:pStyle w:val="Heading2"/>
        <w:spacing w:line="240" w:lineRule="auto"/>
        <w:ind w:left="636" w:right="1118"/>
        <w:jc w:val="left"/>
        <w:rPr>
          <w:b w:val="0"/>
          <w:bCs w:val="0"/>
        </w:rPr>
      </w:pPr>
      <w:r>
        <w:rPr/>
        <w:t>重大风险提示</w:t>
      </w:r>
      <w:r>
        <w:rPr>
          <w:b w:val="0"/>
          <w:bCs w:val="0"/>
        </w:rPr>
      </w:r>
    </w:p>
    <w:p>
      <w:pPr>
        <w:spacing w:line="240" w:lineRule="auto" w:before="0"/>
        <w:rPr>
          <w:rFonts w:ascii="宋体" w:hAnsi="宋体" w:cs="宋体" w:eastAsia="宋体" w:hint="default"/>
          <w:b/>
          <w:bCs/>
          <w:sz w:val="24"/>
          <w:szCs w:val="24"/>
        </w:rPr>
      </w:pPr>
    </w:p>
    <w:p>
      <w:pPr>
        <w:spacing w:line="352" w:lineRule="auto" w:before="196"/>
        <w:ind w:left="634" w:right="111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）宏观经济环境和宏观政策风险</w:t>
      </w:r>
      <w:r>
        <w:rPr>
          <w:rFonts w:ascii="宋体" w:hAnsi="宋体" w:cs="宋体" w:eastAsia="宋体" w:hint="default"/>
          <w:b/>
          <w:bCs/>
          <w:w w:val="99"/>
          <w:sz w:val="24"/>
          <w:szCs w:val="24"/>
        </w:rPr>
        <w:t> </w:t>
      </w:r>
      <w:r>
        <w:rPr>
          <w:rFonts w:ascii="宋体" w:hAnsi="宋体" w:cs="宋体" w:eastAsia="宋体" w:hint="default"/>
          <w:sz w:val="24"/>
          <w:szCs w:val="24"/>
        </w:rPr>
        <w:t>本公司是专业从事专网通信技术解决方案业务的服务商，所提供的解决方案主要面向电</w:t>
      </w:r>
    </w:p>
    <w:p>
      <w:pPr>
        <w:spacing w:line="357" w:lineRule="auto" w:before="41"/>
        <w:ind w:left="154" w:right="1137" w:firstLine="0"/>
        <w:jc w:val="both"/>
        <w:rPr>
          <w:rFonts w:ascii="宋体" w:hAnsi="宋体" w:cs="宋体" w:eastAsia="宋体" w:hint="default"/>
          <w:sz w:val="24"/>
          <w:szCs w:val="24"/>
        </w:rPr>
      </w:pPr>
      <w:r>
        <w:rPr>
          <w:rFonts w:ascii="宋体" w:hAnsi="宋体" w:cs="宋体" w:eastAsia="宋体" w:hint="default"/>
          <w:sz w:val="24"/>
          <w:szCs w:val="24"/>
        </w:rPr>
        <w:t>力、交通行业，上述行业的固定资产投资规模与国家的行业政策和宏观调控政策紧密联系。 另外，受全球经济影响，中国经济增长增幅放缓，公司面临的外部经济形势较为复杂。如果 宏观经济环境和宏观政策出现不利变化，将会对公司经营业绩产生影响。</w:t>
      </w:r>
    </w:p>
    <w:p>
      <w:pPr>
        <w:spacing w:line="355" w:lineRule="auto" w:before="56"/>
        <w:ind w:left="633" w:right="111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）市场竞争风险</w:t>
      </w:r>
      <w:r>
        <w:rPr>
          <w:rFonts w:ascii="宋体" w:hAnsi="宋体" w:cs="宋体" w:eastAsia="宋体" w:hint="default"/>
          <w:b/>
          <w:bCs/>
          <w:w w:val="99"/>
          <w:sz w:val="24"/>
          <w:szCs w:val="24"/>
        </w:rPr>
        <w:t> </w:t>
      </w:r>
      <w:r>
        <w:rPr>
          <w:rFonts w:ascii="宋体" w:hAnsi="宋体" w:cs="宋体" w:eastAsia="宋体" w:hint="default"/>
          <w:sz w:val="24"/>
          <w:szCs w:val="24"/>
        </w:rPr>
        <w:t>公司作为专业从事能源交通领域通信技术解决方案业务的服务商，具有技术、经验和品</w:t>
      </w:r>
    </w:p>
    <w:p>
      <w:pPr>
        <w:spacing w:line="357" w:lineRule="auto" w:before="38"/>
        <w:ind w:left="153" w:right="1139" w:firstLine="0"/>
        <w:jc w:val="both"/>
        <w:rPr>
          <w:rFonts w:ascii="宋体" w:hAnsi="宋体" w:cs="宋体" w:eastAsia="宋体" w:hint="default"/>
          <w:sz w:val="24"/>
          <w:szCs w:val="24"/>
        </w:rPr>
      </w:pPr>
      <w:r>
        <w:rPr>
          <w:rFonts w:ascii="宋体" w:hAnsi="宋体" w:cs="宋体" w:eastAsia="宋体" w:hint="default"/>
          <w:sz w:val="24"/>
          <w:szCs w:val="24"/>
        </w:rPr>
        <w:t>牌优势，但由于公司目前主要的竞争对手为行业内规模较大、技术水平较高的大中型企业， 公司面临的竞争压力较大。伴随着市场集中度的不断提高，竞争不断激烈，对公司的产品质 量、价格、服务和市场开拓能力等方面都提出了更高的要求。如果公司不能继续强化自身的 竞争优势，可能在日趋激烈的市场竞争中处于不利的地位。</w:t>
      </w:r>
    </w:p>
    <w:p>
      <w:pPr>
        <w:spacing w:line="352" w:lineRule="auto" w:before="56"/>
        <w:ind w:left="633" w:right="111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）经营管理风险</w:t>
      </w:r>
      <w:r>
        <w:rPr>
          <w:rFonts w:ascii="宋体" w:hAnsi="宋体" w:cs="宋体" w:eastAsia="宋体" w:hint="default"/>
          <w:b/>
          <w:bCs/>
          <w:w w:val="99"/>
          <w:sz w:val="24"/>
          <w:szCs w:val="24"/>
        </w:rPr>
        <w:t> </w:t>
      </w:r>
      <w:r>
        <w:rPr>
          <w:rFonts w:ascii="宋体" w:hAnsi="宋体" w:cs="宋体" w:eastAsia="宋体" w:hint="default"/>
          <w:sz w:val="24"/>
          <w:szCs w:val="24"/>
        </w:rPr>
        <w:t>随着公司后续的快速发展，及公司非公开发行股票事项的完成，公司的资产规模、运营</w:t>
      </w:r>
    </w:p>
    <w:p>
      <w:pPr>
        <w:spacing w:line="357" w:lineRule="auto" w:before="41"/>
        <w:ind w:left="153" w:right="1139" w:firstLine="0"/>
        <w:jc w:val="both"/>
        <w:rPr>
          <w:rFonts w:ascii="宋体" w:hAnsi="宋体" w:cs="宋体" w:eastAsia="宋体" w:hint="default"/>
          <w:sz w:val="24"/>
          <w:szCs w:val="24"/>
        </w:rPr>
      </w:pPr>
      <w:r>
        <w:rPr>
          <w:rFonts w:ascii="宋体" w:hAnsi="宋体" w:cs="宋体" w:eastAsia="宋体" w:hint="default"/>
          <w:sz w:val="24"/>
          <w:szCs w:val="24"/>
        </w:rPr>
        <w:t>规模、人员规模等将可能进一步扩张，对于公司的人员素质、管理水平等方面提出了更高要 求。如果公司管理水平和机制不能适应公司业务发展，将可能影响公司实际经营和市场竞争 能力。</w:t>
      </w:r>
    </w:p>
    <w:p>
      <w:pPr>
        <w:spacing w:after="0" w:line="357" w:lineRule="auto"/>
        <w:jc w:val="both"/>
        <w:rPr>
          <w:rFonts w:ascii="宋体" w:hAnsi="宋体" w:cs="宋体" w:eastAsia="宋体" w:hint="default"/>
          <w:sz w:val="24"/>
          <w:szCs w:val="24"/>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spacing w:line="352" w:lineRule="auto" w:before="26"/>
        <w:ind w:left="633" w:right="1118"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）应收账款和现金流的风险</w:t>
      </w:r>
      <w:r>
        <w:rPr>
          <w:rFonts w:ascii="宋体" w:hAnsi="宋体" w:cs="宋体" w:eastAsia="宋体" w:hint="default"/>
          <w:b/>
          <w:bCs/>
          <w:w w:val="99"/>
          <w:sz w:val="24"/>
          <w:szCs w:val="24"/>
        </w:rPr>
        <w:t> </w:t>
      </w:r>
      <w:r>
        <w:rPr>
          <w:rFonts w:ascii="宋体" w:hAnsi="宋体" w:cs="宋体" w:eastAsia="宋体" w:hint="default"/>
          <w:sz w:val="24"/>
          <w:szCs w:val="24"/>
        </w:rPr>
        <w:t>随着公司业务的快速发展，人员机构、生产规模、投资项目不断增加，对公司现金流提</w:t>
      </w:r>
    </w:p>
    <w:p>
      <w:pPr>
        <w:spacing w:line="357" w:lineRule="auto" w:before="41"/>
        <w:ind w:left="153" w:right="1139" w:firstLine="0"/>
        <w:jc w:val="both"/>
        <w:rPr>
          <w:rFonts w:ascii="宋体" w:hAnsi="宋体" w:cs="宋体" w:eastAsia="宋体" w:hint="default"/>
          <w:sz w:val="24"/>
          <w:szCs w:val="24"/>
        </w:rPr>
      </w:pPr>
      <w:r>
        <w:rPr>
          <w:rFonts w:ascii="宋体" w:hAnsi="宋体" w:cs="宋体" w:eastAsia="宋体" w:hint="default"/>
          <w:sz w:val="24"/>
          <w:szCs w:val="24"/>
        </w:rPr>
        <w:t>出了更高要求，如果公司现金流不能支撑公司业务快速扩张将对公司造成很大财务风险，影 响公司未来发展。随着公司业务规模的不断扩大和销售收入的不断增加，公司应收账款也有 较大增长。如果出现应收账款无法收回而发生坏账的情况，将对公司业绩和生产经营产生不 利影响。</w:t>
      </w:r>
    </w:p>
    <w:p>
      <w:pPr>
        <w:spacing w:before="136"/>
        <w:ind w:left="634"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公司经本次董事会审议通过的利润分配预案为</w:t>
      </w:r>
      <w:r>
        <w:rPr>
          <w:rFonts w:ascii="宋体" w:hAnsi="宋体" w:cs="宋体" w:eastAsia="宋体" w:hint="default"/>
          <w:spacing w:val="-120"/>
          <w:sz w:val="24"/>
          <w:szCs w:val="24"/>
        </w:rPr>
        <w:t>：</w:t>
      </w:r>
      <w:r>
        <w:rPr>
          <w:rFonts w:ascii="宋体" w:hAnsi="宋体" w:cs="宋体" w:eastAsia="宋体" w:hint="default"/>
          <w:sz w:val="24"/>
          <w:szCs w:val="24"/>
        </w:rPr>
        <w:t>以</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日总股本</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393,120,000</w:t>
      </w:r>
    </w:p>
    <w:p>
      <w:pPr>
        <w:spacing w:line="338" w:lineRule="auto" w:before="135"/>
        <w:ind w:left="153" w:right="1132" w:firstLine="0"/>
        <w:jc w:val="both"/>
        <w:rPr>
          <w:rFonts w:ascii="宋体" w:hAnsi="宋体" w:cs="宋体" w:eastAsia="宋体" w:hint="default"/>
          <w:sz w:val="24"/>
          <w:szCs w:val="24"/>
        </w:rPr>
      </w:pPr>
      <w:r>
        <w:rPr>
          <w:rFonts w:ascii="宋体" w:hAnsi="宋体" w:cs="宋体" w:eastAsia="宋体" w:hint="default"/>
          <w:spacing w:val="-1"/>
          <w:sz w:val="24"/>
          <w:szCs w:val="24"/>
        </w:rPr>
        <w:t>为基数，向全体股东每</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股派发现金红利</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0.1</w:t>
      </w:r>
      <w:r>
        <w:rPr>
          <w:rFonts w:ascii="Times New Roman" w:hAnsi="Times New Roman" w:cs="Times New Roman" w:eastAsia="Times New Roman" w:hint="default"/>
          <w:spacing w:val="1"/>
          <w:sz w:val="24"/>
          <w:szCs w:val="24"/>
        </w:rPr>
        <w:t> </w:t>
      </w:r>
      <w:r>
        <w:rPr>
          <w:rFonts w:ascii="宋体" w:hAnsi="宋体" w:cs="宋体" w:eastAsia="宋体" w:hint="default"/>
          <w:spacing w:val="-15"/>
          <w:sz w:val="24"/>
          <w:szCs w:val="24"/>
        </w:rPr>
        <w:t>元（含税），送红股</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0</w:t>
      </w:r>
      <w:r>
        <w:rPr>
          <w:rFonts w:ascii="Times New Roman" w:hAnsi="Times New Roman" w:cs="Times New Roman" w:eastAsia="Times New Roman" w:hint="default"/>
          <w:spacing w:val="1"/>
          <w:sz w:val="24"/>
          <w:szCs w:val="24"/>
        </w:rPr>
        <w:t> </w:t>
      </w:r>
      <w:r>
        <w:rPr>
          <w:rFonts w:ascii="宋体" w:hAnsi="宋体" w:cs="宋体" w:eastAsia="宋体" w:hint="default"/>
          <w:spacing w:val="-12"/>
          <w:sz w:val="24"/>
          <w:szCs w:val="24"/>
        </w:rPr>
        <w:t>股（含税），不以公积金</w:t>
      </w:r>
      <w:r>
        <w:rPr>
          <w:rFonts w:ascii="宋体" w:hAnsi="宋体" w:cs="宋体" w:eastAsia="宋体" w:hint="default"/>
          <w:sz w:val="24"/>
          <w:szCs w:val="24"/>
        </w:rPr>
        <w:t> 转增股本。</w:t>
      </w:r>
    </w:p>
    <w:p>
      <w:pPr>
        <w:spacing w:after="0" w:line="338" w:lineRule="auto"/>
        <w:jc w:val="both"/>
        <w:rPr>
          <w:rFonts w:ascii="宋体" w:hAnsi="宋体" w:cs="宋体" w:eastAsia="宋体" w:hint="default"/>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152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本公司、公司、股份公司、键桥通讯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嘉兴乾德精一投资合伙企业（有限合伙）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德威普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键桥轨道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键桥资产管理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盈华贷款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深圳盈华小额贷款有限公司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先锋投资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浩瀚天成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深圳浩瀚天成投资发展有限公司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8604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18"/>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002316</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键桥通讯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Keybridge Communications</w:t>
            </w:r>
            <w:r>
              <w:rPr>
                <w:rFonts w:ascii="Times New Roman"/>
                <w:spacing w:val="-3"/>
                <w:sz w:val="18"/>
              </w:rPr>
              <w:t> 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Keybridge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王永彬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http://www.keybridge.com.cn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keybridge@keybridge.com.cn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0755-26551650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0755-26551650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0755-26635033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0755-26635033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keybridge@keybridge.com.cn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wsmiao@keybridge.com.cn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18"/>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27"/>
        <w:gridCol w:w="7441"/>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91440300708474420M</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公司上市以来主营业务的 变化情况（如有）</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196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14"/>
                <w:sz w:val="18"/>
                <w:szCs w:val="18"/>
              </w:rPr>
              <w:t>，</w:t>
            </w:r>
            <w:r>
              <w:rPr>
                <w:rFonts w:ascii="宋体" w:hAnsi="宋体" w:cs="宋体" w:eastAsia="宋体" w:hint="default"/>
                <w:sz w:val="18"/>
                <w:szCs w:val="18"/>
              </w:rPr>
              <w:t>香港键桥与乾德精一签署</w:t>
            </w:r>
            <w:r>
              <w:rPr>
                <w:rFonts w:ascii="宋体" w:hAnsi="宋体" w:cs="宋体" w:eastAsia="宋体" w:hint="default"/>
                <w:spacing w:val="-14"/>
                <w:sz w:val="18"/>
                <w:szCs w:val="18"/>
              </w:rPr>
              <w:t>了</w:t>
            </w:r>
            <w:r>
              <w:rPr>
                <w:rFonts w:ascii="宋体" w:hAnsi="宋体" w:cs="宋体" w:eastAsia="宋体" w:hint="default"/>
                <w:sz w:val="18"/>
                <w:szCs w:val="18"/>
              </w:rPr>
              <w:t>《股份转让协议</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乾德精一协议受让香港键桥</w:t>
            </w:r>
          </w:p>
          <w:p>
            <w:pPr>
              <w:pStyle w:val="TableParagraph"/>
              <w:spacing w:line="304"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持有的键桥通讯无限售流通股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万股。</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3"/>
                <w:sz w:val="18"/>
                <w:szCs w:val="18"/>
              </w:rPr>
              <w:t>日，中国证券登记结算有限责任公司</w:t>
            </w:r>
            <w:r>
              <w:rPr>
                <w:rFonts w:ascii="宋体" w:hAnsi="宋体" w:cs="宋体" w:eastAsia="宋体" w:hint="default"/>
                <w:sz w:val="18"/>
                <w:szCs w:val="18"/>
              </w:rPr>
              <w:t> </w:t>
            </w:r>
            <w:r>
              <w:rPr>
                <w:rFonts w:ascii="宋体" w:hAnsi="宋体" w:cs="宋体" w:eastAsia="宋体" w:hint="default"/>
                <w:spacing w:val="-3"/>
                <w:sz w:val="18"/>
                <w:szCs w:val="18"/>
              </w:rPr>
              <w:t>深圳分公司出具了《过户登记确认书》，此次股份转让完成过户登记手续。</w:t>
            </w:r>
            <w:r>
              <w:rPr>
                <w:rFonts w:ascii="宋体" w:hAnsi="宋体" w:cs="宋体" w:eastAsia="宋体" w:hint="default"/>
                <w:spacing w:val="7"/>
                <w:sz w:val="18"/>
                <w:szCs w:val="18"/>
              </w:rPr>
              <w:t> </w:t>
            </w:r>
            <w:r>
              <w:rPr>
                <w:rFonts w:ascii="宋体" w:hAnsi="宋体" w:cs="宋体" w:eastAsia="宋体" w:hint="default"/>
                <w:sz w:val="18"/>
                <w:szCs w:val="18"/>
              </w:rPr>
              <w:t>股份过户登记手续</w:t>
            </w:r>
            <w:r>
              <w:rPr>
                <w:rFonts w:ascii="宋体" w:hAnsi="宋体" w:cs="宋体" w:eastAsia="宋体" w:hint="default"/>
                <w:sz w:val="18"/>
                <w:szCs w:val="18"/>
              </w:rPr>
              <w:t> 完成后，乾德精一持有键桥通讯股份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万股，占键桥通讯股份总数的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19.84%</w:t>
            </w:r>
            <w:r>
              <w:rPr>
                <w:rFonts w:ascii="宋体" w:hAnsi="宋体" w:cs="宋体" w:eastAsia="宋体" w:hint="default"/>
                <w:sz w:val="18"/>
                <w:szCs w:val="18"/>
              </w:rPr>
              <w:t>，成为公司第 一大股东；香港键桥持有键桥通讯股份</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7,233.89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万股，占键桥通讯股份总数的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18.40%</w:t>
            </w:r>
            <w:r>
              <w:rPr>
                <w:rFonts w:ascii="宋体" w:hAnsi="宋体" w:cs="宋体" w:eastAsia="宋体" w:hint="default"/>
                <w:sz w:val="18"/>
                <w:szCs w:val="18"/>
              </w:rPr>
              <w:t>，为公司 第二大股东。由于第一大股东和第二大股东股权比例较为接近，公司变更为无控股股东。</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饶世旗、陈松波</w:t>
            </w:r>
          </w:p>
        </w:tc>
      </w:tr>
    </w:tbl>
    <w:p>
      <w:pPr>
        <w:pStyle w:val="BodyText"/>
        <w:spacing w:line="240" w:lineRule="auto" w:before="51"/>
        <w:ind w:left="154" w:right="1118"/>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公司是否因会计政策变更及会计差错更正等追溯调整或重述以前年度会计数据</w:t>
      </w:r>
    </w:p>
    <w:p>
      <w:pPr>
        <w:pStyle w:val="BodyText"/>
        <w:spacing w:line="240" w:lineRule="auto" w:before="116"/>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63"/>
        <w:gridCol w:w="1430"/>
        <w:gridCol w:w="1417"/>
        <w:gridCol w:w="1702"/>
        <w:gridCol w:w="1346"/>
      </w:tblGrid>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848,498,014.51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517,561,460.54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630,349,034.45</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23,139,733.68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19,014,808.93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-31,123,510.55</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 利润（元）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18,852,387.99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-1,305,357.15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1,544.23%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-36,934,654.39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366,502,057.66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293,311,479.20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-265,287,918.69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1,960,432,172.67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1,913,803,936.55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1,950,378,528.42</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857,560,501.83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830,077,458.51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804,389,721.80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131,904,326.60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143,812,151.51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240,706,691.23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332,074,845.17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5,037,010.66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11,952,419.42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9,626,719.84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-3,476,416.24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2,153,876.03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-53,603.55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9,622,799.76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7,129,315.75</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-3,216,816.71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120,112,887.47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227,002,529.20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22,603,457.70</w:t>
            </w:r>
          </w:p>
        </w:tc>
      </w:tr>
    </w:tbl>
    <w:p>
      <w:pPr>
        <w:pStyle w:val="BodyText"/>
        <w:spacing w:line="240" w:lineRule="auto" w:before="51"/>
        <w:ind w:left="154" w:right="1118"/>
        <w:jc w:val="left"/>
      </w:pPr>
      <w:r>
        <w:rPr/>
        <w:t>上述财务指标或其加总数是否与公司已披露季度报告、半年度报告相关财务指标存在重大差异</w:t>
      </w:r>
    </w:p>
    <w:p>
      <w:pPr>
        <w:pStyle w:val="BodyText"/>
        <w:spacing w:line="240" w:lineRule="auto" w:before="116"/>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-13,482,959.13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3,451,885.98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4,386,952.55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1,043,478.25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1,929,353.40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25,166.83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2,253,937.00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15,691,624.31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12,349,881.07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-613,697.08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6,903,202.14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1,545,997.22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3,576,873.38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503,067.18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-38,052.00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1,894.42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4,287,345.69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20,320,166.08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5,811,143.84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18"/>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8"/>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3" w:firstLine="290"/>
        <w:jc w:val="left"/>
      </w:pPr>
      <w:r>
        <w:rPr/>
        <w:t>公司作为专业从事专网通信技术解决方案业务的服务商，主要为能源、交通等行业提供信息通信技术解决方案，包括相 </w:t>
      </w:r>
      <w:r>
        <w:rPr>
          <w:spacing w:val="-2"/>
        </w:rPr>
        <w:t>关软硬件产品的研发、制造与服务，产品覆盖工业统一通信、工业统一监测与工业智能感知三大类产品线。由于能源、交通</w:t>
      </w:r>
      <w:r>
        <w:rPr>
          <w:spacing w:val="-66"/>
        </w:rPr>
        <w:t> </w:t>
      </w:r>
      <w:r>
        <w:rPr>
          <w:spacing w:val="-66"/>
        </w:rPr>
      </w:r>
      <w:r>
        <w:rPr>
          <w:spacing w:val="-2"/>
        </w:rPr>
        <w:t>等行业本身处于国民经济的基础行业地位，其安全可靠的运行事关国家安全，国家对其生产过程的信息化、自动化改造投入</w:t>
      </w:r>
      <w:r>
        <w:rPr>
          <w:spacing w:val="-66"/>
        </w:rPr>
        <w:t> </w:t>
      </w:r>
      <w:r>
        <w:rPr>
          <w:spacing w:val="-66"/>
        </w:rPr>
      </w:r>
      <w:r>
        <w:rPr/>
        <w:t>大量资金，使其行业信息化发展的水平高于其他行业。专网通信对于能源、交通等行业而言属于最基础的保障和支撑系统， 随着能源、交通行业信息化的不断深入和发展，专网通信系统在促进安全生产、提高工业效率、转变经营方式、建设</w:t>
      </w:r>
      <w:r>
        <w:rPr>
          <w:rFonts w:ascii="Times New Roman" w:hAnsi="Times New Roman" w:cs="Times New Roman" w:eastAsia="Times New Roman" w:hint="default"/>
        </w:rPr>
        <w:t>“</w:t>
      </w:r>
      <w:r>
        <w:rPr/>
        <w:t>智能 电网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智慧交通</w:t>
      </w:r>
      <w:r>
        <w:rPr>
          <w:rFonts w:ascii="Times New Roman" w:hAnsi="Times New Roman" w:cs="Times New Roman" w:eastAsia="Times New Roman" w:hint="default"/>
        </w:rPr>
        <w:t>”</w:t>
      </w:r>
      <w:r>
        <w:rPr/>
        <w:t>等方面发挥着越来越重要的作用，各行业对专网通信系统的投资比例和投资总额都在不断增加。</w:t>
      </w:r>
    </w:p>
    <w:p>
      <w:pPr>
        <w:pStyle w:val="BodyText"/>
        <w:spacing w:line="312" w:lineRule="auto" w:before="40"/>
        <w:ind w:right="1132" w:firstLine="290"/>
        <w:jc w:val="both"/>
      </w:pPr>
      <w:r>
        <w:rPr>
          <w:spacing w:val="-1"/>
        </w:rPr>
        <w:t>报告期内，公司在继续走专网信息通信技术服务之路，整合新老资源，发扬公司专业方案、优质服务、量身定制这三大</w:t>
      </w:r>
      <w:r>
        <w:rPr/>
        <w:t> 优势的基础上，不断创新，通过各种形式的投资和合作有效拓展了大数据领域和金融领域的业务</w:t>
      </w:r>
      <w:r>
        <w:rPr>
          <w:rFonts w:ascii="Times New Roman" w:hAnsi="Times New Roman" w:cs="Times New Roman" w:eastAsia="Times New Roman" w:hint="default"/>
        </w:rPr>
        <w:t>,</w:t>
      </w:r>
      <w:r>
        <w:rPr/>
        <w:t>进行了产业升级和产融结 </w:t>
      </w:r>
      <w:r>
        <w:rPr>
          <w:spacing w:val="-2"/>
        </w:rPr>
        <w:t>合的探索。公司通过多年努力，形成了较强的自主研发能力，积累了丰富的项目经验，树立了良好的品牌形象，初步实现了</w:t>
      </w:r>
      <w:r>
        <w:rPr>
          <w:spacing w:val="-66"/>
        </w:rPr>
        <w:t> </w:t>
      </w:r>
      <w:r>
        <w:rPr>
          <w:spacing w:val="-66"/>
        </w:rPr>
      </w:r>
      <w:r>
        <w:rPr/>
        <w:t>跨地区、多行业发展的良好态势。</w:t>
      </w:r>
    </w:p>
    <w:p>
      <w:pPr>
        <w:spacing w:line="240" w:lineRule="auto" w:before="11"/>
        <w:rPr>
          <w:rFonts w:ascii="宋体" w:hAnsi="宋体" w:cs="宋体" w:eastAsia="宋体" w:hint="default"/>
          <w:sz w:val="20"/>
          <w:szCs w:val="20"/>
        </w:rPr>
      </w:pPr>
    </w:p>
    <w:p>
      <w:pPr>
        <w:pStyle w:val="Heading2"/>
        <w:spacing w:line="240" w:lineRule="auto"/>
        <w:ind w:left="154" w:right="1118"/>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18"/>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、深圳盈华小额贷款有限公司</w:t>
            </w:r>
            <w:r>
              <w:rPr>
                <w:rFonts w:ascii="宋体" w:hAnsi="宋体" w:cs="宋体" w:eastAsia="宋体" w:hint="default"/>
                <w:spacing w:val="-5"/>
                <w:sz w:val="18"/>
                <w:szCs w:val="18"/>
              </w:rPr>
              <w:t> </w:t>
            </w:r>
            <w:r>
              <w:rPr>
                <w:rFonts w:ascii="宋体" w:hAnsi="宋体" w:cs="宋体" w:eastAsia="宋体" w:hint="default"/>
                <w:sz w:val="18"/>
                <w:szCs w:val="18"/>
              </w:rPr>
              <w:t>投资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150,000,000.00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元，占股比例</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、天津九</w:t>
            </w:r>
            <w:r>
              <w:rPr>
                <w:rFonts w:ascii="宋体" w:hAnsi="宋体" w:cs="宋体" w:eastAsia="宋体" w:hint="default"/>
                <w:sz w:val="18"/>
                <w:szCs w:val="18"/>
              </w:rPr>
              <w:t> 盈科技发展有限公司投资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元，占股比例</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、徐州淮海数据交换服</w:t>
            </w:r>
            <w:r>
              <w:rPr>
                <w:rFonts w:ascii="宋体" w:hAnsi="宋体" w:cs="宋体" w:eastAsia="宋体" w:hint="default"/>
                <w:sz w:val="18"/>
                <w:szCs w:val="18"/>
              </w:rPr>
              <w:t> 务有限公司投资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占股份比例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2"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年出售东莞松山湖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套宿舍楼房产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13,007,751.58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光明软</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件园转入固定资产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207,793,733.25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光明软件园土地使用权变更补缴款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219,248.00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3"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光明软件园转入固定资产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207,793,733.25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2" w:firstLine="290"/>
        <w:jc w:val="both"/>
      </w:pPr>
      <w:r>
        <w:rPr/>
        <w:t>公司是专业从事能源、交通领域信息通信技术解决方案业务的服务商，上市以来一直定位于专网信息通信的集成服务， </w:t>
      </w:r>
      <w:r>
        <w:rPr>
          <w:spacing w:val="-2"/>
        </w:rPr>
        <w:t>致力于为客户提供量身定制的系统解决方案，持续致力于将信息通信的最新技术成果引入能源交通等领域，并与专网的具体</w:t>
      </w:r>
      <w:r>
        <w:rPr>
          <w:spacing w:val="-64"/>
        </w:rPr>
        <w:t> </w:t>
      </w:r>
      <w:r>
        <w:rPr>
          <w:spacing w:val="-64"/>
        </w:rPr>
      </w:r>
      <w:r>
        <w:rPr>
          <w:spacing w:val="-2"/>
        </w:rPr>
        <w:t>应用相结合，长期的技术积累和具体实践经验保证了公司能精准提炼需求模型、为客户量身定制、开发的系统和产品能够达</w:t>
      </w:r>
      <w:r>
        <w:rPr>
          <w:spacing w:val="-66"/>
        </w:rPr>
        <w:t> </w:t>
      </w:r>
      <w:r>
        <w:rPr>
          <w:spacing w:val="-66"/>
        </w:rPr>
      </w:r>
      <w:r>
        <w:rPr>
          <w:spacing w:val="-2"/>
        </w:rPr>
        <w:t>到专业控制系统的严格要求，形成了高度体现公司服务价值的</w:t>
      </w:r>
      <w:r>
        <w:rPr>
          <w:rFonts w:ascii="Times New Roman" w:hAnsi="Times New Roman" w:cs="Times New Roman" w:eastAsia="Times New Roman" w:hint="default"/>
          <w:spacing w:val="-2"/>
        </w:rPr>
        <w:t>“</w:t>
      </w:r>
      <w:r>
        <w:rPr>
          <w:spacing w:val="-2"/>
        </w:rPr>
        <w:t>键桥</w:t>
      </w:r>
      <w:r>
        <w:rPr>
          <w:rFonts w:ascii="Times New Roman" w:hAnsi="Times New Roman" w:cs="Times New Roman" w:eastAsia="Times New Roman" w:hint="default"/>
          <w:spacing w:val="-2"/>
        </w:rPr>
        <w:t>”</w:t>
      </w:r>
      <w:r>
        <w:rPr>
          <w:spacing w:val="-2"/>
        </w:rPr>
        <w:t>品牌，以强大的系统方案整合能力、快速的定制开发能</w:t>
      </w:r>
      <w:r>
        <w:rPr>
          <w:spacing w:val="-44"/>
        </w:rPr>
        <w:t> </w:t>
      </w:r>
      <w:r>
        <w:rPr>
          <w:spacing w:val="-44"/>
        </w:rPr>
      </w:r>
      <w:r>
        <w:rPr/>
        <w:t>力，以及高效的项目管理能力为基础的服务平台，铸成了公司专网信息通信业务的核心竞争优势。</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3" w:firstLine="290"/>
        <w:jc w:val="left"/>
      </w:pPr>
      <w:r>
        <w:rPr/>
        <w:t>公司管理团队与核心员工从事专网信息通信技术领域几十年，拥有丰富经验和较强影响力，能够及时准确地把握市场发 </w:t>
      </w:r>
      <w:r>
        <w:rPr>
          <w:spacing w:val="-2"/>
        </w:rPr>
        <w:t>展动态，对专网信息通信技术的未来发展具有准确预判。经过多年耕耘，公司在电力行业的多种通信系统解决方案已经覆盖</w:t>
      </w:r>
      <w:r>
        <w:rPr>
          <w:spacing w:val="-66"/>
        </w:rPr>
        <w:t> </w:t>
      </w:r>
      <w:r>
        <w:rPr>
          <w:spacing w:val="-66"/>
        </w:rPr>
      </w:r>
      <w:r>
        <w:rPr/>
        <w:t>国家电网的各级省市，建立了长期稳定的客户关系。近年来，公司将电力调度通信技术上的综合优势拓展到智能交通领域， </w:t>
      </w:r>
      <w:r>
        <w:rPr>
          <w:spacing w:val="-2"/>
        </w:rPr>
        <w:t>分别都在轨道交通、城市智能交通等领域建设了许多优秀且在行业具有代表性的大型成功案例，开发的智能系统方案在行业</w:t>
      </w:r>
      <w:r>
        <w:rPr>
          <w:spacing w:val="-64"/>
        </w:rPr>
        <w:t> </w:t>
      </w:r>
      <w:r>
        <w:rPr>
          <w:spacing w:val="-64"/>
        </w:rPr>
      </w:r>
      <w:r>
        <w:rPr/>
        <w:t>内广泛推广。</w:t>
      </w:r>
    </w:p>
    <w:p>
      <w:pPr>
        <w:pStyle w:val="BodyText"/>
        <w:spacing w:line="316" w:lineRule="auto" w:before="17"/>
        <w:ind w:right="1130" w:firstLine="290"/>
        <w:jc w:val="both"/>
      </w:pPr>
      <w:r>
        <w:rPr>
          <w:spacing w:val="-1"/>
        </w:rPr>
        <w:t>报告期内，公司在保证专网信息通信业务核心竞争力稳定的同时，公司第一大股东的变更和董事会成员中新董事的加入</w:t>
      </w:r>
      <w:r>
        <w:rPr/>
        <w:t> </w:t>
      </w:r>
      <w:r>
        <w:rPr>
          <w:spacing w:val="-2"/>
        </w:rPr>
        <w:t>增强了公司在大数据和金融领域的资源和管理人员储备，在此基础上，公司通过各种形式的投资和合作有效拓展了大数据领</w:t>
      </w:r>
      <w:r>
        <w:rPr>
          <w:spacing w:val="-63"/>
        </w:rPr>
        <w:t> </w:t>
      </w:r>
      <w:r>
        <w:rPr>
          <w:spacing w:val="-63"/>
        </w:rPr>
      </w:r>
      <w:r>
        <w:rPr>
          <w:spacing w:val="-2"/>
        </w:rPr>
        <w:t>域和金融领域的业务，提升了公司的综合竞争力。未来公司还将通过非公开发行股票募投项目的建设和实施进一步提升公司</w:t>
      </w:r>
      <w:r>
        <w:rPr>
          <w:spacing w:val="-64"/>
        </w:rPr>
        <w:t> </w:t>
      </w:r>
      <w:r>
        <w:rPr>
          <w:spacing w:val="-64"/>
        </w:rPr>
      </w:r>
      <w:r>
        <w:rPr/>
        <w:t>的核心竞争力。</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118"/>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9" w:firstLine="360"/>
        <w:jc w:val="both"/>
      </w:pPr>
      <w:r>
        <w:rPr>
          <w:rFonts w:ascii="Times New Roman" w:hAnsi="Times New Roman" w:cs="Times New Roman" w:eastAsia="Times New Roman" w:hint="default"/>
          <w:spacing w:val="-2"/>
        </w:rPr>
        <w:t>2015</w:t>
      </w:r>
      <w:r>
        <w:rPr>
          <w:spacing w:val="-2"/>
        </w:rPr>
        <w:t>年度，公司紧抓轨道交通和智能交通</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建设收官之年重大机遇，凭借自身优势积极抢占国内市场，前期已中</w:t>
      </w:r>
      <w:r>
        <w:rPr/>
        <w:t> </w:t>
      </w:r>
      <w:r>
        <w:rPr>
          <w:spacing w:val="-2"/>
        </w:rPr>
        <w:t>标项目本年度相继供货实施。同时，公司依靠在能源交通领域的市场占有率而形成的大批量采购以及公司品牌、资金信用优</w:t>
      </w:r>
      <w:r>
        <w:rPr>
          <w:spacing w:val="-66"/>
        </w:rPr>
        <w:t> </w:t>
      </w:r>
      <w:r>
        <w:rPr>
          <w:spacing w:val="-66"/>
        </w:rPr>
      </w:r>
      <w:r>
        <w:rPr>
          <w:spacing w:val="-2"/>
        </w:rPr>
        <w:t>势，继续积极拓展下游供货渠道，扩大渠道供货收入占比。公司继续加大对存货管控力度，处理库龄较久存货。受上述因素</w:t>
      </w:r>
      <w:r>
        <w:rPr>
          <w:spacing w:val="-66"/>
        </w:rPr>
        <w:t> </w:t>
      </w:r>
      <w:r>
        <w:rPr>
          <w:spacing w:val="-66"/>
        </w:rPr>
      </w:r>
      <w:r>
        <w:rPr>
          <w:spacing w:val="-2"/>
        </w:rPr>
        <w:t>影响，导致报告期内公司营业收入同比上升。通过资产处置转让部分应收账款和其他应收款，同时加大应收账款收款力度使</w:t>
      </w:r>
      <w:r>
        <w:rPr>
          <w:spacing w:val="-66"/>
        </w:rPr>
        <w:t> </w:t>
      </w:r>
      <w:r>
        <w:rPr>
          <w:spacing w:val="-66"/>
        </w:rPr>
      </w:r>
      <w:r>
        <w:rPr>
          <w:spacing w:val="-2"/>
        </w:rPr>
        <w:t>坏账准备减少，通过以上措施，实现本年营业利润、利润总额及归属于上市公司股东的净利润增加。此外，为适应市场经济</w:t>
      </w:r>
      <w:r>
        <w:rPr>
          <w:spacing w:val="-66"/>
        </w:rPr>
        <w:t> </w:t>
      </w:r>
      <w:r>
        <w:rPr>
          <w:spacing w:val="-66"/>
        </w:rPr>
      </w:r>
      <w:r>
        <w:rPr>
          <w:spacing w:val="-2"/>
        </w:rPr>
        <w:t>环境的变化，更好地抓住国家智能电网、智能交通、轨道交通建设的机遇，公司加大了相关项目的拓展力度和市场范围，作</w:t>
      </w:r>
      <w:r>
        <w:rPr>
          <w:spacing w:val="-66"/>
        </w:rPr>
        <w:t> </w:t>
      </w:r>
      <w:r>
        <w:rPr>
          <w:spacing w:val="-66"/>
        </w:rPr>
      </w:r>
      <w:r>
        <w:rPr/>
        <w:t>为整体方案的服务供应商，力求使公司在这场技术变革下所带来的新市场格局中抢占有利地位。</w:t>
      </w:r>
    </w:p>
    <w:p>
      <w:pPr>
        <w:pStyle w:val="BodyText"/>
        <w:spacing w:line="300" w:lineRule="auto" w:before="59"/>
        <w:ind w:right="1130" w:firstLine="360"/>
        <w:jc w:val="both"/>
      </w:pPr>
      <w:r>
        <w:rPr>
          <w:spacing w:val="-1"/>
        </w:rPr>
        <w:t>本报告期内，公司实现营业收入</w:t>
      </w:r>
      <w:r>
        <w:rPr>
          <w:rFonts w:ascii="Times New Roman" w:hAnsi="Times New Roman" w:cs="Times New Roman" w:eastAsia="Times New Roman" w:hint="default"/>
          <w:spacing w:val="-1"/>
        </w:rPr>
        <w:t>848,498,014.51</w:t>
      </w:r>
      <w:r>
        <w:rPr>
          <w:spacing w:val="-1"/>
        </w:rPr>
        <w:t>元，同比上升</w:t>
      </w:r>
      <w:r>
        <w:rPr>
          <w:rFonts w:ascii="Times New Roman" w:hAnsi="Times New Roman" w:cs="Times New Roman" w:eastAsia="Times New Roman" w:hint="default"/>
          <w:spacing w:val="-1"/>
        </w:rPr>
        <w:t>63.94%</w:t>
      </w:r>
      <w:r>
        <w:rPr>
          <w:spacing w:val="-1"/>
        </w:rPr>
        <w:t>；实现净利</w:t>
      </w:r>
      <w:r>
        <w:rPr>
          <w:rFonts w:ascii="Times New Roman" w:hAnsi="Times New Roman" w:cs="Times New Roman" w:eastAsia="Times New Roman" w:hint="default"/>
          <w:spacing w:val="-1"/>
        </w:rPr>
        <w:t>16,632,518.11</w:t>
      </w:r>
      <w:r>
        <w:rPr>
          <w:spacing w:val="-1"/>
        </w:rPr>
        <w:t>元，同比增长</w:t>
      </w:r>
      <w:r>
        <w:rPr>
          <w:rFonts w:ascii="Times New Roman" w:hAnsi="Times New Roman" w:cs="Times New Roman" w:eastAsia="Times New Roman" w:hint="default"/>
          <w:spacing w:val="-1"/>
        </w:rPr>
        <w:t>24.9%</w:t>
      </w:r>
      <w:r>
        <w:rPr>
          <w:spacing w:val="-1"/>
        </w:rPr>
        <w:t>；归属</w:t>
      </w:r>
      <w:r>
        <w:rPr/>
        <w:t> 于上市公司股东的净利润</w:t>
      </w:r>
      <w:r>
        <w:rPr>
          <w:rFonts w:ascii="Times New Roman" w:hAnsi="Times New Roman" w:cs="Times New Roman" w:eastAsia="Times New Roman" w:hint="default"/>
        </w:rPr>
        <w:t>23,139,733.68</w:t>
      </w:r>
      <w:r>
        <w:rPr/>
        <w:t>，同比增长</w:t>
      </w:r>
      <w:r>
        <w:rPr>
          <w:rFonts w:ascii="Times New Roman" w:hAnsi="Times New Roman" w:cs="Times New Roman" w:eastAsia="Times New Roman" w:hint="default"/>
        </w:rPr>
        <w:t>21.69%</w:t>
      </w:r>
      <w:r>
        <w:rPr/>
        <w:t>。</w:t>
      </w:r>
    </w:p>
    <w:p>
      <w:pPr>
        <w:pStyle w:val="BodyText"/>
        <w:spacing w:line="240" w:lineRule="auto" w:before="53"/>
        <w:ind w:left="0" w:right="1130"/>
        <w:jc w:val="right"/>
      </w:pPr>
      <w:r>
        <w:rPr/>
        <w:t>单位：元</w:t>
      </w:r>
    </w:p>
    <w:p>
      <w:pPr>
        <w:spacing w:line="240" w:lineRule="auto" w:before="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660"/>
        <w:gridCol w:w="2237"/>
        <w:gridCol w:w="2376"/>
        <w:gridCol w:w="2376"/>
      </w:tblGrid>
      <w:tr>
        <w:trPr>
          <w:trHeight w:val="334"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3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3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23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848,498,014.51</w:t>
            </w:r>
          </w:p>
        </w:tc>
        <w:tc>
          <w:tcPr>
            <w:tcW w:w="23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517,561,460.54</w:t>
            </w:r>
          </w:p>
        </w:tc>
        <w:tc>
          <w:tcPr>
            <w:tcW w:w="23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63.94%</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682,796,720.16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396,899,546.12</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72.03%</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38,721,169.69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39,333,767.73</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-1.56%</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62,353,281.07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59,193,983.87</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5.34%</w:t>
            </w:r>
          </w:p>
        </w:tc>
      </w:tr>
      <w:tr>
        <w:trPr>
          <w:trHeight w:val="348"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36,901,241.41</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33,263,542.48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10.94%</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12,281,297.48</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17,086,742.54</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-28.12%</w:t>
            </w:r>
          </w:p>
        </w:tc>
      </w:tr>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366,502,057.66</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293,311,479.20</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24.95%</w:t>
            </w:r>
          </w:p>
        </w:tc>
      </w:tr>
    </w:tbl>
    <w:p>
      <w:pPr>
        <w:spacing w:line="240" w:lineRule="auto" w:before="5"/>
        <w:rPr>
          <w:rFonts w:ascii="宋体" w:hAnsi="宋体" w:cs="宋体" w:eastAsia="宋体" w:hint="default"/>
          <w:sz w:val="27"/>
          <w:szCs w:val="27"/>
        </w:rPr>
      </w:pPr>
    </w:p>
    <w:p>
      <w:pPr>
        <w:pStyle w:val="BodyText"/>
        <w:spacing w:line="300" w:lineRule="auto" w:before="44"/>
        <w:ind w:right="1126" w:firstLine="360"/>
        <w:jc w:val="both"/>
      </w:pPr>
      <w:r>
        <w:rPr/>
        <w:t>（</w:t>
      </w:r>
      <w:r>
        <w:rPr>
          <w:rFonts w:ascii="Times New Roman" w:hAnsi="Times New Roman" w:cs="Times New Roman" w:eastAsia="Times New Roman" w:hint="default"/>
        </w:rPr>
        <w:t>1</w:t>
      </w:r>
      <w:r>
        <w:rPr/>
        <w:t>）报告期内，公司实现营业收入</w:t>
      </w:r>
      <w:r>
        <w:rPr>
          <w:rFonts w:ascii="Times New Roman" w:hAnsi="Times New Roman" w:cs="Times New Roman" w:eastAsia="Times New Roman" w:hint="default"/>
        </w:rPr>
        <w:t>848,498,014.51</w:t>
      </w:r>
      <w:r>
        <w:rPr/>
        <w:t>元，同比增长</w:t>
      </w:r>
      <w:r>
        <w:rPr>
          <w:rFonts w:ascii="Times New Roman" w:hAnsi="Times New Roman" w:cs="Times New Roman" w:eastAsia="Times New Roman" w:hint="default"/>
        </w:rPr>
        <w:t>63.94%</w:t>
      </w:r>
      <w:r>
        <w:rPr/>
        <w:t>，其中系统集成收入</w:t>
      </w:r>
      <w:r>
        <w:rPr>
          <w:rFonts w:ascii="Times New Roman" w:hAnsi="Times New Roman" w:cs="Times New Roman" w:eastAsia="Times New Roman" w:hint="default"/>
        </w:rPr>
        <w:t>572,515,297.14</w:t>
      </w:r>
      <w:r>
        <w:rPr/>
        <w:t>元，占营业</w:t>
      </w:r>
      <w:r>
        <w:rPr>
          <w:spacing w:val="2"/>
        </w:rPr>
        <w:t> </w:t>
      </w:r>
      <w:r>
        <w:rPr/>
        <w:t>收入的</w:t>
      </w:r>
      <w:r>
        <w:rPr>
          <w:rFonts w:ascii="Times New Roman" w:hAnsi="Times New Roman" w:cs="Times New Roman" w:eastAsia="Times New Roman" w:hint="default"/>
        </w:rPr>
        <w:t>67.47%</w:t>
      </w:r>
      <w:r>
        <w:rPr/>
        <w:t>。前期已中标重大项目在本期相继供货实施，同时公司积极拓展下游供货渠道，扩大渠道供货收入占比，公</w:t>
      </w:r>
      <w:r>
        <w:rPr>
          <w:spacing w:val="-24"/>
        </w:rPr>
        <w:t> </w:t>
      </w:r>
      <w:r>
        <w:rPr>
          <w:spacing w:val="-24"/>
        </w:rPr>
      </w:r>
      <w:r>
        <w:rPr/>
        <w:t>司继续加大对存货管控力度，处理库龄较久存货，使本期营业收入较上期增长。</w:t>
      </w:r>
    </w:p>
    <w:p>
      <w:pPr>
        <w:pStyle w:val="BodyText"/>
        <w:spacing w:line="302" w:lineRule="auto" w:before="70"/>
        <w:ind w:right="1132" w:firstLine="360"/>
        <w:jc w:val="both"/>
      </w:pPr>
      <w:r>
        <w:rPr>
          <w:spacing w:val="-1"/>
        </w:rPr>
        <w:t>（</w:t>
      </w:r>
      <w:r>
        <w:rPr>
          <w:rFonts w:ascii="Times New Roman" w:hAnsi="Times New Roman" w:cs="Times New Roman" w:eastAsia="Times New Roman" w:hint="default"/>
          <w:spacing w:val="-1"/>
        </w:rPr>
        <w:t>2</w:t>
      </w:r>
      <w:r>
        <w:rPr>
          <w:spacing w:val="-1"/>
        </w:rPr>
        <w:t>）报告期内，公司营业成本</w:t>
      </w:r>
      <w:r>
        <w:rPr>
          <w:rFonts w:ascii="Times New Roman" w:hAnsi="Times New Roman" w:cs="Times New Roman" w:eastAsia="Times New Roman" w:hint="default"/>
          <w:spacing w:val="-1"/>
        </w:rPr>
        <w:t>682,796,720.16</w:t>
      </w:r>
      <w:r>
        <w:rPr>
          <w:spacing w:val="-1"/>
        </w:rPr>
        <w:t>为元，同比增长</w:t>
      </w:r>
      <w:r>
        <w:rPr>
          <w:rFonts w:ascii="Times New Roman" w:hAnsi="Times New Roman" w:cs="Times New Roman" w:eastAsia="Times New Roman" w:hint="default"/>
          <w:spacing w:val="-1"/>
        </w:rPr>
        <w:t>72.03%</w:t>
      </w:r>
      <w:r>
        <w:rPr>
          <w:spacing w:val="-1"/>
        </w:rPr>
        <w:t>，受前期已中标重大项目本期相继供货实施和下游</w:t>
      </w:r>
      <w:r>
        <w:rPr/>
        <w:t> 市场供货渠道拓展及存货管控的影响，本期营业成本较上期增长。</w:t>
      </w:r>
    </w:p>
    <w:p>
      <w:pPr>
        <w:pStyle w:val="BodyText"/>
        <w:spacing w:line="240" w:lineRule="auto" w:before="69"/>
        <w:ind w:left="514" w:right="1118"/>
        <w:jc w:val="left"/>
      </w:pPr>
      <w:r>
        <w:rPr/>
        <w:t>（</w:t>
      </w:r>
      <w:r>
        <w:rPr>
          <w:rFonts w:ascii="Times New Roman" w:hAnsi="Times New Roman" w:cs="Times New Roman" w:eastAsia="Times New Roman" w:hint="default"/>
        </w:rPr>
        <w:t>3</w:t>
      </w:r>
      <w:r>
        <w:rPr/>
        <w:t>）报告期内，公司财务费用为</w:t>
      </w:r>
      <w:r>
        <w:rPr>
          <w:rFonts w:ascii="Times New Roman" w:hAnsi="Times New Roman" w:cs="Times New Roman" w:eastAsia="Times New Roman" w:hint="default"/>
        </w:rPr>
        <w:t>36,901,241.41</w:t>
      </w:r>
      <w:r>
        <w:rPr/>
        <w:t>元，同比增长</w:t>
      </w:r>
      <w:r>
        <w:rPr>
          <w:rFonts w:ascii="Times New Roman" w:hAnsi="Times New Roman" w:cs="Times New Roman" w:eastAsia="Times New Roman" w:hint="default"/>
        </w:rPr>
        <w:t>10.94%</w:t>
      </w:r>
      <w:r>
        <w:rPr/>
        <w:t>，公司财务费用增长的原因主要为公司在建工程于</w:t>
      </w:r>
    </w:p>
    <w:p>
      <w:pPr>
        <w:pStyle w:val="BodyText"/>
        <w:spacing w:line="240" w:lineRule="auto" w:before="64"/>
        <w:ind w:right="111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月结束资本化所致。</w:t>
      </w:r>
    </w:p>
    <w:p>
      <w:pPr>
        <w:pStyle w:val="BodyText"/>
        <w:spacing w:line="302" w:lineRule="auto" w:before="101"/>
        <w:ind w:right="1134" w:firstLine="360"/>
        <w:jc w:val="both"/>
      </w:pPr>
      <w:r>
        <w:rPr/>
        <w:t>（</w:t>
      </w:r>
      <w:r>
        <w:rPr>
          <w:rFonts w:ascii="Times New Roman" w:hAnsi="Times New Roman" w:cs="Times New Roman" w:eastAsia="Times New Roman" w:hint="default"/>
        </w:rPr>
        <w:t>4</w:t>
      </w:r>
      <w:r>
        <w:rPr/>
        <w:t>）报告期内，公司研发支出为</w:t>
      </w:r>
      <w:r>
        <w:rPr>
          <w:rFonts w:ascii="Times New Roman" w:hAnsi="Times New Roman" w:cs="Times New Roman" w:eastAsia="Times New Roman" w:hint="default"/>
        </w:rPr>
        <w:t>12,281,297.48</w:t>
      </w:r>
      <w:r>
        <w:rPr/>
        <w:t>元，同比下降</w:t>
      </w:r>
      <w:r>
        <w:rPr>
          <w:rFonts w:ascii="Times New Roman" w:hAnsi="Times New Roman" w:cs="Times New Roman" w:eastAsia="Times New Roman" w:hint="default"/>
        </w:rPr>
        <w:t>28.12%</w:t>
      </w:r>
      <w:r>
        <w:rPr/>
        <w:t>，公司研发支出减少的主要原因是前次募投项目的 完工、部分合作项目结束、本年度研发项目减少，研发费用投入有所减少所致。</w:t>
      </w:r>
    </w:p>
    <w:p>
      <w:pPr>
        <w:pStyle w:val="BodyText"/>
        <w:spacing w:line="302" w:lineRule="auto" w:before="68"/>
        <w:ind w:left="154" w:right="1132" w:firstLine="360"/>
        <w:jc w:val="both"/>
      </w:pPr>
      <w:r>
        <w:rPr>
          <w:spacing w:val="-1"/>
        </w:rPr>
        <w:t>（</w:t>
      </w:r>
      <w:r>
        <w:rPr>
          <w:rFonts w:ascii="Times New Roman" w:hAnsi="Times New Roman" w:cs="Times New Roman" w:eastAsia="Times New Roman" w:hint="default"/>
          <w:spacing w:val="-1"/>
        </w:rPr>
        <w:t>5</w:t>
      </w:r>
      <w:r>
        <w:rPr>
          <w:spacing w:val="-1"/>
        </w:rPr>
        <w:t>）报告期内，公司经营活动产生的现金流量净额为</w:t>
      </w:r>
      <w:r>
        <w:rPr>
          <w:rFonts w:ascii="Times New Roman" w:hAnsi="Times New Roman" w:cs="Times New Roman" w:eastAsia="Times New Roman" w:hint="default"/>
          <w:spacing w:val="-1"/>
        </w:rPr>
        <w:t>366,502,057.66</w:t>
      </w:r>
      <w:r>
        <w:rPr>
          <w:spacing w:val="-1"/>
        </w:rPr>
        <w:t>元，较上期增长</w:t>
      </w:r>
      <w:r>
        <w:rPr>
          <w:rFonts w:ascii="Times New Roman" w:hAnsi="Times New Roman" w:cs="Times New Roman" w:eastAsia="Times New Roman" w:hint="default"/>
          <w:spacing w:val="-1"/>
        </w:rPr>
        <w:t>24.95%</w:t>
      </w:r>
      <w:r>
        <w:rPr>
          <w:spacing w:val="-1"/>
        </w:rPr>
        <w:t>，增长的主要原因是公司加</w:t>
      </w:r>
      <w:r>
        <w:rPr/>
        <w:t> 强应收账款的催收，提升管理效率，本年度应收账款回收比同期理想。</w:t>
      </w:r>
    </w:p>
    <w:p>
      <w:pPr>
        <w:spacing w:line="240" w:lineRule="auto" w:before="7"/>
        <w:rPr>
          <w:rFonts w:ascii="宋体" w:hAnsi="宋体" w:cs="宋体" w:eastAsia="宋体" w:hint="default"/>
          <w:sz w:val="21"/>
          <w:szCs w:val="21"/>
        </w:rPr>
      </w:pPr>
    </w:p>
    <w:p>
      <w:pPr>
        <w:pStyle w:val="Heading2"/>
        <w:spacing w:line="240" w:lineRule="auto"/>
        <w:ind w:right="1118"/>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848,498,014.51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517,561,460.54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407,746,492.86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167,148,322.86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5,365,419.66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440,751,521.65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345,047,718.02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67.00%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专网通讯技术解决 方案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418,843,368.54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257,867,231.82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429,654,645.97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259,694,228.72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50.18%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65.45%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121,787,468.60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63,524,776.31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22,833,466.44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5,010,921.10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236,798,616.66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133,445,731.42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25.78%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66,607,604.95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54,158,071.23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297,162,947.79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208,300,321.86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40.25%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29,218,356.08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12,676,038.74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71,377,276.70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23,722,011.44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2,712,277.29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16,723,588.44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-83.78%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407,746,492.86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308,540,801.75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5"/>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440,751,521.65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374,255,918.41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848,498,014.51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682,796,720.16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专网通讯技术解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418,843,368.54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311,274,120.99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交通工程系统集 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429,654,645.97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371,522,599.17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848,498,014.51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682,796,720.16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121,787,468.60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93,791,318.93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22,833,466.44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7,388,144.11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236,798,616.66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188,073,038.58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66,607,604.95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53,995,252.50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297,162,947.79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247,294,349.59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29,218,356.08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24,399,059.32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71,377,276.70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65,293,525.86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2,712,277.29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2,562,031.27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848,498,014.51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682,796,720.16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bl>
    <w:p>
      <w:pPr>
        <w:pStyle w:val="BodyText"/>
        <w:spacing w:line="240" w:lineRule="auto" w:before="51"/>
        <w:ind w:left="154" w:right="1118"/>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276"/>
        <w:gridCol w:w="2585"/>
        <w:gridCol w:w="2944"/>
        <w:gridCol w:w="994"/>
        <w:gridCol w:w="1859"/>
      </w:tblGrid>
      <w:tr>
        <w:trPr>
          <w:trHeight w:val="739" w:hRule="exact"/>
        </w:trPr>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360" w:right="89" w:hanging="270"/>
              <w:jc w:val="left"/>
              <w:rPr>
                <w:rFonts w:ascii="宋体" w:hAnsi="宋体" w:cs="宋体" w:eastAsia="宋体" w:hint="default"/>
                <w:sz w:val="18"/>
                <w:szCs w:val="18"/>
              </w:rPr>
            </w:pPr>
            <w:r>
              <w:rPr>
                <w:rFonts w:ascii="宋体" w:hAnsi="宋体" w:cs="宋体" w:eastAsia="宋体" w:hint="default"/>
                <w:sz w:val="18"/>
                <w:szCs w:val="18"/>
              </w:rPr>
              <w:t>合同订立公司 方名称</w:t>
            </w:r>
          </w:p>
        </w:tc>
        <w:tc>
          <w:tcPr>
            <w:tcW w:w="2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合同订立对方名称</w:t>
            </w:r>
          </w:p>
        </w:tc>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合同标的</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28"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1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831" w:right="20" w:hanging="810"/>
              <w:jc w:val="left"/>
              <w:rPr>
                <w:rFonts w:ascii="宋体" w:hAnsi="宋体" w:cs="宋体" w:eastAsia="宋体" w:hint="default"/>
                <w:sz w:val="18"/>
                <w:szCs w:val="18"/>
              </w:rPr>
            </w:pPr>
            <w:r>
              <w:rPr>
                <w:rFonts w:ascii="宋体" w:hAnsi="宋体" w:cs="宋体" w:eastAsia="宋体" w:hint="default"/>
                <w:sz w:val="18"/>
                <w:szCs w:val="18"/>
              </w:rPr>
              <w:t>截至报告期末的执行情 况</w:t>
            </w:r>
          </w:p>
        </w:tc>
      </w:tr>
      <w:tr>
        <w:trPr>
          <w:trHeight w:val="73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南京凌云</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广州广明高速公路有限公司</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广州至高明高速公路广州段交通工程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SG15</w:t>
            </w:r>
            <w:r>
              <w:rPr>
                <w:rFonts w:ascii="宋体" w:hAnsi="宋体" w:cs="宋体" w:eastAsia="宋体" w:hint="default"/>
                <w:sz w:val="18"/>
                <w:szCs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5,159.23</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1051"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69"/>
              <w:jc w:val="right"/>
              <w:rPr>
                <w:rFonts w:ascii="宋体" w:hAnsi="宋体" w:cs="宋体" w:eastAsia="宋体" w:hint="default"/>
                <w:sz w:val="18"/>
                <w:szCs w:val="18"/>
              </w:rPr>
            </w:pPr>
            <w:r>
              <w:rPr>
                <w:rFonts w:ascii="宋体" w:hAnsi="宋体" w:cs="宋体" w:eastAsia="宋体" w:hint="default"/>
                <w:sz w:val="18"/>
                <w:szCs w:val="18"/>
              </w:rPr>
              <w:t>南京凌云</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00" w:lineRule="auto"/>
              <w:ind w:left="1195" w:right="23" w:hanging="1170"/>
              <w:jc w:val="left"/>
              <w:rPr>
                <w:rFonts w:ascii="宋体" w:hAnsi="宋体" w:cs="宋体" w:eastAsia="宋体" w:hint="default"/>
                <w:sz w:val="18"/>
                <w:szCs w:val="18"/>
              </w:rPr>
            </w:pPr>
            <w:r>
              <w:rPr>
                <w:rFonts w:ascii="宋体" w:hAnsi="宋体" w:cs="宋体" w:eastAsia="宋体" w:hint="default"/>
                <w:sz w:val="18"/>
                <w:szCs w:val="18"/>
              </w:rPr>
              <w:t>中国水利水电第</w:t>
            </w:r>
            <w:r>
              <w:rPr>
                <w:rFonts w:ascii="Times New Roman" w:hAnsi="Times New Roman" w:cs="Times New Roman" w:eastAsia="Times New Roman" w:hint="default"/>
                <w:sz w:val="18"/>
                <w:szCs w:val="18"/>
              </w:rPr>
              <w:t>14</w:t>
            </w:r>
            <w:r>
              <w:rPr>
                <w:rFonts w:ascii="宋体" w:hAnsi="宋体" w:cs="宋体" w:eastAsia="宋体" w:hint="default"/>
                <w:sz w:val="18"/>
                <w:szCs w:val="18"/>
              </w:rPr>
              <w:t>工程局有限公 司</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35" w:firstLine="33"/>
              <w:jc w:val="center"/>
              <w:rPr>
                <w:rFonts w:ascii="宋体" w:hAnsi="宋体" w:cs="宋体" w:eastAsia="宋体" w:hint="default"/>
                <w:sz w:val="18"/>
                <w:szCs w:val="18"/>
              </w:rPr>
            </w:pPr>
            <w:r>
              <w:rPr>
                <w:rFonts w:ascii="宋体" w:hAnsi="宋体" w:cs="宋体" w:eastAsia="宋体" w:hint="default"/>
                <w:sz w:val="18"/>
                <w:szCs w:val="18"/>
              </w:rPr>
              <w:t>贵州省凯里至雷山高速公路机电工 </w:t>
            </w:r>
            <w:r>
              <w:rPr>
                <w:rFonts w:ascii="宋体" w:hAnsi="宋体" w:cs="宋体" w:eastAsia="宋体" w:hint="default"/>
                <w:spacing w:val="-5"/>
                <w:sz w:val="18"/>
                <w:szCs w:val="18"/>
              </w:rPr>
              <w:t>程，起止桩号为</w:t>
            </w:r>
            <w:r>
              <w:rPr>
                <w:rFonts w:ascii="Times New Roman" w:hAnsi="Times New Roman" w:cs="Times New Roman" w:eastAsia="Times New Roman" w:hint="default"/>
                <w:spacing w:val="-5"/>
                <w:sz w:val="18"/>
                <w:szCs w:val="18"/>
              </w:rPr>
              <w:t>K0+000~K21+919</w:t>
            </w:r>
            <w:r>
              <w:rPr>
                <w:rFonts w:ascii="宋体" w:hAnsi="宋体" w:cs="宋体" w:eastAsia="宋体" w:hint="default"/>
                <w:spacing w:val="-5"/>
                <w:sz w:val="18"/>
                <w:szCs w:val="18"/>
              </w:rPr>
              <w:t>，含</w:t>
            </w:r>
            <w:r>
              <w:rPr>
                <w:rFonts w:ascii="宋体" w:hAnsi="宋体" w:cs="宋体" w:eastAsia="宋体" w:hint="default"/>
                <w:spacing w:val="-87"/>
                <w:sz w:val="18"/>
                <w:szCs w:val="18"/>
              </w:rPr>
              <w:t> </w:t>
            </w:r>
            <w:r>
              <w:rPr>
                <w:rFonts w:ascii="宋体" w:hAnsi="宋体" w:cs="宋体" w:eastAsia="宋体" w:hint="default"/>
                <w:sz w:val="18"/>
                <w:szCs w:val="18"/>
              </w:rPr>
              <w:t>西江连接线和雷山连接线</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7,565.99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74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南京凌云</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925" w:right="23" w:hanging="900"/>
              <w:jc w:val="left"/>
              <w:rPr>
                <w:rFonts w:ascii="宋体" w:hAnsi="宋体" w:cs="宋体" w:eastAsia="宋体" w:hint="default"/>
                <w:sz w:val="18"/>
                <w:szCs w:val="18"/>
              </w:rPr>
            </w:pPr>
            <w:r>
              <w:rPr>
                <w:rFonts w:ascii="宋体" w:hAnsi="宋体" w:cs="宋体" w:eastAsia="宋体" w:hint="default"/>
                <w:sz w:val="18"/>
                <w:szCs w:val="18"/>
              </w:rPr>
              <w:t>银川兵沟黄河公路大桥投资管理 有限公司</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1103" w:right="23" w:hanging="1080"/>
              <w:jc w:val="left"/>
              <w:rPr>
                <w:rFonts w:ascii="宋体" w:hAnsi="宋体" w:cs="宋体" w:eastAsia="宋体" w:hint="default"/>
                <w:sz w:val="18"/>
                <w:szCs w:val="18"/>
              </w:rPr>
            </w:pPr>
            <w:r>
              <w:rPr>
                <w:rFonts w:ascii="宋体" w:hAnsi="宋体" w:cs="宋体" w:eastAsia="宋体" w:hint="default"/>
                <w:sz w:val="18"/>
                <w:szCs w:val="18"/>
              </w:rPr>
              <w:t>银川兵沟黄河公路大桥及连接线项目 机电工程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5,345.67</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合同已签订，未执行</w:t>
            </w:r>
          </w:p>
        </w:tc>
      </w:tr>
      <w:tr>
        <w:trPr>
          <w:trHeight w:val="73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合肥市重点工程建设管理局</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193" w:right="23" w:hanging="1170"/>
              <w:jc w:val="left"/>
              <w:rPr>
                <w:rFonts w:ascii="宋体" w:hAnsi="宋体" w:cs="宋体" w:eastAsia="宋体" w:hint="default"/>
                <w:sz w:val="18"/>
                <w:szCs w:val="18"/>
              </w:rPr>
            </w:pPr>
            <w:r>
              <w:rPr>
                <w:rFonts w:ascii="宋体" w:hAnsi="宋体" w:cs="宋体" w:eastAsia="宋体" w:hint="default"/>
                <w:sz w:val="18"/>
                <w:szCs w:val="18"/>
              </w:rPr>
              <w:t>合肥市阜阳北路高架交通监控工程采 购项目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3,651.66</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42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9"/>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苏州市轨道交通集团有限公司</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苏州市轨道交通</w:t>
            </w:r>
            <w:r>
              <w:rPr>
                <w:rFonts w:ascii="Times New Roman" w:hAnsi="Times New Roman" w:cs="Times New Roman" w:eastAsia="Times New Roman" w:hint="default"/>
                <w:sz w:val="18"/>
                <w:szCs w:val="18"/>
              </w:rPr>
              <w:t>4</w:t>
            </w:r>
            <w:r>
              <w:rPr>
                <w:rFonts w:ascii="宋体" w:hAnsi="宋体" w:cs="宋体" w:eastAsia="宋体" w:hint="default"/>
                <w:sz w:val="18"/>
                <w:szCs w:val="18"/>
              </w:rPr>
              <w:t>号线及支线工程警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7,250.11</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76"/>
        <w:gridCol w:w="2585"/>
        <w:gridCol w:w="2944"/>
        <w:gridCol w:w="994"/>
        <w:gridCol w:w="1859"/>
      </w:tblGrid>
      <w:tr>
        <w:trPr>
          <w:trHeight w:val="386"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2585" w:type="dxa"/>
            <w:tcBorders>
              <w:top w:val="single" w:sz="6" w:space="0" w:color="000000"/>
              <w:left w:val="single" w:sz="6" w:space="0" w:color="000000"/>
              <w:bottom w:val="single" w:sz="6" w:space="0" w:color="000000"/>
              <w:right w:val="single" w:sz="6" w:space="0" w:color="000000"/>
            </w:tcBorders>
          </w:tcPr>
          <w:p>
            <w:pP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用通信系统采购项目（</w:t>
            </w:r>
            <w:r>
              <w:rPr>
                <w:rFonts w:ascii="Times New Roman" w:hAnsi="Times New Roman" w:cs="Times New Roman" w:eastAsia="Times New Roman" w:hint="default"/>
                <w:sz w:val="18"/>
                <w:szCs w:val="18"/>
              </w:rPr>
              <w:t>STR4-3-2</w:t>
            </w:r>
            <w:r>
              <w:rPr>
                <w:rFonts w:ascii="宋体" w:hAnsi="宋体" w:cs="宋体" w:eastAsia="宋体" w:hint="default"/>
                <w:sz w:val="18"/>
                <w:szCs w:val="18"/>
              </w:rPr>
              <w:t>标）</w:t>
            </w:r>
          </w:p>
        </w:tc>
        <w:tc>
          <w:tcPr>
            <w:tcW w:w="994" w:type="dxa"/>
            <w:tcBorders>
              <w:top w:val="single" w:sz="6" w:space="0" w:color="000000"/>
              <w:left w:val="single" w:sz="6" w:space="0" w:color="000000"/>
              <w:bottom w:val="single" w:sz="6" w:space="0" w:color="000000"/>
              <w:right w:val="single" w:sz="6" w:space="0" w:color="000000"/>
            </w:tcBorders>
          </w:tcPr>
          <w:p>
            <w:pP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69"/>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南宁轨道交通集团有限责任公司</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3" w:right="23"/>
              <w:jc w:val="center"/>
              <w:rPr>
                <w:rFonts w:ascii="宋体" w:hAnsi="宋体" w:cs="宋体" w:eastAsia="宋体" w:hint="default"/>
                <w:sz w:val="18"/>
                <w:szCs w:val="18"/>
              </w:rPr>
            </w:pPr>
            <w:r>
              <w:rPr>
                <w:rFonts w:ascii="宋体" w:hAnsi="宋体" w:cs="宋体" w:eastAsia="宋体" w:hint="default"/>
                <w:sz w:val="18"/>
                <w:szCs w:val="18"/>
              </w:rPr>
              <w:t>南宁东站综合交通枢纽一期工程（地 下空间）</w:t>
            </w:r>
            <w:r>
              <w:rPr>
                <w:rFonts w:ascii="Times New Roman" w:hAnsi="Times New Roman" w:cs="Times New Roman" w:eastAsia="Times New Roman" w:hint="default"/>
                <w:sz w:val="18"/>
                <w:szCs w:val="18"/>
              </w:rPr>
              <w:t>——</w:t>
            </w:r>
            <w:r>
              <w:rPr>
                <w:rFonts w:ascii="宋体" w:hAnsi="宋体" w:cs="宋体" w:eastAsia="宋体" w:hint="default"/>
                <w:sz w:val="18"/>
                <w:szCs w:val="18"/>
              </w:rPr>
              <w:t>公共服务工程通信系统 设备集成采购项目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3,800</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执行中</w:t>
            </w:r>
          </w:p>
        </w:tc>
      </w:tr>
      <w:tr>
        <w:trPr>
          <w:trHeight w:val="74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长沙市轨道交通集团有限公司</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03" w:right="67" w:hanging="135"/>
              <w:jc w:val="left"/>
              <w:rPr>
                <w:rFonts w:ascii="宋体" w:hAnsi="宋体" w:cs="宋体" w:eastAsia="宋体" w:hint="default"/>
                <w:sz w:val="18"/>
                <w:szCs w:val="18"/>
              </w:rPr>
            </w:pPr>
            <w:r>
              <w:rPr>
                <w:rFonts w:ascii="宋体" w:hAnsi="宋体" w:cs="宋体" w:eastAsia="宋体" w:hint="default"/>
                <w:sz w:val="18"/>
                <w:szCs w:val="18"/>
              </w:rPr>
              <w:t>长沙市轨道交通</w:t>
            </w:r>
            <w:r>
              <w:rPr>
                <w:rFonts w:ascii="Times New Roman" w:hAnsi="Times New Roman" w:cs="Times New Roman" w:eastAsia="Times New Roman" w:hint="default"/>
                <w:sz w:val="18"/>
                <w:szCs w:val="18"/>
              </w:rPr>
              <w:t>1</w:t>
            </w:r>
            <w:r>
              <w:rPr>
                <w:rFonts w:ascii="宋体" w:hAnsi="宋体" w:cs="宋体" w:eastAsia="宋体" w:hint="default"/>
                <w:sz w:val="18"/>
                <w:szCs w:val="18"/>
              </w:rPr>
              <w:t>号线一期工程通信 部分子系统采购及集成服务项目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5,550.06</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执行中</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18"/>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308,540,801.75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108,876,230.06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煤炭，石油行业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4,681,341.88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374,255,918.41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283,341,974.18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682,796,720.16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72.03%</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专网通讯技术解 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311,274,120.99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170,906,513.86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交通工程系统集 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371,522,599.17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225,993,032.26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682,796,720.16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396,899,546.12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486,785,205.81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18"/>
        <w:jc w:val="left"/>
      </w:pPr>
      <w:r>
        <w:rPr/>
        <w:t>说明</w:t>
      </w:r>
    </w:p>
    <w:p>
      <w:pPr>
        <w:pStyle w:val="BodyText"/>
        <w:spacing w:line="300" w:lineRule="auto" w:before="115"/>
        <w:ind w:right="1188" w:firstLine="325"/>
        <w:jc w:val="left"/>
      </w:pPr>
      <w:r>
        <w:rPr/>
        <w:t>报告期内，公司营业成本</w:t>
      </w:r>
      <w:r>
        <w:rPr>
          <w:rFonts w:ascii="Times New Roman" w:hAnsi="Times New Roman" w:cs="Times New Roman" w:eastAsia="Times New Roman" w:hint="default"/>
        </w:rPr>
        <w:t>682,796,720.16</w:t>
      </w:r>
      <w:r>
        <w:rPr/>
        <w:t>元，同比增长</w:t>
      </w:r>
      <w:r>
        <w:rPr>
          <w:rFonts w:ascii="Times New Roman" w:hAnsi="Times New Roman" w:cs="Times New Roman" w:eastAsia="Times New Roman" w:hint="default"/>
        </w:rPr>
        <w:t>72.03%</w:t>
      </w:r>
      <w:r>
        <w:rPr/>
        <w:t>，受前期已中标重大项目本期相继供货实施和下游市场供 货渠道拓展及存货管控的影响，本期营业成本随之增长。</w:t>
      </w:r>
    </w:p>
    <w:p>
      <w:pPr>
        <w:spacing w:line="240" w:lineRule="auto" w:before="6"/>
        <w:rPr>
          <w:rFonts w:ascii="宋体" w:hAnsi="宋体" w:cs="宋体" w:eastAsia="宋体" w:hint="default"/>
          <w:sz w:val="23"/>
          <w:szCs w:val="23"/>
        </w:rPr>
      </w:pPr>
    </w:p>
    <w:p>
      <w:pPr>
        <w:pStyle w:val="Heading3"/>
        <w:spacing w:line="240" w:lineRule="auto"/>
        <w:ind w:left="154" w:right="1118"/>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2"/>
        <w:ind w:right="1118" w:firstLine="315"/>
        <w:jc w:val="left"/>
      </w:pPr>
      <w:r>
        <w:rPr/>
        <w:t>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12</w:t>
      </w:r>
      <w:r>
        <w:rPr/>
        <w:t>户，较上年度增加</w:t>
      </w:r>
      <w:r>
        <w:rPr>
          <w:rFonts w:ascii="Times New Roman" w:hAnsi="Times New Roman" w:cs="Times New Roman" w:eastAsia="Times New Roman" w:hint="default"/>
        </w:rPr>
        <w:t>7</w:t>
      </w:r>
      <w:r>
        <w:rPr/>
        <w:t>户（其中：新设子公司</w:t>
      </w:r>
      <w:r>
        <w:rPr>
          <w:rFonts w:ascii="Times New Roman" w:hAnsi="Times New Roman" w:cs="Times New Roman" w:eastAsia="Times New Roman" w:hint="default"/>
        </w:rPr>
        <w:t>5</w:t>
      </w:r>
      <w:r>
        <w:rPr/>
        <w:t>户、入伙合伙企业</w:t>
      </w:r>
      <w:r>
        <w:rPr>
          <w:rFonts w:ascii="Times New Roman" w:hAnsi="Times New Roman" w:cs="Times New Roman" w:eastAsia="Times New Roman" w:hint="default"/>
        </w:rPr>
        <w:t>1</w:t>
      </w:r>
      <w:r>
        <w:rPr/>
        <w:t>户、收购子 公司</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3</w:t>
      </w:r>
      <w:r>
        <w:rPr/>
        <w:t>户。</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253,473,131.62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29.95%</w:t>
            </w:r>
          </w:p>
        </w:tc>
      </w:tr>
    </w:tbl>
    <w:p>
      <w:pPr>
        <w:pStyle w:val="BodyText"/>
        <w:spacing w:line="240" w:lineRule="auto" w:before="51"/>
        <w:ind w:left="154" w:right="11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65,738,686.21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56,766,088.17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46,678,736.40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45,511,843.07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38,777,777.77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253,473,131.62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29.95%</w:t>
            </w:r>
          </w:p>
        </w:tc>
      </w:tr>
    </w:tbl>
    <w:p>
      <w:pPr>
        <w:pStyle w:val="BodyText"/>
        <w:spacing w:line="240" w:lineRule="auto" w:before="51"/>
        <w:ind w:left="154" w:right="1118"/>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160,836,478.14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w:t>
            </w:r>
          </w:p>
        </w:tc>
      </w:tr>
    </w:tbl>
    <w:p>
      <w:pPr>
        <w:pStyle w:val="BodyText"/>
        <w:spacing w:line="240" w:lineRule="auto" w:before="51"/>
        <w:ind w:left="154" w:right="11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56,883,768.74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36,481,415.22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34,398,508.14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17,020,586.04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16,052,200.00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160,836,478.14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w:t>
            </w:r>
          </w:p>
        </w:tc>
      </w:tr>
    </w:tbl>
    <w:p>
      <w:pPr>
        <w:pStyle w:val="BodyText"/>
        <w:spacing w:line="240" w:lineRule="auto" w:before="51"/>
        <w:ind w:left="154" w:right="1118"/>
        <w:jc w:val="left"/>
      </w:pPr>
      <w:r>
        <w:rPr/>
        <w:t>主要供应商其他情况说明</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559"/>
        <w:gridCol w:w="1276"/>
        <w:gridCol w:w="3756"/>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559"/>
        <w:gridCol w:w="1276"/>
        <w:gridCol w:w="3756"/>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38,721,169.69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39,333,767.73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62,353,281.07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59,193,983.87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36,901,241.41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33,263,542.48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c>
          <w:tcPr>
            <w:tcW w:w="37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9,268,512.60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5,151,598.88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79.92%</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报告期内同比增长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79.92%</w:t>
            </w:r>
            <w:r>
              <w:rPr>
                <w:rFonts w:ascii="宋体" w:hAnsi="宋体" w:cs="宋体" w:eastAsia="宋体" w:hint="default"/>
                <w:sz w:val="18"/>
                <w:szCs w:val="18"/>
              </w:rPr>
              <w:t>，主要系本年度主营 业务收入增加所致。</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10,495,533.43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-1,076,458.41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1,075.01%</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报告期内同比增长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1,075.01%</w:t>
            </w:r>
            <w:r>
              <w:rPr>
                <w:rFonts w:ascii="宋体" w:hAnsi="宋体" w:cs="宋体" w:eastAsia="宋体" w:hint="default"/>
                <w:sz w:val="18"/>
                <w:szCs w:val="18"/>
              </w:rPr>
              <w:t>，主要系受部分跨 </w:t>
            </w:r>
            <w:r>
              <w:rPr>
                <w:rFonts w:ascii="宋体" w:hAnsi="宋体" w:cs="宋体" w:eastAsia="宋体" w:hint="default"/>
                <w:spacing w:val="-4"/>
                <w:sz w:val="18"/>
                <w:szCs w:val="18"/>
              </w:rPr>
              <w:t>期项目客户方建设周期冗长影响，公司对应收款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项计提坏账准备所致。</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8,447,527.13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16,422,073.86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-48.56%</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报告期内同比下降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48.56%</w:t>
            </w:r>
            <w:r>
              <w:rPr>
                <w:rFonts w:ascii="宋体" w:hAnsi="宋体" w:cs="宋体" w:eastAsia="宋体" w:hint="default"/>
                <w:sz w:val="18"/>
                <w:szCs w:val="18"/>
              </w:rPr>
              <w:t>，主要系本年度转让 </w:t>
            </w:r>
            <w:r>
              <w:rPr>
                <w:rFonts w:ascii="宋体" w:hAnsi="宋体" w:cs="宋体" w:eastAsia="宋体" w:hint="default"/>
                <w:spacing w:val="-4"/>
                <w:sz w:val="18"/>
                <w:szCs w:val="18"/>
              </w:rPr>
              <w:t>资产管理公司及新设公司投资收益较少，而去年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同期转让高清等子公司投资收益较大所致。</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1,857,506.37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1,221,284.98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52.09%</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报告期内同比增长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52.09%</w:t>
            </w:r>
            <w:r>
              <w:rPr>
                <w:rFonts w:ascii="宋体" w:hAnsi="宋体" w:cs="宋体" w:eastAsia="宋体" w:hint="default"/>
                <w:sz w:val="18"/>
                <w:szCs w:val="18"/>
              </w:rPr>
              <w:t>，主要系本年度主营 业务收入增加所致。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06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报告期内，公司研发支出为</w:t>
      </w:r>
      <w:r>
        <w:rPr>
          <w:rFonts w:ascii="Times New Roman" w:hAnsi="Times New Roman" w:cs="Times New Roman" w:eastAsia="Times New Roman" w:hint="default"/>
        </w:rPr>
        <w:t>12,281,297.48</w:t>
      </w:r>
      <w:r>
        <w:rPr/>
        <w:t>元，同比下降</w:t>
      </w:r>
      <w:r>
        <w:rPr>
          <w:rFonts w:ascii="Times New Roman" w:hAnsi="Times New Roman" w:cs="Times New Roman" w:eastAsia="Times New Roman" w:hint="default"/>
        </w:rPr>
        <w:t>28.12%</w:t>
      </w:r>
      <w:r>
        <w:rPr/>
        <w:t>，公司研发支出减少的主要原因是前次募投项目的完工、</w:t>
      </w:r>
    </w:p>
    <w:p>
      <w:pPr>
        <w:pStyle w:val="BodyText"/>
        <w:spacing w:line="218" w:lineRule="exact"/>
        <w:ind w:right="1118"/>
        <w:jc w:val="left"/>
      </w:pPr>
      <w:r>
        <w:rPr/>
        <w:t>部分合作项目结束、本年度研发项目减少，研发费用投入有所减少所致。</w:t>
      </w:r>
    </w:p>
    <w:p>
      <w:pPr>
        <w:pStyle w:val="BodyText"/>
        <w:spacing w:line="240" w:lineRule="auto" w:before="116"/>
        <w:ind w:right="1118"/>
        <w:jc w:val="left"/>
      </w:pPr>
      <w:r>
        <w:rPr/>
        <w:t>公司研发投入情况</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56"/>
        <w:gridCol w:w="2244"/>
        <w:gridCol w:w="224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12,281,297.48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17,086,742.54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18"/>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0"/>
        <w:ind w:right="9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近两年专利数情况</w:t>
      </w:r>
    </w:p>
    <w:p>
      <w:pPr>
        <w:pStyle w:val="BodyText"/>
        <w:spacing w:line="240" w:lineRule="auto" w:before="4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19"/>
        <w:gridCol w:w="6351"/>
      </w:tblGrid>
      <w:tr>
        <w:trPr>
          <w:trHeight w:val="714"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无变动</w:t>
            </w:r>
          </w:p>
        </w:tc>
      </w:tr>
      <w:tr>
        <w:trPr>
          <w:trHeight w:val="402"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350"/>
        <w:gridCol w:w="2339"/>
        <w:gridCol w:w="2339"/>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1,257,019,826.15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862,056,693.33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890,517,768.49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568,745,214.13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366,502,057.66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293,311,479.20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14,025,666.83</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89,212,633.92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259,155,986.77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125,038,611.21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-245,130,319.94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-35,825,977.29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584.23%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587,441,495.62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541,078,967.16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661,535,125.71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756,410,861.35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-74,093,630.09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-215,331,894.19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47,374,912.31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41,106,822.18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15.25%</w:t>
            </w:r>
          </w:p>
        </w:tc>
      </w:tr>
    </w:tbl>
    <w:p>
      <w:pPr>
        <w:pStyle w:val="BodyText"/>
        <w:spacing w:line="240" w:lineRule="auto" w:before="51"/>
        <w:ind w:left="154" w:right="1118"/>
        <w:jc w:val="left"/>
      </w:pPr>
      <w:r>
        <w:rPr/>
        <w:t>相关数据同比发生重大变动的主要影响因素说明</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08" w:firstLine="360"/>
        <w:jc w:val="left"/>
      </w:pPr>
      <w:r>
        <w:rPr/>
        <w:t>（</w:t>
      </w:r>
      <w:r>
        <w:rPr>
          <w:rFonts w:ascii="Times New Roman" w:hAnsi="Times New Roman" w:cs="Times New Roman" w:eastAsia="Times New Roman" w:hint="default"/>
        </w:rPr>
        <w:t>1</w:t>
      </w:r>
      <w:r>
        <w:rPr/>
        <w:t>）报告期内，公司经营活动现金流入为</w:t>
      </w:r>
      <w:r>
        <w:rPr>
          <w:rFonts w:ascii="Times New Roman" w:hAnsi="Times New Roman" w:cs="Times New Roman" w:eastAsia="Times New Roman" w:hint="default"/>
        </w:rPr>
        <w:t>1,257,019,826.15</w:t>
      </w:r>
      <w:r>
        <w:rPr/>
        <w:t>，同比增长</w:t>
      </w:r>
      <w:r>
        <w:rPr>
          <w:rFonts w:ascii="Times New Roman" w:hAnsi="Times New Roman" w:cs="Times New Roman" w:eastAsia="Times New Roman" w:hint="default"/>
        </w:rPr>
        <w:t>45.82%</w:t>
      </w:r>
      <w:r>
        <w:rPr/>
        <w:t>，主要原因系公司加强应收帐款的催收， 提升管理效率，应收账款回收高于去年同期所致。</w:t>
      </w:r>
    </w:p>
    <w:p>
      <w:pPr>
        <w:pStyle w:val="BodyText"/>
        <w:spacing w:line="300" w:lineRule="auto" w:before="31"/>
        <w:ind w:right="1118" w:firstLine="360"/>
        <w:jc w:val="left"/>
      </w:pPr>
      <w:r>
        <w:rPr/>
        <w:t>（</w:t>
      </w:r>
      <w:r>
        <w:rPr>
          <w:rFonts w:ascii="Times New Roman" w:hAnsi="Times New Roman" w:cs="Times New Roman" w:eastAsia="Times New Roman" w:hint="default"/>
        </w:rPr>
        <w:t>2</w:t>
      </w:r>
      <w:r>
        <w:rPr/>
        <w:t>）报告期内，公司经营活动现金流出为</w:t>
      </w:r>
      <w:r>
        <w:rPr>
          <w:rFonts w:ascii="Times New Roman" w:hAnsi="Times New Roman" w:cs="Times New Roman" w:eastAsia="Times New Roman" w:hint="default"/>
        </w:rPr>
        <w:t>890,517,768.49,</w:t>
      </w:r>
      <w:r>
        <w:rPr/>
        <w:t>同比增长</w:t>
      </w:r>
      <w:r>
        <w:rPr>
          <w:rFonts w:ascii="Times New Roman" w:hAnsi="Times New Roman" w:cs="Times New Roman" w:eastAsia="Times New Roman" w:hint="default"/>
        </w:rPr>
        <w:t>56.58%</w:t>
      </w:r>
      <w:r>
        <w:rPr/>
        <w:t>，主要原因系公司本年度随业务增长和项目 执行，采购付款较上年顺畅所致。</w:t>
      </w:r>
    </w:p>
    <w:p>
      <w:pPr>
        <w:pStyle w:val="BodyText"/>
        <w:spacing w:line="300" w:lineRule="auto" w:before="31"/>
        <w:ind w:left="154" w:right="1118" w:firstLine="360"/>
        <w:jc w:val="left"/>
      </w:pPr>
      <w:r>
        <w:rPr/>
        <w:t>（</w:t>
      </w:r>
      <w:r>
        <w:rPr>
          <w:rFonts w:ascii="Times New Roman" w:hAnsi="Times New Roman" w:cs="Times New Roman" w:eastAsia="Times New Roman" w:hint="default"/>
        </w:rPr>
        <w:t>3</w:t>
      </w:r>
      <w:r>
        <w:rPr/>
        <w:t>）报告期内，公司投资活动现金流入为</w:t>
      </w:r>
      <w:r>
        <w:rPr>
          <w:rFonts w:ascii="Times New Roman" w:hAnsi="Times New Roman" w:cs="Times New Roman" w:eastAsia="Times New Roman" w:hint="default"/>
        </w:rPr>
        <w:t>14,025,666.83</w:t>
      </w:r>
      <w:r>
        <w:rPr/>
        <w:t>，同比下降</w:t>
      </w:r>
      <w:r>
        <w:rPr>
          <w:rFonts w:ascii="Times New Roman" w:hAnsi="Times New Roman" w:cs="Times New Roman" w:eastAsia="Times New Roman" w:hint="default"/>
        </w:rPr>
        <w:t>84.28%</w:t>
      </w:r>
      <w:r>
        <w:rPr/>
        <w:t>，主要原因系上年同期处置子公司产生较多 现金流所致。</w:t>
      </w:r>
    </w:p>
    <w:p>
      <w:pPr>
        <w:pStyle w:val="BodyText"/>
        <w:spacing w:line="300" w:lineRule="auto" w:before="31"/>
        <w:ind w:left="154" w:right="1118" w:firstLine="360"/>
        <w:jc w:val="left"/>
      </w:pPr>
      <w:r>
        <w:rPr/>
        <w:t>（</w:t>
      </w:r>
      <w:r>
        <w:rPr>
          <w:rFonts w:ascii="Times New Roman" w:hAnsi="Times New Roman" w:cs="Times New Roman" w:eastAsia="Times New Roman" w:hint="default"/>
        </w:rPr>
        <w:t>4</w:t>
      </w:r>
      <w:r>
        <w:rPr/>
        <w:t>）报告期内，公司投资活动现金流出为</w:t>
      </w:r>
      <w:r>
        <w:rPr>
          <w:rFonts w:ascii="Times New Roman" w:hAnsi="Times New Roman" w:cs="Times New Roman" w:eastAsia="Times New Roman" w:hint="default"/>
        </w:rPr>
        <w:t>259,155,986.77</w:t>
      </w:r>
      <w:r>
        <w:rPr/>
        <w:t>，同比增长了</w:t>
      </w:r>
      <w:r>
        <w:rPr>
          <w:rFonts w:ascii="Times New Roman" w:hAnsi="Times New Roman" w:cs="Times New Roman" w:eastAsia="Times New Roman" w:hint="default"/>
        </w:rPr>
        <w:t>107.26%</w:t>
      </w:r>
      <w:r>
        <w:rPr/>
        <w:t>，主要原因系公司本年度内新增投资子 公司和合营企业所致。</w:t>
      </w:r>
    </w:p>
    <w:p>
      <w:pPr>
        <w:pStyle w:val="BodyText"/>
        <w:spacing w:line="300" w:lineRule="auto" w:before="31"/>
        <w:ind w:left="154" w:right="1118" w:firstLine="289"/>
        <w:jc w:val="left"/>
      </w:pPr>
      <w:r>
        <w:rPr/>
        <w:t>（</w:t>
      </w:r>
      <w:r>
        <w:rPr>
          <w:rFonts w:ascii="Times New Roman" w:hAnsi="Times New Roman" w:cs="Times New Roman" w:eastAsia="Times New Roman" w:hint="default"/>
        </w:rPr>
        <w:t>5</w:t>
      </w:r>
      <w:r>
        <w:rPr/>
        <w:t>）报告期内，公司筹资活动产生的现金流量净额为</w:t>
      </w:r>
      <w:r>
        <w:rPr>
          <w:rFonts w:ascii="Times New Roman" w:hAnsi="Times New Roman" w:cs="Times New Roman" w:eastAsia="Times New Roman" w:hint="default"/>
        </w:rPr>
        <w:t>-74,093,630.09</w:t>
      </w:r>
      <w:r>
        <w:rPr/>
        <w:t>，同比下降</w:t>
      </w:r>
      <w:r>
        <w:rPr>
          <w:rFonts w:ascii="Times New Roman" w:hAnsi="Times New Roman" w:cs="Times New Roman" w:eastAsia="Times New Roman" w:hint="default"/>
        </w:rPr>
        <w:t>65.59%</w:t>
      </w:r>
      <w:r>
        <w:rPr/>
        <w:t>，主要原因系公司银行借款低于</w:t>
      </w:r>
      <w:r>
        <w:rPr>
          <w:spacing w:val="1"/>
        </w:rPr>
        <w:t> </w:t>
      </w:r>
      <w:r>
        <w:rPr/>
        <w:t>去年同期所致。</w:t>
      </w:r>
    </w:p>
    <w:p>
      <w:pPr>
        <w:pStyle w:val="BodyText"/>
        <w:spacing w:line="240" w:lineRule="auto" w:before="72"/>
        <w:ind w:left="154" w:right="1118"/>
        <w:jc w:val="left"/>
      </w:pPr>
      <w:r>
        <w:rPr/>
        <w:t>报告期内公司经营活动产生的现金净流量与本年度净利润存在重大差异的原因说明</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901"/>
        <w:gridCol w:w="1196"/>
        <w:gridCol w:w="1063"/>
        <w:gridCol w:w="950"/>
        <w:gridCol w:w="2765"/>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50" w:type="dxa"/>
            <w:vMerge/>
            <w:tcBorders>
              <w:left w:val="single" w:sz="4" w:space="0" w:color="000000"/>
              <w:bottom w:val="nil" w:sz="6" w:space="0" w:color="auto"/>
              <w:right w:val="single" w:sz="4" w:space="0" w:color="000000"/>
            </w:tcBorders>
            <w:shd w:val="clear" w:color="auto" w:fill="D2D2D2"/>
          </w:tcPr>
          <w:p>
            <w:pP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50" w:type="dxa"/>
            <w:vMerge w:val="restart"/>
            <w:tcBorders>
              <w:top w:val="nil" w:sz="6" w:space="0" w:color="auto"/>
              <w:left w:val="single" w:sz="4" w:space="0" w:color="000000"/>
              <w:right w:val="single" w:sz="4" w:space="0" w:color="000000"/>
            </w:tcBorders>
            <w:shd w:val="clear" w:color="auto" w:fill="D2D2D2"/>
          </w:tcPr>
          <w:p>
            <w:pPr/>
          </w:p>
        </w:tc>
        <w:tc>
          <w:tcPr>
            <w:tcW w:w="276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27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416,483,109.12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354,178,982.14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533,362,623.25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538,507,343.55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148,507,865.43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265,955,731.40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161,544,324.99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39,161,600.00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304,807,489.79</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15.55%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116,231,723.10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6.07%</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9.48%</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报告期内，在建工程光明软件园转 入固定资产所致。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253,312,549.68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13.24%</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-13.24%</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报告期内，在建工程光明软件园转 入固定资产所致。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325,580,000.00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198,764,349.47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39,161,600.00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308.56%</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1"/>
        <w:gridCol w:w="678"/>
        <w:gridCol w:w="485"/>
        <w:gridCol w:w="806"/>
        <w:gridCol w:w="647"/>
        <w:gridCol w:w="532"/>
        <w:gridCol w:w="756"/>
        <w:gridCol w:w="520"/>
        <w:gridCol w:w="426"/>
        <w:gridCol w:w="708"/>
        <w:gridCol w:w="708"/>
        <w:gridCol w:w="710"/>
        <w:gridCol w:w="425"/>
        <w:gridCol w:w="568"/>
        <w:gridCol w:w="1297"/>
      </w:tblGrid>
      <w:tr>
        <w:trPr>
          <w:trHeight w:val="1650"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4" w:right="64"/>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9" w:right="4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0" w:right="8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4" w:right="7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7" w:right="78"/>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99"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63" w:right="102"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1"/>
        <w:gridCol w:w="678"/>
        <w:gridCol w:w="485"/>
        <w:gridCol w:w="806"/>
        <w:gridCol w:w="647"/>
        <w:gridCol w:w="532"/>
        <w:gridCol w:w="756"/>
        <w:gridCol w:w="520"/>
        <w:gridCol w:w="426"/>
        <w:gridCol w:w="708"/>
        <w:gridCol w:w="708"/>
        <w:gridCol w:w="710"/>
        <w:gridCol w:w="425"/>
        <w:gridCol w:w="568"/>
        <w:gridCol w:w="1297"/>
      </w:tblGrid>
      <w:tr>
        <w:trPr>
          <w:trHeight w:val="2954"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2"/>
              <w:ind w:left="22" w:right="106"/>
              <w:jc w:val="both"/>
              <w:rPr>
                <w:rFonts w:ascii="宋体" w:hAnsi="宋体" w:cs="宋体" w:eastAsia="宋体" w:hint="default"/>
                <w:sz w:val="18"/>
                <w:szCs w:val="18"/>
              </w:rPr>
            </w:pPr>
            <w:r>
              <w:rPr>
                <w:rFonts w:ascii="宋体" w:hAnsi="宋体" w:cs="宋体" w:eastAsia="宋体" w:hint="default"/>
                <w:sz w:val="18"/>
                <w:szCs w:val="18"/>
              </w:rPr>
              <w:t>深圳盈 华小额 贷款有 限公司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2" w:right="103"/>
              <w:jc w:val="both"/>
              <w:rPr>
                <w:rFonts w:ascii="宋体" w:hAnsi="宋体" w:cs="宋体" w:eastAsia="宋体" w:hint="default"/>
                <w:sz w:val="18"/>
                <w:szCs w:val="18"/>
              </w:rPr>
            </w:pPr>
            <w:r>
              <w:rPr>
                <w:rFonts w:ascii="宋体" w:hAnsi="宋体" w:cs="宋体" w:eastAsia="宋体" w:hint="default"/>
                <w:sz w:val="18"/>
                <w:szCs w:val="18"/>
              </w:rPr>
              <w:t>专营小 额贷款 业务</w:t>
            </w:r>
          </w:p>
          <w:p>
            <w:pPr>
              <w:pStyle w:val="TableParagraph"/>
              <w:spacing w:line="319" w:lineRule="auto" w:before="19"/>
              <w:ind w:left="22" w:right="103"/>
              <w:jc w:val="left"/>
              <w:rPr>
                <w:rFonts w:ascii="宋体" w:hAnsi="宋体" w:cs="宋体" w:eastAsia="宋体" w:hint="default"/>
                <w:sz w:val="18"/>
                <w:szCs w:val="18"/>
              </w:rPr>
            </w:pPr>
            <w:r>
              <w:rPr>
                <w:rFonts w:ascii="宋体" w:hAnsi="宋体" w:cs="宋体" w:eastAsia="宋体" w:hint="default"/>
                <w:sz w:val="18"/>
                <w:szCs w:val="18"/>
              </w:rPr>
              <w:t>（不得 吸收公 众存 </w:t>
            </w:r>
            <w:r>
              <w:rPr>
                <w:rFonts w:ascii="宋体" w:hAnsi="宋体" w:cs="宋体" w:eastAsia="宋体" w:hint="default"/>
                <w:spacing w:val="-30"/>
                <w:sz w:val="18"/>
                <w:szCs w:val="18"/>
              </w:rPr>
              <w:t>款）。</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67"/>
              <w:jc w:val="center"/>
              <w:rPr>
                <w:rFonts w:ascii="宋体" w:hAnsi="宋体" w:cs="宋体" w:eastAsia="宋体" w:hint="default"/>
                <w:sz w:val="18"/>
                <w:szCs w:val="18"/>
              </w:rPr>
            </w:pPr>
            <w:r>
              <w:rPr>
                <w:rFonts w:ascii="宋体" w:hAnsi="宋体" w:cs="宋体" w:eastAsia="宋体" w:hint="default"/>
                <w:sz w:val="18"/>
                <w:szCs w:val="18"/>
              </w:rPr>
              <w:t>新设</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00.00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9"/>
              <w:ind w:left="22" w:right="21"/>
              <w:jc w:val="left"/>
              <w:rPr>
                <w:rFonts w:ascii="宋体" w:hAnsi="宋体" w:cs="宋体" w:eastAsia="宋体" w:hint="default"/>
                <w:sz w:val="18"/>
                <w:szCs w:val="18"/>
              </w:rPr>
            </w:pPr>
            <w:r>
              <w:rPr>
                <w:rFonts w:ascii="宋体" w:hAnsi="宋体" w:cs="宋体" w:eastAsia="宋体" w:hint="default"/>
                <w:sz w:val="18"/>
                <w:szCs w:val="18"/>
              </w:rPr>
              <w:t>深圳市 方太厨 具有限 </w:t>
            </w:r>
            <w:r>
              <w:rPr>
                <w:rFonts w:ascii="宋体" w:hAnsi="宋体" w:cs="宋体" w:eastAsia="宋体" w:hint="default"/>
                <w:spacing w:val="-6"/>
                <w:sz w:val="18"/>
                <w:szCs w:val="18"/>
              </w:rPr>
              <w:t>公司；深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圳市亦 禾供应 链管理 有限公 司</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2"/>
              <w:jc w:val="center"/>
              <w:rPr>
                <w:rFonts w:ascii="宋体" w:hAnsi="宋体" w:cs="宋体" w:eastAsia="宋体" w:hint="default"/>
                <w:sz w:val="18"/>
                <w:szCs w:val="18"/>
              </w:rPr>
            </w:pPr>
            <w:r>
              <w:rPr>
                <w:rFonts w:ascii="宋体" w:hAnsi="宋体" w:cs="宋体" w:eastAsia="宋体" w:hint="default"/>
                <w:sz w:val="18"/>
                <w:szCs w:val="18"/>
              </w:rPr>
              <w:t>长期</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已于</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日成立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4,088,75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3,012,09</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0.75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38" w:lineRule="auto"/>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 网（网址为 </w:t>
            </w:r>
            <w:r>
              <w:rPr>
                <w:rFonts w:ascii="Times New Roman" w:hAnsi="Times New Roman" w:cs="Times New Roman" w:eastAsia="Times New Roman" w:hint="default"/>
                <w:spacing w:val="-1"/>
                <w:sz w:val="18"/>
                <w:szCs w:val="18"/>
              </w:rPr>
              <w:t>http://www.cninf</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）披露</w:t>
            </w:r>
          </w:p>
          <w:p>
            <w:pPr>
              <w:pStyle w:val="TableParagraph"/>
              <w:spacing w:line="319" w:lineRule="auto" w:before="63"/>
              <w:ind w:left="22" w:right="22"/>
              <w:jc w:val="left"/>
              <w:rPr>
                <w:rFonts w:ascii="宋体" w:hAnsi="宋体" w:cs="宋体" w:eastAsia="宋体" w:hint="default"/>
                <w:sz w:val="18"/>
                <w:szCs w:val="18"/>
              </w:rPr>
            </w:pPr>
            <w:r>
              <w:rPr>
                <w:rFonts w:ascii="宋体" w:hAnsi="宋体" w:cs="宋体" w:eastAsia="宋体" w:hint="default"/>
                <w:spacing w:val="-3"/>
                <w:sz w:val="18"/>
                <w:szCs w:val="18"/>
              </w:rPr>
              <w:t>的《关于投资设</w:t>
            </w:r>
            <w:r>
              <w:rPr>
                <w:rFonts w:ascii="宋体" w:hAnsi="宋体" w:cs="宋体" w:eastAsia="宋体" w:hint="default"/>
                <w:sz w:val="18"/>
                <w:szCs w:val="18"/>
              </w:rPr>
              <w:t> 立小额贷款公 </w:t>
            </w:r>
            <w:r>
              <w:rPr>
                <w:rFonts w:ascii="宋体" w:hAnsi="宋体" w:cs="宋体" w:eastAsia="宋体" w:hint="default"/>
                <w:spacing w:val="-13"/>
                <w:sz w:val="18"/>
                <w:szCs w:val="18"/>
              </w:rPr>
              <w:t>司的公告》（编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2015-016</w:t>
            </w:r>
            <w:r>
              <w:rPr>
                <w:rFonts w:ascii="宋体" w:hAnsi="宋体" w:cs="宋体" w:eastAsia="宋体" w:hint="default"/>
                <w:sz w:val="18"/>
                <w:szCs w:val="18"/>
              </w:rPr>
              <w:t>）</w:t>
            </w:r>
          </w:p>
        </w:tc>
      </w:tr>
      <w:tr>
        <w:trPr>
          <w:trHeight w:val="830"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53"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9" w:right="0"/>
              <w:jc w:val="left"/>
              <w:rPr>
                <w:rFonts w:ascii="Times New Roman" w:hAnsi="Times New Roman" w:cs="Times New Roman" w:eastAsia="Times New Roman" w:hint="default"/>
                <w:sz w:val="18"/>
                <w:szCs w:val="18"/>
              </w:rPr>
            </w:pPr>
            <w:r>
              <w:rPr>
                <w:rFonts w:ascii="Times New Roman"/>
                <w:sz w:val="18"/>
              </w:rPr>
              <w:t>00.00</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5" w:right="0"/>
              <w:jc w:val="left"/>
              <w:rPr>
                <w:rFonts w:ascii="Times New Roman" w:hAnsi="Times New Roman" w:cs="Times New Roman" w:eastAsia="Times New Roman" w:hint="default"/>
                <w:sz w:val="18"/>
                <w:szCs w:val="18"/>
              </w:rPr>
            </w:pPr>
            <w:r>
              <w:rPr>
                <w:rFonts w:ascii="Times New Roman"/>
                <w:sz w:val="18"/>
              </w:rPr>
              <w:t>4,088,75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7" w:right="0"/>
              <w:jc w:val="left"/>
              <w:rPr>
                <w:rFonts w:ascii="Times New Roman" w:hAnsi="Times New Roman" w:cs="Times New Roman" w:eastAsia="Times New Roman" w:hint="default"/>
                <w:sz w:val="18"/>
                <w:szCs w:val="18"/>
              </w:rPr>
            </w:pPr>
            <w:r>
              <w:rPr>
                <w:rFonts w:ascii="Times New Roman"/>
                <w:sz w:val="18"/>
              </w:rPr>
              <w:t>3,012,09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0.75</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1118"/>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568"/>
        <w:gridCol w:w="708"/>
        <w:gridCol w:w="568"/>
        <w:gridCol w:w="709"/>
        <w:gridCol w:w="567"/>
        <w:gridCol w:w="568"/>
        <w:gridCol w:w="425"/>
        <w:gridCol w:w="709"/>
        <w:gridCol w:w="425"/>
        <w:gridCol w:w="425"/>
        <w:gridCol w:w="710"/>
        <w:gridCol w:w="566"/>
        <w:gridCol w:w="1493"/>
      </w:tblGrid>
      <w:tr>
        <w:trPr>
          <w:trHeight w:val="4146"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98" w:right="99"/>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88" w:right="97"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79" w:right="7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本期 初起 至出 售日 该资 产为 上市 公司 贡献 的净 利润</w:t>
            </w:r>
          </w:p>
          <w:p>
            <w:pPr>
              <w:pStyle w:val="TableParagraph"/>
              <w:spacing w:line="319" w:lineRule="auto" w:before="19"/>
              <w:ind w:left="99" w:right="96"/>
              <w:jc w:val="both"/>
              <w:rPr>
                <w:rFonts w:ascii="宋体" w:hAnsi="宋体" w:cs="宋体" w:eastAsia="宋体" w:hint="default"/>
                <w:sz w:val="18"/>
                <w:szCs w:val="18"/>
              </w:rPr>
            </w:pPr>
            <w:r>
              <w:rPr>
                <w:rFonts w:ascii="宋体" w:hAnsi="宋体" w:cs="宋体" w:eastAsia="宋体" w:hint="default"/>
                <w:sz w:val="18"/>
                <w:szCs w:val="18"/>
              </w:rPr>
              <w:t>（万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21" w:hanging="1"/>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17"/>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资产 出售 为上 市公 司贡 献的 净利 润占 净利 润总 额的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8" w:right="97"/>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6" w:right="2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44" w:hanging="68"/>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z w:val="18"/>
                <w:szCs w:val="18"/>
              </w:rPr>
              <w:t> 关联交 易情形）</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6" w:right="26"/>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6" w:right="26"/>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hanging="68"/>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计划实 </w:t>
            </w:r>
            <w:r>
              <w:rPr>
                <w:rFonts w:ascii="宋体" w:hAnsi="宋体" w:cs="宋体" w:eastAsia="宋体" w:hint="default"/>
                <w:spacing w:val="-17"/>
                <w:sz w:val="18"/>
                <w:szCs w:val="18"/>
              </w:rPr>
              <w:t>施，应当</w:t>
            </w:r>
            <w:r>
              <w:rPr>
                <w:rFonts w:ascii="宋体" w:hAnsi="宋体" w:cs="宋体" w:eastAsia="宋体" w:hint="default"/>
                <w:sz w:val="18"/>
                <w:szCs w:val="18"/>
              </w:rPr>
              <w:t> 说明原 因及公 司已采 取的措</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568"/>
        <w:gridCol w:w="708"/>
        <w:gridCol w:w="568"/>
        <w:gridCol w:w="709"/>
        <w:gridCol w:w="567"/>
        <w:gridCol w:w="568"/>
        <w:gridCol w:w="425"/>
        <w:gridCol w:w="709"/>
        <w:gridCol w:w="425"/>
        <w:gridCol w:w="425"/>
        <w:gridCol w:w="710"/>
        <w:gridCol w:w="566"/>
        <w:gridCol w:w="1493"/>
      </w:tblGrid>
      <w:tr>
        <w:trPr>
          <w:trHeight w:val="19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东莞 市恒 岁贸 易有 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both"/>
              <w:rPr>
                <w:rFonts w:ascii="宋体" w:hAnsi="宋体" w:cs="宋体" w:eastAsia="宋体" w:hint="default"/>
                <w:sz w:val="18"/>
                <w:szCs w:val="18"/>
              </w:rPr>
            </w:pPr>
            <w:r>
              <w:rPr>
                <w:rFonts w:ascii="宋体" w:hAnsi="宋体" w:cs="宋体" w:eastAsia="宋体" w:hint="default"/>
                <w:sz w:val="18"/>
                <w:szCs w:val="18"/>
              </w:rPr>
              <w:t>东莞 松山 湖房 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有助于 公司盘 活资产</w:t>
            </w: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已完成 过户</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73"/>
              <w:jc w:val="left"/>
              <w:rPr>
                <w:rFonts w:ascii="宋体" w:hAnsi="宋体" w:cs="宋体" w:eastAsia="宋体" w:hint="default"/>
                <w:sz w:val="18"/>
                <w:szCs w:val="18"/>
              </w:rPr>
            </w:pPr>
            <w:r>
              <w:rPr>
                <w:rFonts w:ascii="宋体" w:hAnsi="宋体" w:cs="宋体" w:eastAsia="宋体" w:hint="default"/>
                <w:sz w:val="18"/>
                <w:szCs w:val="18"/>
              </w:rPr>
              <w:t>浩瀚 天成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6,717.32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0"/>
              <w:jc w:val="left"/>
              <w:rPr>
                <w:rFonts w:ascii="宋体" w:hAnsi="宋体" w:cs="宋体" w:eastAsia="宋体" w:hint="default"/>
                <w:sz w:val="18"/>
                <w:szCs w:val="18"/>
              </w:rPr>
            </w:pPr>
            <w:r>
              <w:rPr>
                <w:rFonts w:ascii="宋体" w:hAnsi="宋体" w:cs="宋体" w:eastAsia="宋体" w:hint="default"/>
                <w:sz w:val="18"/>
                <w:szCs w:val="18"/>
              </w:rPr>
              <w:t>有助于 公司盘 活资产， 专注主 营业务</w:t>
            </w:r>
          </w:p>
        </w:tc>
        <w:tc>
          <w:tcPr>
            <w:tcW w:w="567" w:type="dxa"/>
            <w:tcBorders>
              <w:top w:val="single" w:sz="4" w:space="0" w:color="000000"/>
              <w:left w:val="single" w:sz="9" w:space="0" w:color="FFFFFF"/>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公司第 二大股 东实际 控制人 叶琼控 制的公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5"/>
              <w:jc w:val="left"/>
              <w:rPr>
                <w:rFonts w:ascii="宋体" w:hAnsi="宋体" w:cs="宋体" w:eastAsia="宋体" w:hint="default"/>
                <w:sz w:val="18"/>
                <w:szCs w:val="18"/>
              </w:rPr>
            </w:pPr>
            <w:r>
              <w:rPr>
                <w:rFonts w:ascii="宋体" w:hAnsi="宋体" w:cs="宋体" w:eastAsia="宋体" w:hint="default"/>
                <w:sz w:val="18"/>
                <w:szCs w:val="18"/>
              </w:rPr>
              <w:t>已出售， 并全部 回款</w:t>
            </w:r>
          </w:p>
        </w:tc>
        <w:tc>
          <w:tcPr>
            <w:tcW w:w="5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33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（网址为 </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15"/>
                <w:sz w:val="18"/>
                <w:szCs w:val="18"/>
              </w:rPr>
              <w:t>com.cn</w:t>
            </w:r>
            <w:r>
              <w:rPr>
                <w:rFonts w:ascii="宋体" w:hAnsi="宋体" w:cs="宋体" w:eastAsia="宋体" w:hint="default"/>
                <w:spacing w:val="-15"/>
                <w:sz w:val="18"/>
                <w:szCs w:val="18"/>
              </w:rPr>
              <w:t>）披露的《关</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于出售资产暨关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联交易的公告》</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2015-095</w:t>
            </w:r>
            <w:r>
              <w:rPr>
                <w:rFonts w:ascii="宋体" w:hAnsi="宋体" w:cs="宋体" w:eastAsia="宋体" w:hint="default"/>
                <w:sz w:val="18"/>
                <w:szCs w:val="18"/>
              </w:rPr>
              <w:t>）</w:t>
            </w:r>
          </w:p>
        </w:tc>
      </w:tr>
      <w:tr>
        <w:trPr>
          <w:trHeight w:val="414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73"/>
              <w:jc w:val="left"/>
              <w:rPr>
                <w:rFonts w:ascii="宋体" w:hAnsi="宋体" w:cs="宋体" w:eastAsia="宋体" w:hint="default"/>
                <w:sz w:val="18"/>
                <w:szCs w:val="18"/>
              </w:rPr>
            </w:pPr>
            <w:r>
              <w:rPr>
                <w:rFonts w:ascii="宋体" w:hAnsi="宋体" w:cs="宋体" w:eastAsia="宋体" w:hint="default"/>
                <w:sz w:val="18"/>
                <w:szCs w:val="18"/>
              </w:rPr>
              <w:t>浩瀚 天成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7"/>
              <w:jc w:val="left"/>
              <w:rPr>
                <w:rFonts w:ascii="宋体" w:hAnsi="宋体" w:cs="宋体" w:eastAsia="宋体" w:hint="default"/>
                <w:sz w:val="18"/>
                <w:szCs w:val="18"/>
              </w:rPr>
            </w:pPr>
            <w:r>
              <w:rPr>
                <w:rFonts w:ascii="宋体" w:hAnsi="宋体" w:cs="宋体" w:eastAsia="宋体" w:hint="default"/>
                <w:sz w:val="18"/>
                <w:szCs w:val="18"/>
              </w:rPr>
              <w:t>应收 账款， 预付 账款， 其他 应收</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16,225.6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有助于 公司盘 活资产， 提高资 产质量， 提升资 金使用 </w:t>
            </w:r>
            <w:r>
              <w:rPr>
                <w:rFonts w:ascii="宋体" w:hAnsi="宋体" w:cs="宋体" w:eastAsia="宋体" w:hint="default"/>
                <w:spacing w:val="-17"/>
                <w:sz w:val="18"/>
                <w:szCs w:val="18"/>
              </w:rPr>
              <w:t>效率，改</w:t>
            </w:r>
            <w:r>
              <w:rPr>
                <w:rFonts w:ascii="宋体" w:hAnsi="宋体" w:cs="宋体" w:eastAsia="宋体" w:hint="default"/>
                <w:sz w:val="18"/>
                <w:szCs w:val="18"/>
              </w:rPr>
              <w:t> 善公司 财务状</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right="-51"/>
              <w:jc w:val="left"/>
              <w:rPr>
                <w:rFonts w:ascii="宋体" w:hAnsi="宋体" w:cs="宋体" w:eastAsia="宋体" w:hint="default"/>
                <w:sz w:val="20"/>
                <w:szCs w:val="20"/>
              </w:rPr>
            </w:pPr>
            <w:r>
              <w:rPr>
                <w:rFonts w:ascii="宋体" w:hAnsi="宋体" w:cs="宋体" w:eastAsia="宋体" w:hint="default"/>
                <w:position w:val="-36"/>
                <w:sz w:val="20"/>
                <w:szCs w:val="20"/>
              </w:rPr>
              <w:pict>
                <v:group style="width:27.9pt;height:93.6pt;mso-position-horizontal-relative:char;mso-position-vertical-relative:line" coordorigin="0,0" coordsize="558,1872">
                  <v:group style="position:absolute;left:0;top:0;width:558;height:1872" coordorigin="0,0" coordsize="558,1872">
                    <v:shape style="position:absolute;left:0;top:0;width:558;height:1872" coordorigin="0,0" coordsize="558,1872" path="m0,1872l557,1872,557,0,0,0,0,1872xe" filled="true" fillcolor="#ffffff" stroked="false">
                      <v:path arrowok="t"/>
                      <v:fill type="solid"/>
                    </v:shape>
                  </v:group>
                </v:group>
              </w:pict>
            </w:r>
            <w:r>
              <w:rPr>
                <w:rFonts w:ascii="宋体" w:hAnsi="宋体" w:cs="宋体" w:eastAsia="宋体" w:hint="default"/>
                <w:position w:val="-3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公司第 二大股 东实际 控制人 叶琼控 制的公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按照协 议已收 到转让 价款 </w:t>
            </w:r>
            <w:r>
              <w:rPr>
                <w:rFonts w:ascii="Times New Roman" w:hAnsi="Times New Roman" w:cs="Times New Roman" w:eastAsia="Times New Roman" w:hint="default"/>
                <w:spacing w:val="-16"/>
                <w:sz w:val="18"/>
                <w:szCs w:val="18"/>
              </w:rPr>
              <w:t>50%</w:t>
            </w:r>
            <w:r>
              <w:rPr>
                <w:rFonts w:ascii="宋体" w:hAnsi="宋体" w:cs="宋体" w:eastAsia="宋体" w:hint="default"/>
                <w:spacing w:val="-16"/>
                <w:sz w:val="18"/>
                <w:szCs w:val="18"/>
              </w:rPr>
              <w:t>，剩</w:t>
            </w:r>
            <w:r>
              <w:rPr>
                <w:rFonts w:ascii="宋体" w:hAnsi="宋体" w:cs="宋体" w:eastAsia="宋体" w:hint="default"/>
                <w:spacing w:val="-86"/>
                <w:sz w:val="18"/>
                <w:szCs w:val="18"/>
              </w:rPr>
              <w:t> </w:t>
            </w:r>
            <w:r>
              <w:rPr>
                <w:rFonts w:ascii="宋体" w:hAnsi="宋体" w:cs="宋体" w:eastAsia="宋体" w:hint="default"/>
                <w:sz w:val="18"/>
                <w:szCs w:val="18"/>
              </w:rPr>
              <w:t>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款项在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22" w:right="134"/>
              <w:jc w:val="both"/>
              <w:rPr>
                <w:rFonts w:ascii="宋体" w:hAnsi="宋体" w:cs="宋体" w:eastAsia="宋体" w:hint="default"/>
                <w:sz w:val="18"/>
                <w:szCs w:val="18"/>
              </w:rPr>
            </w:pPr>
            <w:r>
              <w:rPr>
                <w:rFonts w:ascii="宋体" w:hAnsi="宋体" w:cs="宋体" w:eastAsia="宋体" w:hint="default"/>
                <w:sz w:val="18"/>
                <w:szCs w:val="18"/>
              </w:rPr>
              <w:t>日前由 浩瀚天 成支付 完毕</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33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（网址为 </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15"/>
                <w:sz w:val="18"/>
                <w:szCs w:val="18"/>
              </w:rPr>
              <w:t>com.cn</w:t>
            </w:r>
            <w:r>
              <w:rPr>
                <w:rFonts w:ascii="宋体" w:hAnsi="宋体" w:cs="宋体" w:eastAsia="宋体" w:hint="default"/>
                <w:spacing w:val="-15"/>
                <w:sz w:val="18"/>
                <w:szCs w:val="18"/>
              </w:rPr>
              <w:t>）披露的《关</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于出售资产暨关</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联交易的公告》</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2015-151</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568"/>
        <w:gridCol w:w="708"/>
        <w:gridCol w:w="568"/>
        <w:gridCol w:w="709"/>
        <w:gridCol w:w="567"/>
        <w:gridCol w:w="568"/>
        <w:gridCol w:w="425"/>
        <w:gridCol w:w="709"/>
        <w:gridCol w:w="566"/>
        <w:gridCol w:w="710"/>
        <w:gridCol w:w="708"/>
        <w:gridCol w:w="1626"/>
      </w:tblGrid>
      <w:tr>
        <w:trPr>
          <w:trHeight w:val="4146"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98" w:right="99"/>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188" w:right="97"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9" w:lineRule="auto" w:before="19"/>
              <w:ind w:left="99" w:right="96"/>
              <w:jc w:val="both"/>
              <w:rPr>
                <w:rFonts w:ascii="宋体" w:hAnsi="宋体" w:cs="宋体" w:eastAsia="宋体" w:hint="default"/>
                <w:sz w:val="18"/>
                <w:szCs w:val="18"/>
              </w:rPr>
            </w:pPr>
            <w:r>
              <w:rPr>
                <w:rFonts w:ascii="宋体" w:hAnsi="宋体" w:cs="宋体" w:eastAsia="宋体" w:hint="default"/>
                <w:sz w:val="18"/>
                <w:szCs w:val="18"/>
              </w:rPr>
              <w:t>（万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3" w:hanging="68"/>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计划实 </w:t>
            </w:r>
            <w:r>
              <w:rPr>
                <w:rFonts w:ascii="宋体" w:hAnsi="宋体" w:cs="宋体" w:eastAsia="宋体" w:hint="default"/>
                <w:spacing w:val="-17"/>
                <w:sz w:val="18"/>
                <w:szCs w:val="18"/>
              </w:rPr>
              <w:t>施，应当</w:t>
            </w:r>
            <w:r>
              <w:rPr>
                <w:rFonts w:ascii="宋体" w:hAnsi="宋体" w:cs="宋体" w:eastAsia="宋体" w:hint="default"/>
                <w:sz w:val="18"/>
                <w:szCs w:val="18"/>
              </w:rPr>
              <w:t> 说明原 因及公 司已采 取的措</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施</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57"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568"/>
        <w:gridCol w:w="708"/>
        <w:gridCol w:w="568"/>
        <w:gridCol w:w="709"/>
        <w:gridCol w:w="567"/>
        <w:gridCol w:w="568"/>
        <w:gridCol w:w="425"/>
        <w:gridCol w:w="709"/>
        <w:gridCol w:w="566"/>
        <w:gridCol w:w="710"/>
        <w:gridCol w:w="708"/>
        <w:gridCol w:w="1626"/>
      </w:tblGrid>
      <w:tr>
        <w:trPr>
          <w:trHeight w:val="22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73"/>
              <w:jc w:val="left"/>
              <w:rPr>
                <w:rFonts w:ascii="宋体" w:hAnsi="宋体" w:cs="宋体" w:eastAsia="宋体" w:hint="default"/>
                <w:sz w:val="18"/>
                <w:szCs w:val="18"/>
              </w:rPr>
            </w:pPr>
            <w:r>
              <w:rPr>
                <w:rFonts w:ascii="宋体" w:hAnsi="宋体" w:cs="宋体" w:eastAsia="宋体" w:hint="default"/>
                <w:sz w:val="18"/>
                <w:szCs w:val="18"/>
              </w:rPr>
              <w:t>浩瀚 天成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键桥 资产 管理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0"/>
              <w:jc w:val="left"/>
              <w:rPr>
                <w:rFonts w:ascii="宋体" w:hAnsi="宋体" w:cs="宋体" w:eastAsia="宋体" w:hint="default"/>
                <w:sz w:val="18"/>
                <w:szCs w:val="18"/>
              </w:rPr>
            </w:pPr>
            <w:r>
              <w:rPr>
                <w:rFonts w:ascii="宋体" w:hAnsi="宋体" w:cs="宋体" w:eastAsia="宋体" w:hint="default"/>
                <w:sz w:val="18"/>
                <w:szCs w:val="18"/>
              </w:rPr>
              <w:t>有助于 公司盘 活资产， 专注主 营业务。</w:t>
            </w:r>
          </w:p>
        </w:tc>
        <w:tc>
          <w:tcPr>
            <w:tcW w:w="56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公司第 二大股 东实际 控制人 叶琼控 制的公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35"/>
              <w:jc w:val="left"/>
              <w:rPr>
                <w:rFonts w:ascii="宋体" w:hAnsi="宋体" w:cs="宋体" w:eastAsia="宋体" w:hint="default"/>
                <w:sz w:val="18"/>
                <w:szCs w:val="18"/>
              </w:rPr>
            </w:pPr>
            <w:r>
              <w:rPr>
                <w:rFonts w:ascii="宋体" w:hAnsi="宋体" w:cs="宋体" w:eastAsia="宋体" w:hint="default"/>
                <w:sz w:val="18"/>
                <w:szCs w:val="18"/>
              </w:rPr>
              <w:t>已按计 划实施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详见巨潮资讯网（网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址为 </w:t>
            </w:r>
            <w:hyperlink r:id="rId13">
              <w:r>
                <w:rPr>
                  <w:rFonts w:ascii="Times New Roman" w:hAnsi="Times New Roman" w:cs="Times New Roman" w:eastAsia="Times New Roman" w:hint="default"/>
                  <w:sz w:val="18"/>
                  <w:szCs w:val="18"/>
                </w:rPr>
                <w:t>http://www.cninfo.co</w:t>
              </w:r>
            </w:hyperlink>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m.cn</w:t>
            </w:r>
            <w:r>
              <w:rPr>
                <w:rFonts w:ascii="宋体" w:hAnsi="宋体" w:cs="宋体" w:eastAsia="宋体" w:hint="default"/>
                <w:spacing w:val="-5"/>
                <w:sz w:val="18"/>
                <w:szCs w:val="18"/>
              </w:rPr>
              <w:t>）披露的《关于</w:t>
            </w:r>
          </w:p>
          <w:p>
            <w:pPr>
              <w:pStyle w:val="TableParagraph"/>
              <w:spacing w:line="319" w:lineRule="auto" w:before="63"/>
              <w:ind w:left="22" w:right="151"/>
              <w:jc w:val="left"/>
              <w:rPr>
                <w:rFonts w:ascii="宋体" w:hAnsi="宋体" w:cs="宋体" w:eastAsia="宋体" w:hint="default"/>
                <w:sz w:val="18"/>
                <w:szCs w:val="18"/>
              </w:rPr>
            </w:pPr>
            <w:r>
              <w:rPr>
                <w:rFonts w:ascii="宋体" w:hAnsi="宋体" w:cs="宋体" w:eastAsia="宋体" w:hint="default"/>
                <w:sz w:val="18"/>
                <w:szCs w:val="18"/>
              </w:rPr>
              <w:t>出售资产暨关联交 </w:t>
            </w:r>
            <w:r>
              <w:rPr>
                <w:rFonts w:ascii="宋体" w:hAnsi="宋体" w:cs="宋体" w:eastAsia="宋体" w:hint="default"/>
                <w:spacing w:val="-12"/>
                <w:sz w:val="18"/>
                <w:szCs w:val="18"/>
              </w:rPr>
              <w:t>易的公告》（编号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2015-095</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r>
        <w:rPr/>
        <w:pict>
          <v:group style="position:absolute;margin-left:241.279999pt;margin-top:-59.164398pt;width:27.9pt;height:46.85pt;mso-position-horizontal-relative:page;mso-position-vertical-relative:paragraph;z-index:-886000" coordorigin="4826,-1183" coordsize="558,937">
            <v:shape style="position:absolute;left:4826;top:-1183;width:558;height:937" coordorigin="4826,-1183" coordsize="558,937" path="m4826,-247l5383,-247,5383,-1183,4826,-1183,4826,-247xe" filled="true" fillcolor="#ffffff" stroked="false">
              <v:path arrowok="t"/>
              <v:fill type="solid"/>
            </v:shape>
            <w10:wrap type="none"/>
          </v:group>
        </w:pict>
      </w:r>
      <w:bookmarkStart w:name="七、主要控股参股公司分析" w:id="53"/>
      <w:bookmarkEnd w:id="53"/>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790"/>
        <w:gridCol w:w="1276"/>
        <w:gridCol w:w="1222"/>
        <w:gridCol w:w="1045"/>
        <w:gridCol w:w="1135"/>
        <w:gridCol w:w="1134"/>
        <w:gridCol w:w="1134"/>
        <w:gridCol w:w="1134"/>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深圳键桥华 能通讯技术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通信产品设备 的研发与销售 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236,531,170.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-28,913,262.8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40,531,996.67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-20,207,494.7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-13,534,885.8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深圳键桥智 能技术有限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通信产品及设 </w:t>
            </w:r>
            <w:r>
              <w:rPr>
                <w:rFonts w:ascii="宋体" w:hAnsi="宋体" w:cs="宋体" w:eastAsia="宋体" w:hint="default"/>
                <w:spacing w:val="-6"/>
                <w:sz w:val="18"/>
                <w:szCs w:val="18"/>
              </w:rPr>
              <w:t>备、信息与通信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系统及设备、系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统集成系统及 </w:t>
            </w:r>
            <w:r>
              <w:rPr>
                <w:rFonts w:ascii="宋体" w:hAnsi="宋体" w:cs="宋体" w:eastAsia="宋体" w:hint="default"/>
                <w:spacing w:val="-6"/>
                <w:sz w:val="18"/>
                <w:szCs w:val="18"/>
              </w:rPr>
              <w:t>设备、自动化系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统及设备等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4,889,904.98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-1,762,900.00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4,242,813.59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-1,991,635.06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-1,762,900.00</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深圳键桥轨 道交通有限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通信产品及设 </w:t>
            </w:r>
            <w:r>
              <w:rPr>
                <w:rFonts w:ascii="宋体" w:hAnsi="宋体" w:cs="宋体" w:eastAsia="宋体" w:hint="default"/>
                <w:spacing w:val="-6"/>
                <w:sz w:val="18"/>
                <w:szCs w:val="18"/>
              </w:rPr>
              <w:t>备、信息与通信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系统及设备、系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统集成系统及 </w:t>
            </w:r>
            <w:r>
              <w:rPr>
                <w:rFonts w:ascii="宋体" w:hAnsi="宋体" w:cs="宋体" w:eastAsia="宋体" w:hint="default"/>
                <w:spacing w:val="-6"/>
                <w:sz w:val="18"/>
                <w:szCs w:val="18"/>
              </w:rPr>
              <w:t>设备、自动化系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统及设备等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7,275,709.60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4,844,389.69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-6,783,146.20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-5,155,610.31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南京凌云科 技发展有限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交通工程技术 </w:t>
            </w:r>
            <w:r>
              <w:rPr>
                <w:rFonts w:ascii="宋体" w:hAnsi="宋体" w:cs="宋体" w:eastAsia="宋体" w:hint="default"/>
                <w:spacing w:val="-6"/>
                <w:sz w:val="18"/>
                <w:szCs w:val="18"/>
              </w:rPr>
              <w:t>开发、工程设计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与施工等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532,981,417.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64,684,158.22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280,485,271.5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-5,712,636.78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-4,808,688.23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深圳市德威 普软件技术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软件产品的研 发与销售等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74,458,783.5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47,155,515.94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1,738,804.84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-3,144,576.37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-3,163,615.28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东莞键桥通 讯技术有限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通信产品设备 的研发与销售 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3,659,025.36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3,652,648.97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23,317.09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-258,858.50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-190,153.05</w:t>
            </w:r>
            <w:r>
              <w:rPr>
                <w:rFonts w:ascii="Times New Roman"/>
                <w:sz w:val="18"/>
              </w:rPr>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广州键桥通 讯技术有限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通讯工程技术 </w:t>
            </w:r>
            <w:r>
              <w:rPr>
                <w:rFonts w:ascii="宋体" w:hAnsi="宋体" w:cs="宋体" w:eastAsia="宋体" w:hint="default"/>
                <w:spacing w:val="-6"/>
                <w:sz w:val="18"/>
                <w:szCs w:val="18"/>
              </w:rPr>
              <w:t>研发、设计与施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12,962,741.7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4,093,747.14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9,437,145.57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-201,778.21</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-201,936.71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790"/>
        <w:gridCol w:w="1276"/>
        <w:gridCol w:w="1222"/>
        <w:gridCol w:w="1045"/>
        <w:gridCol w:w="1135"/>
        <w:gridCol w:w="1134"/>
        <w:gridCol w:w="1134"/>
        <w:gridCol w:w="1134"/>
      </w:tblGrid>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大连先锋投 资管理有限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投资管理，股权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投资，投资咨 </w:t>
            </w:r>
            <w:r>
              <w:rPr>
                <w:rFonts w:ascii="宋体" w:hAnsi="宋体" w:cs="宋体" w:eastAsia="宋体" w:hint="default"/>
                <w:spacing w:val="-6"/>
                <w:sz w:val="18"/>
                <w:szCs w:val="18"/>
              </w:rPr>
              <w:t>询，企业管理咨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询，财务顾。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204,341,505.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200,075,916.8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56,733.64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50,750.00</w:t>
            </w:r>
          </w:p>
        </w:tc>
      </w:tr>
    </w:tbl>
    <w:p>
      <w:pPr>
        <w:pStyle w:val="BodyText"/>
        <w:spacing w:line="240" w:lineRule="auto" w:before="51"/>
        <w:ind w:left="154" w:right="1118"/>
        <w:jc w:val="left"/>
      </w:pPr>
      <w:r>
        <w:rPr/>
        <w:t>报告期内取得和处置子公司的情况</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有助于提高公司经营业绩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有助于提高公司经营业绩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深圳键桥菁英科技有限公司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有助于提高公司经营业绩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有助于提高公司经营业绩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深圳网信金融科技发展有限公司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有助于提高公司经营业绩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有助于提高公司经营业绩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嘉兴德玖投资合伙企业（有限合伙）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入伙合伙企业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有利于公司战略投资布局</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有利于提高公司资产质量，有助于提高 公司经营业绩</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有利于提高公司资产质量，有助于提高 公司经营业绩</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南京键桥通讯技术有限公司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6"/>
              <w:jc w:val="left"/>
              <w:rPr>
                <w:rFonts w:ascii="宋体" w:hAnsi="宋体" w:cs="宋体" w:eastAsia="宋体" w:hint="default"/>
                <w:sz w:val="18"/>
                <w:szCs w:val="18"/>
              </w:rPr>
            </w:pPr>
            <w:r>
              <w:rPr>
                <w:rFonts w:ascii="宋体" w:hAnsi="宋体" w:cs="宋体" w:eastAsia="宋体" w:hint="default"/>
                <w:sz w:val="18"/>
                <w:szCs w:val="18"/>
              </w:rPr>
              <w:t>有利于提高公司资产质量，有助于提高 公司经营业绩</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732" w:right="1118"/>
        <w:jc w:val="left"/>
        <w:rPr>
          <w:b w:val="0"/>
          <w:bCs w:val="0"/>
        </w:rPr>
      </w:pPr>
      <w:r>
        <w:rPr/>
        <w:t>（一）行业发展趋势</w:t>
      </w:r>
      <w:r>
        <w:rPr>
          <w:b w:val="0"/>
          <w:bCs w:val="0"/>
        </w:rPr>
      </w:r>
    </w:p>
    <w:p>
      <w:pPr>
        <w:pStyle w:val="BodyText"/>
        <w:spacing w:line="240" w:lineRule="auto" w:before="82"/>
        <w:ind w:left="511" w:right="1118"/>
        <w:jc w:val="left"/>
      </w:pPr>
      <w:r>
        <w:rPr>
          <w:rFonts w:ascii="Times New Roman" w:hAnsi="Times New Roman" w:cs="Times New Roman" w:eastAsia="Times New Roman" w:hint="default"/>
        </w:rPr>
        <w:t>1</w:t>
      </w:r>
      <w:r>
        <w:rPr/>
        <w:t>、电力行业领域</w:t>
      </w:r>
    </w:p>
    <w:p>
      <w:pPr>
        <w:pStyle w:val="BodyText"/>
        <w:spacing w:line="288" w:lineRule="auto" w:before="51"/>
        <w:ind w:right="1052" w:firstLine="357"/>
        <w:jc w:val="both"/>
      </w:pPr>
      <w:r>
        <w:rPr>
          <w:rFonts w:ascii="Times New Roman" w:hAnsi="Times New Roman" w:cs="Times New Roman" w:eastAsia="Times New Roman" w:hint="default"/>
        </w:rPr>
        <w:t>2016</w:t>
      </w:r>
      <w:r>
        <w:rPr/>
        <w:t>年，国家电网公司计划投资</w:t>
      </w:r>
      <w:r>
        <w:rPr>
          <w:rFonts w:ascii="Times New Roman" w:hAnsi="Times New Roman" w:cs="Times New Roman" w:eastAsia="Times New Roman" w:hint="default"/>
        </w:rPr>
        <w:t>4,390</w:t>
      </w:r>
      <w:r>
        <w:rPr/>
        <w:t>亿元用于电网建设。计划开工</w:t>
      </w:r>
      <w:r>
        <w:rPr>
          <w:rFonts w:ascii="Times New Roman" w:hAnsi="Times New Roman" w:cs="Times New Roman" w:eastAsia="Times New Roman" w:hint="default"/>
        </w:rPr>
        <w:t>110</w:t>
      </w:r>
      <w:r>
        <w:rPr/>
        <w:t>（</w:t>
      </w:r>
      <w:r>
        <w:rPr>
          <w:rFonts w:ascii="Times New Roman" w:hAnsi="Times New Roman" w:cs="Times New Roman" w:eastAsia="Times New Roman" w:hint="default"/>
        </w:rPr>
        <w:t>66</w:t>
      </w:r>
      <w:r>
        <w:rPr/>
        <w:t>）千伏及以上线路</w:t>
      </w:r>
      <w:r>
        <w:rPr>
          <w:rFonts w:ascii="Times New Roman" w:hAnsi="Times New Roman" w:cs="Times New Roman" w:eastAsia="Times New Roman" w:hint="default"/>
        </w:rPr>
        <w:t>7.6</w:t>
      </w:r>
      <w:r>
        <w:rPr/>
        <w:t>万公里，变电（换流） 容量</w:t>
      </w:r>
      <w:r>
        <w:rPr>
          <w:rFonts w:ascii="Times New Roman" w:hAnsi="Times New Roman" w:cs="Times New Roman" w:eastAsia="Times New Roman" w:hint="default"/>
        </w:rPr>
        <w:t>5.5</w:t>
      </w:r>
      <w:r>
        <w:rPr/>
        <w:t>亿千伏安（千瓦），投产</w:t>
      </w:r>
      <w:r>
        <w:rPr>
          <w:rFonts w:ascii="Times New Roman" w:hAnsi="Times New Roman" w:cs="Times New Roman" w:eastAsia="Times New Roman" w:hint="default"/>
        </w:rPr>
        <w:t>110</w:t>
      </w:r>
      <w:r>
        <w:rPr/>
        <w:t>（</w:t>
      </w:r>
      <w:r>
        <w:rPr>
          <w:rFonts w:ascii="Times New Roman" w:hAnsi="Times New Roman" w:cs="Times New Roman" w:eastAsia="Times New Roman" w:hint="default"/>
        </w:rPr>
        <w:t>66</w:t>
      </w:r>
      <w:r>
        <w:rPr/>
        <w:t>）千伏及以上线路</w:t>
      </w:r>
      <w:r>
        <w:rPr>
          <w:rFonts w:ascii="Times New Roman" w:hAnsi="Times New Roman" w:cs="Times New Roman" w:eastAsia="Times New Roman" w:hint="default"/>
        </w:rPr>
        <w:t>4.7</w:t>
      </w:r>
      <w:r>
        <w:rPr/>
        <w:t>万公里，变电（换流）容量</w:t>
      </w:r>
      <w:r>
        <w:rPr>
          <w:rFonts w:ascii="Times New Roman" w:hAnsi="Times New Roman" w:cs="Times New Roman" w:eastAsia="Times New Roman" w:hint="default"/>
        </w:rPr>
        <w:t>3.1</w:t>
      </w:r>
      <w:r>
        <w:rPr/>
        <w:t>亿千伏安（千瓦）。</w:t>
      </w:r>
    </w:p>
    <w:p>
      <w:pPr>
        <w:pStyle w:val="BodyText"/>
        <w:spacing w:line="288" w:lineRule="auto" w:before="11"/>
        <w:ind w:right="1129" w:firstLine="357"/>
        <w:jc w:val="both"/>
      </w:pPr>
      <w:r>
        <w:rPr>
          <w:spacing w:val="-1"/>
        </w:rPr>
        <w:t>国家电网公司将深化电网规划研究，加快推进</w:t>
      </w:r>
      <w:r>
        <w:rPr>
          <w:rFonts w:ascii="Times New Roman" w:hAnsi="Times New Roman" w:cs="Times New Roman" w:eastAsia="Times New Roman" w:hint="default"/>
          <w:spacing w:val="-1"/>
        </w:rPr>
        <w:t>“</w:t>
      </w:r>
      <w:r>
        <w:rPr>
          <w:spacing w:val="-1"/>
        </w:rPr>
        <w:t>五交八直</w:t>
      </w:r>
      <w:r>
        <w:rPr>
          <w:rFonts w:ascii="Times New Roman" w:hAnsi="Times New Roman" w:cs="Times New Roman" w:eastAsia="Times New Roman" w:hint="default"/>
          <w:spacing w:val="-1"/>
        </w:rPr>
        <w:t>”</w:t>
      </w:r>
      <w:r>
        <w:rPr>
          <w:spacing w:val="-1"/>
        </w:rPr>
        <w:t>特高压工程，力争</w:t>
      </w:r>
      <w:r>
        <w:rPr>
          <w:rFonts w:ascii="Times New Roman" w:hAnsi="Times New Roman" w:cs="Times New Roman" w:eastAsia="Times New Roman" w:hint="default"/>
          <w:spacing w:val="-1"/>
        </w:rPr>
        <w:t>“</w:t>
      </w:r>
      <w:r>
        <w:rPr>
          <w:spacing w:val="-1"/>
        </w:rPr>
        <w:t>三交三直</w:t>
      </w:r>
      <w:r>
        <w:rPr>
          <w:rFonts w:ascii="Times New Roman" w:hAnsi="Times New Roman" w:cs="Times New Roman" w:eastAsia="Times New Roman" w:hint="default"/>
          <w:spacing w:val="-1"/>
        </w:rPr>
        <w:t>”</w:t>
      </w:r>
      <w:r>
        <w:rPr>
          <w:spacing w:val="-1"/>
        </w:rPr>
        <w:t>上半年核准、</w:t>
      </w:r>
      <w:r>
        <w:rPr>
          <w:rFonts w:ascii="Times New Roman" w:hAnsi="Times New Roman" w:cs="Times New Roman" w:eastAsia="Times New Roman" w:hint="default"/>
          <w:spacing w:val="-1"/>
        </w:rPr>
        <w:t>“</w:t>
      </w:r>
      <w:r>
        <w:rPr>
          <w:spacing w:val="-1"/>
        </w:rPr>
        <w:t>两交四直</w:t>
      </w:r>
      <w:r>
        <w:rPr>
          <w:rFonts w:ascii="Times New Roman" w:hAnsi="Times New Roman" w:cs="Times New Roman" w:eastAsia="Times New Roman" w:hint="default"/>
          <w:spacing w:val="-1"/>
        </w:rPr>
        <w:t>”</w:t>
      </w:r>
      <w:r>
        <w:rPr>
          <w:spacing w:val="-1"/>
        </w:rPr>
        <w:t>下半年</w:t>
      </w:r>
      <w:r>
        <w:rPr/>
        <w:t> </w:t>
      </w:r>
      <w:r>
        <w:rPr>
          <w:spacing w:val="-1"/>
        </w:rPr>
        <w:t>核准，准东</w:t>
      </w:r>
      <w:r>
        <w:rPr>
          <w:rFonts w:ascii="Times New Roman" w:hAnsi="Times New Roman" w:cs="Times New Roman" w:eastAsia="Times New Roman" w:hint="default"/>
          <w:spacing w:val="-1"/>
        </w:rPr>
        <w:t>-</w:t>
      </w:r>
      <w:r>
        <w:rPr>
          <w:spacing w:val="-1"/>
        </w:rPr>
        <w:t>皖南直流工程加快建设，</w:t>
      </w:r>
      <w:r>
        <w:rPr>
          <w:rFonts w:ascii="Times New Roman" w:hAnsi="Times New Roman" w:cs="Times New Roman" w:eastAsia="Times New Roman" w:hint="default"/>
          <w:spacing w:val="-1"/>
        </w:rPr>
        <w:t>“</w:t>
      </w:r>
      <w:r>
        <w:rPr>
          <w:spacing w:val="-1"/>
        </w:rPr>
        <w:t>四交五直</w:t>
      </w:r>
      <w:r>
        <w:rPr>
          <w:rFonts w:ascii="Times New Roman" w:hAnsi="Times New Roman" w:cs="Times New Roman" w:eastAsia="Times New Roman" w:hint="default"/>
          <w:spacing w:val="-1"/>
        </w:rPr>
        <w:t>”</w:t>
      </w:r>
      <w:r>
        <w:rPr>
          <w:spacing w:val="-1"/>
        </w:rPr>
        <w:t>工程年内投产</w:t>
      </w:r>
      <w:r>
        <w:rPr>
          <w:rFonts w:ascii="Times New Roman" w:hAnsi="Times New Roman" w:cs="Times New Roman" w:eastAsia="Times New Roman" w:hint="default"/>
          <w:spacing w:val="-1"/>
        </w:rPr>
        <w:t>“</w:t>
      </w:r>
      <w:r>
        <w:rPr>
          <w:spacing w:val="-1"/>
        </w:rPr>
        <w:t>三交一直</w:t>
      </w:r>
      <w:r>
        <w:rPr>
          <w:rFonts w:ascii="Times New Roman" w:hAnsi="Times New Roman" w:cs="Times New Roman" w:eastAsia="Times New Roman" w:hint="default"/>
          <w:spacing w:val="-1"/>
        </w:rPr>
        <w:t>”</w:t>
      </w:r>
      <w:r>
        <w:rPr>
          <w:spacing w:val="-1"/>
        </w:rPr>
        <w:t>。要完善西北</w:t>
      </w:r>
      <w:r>
        <w:rPr>
          <w:rFonts w:ascii="Times New Roman" w:hAnsi="Times New Roman" w:cs="Times New Roman" w:eastAsia="Times New Roman" w:hint="default"/>
          <w:spacing w:val="-1"/>
        </w:rPr>
        <w:t>750</w:t>
      </w:r>
      <w:r>
        <w:rPr>
          <w:spacing w:val="-1"/>
        </w:rPr>
        <w:t>千伏主网架，加快渝鄂直流背靠</w:t>
      </w:r>
      <w:r>
        <w:rPr>
          <w:spacing w:val="-47"/>
        </w:rPr>
        <w:t> </w:t>
      </w:r>
      <w:r>
        <w:rPr>
          <w:spacing w:val="-47"/>
        </w:rPr>
      </w:r>
      <w:r>
        <w:rPr/>
        <w:t>背等工程建设，同时，加强工程设计、质量、工艺和造价管理，确保</w:t>
      </w:r>
      <w:r>
        <w:rPr>
          <w:rFonts w:ascii="Times New Roman" w:hAnsi="Times New Roman" w:cs="Times New Roman" w:eastAsia="Times New Roman" w:hint="default"/>
        </w:rPr>
        <w:t>110</w:t>
      </w:r>
      <w:r>
        <w:rPr/>
        <w:t>千伏及以上新建项目全部建成优质工程。</w:t>
      </w:r>
    </w:p>
    <w:p>
      <w:pPr>
        <w:pStyle w:val="BodyText"/>
        <w:spacing w:line="292" w:lineRule="auto" w:before="11"/>
        <w:ind w:right="1129" w:firstLine="357"/>
        <w:jc w:val="both"/>
      </w:pPr>
      <w:r>
        <w:rPr>
          <w:spacing w:val="-1"/>
        </w:rPr>
        <w:t>配电网和智能电网建设将迎来新高潮。</w:t>
      </w:r>
      <w:r>
        <w:rPr>
          <w:rFonts w:ascii="Times New Roman" w:hAnsi="Times New Roman" w:cs="Times New Roman" w:eastAsia="Times New Roman" w:hint="default"/>
          <w:spacing w:val="-1"/>
        </w:rPr>
        <w:t>2015-2020</w:t>
      </w:r>
      <w:r>
        <w:rPr>
          <w:spacing w:val="-1"/>
        </w:rPr>
        <w:t>年，配电网建设改造投资不低于</w:t>
      </w:r>
      <w:r>
        <w:rPr>
          <w:rFonts w:ascii="Times New Roman" w:hAnsi="Times New Roman" w:cs="Times New Roman" w:eastAsia="Times New Roman" w:hint="default"/>
          <w:spacing w:val="-1"/>
        </w:rPr>
        <w:t>2</w:t>
      </w:r>
      <w:r>
        <w:rPr>
          <w:spacing w:val="-1"/>
        </w:rPr>
        <w:t>万亿元，</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期间累计投资不低</w:t>
      </w:r>
      <w:r>
        <w:rPr/>
        <w:t> 于</w:t>
      </w:r>
      <w:r>
        <w:rPr>
          <w:rFonts w:ascii="Times New Roman" w:hAnsi="Times New Roman" w:cs="Times New Roman" w:eastAsia="Times New Roman" w:hint="default"/>
        </w:rPr>
        <w:t>1.7</w:t>
      </w:r>
      <w:r>
        <w:rPr/>
        <w:t>万亿元。预计到</w:t>
      </w:r>
      <w:r>
        <w:rPr>
          <w:rFonts w:ascii="Times New Roman" w:hAnsi="Times New Roman" w:cs="Times New Roman" w:eastAsia="Times New Roman" w:hint="default"/>
        </w:rPr>
        <w:t>2020</w:t>
      </w:r>
      <w:r>
        <w:rPr/>
        <w:t>年，高压配电网变电容量达到</w:t>
      </w:r>
      <w:r>
        <w:rPr>
          <w:rFonts w:ascii="Times New Roman" w:hAnsi="Times New Roman" w:cs="Times New Roman" w:eastAsia="Times New Roman" w:hint="default"/>
        </w:rPr>
        <w:t>21</w:t>
      </w:r>
      <w:r>
        <w:rPr/>
        <w:t>亿千伏安、线路长度达到</w:t>
      </w:r>
      <w:r>
        <w:rPr>
          <w:rFonts w:ascii="Times New Roman" w:hAnsi="Times New Roman" w:cs="Times New Roman" w:eastAsia="Times New Roman" w:hint="default"/>
        </w:rPr>
        <w:t>101</w:t>
      </w:r>
      <w:r>
        <w:rPr/>
        <w:t>万公里，中压公用配变容量达到</w:t>
      </w:r>
      <w:r>
        <w:rPr>
          <w:rFonts w:ascii="Times New Roman" w:hAnsi="Times New Roman" w:cs="Times New Roman" w:eastAsia="Times New Roman" w:hint="default"/>
        </w:rPr>
        <w:t>11.5</w:t>
      </w:r>
      <w:r>
        <w:rPr>
          <w:rFonts w:ascii="Times New Roman" w:hAnsi="Times New Roman" w:cs="Times New Roman" w:eastAsia="Times New Roman" w:hint="default"/>
          <w:spacing w:val="-39"/>
        </w:rPr>
        <w:t> </w:t>
      </w:r>
      <w:r>
        <w:rPr/>
        <w:t>亿千伏安、线路长度达到</w:t>
      </w:r>
      <w:r>
        <w:rPr>
          <w:rFonts w:ascii="Times New Roman" w:hAnsi="Times New Roman" w:cs="Times New Roman" w:eastAsia="Times New Roman" w:hint="default"/>
        </w:rPr>
        <w:t>404</w:t>
      </w:r>
      <w:r>
        <w:rPr/>
        <w:t>万公里。</w:t>
      </w:r>
      <w:r>
        <w:rPr>
          <w:rFonts w:ascii="Times New Roman" w:hAnsi="Times New Roman" w:cs="Times New Roman" w:eastAsia="Times New Roman" w:hint="default"/>
        </w:rPr>
        <w:t>2016</w:t>
      </w:r>
      <w:r>
        <w:rPr/>
        <w:t>年，国家电网公司将加快农网改造升级工程，要求上半年全面完成</w:t>
      </w:r>
      <w:r>
        <w:rPr>
          <w:rFonts w:ascii="Times New Roman" w:hAnsi="Times New Roman" w:cs="Times New Roman" w:eastAsia="Times New Roman" w:hint="default"/>
        </w:rPr>
        <w:t>2015</w:t>
      </w:r>
      <w:r>
        <w:rPr/>
        <w:t>年国家新</w:t>
      </w:r>
      <w:r>
        <w:rPr>
          <w:spacing w:val="-82"/>
        </w:rPr>
        <w:t> </w:t>
      </w:r>
      <w:r>
        <w:rPr>
          <w:spacing w:val="-2"/>
        </w:rPr>
        <w:t>增中本部农网项目，年内完成新增东部七省（市）农网和城镇配电网工程。启动一批智能配电网示范项目，加强老旧计量装</w:t>
      </w:r>
      <w:r>
        <w:rPr>
          <w:spacing w:val="-66"/>
        </w:rPr>
        <w:t> </w:t>
      </w:r>
      <w:r>
        <w:rPr>
          <w:spacing w:val="-66"/>
        </w:rPr>
      </w:r>
      <w:r>
        <w:rPr/>
        <w:t>置升级改造，新装智能电能表</w:t>
      </w:r>
      <w:r>
        <w:rPr>
          <w:rFonts w:ascii="Times New Roman" w:hAnsi="Times New Roman" w:cs="Times New Roman" w:eastAsia="Times New Roman" w:hint="default"/>
        </w:rPr>
        <w:t>6,058</w:t>
      </w:r>
      <w:r>
        <w:rPr/>
        <w:t>万只，推广电、水、气、热四表合一采集。</w:t>
      </w:r>
    </w:p>
    <w:p>
      <w:pPr>
        <w:pStyle w:val="BodyText"/>
        <w:spacing w:line="288" w:lineRule="auto" w:before="7"/>
        <w:ind w:right="1052" w:firstLine="357"/>
        <w:jc w:val="both"/>
      </w:pPr>
      <w:r>
        <w:rPr>
          <w:rFonts w:ascii="Times New Roman" w:hAnsi="Times New Roman" w:cs="Times New Roman" w:eastAsia="Times New Roman" w:hint="default"/>
        </w:rPr>
        <w:t>2016</w:t>
      </w:r>
      <w:r>
        <w:rPr/>
        <w:t>年，国家电网公司将积极推动构建全球能源互联网。结合落实一带一路建设，发展全球能源互联网合作组织作用， 加强与国际组织、能源企业、研究机构等的交流合作，研究推进东北亚、东南亚、南亚、中亚、中国</w:t>
      </w:r>
      <w:r>
        <w:rPr>
          <w:rFonts w:ascii="Times New Roman" w:hAnsi="Times New Roman" w:cs="Times New Roman" w:eastAsia="Times New Roman" w:hint="default"/>
        </w:rPr>
        <w:t>-</w:t>
      </w:r>
      <w:r>
        <w:rPr/>
        <w:t>欧洲等联网工程。并</w:t>
      </w:r>
    </w:p>
    <w:p>
      <w:pPr>
        <w:spacing w:after="0" w:line="288" w:lineRule="auto"/>
        <w:jc w:val="both"/>
        <w:sectPr>
          <w:pgSz w:w="11910" w:h="16840"/>
          <w:pgMar w:header="747" w:footer="979" w:top="1060" w:bottom="1160" w:left="980" w:right="0"/>
        </w:sectPr>
      </w:pPr>
    </w:p>
    <w:p>
      <w:pPr>
        <w:spacing w:line="240" w:lineRule="auto" w:before="5"/>
        <w:rPr>
          <w:rFonts w:ascii="宋体" w:hAnsi="宋体" w:cs="宋体" w:eastAsia="宋体" w:hint="default"/>
          <w:sz w:val="27"/>
          <w:szCs w:val="27"/>
        </w:rPr>
      </w:pPr>
    </w:p>
    <w:p>
      <w:pPr>
        <w:pStyle w:val="BodyText"/>
        <w:spacing w:line="288" w:lineRule="auto" w:before="44"/>
        <w:ind w:left="511" w:right="1125" w:hanging="358"/>
        <w:jc w:val="left"/>
      </w:pPr>
      <w:r>
        <w:rPr/>
        <w:t>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期间，加快中国能源互联网建设，以全面提升电网安全运营水平。 此外，国家电网公司将全力开展脱贫攻坚，</w:t>
      </w:r>
      <w:r>
        <w:rPr>
          <w:rFonts w:ascii="Times New Roman" w:hAnsi="Times New Roman" w:cs="Times New Roman" w:eastAsia="Times New Roman" w:hint="default"/>
        </w:rPr>
        <w:t>2016</w:t>
      </w:r>
      <w:r>
        <w:rPr/>
        <w:t>年内计划完成</w:t>
      </w:r>
      <w:r>
        <w:rPr>
          <w:rFonts w:ascii="Times New Roman" w:hAnsi="Times New Roman" w:cs="Times New Roman" w:eastAsia="Times New Roman" w:hint="default"/>
        </w:rPr>
        <w:t>1.3</w:t>
      </w:r>
      <w:r>
        <w:rPr/>
        <w:t>万个自然村未通动力电、</w:t>
      </w:r>
      <w:r>
        <w:rPr>
          <w:rFonts w:ascii="Times New Roman" w:hAnsi="Times New Roman" w:cs="Times New Roman" w:eastAsia="Times New Roman" w:hint="default"/>
        </w:rPr>
        <w:t>2.7</w:t>
      </w:r>
      <w:r>
        <w:rPr/>
        <w:t>万个自然村动力电改造工</w:t>
      </w:r>
    </w:p>
    <w:p>
      <w:pPr>
        <w:pStyle w:val="BodyText"/>
        <w:spacing w:line="240" w:lineRule="auto" w:before="11"/>
        <w:ind w:right="1118"/>
        <w:jc w:val="left"/>
      </w:pPr>
      <w:r>
        <w:rPr/>
        <w:t>程，满足扶贫光伏电站接网需要，建设定点扶贫五县（区）集中式光伏电站工程。</w:t>
      </w:r>
    </w:p>
    <w:p>
      <w:pPr>
        <w:pStyle w:val="BodyText"/>
        <w:spacing w:line="240" w:lineRule="auto" w:before="64"/>
        <w:ind w:left="511" w:right="1118"/>
        <w:jc w:val="left"/>
      </w:pPr>
      <w:r>
        <w:rPr>
          <w:rFonts w:ascii="Times New Roman" w:hAnsi="Times New Roman" w:cs="Times New Roman" w:eastAsia="Times New Roman" w:hint="default"/>
        </w:rPr>
        <w:t>2</w:t>
      </w:r>
      <w:r>
        <w:rPr/>
        <w:t>、交通行业领域</w:t>
      </w:r>
    </w:p>
    <w:p>
      <w:pPr>
        <w:pStyle w:val="BodyText"/>
        <w:spacing w:line="288" w:lineRule="auto" w:before="51"/>
        <w:ind w:left="511" w:right="1118"/>
        <w:jc w:val="left"/>
      </w:pPr>
      <w:r>
        <w:rPr/>
        <w:t>（</w:t>
      </w:r>
      <w:r>
        <w:rPr>
          <w:rFonts w:ascii="Times New Roman" w:hAnsi="Times New Roman" w:cs="Times New Roman" w:eastAsia="Times New Roman" w:hint="default"/>
        </w:rPr>
        <w:t>1</w:t>
      </w:r>
      <w:r>
        <w:rPr/>
        <w:t>）智能交通 </w:t>
      </w:r>
      <w:r>
        <w:rPr>
          <w:spacing w:val="-2"/>
        </w:rPr>
        <w:t>智能交通系统是未来交通系统的发展方向，它是将先进的信息技术、数据通讯传输技术、电子传感技术、控制技术及计</w:t>
      </w:r>
    </w:p>
    <w:p>
      <w:pPr>
        <w:pStyle w:val="BodyText"/>
        <w:spacing w:line="302" w:lineRule="auto" w:before="28"/>
        <w:ind w:right="1130"/>
        <w:jc w:val="both"/>
      </w:pPr>
      <w:r>
        <w:rPr>
          <w:spacing w:val="-2"/>
        </w:rPr>
        <w:t>算机技术等有效地集成运用于整个地面交通管理系统而建立的一种在大范围内、全方位发挥作用的，实时、准确、高效的综</w:t>
      </w:r>
      <w:r>
        <w:rPr>
          <w:spacing w:val="-66"/>
        </w:rPr>
        <w:t> </w:t>
      </w:r>
      <w:r>
        <w:rPr>
          <w:spacing w:val="-66"/>
        </w:rPr>
      </w:r>
      <w:r>
        <w:rPr>
          <w:spacing w:val="-2"/>
        </w:rPr>
        <w:t>合交通运输管理系统。随着社会经济的发展，汽车保有量迅速增加，拥堵、交通事故、以及汽车尾气造成的环境污染已经成</w:t>
      </w:r>
      <w:r>
        <w:rPr>
          <w:spacing w:val="-66"/>
        </w:rPr>
        <w:t> </w:t>
      </w:r>
      <w:r>
        <w:rPr>
          <w:spacing w:val="-66"/>
        </w:rPr>
      </w:r>
      <w:r>
        <w:rPr>
          <w:spacing w:val="-2"/>
        </w:rPr>
        <w:t>为了社会、交通管理部门以及道路运营商亟待解决的问题。智能交通射频识别与电子支付产品通过</w:t>
      </w:r>
      <w:r>
        <w:rPr>
          <w:rFonts w:ascii="Times New Roman" w:hAnsi="Times New Roman" w:cs="Times New Roman" w:eastAsia="Times New Roman" w:hint="default"/>
          <w:spacing w:val="-2"/>
        </w:rPr>
        <w:t>DSRC</w:t>
      </w:r>
      <w:r>
        <w:rPr>
          <w:spacing w:val="-2"/>
        </w:rPr>
        <w:t>、</w:t>
      </w:r>
      <w:r>
        <w:rPr>
          <w:rFonts w:ascii="Times New Roman" w:hAnsi="Times New Roman" w:cs="Times New Roman" w:eastAsia="Times New Roman" w:hint="default"/>
          <w:spacing w:val="-2"/>
        </w:rPr>
        <w:t>RFID</w:t>
      </w:r>
      <w:r>
        <w:rPr>
          <w:spacing w:val="-2"/>
        </w:rPr>
        <w:t>技术对车辆</w:t>
      </w:r>
      <w:r>
        <w:rPr>
          <w:spacing w:val="-41"/>
        </w:rPr>
        <w:t> </w:t>
      </w:r>
      <w:r>
        <w:rPr>
          <w:spacing w:val="-2"/>
        </w:rPr>
        <w:t>信息精确识别、记录和处理，在缓解交通带来的拥堵、减少交通事故、降低环境污染的过程中发挥着重要的作用，将广泛运</w:t>
      </w:r>
      <w:r>
        <w:rPr>
          <w:spacing w:val="-66"/>
        </w:rPr>
        <w:t> </w:t>
      </w:r>
      <w:r>
        <w:rPr>
          <w:spacing w:val="-66"/>
        </w:rPr>
      </w:r>
      <w:r>
        <w:rPr/>
        <w:t>用于智能交通的各个领域。</w:t>
      </w:r>
    </w:p>
    <w:p>
      <w:pPr>
        <w:pStyle w:val="BodyText"/>
        <w:spacing w:line="288" w:lineRule="auto" w:before="17"/>
        <w:ind w:right="1129" w:firstLine="357"/>
        <w:jc w:val="both"/>
      </w:pPr>
      <w:r>
        <w:rPr>
          <w:spacing w:val="-2"/>
        </w:rPr>
        <w:t>据中国产业调研网发布的</w:t>
      </w:r>
      <w:r>
        <w:rPr>
          <w:rFonts w:ascii="Times New Roman" w:hAnsi="Times New Roman" w:cs="Times New Roman" w:eastAsia="Times New Roman" w:hint="default"/>
          <w:spacing w:val="-2"/>
        </w:rPr>
        <w:t>2016</w:t>
      </w:r>
      <w:r>
        <w:rPr>
          <w:spacing w:val="-2"/>
        </w:rPr>
        <w:t>年中国智能交通行业发展调研与市场前景分析报告显示，从行业规模来看，</w:t>
      </w:r>
      <w:r>
        <w:rPr>
          <w:rFonts w:ascii="Times New Roman" w:hAnsi="Times New Roman" w:cs="Times New Roman" w:eastAsia="Times New Roman" w:hint="default"/>
          <w:spacing w:val="-2"/>
        </w:rPr>
        <w:t>2011</w:t>
      </w:r>
      <w:r>
        <w:rPr>
          <w:spacing w:val="-2"/>
        </w:rPr>
        <w:t>年中国智</w:t>
      </w:r>
      <w:r>
        <w:rPr/>
        <w:t> </w:t>
      </w:r>
      <w:r>
        <w:rPr>
          <w:spacing w:val="-1"/>
        </w:rPr>
        <w:t>能交通行业应用总体规模达到</w:t>
      </w:r>
      <w:r>
        <w:rPr>
          <w:rFonts w:ascii="Times New Roman" w:hAnsi="Times New Roman" w:cs="Times New Roman" w:eastAsia="Times New Roman" w:hint="default"/>
          <w:spacing w:val="-1"/>
        </w:rPr>
        <w:t>252.8</w:t>
      </w:r>
      <w:r>
        <w:rPr>
          <w:spacing w:val="-1"/>
        </w:rPr>
        <w:t>亿元，比</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201.9</w:t>
      </w:r>
      <w:r>
        <w:rPr>
          <w:spacing w:val="-1"/>
        </w:rPr>
        <w:t>亿元增长了</w:t>
      </w:r>
      <w:r>
        <w:rPr>
          <w:rFonts w:ascii="Times New Roman" w:hAnsi="Times New Roman" w:cs="Times New Roman" w:eastAsia="Times New Roman" w:hint="default"/>
          <w:spacing w:val="-1"/>
        </w:rPr>
        <w:t>25.21%</w:t>
      </w:r>
      <w:r>
        <w:rPr>
          <w:spacing w:val="-1"/>
        </w:rPr>
        <w:t>；</w:t>
      </w:r>
      <w:r>
        <w:rPr>
          <w:rFonts w:ascii="Times New Roman" w:hAnsi="Times New Roman" w:cs="Times New Roman" w:eastAsia="Times New Roman" w:hint="default"/>
          <w:spacing w:val="-1"/>
        </w:rPr>
        <w:t>2012</w:t>
      </w:r>
      <w:r>
        <w:rPr>
          <w:spacing w:val="-1"/>
        </w:rPr>
        <w:t>年随着各地智慧城市建设的推进，在智能</w:t>
      </w:r>
      <w:r>
        <w:rPr>
          <w:spacing w:val="-36"/>
        </w:rPr>
        <w:t> </w:t>
      </w:r>
      <w:r>
        <w:rPr>
          <w:spacing w:val="-36"/>
        </w:rPr>
      </w:r>
      <w:r>
        <w:rPr/>
        <w:t>交通行业</w:t>
      </w:r>
      <w:r>
        <w:rPr>
          <w:rFonts w:ascii="Times New Roman" w:hAnsi="Times New Roman" w:cs="Times New Roman" w:eastAsia="Times New Roman" w:hint="default"/>
        </w:rPr>
        <w:t>IT</w:t>
      </w:r>
      <w:r>
        <w:rPr/>
        <w:t>应用投资方面加大了力度，</w:t>
      </w:r>
      <w:r>
        <w:rPr>
          <w:rFonts w:ascii="Times New Roman" w:hAnsi="Times New Roman" w:cs="Times New Roman" w:eastAsia="Times New Roman" w:hint="default"/>
        </w:rPr>
        <w:t>2012</w:t>
      </w:r>
      <w:r>
        <w:rPr/>
        <w:t>年规模达到了</w:t>
      </w:r>
      <w:r>
        <w:rPr>
          <w:rFonts w:ascii="Times New Roman" w:hAnsi="Times New Roman" w:cs="Times New Roman" w:eastAsia="Times New Roman" w:hint="default"/>
        </w:rPr>
        <w:t>317.5</w:t>
      </w:r>
      <w:r>
        <w:rPr/>
        <w:t>亿，比</w:t>
      </w:r>
      <w:r>
        <w:rPr>
          <w:rFonts w:ascii="Times New Roman" w:hAnsi="Times New Roman" w:cs="Times New Roman" w:eastAsia="Times New Roman" w:hint="default"/>
        </w:rPr>
        <w:t>2011</w:t>
      </w:r>
      <w:r>
        <w:rPr/>
        <w:t>年增长了</w:t>
      </w:r>
      <w:r>
        <w:rPr>
          <w:rFonts w:ascii="Times New Roman" w:hAnsi="Times New Roman" w:cs="Times New Roman" w:eastAsia="Times New Roman" w:hint="default"/>
        </w:rPr>
        <w:t>25.59%</w:t>
      </w:r>
      <w:r>
        <w:rPr/>
        <w:t>；</w:t>
      </w:r>
      <w:r>
        <w:rPr>
          <w:rFonts w:ascii="Times New Roman" w:hAnsi="Times New Roman" w:cs="Times New Roman" w:eastAsia="Times New Roman" w:hint="default"/>
        </w:rPr>
        <w:t>2013</w:t>
      </w:r>
      <w:r>
        <w:rPr/>
        <w:t>年受政府投资推动智慧城</w:t>
      </w:r>
      <w:r>
        <w:rPr>
          <w:spacing w:val="-55"/>
        </w:rPr>
        <w:t> </w:t>
      </w:r>
      <w:r>
        <w:rPr>
          <w:spacing w:val="-55"/>
        </w:rPr>
      </w:r>
      <w:r>
        <w:rPr/>
        <w:t>市建设的影响，智能交通行业应用投资增长至</w:t>
      </w:r>
      <w:r>
        <w:rPr>
          <w:rFonts w:ascii="Times New Roman" w:hAnsi="Times New Roman" w:cs="Times New Roman" w:eastAsia="Times New Roman" w:hint="default"/>
        </w:rPr>
        <w:t>408</w:t>
      </w:r>
      <w:r>
        <w:rPr/>
        <w:t>亿元，增长率则高达</w:t>
      </w:r>
      <w:r>
        <w:rPr>
          <w:rFonts w:ascii="Times New Roman" w:hAnsi="Times New Roman" w:cs="Times New Roman" w:eastAsia="Times New Roman" w:hint="default"/>
        </w:rPr>
        <w:t>28.5%</w:t>
      </w:r>
      <w:r>
        <w:rPr/>
        <w:t>；</w:t>
      </w:r>
      <w:r>
        <w:rPr>
          <w:rFonts w:ascii="Times New Roman" w:hAnsi="Times New Roman" w:cs="Times New Roman" w:eastAsia="Times New Roman" w:hint="default"/>
        </w:rPr>
        <w:t>2014</w:t>
      </w:r>
      <w:r>
        <w:rPr/>
        <w:t>年，智能交通行业市场规模达到</w:t>
      </w:r>
      <w:r>
        <w:rPr>
          <w:rFonts w:ascii="Times New Roman" w:hAnsi="Times New Roman" w:cs="Times New Roman" w:eastAsia="Times New Roman" w:hint="default"/>
        </w:rPr>
        <w:t>557.1</w:t>
      </w:r>
      <w:r>
        <w:rPr/>
        <w:t>亿</w:t>
      </w:r>
      <w:r>
        <w:rPr>
          <w:spacing w:val="-58"/>
        </w:rPr>
        <w:t> </w:t>
      </w:r>
      <w:r>
        <w:rPr/>
        <w:t>元。预计到</w:t>
      </w:r>
      <w:r>
        <w:rPr>
          <w:rFonts w:ascii="Times New Roman" w:hAnsi="Times New Roman" w:cs="Times New Roman" w:eastAsia="Times New Roman" w:hint="default"/>
        </w:rPr>
        <w:t>2020</w:t>
      </w:r>
      <w:r>
        <w:rPr/>
        <w:t>年国内智能交通领域的投入将达到上千亿元，智能交通将进入新一轮的快速发展轨道。</w:t>
      </w:r>
    </w:p>
    <w:p>
      <w:pPr>
        <w:pStyle w:val="BodyText"/>
        <w:spacing w:line="288" w:lineRule="auto" w:before="11"/>
        <w:ind w:right="1130" w:firstLine="357"/>
        <w:jc w:val="both"/>
      </w:pPr>
      <w:r>
        <w:rPr/>
        <w:t>随智慧城市的兴起，智能交通行业已经成为目前细分领域中最具前景、政策倾斜最多的行业，</w:t>
      </w:r>
      <w:r>
        <w:rPr>
          <w:rFonts w:ascii="Times New Roman" w:hAnsi="Times New Roman" w:cs="Times New Roman" w:eastAsia="Times New Roman" w:hint="default"/>
        </w:rPr>
        <w:t>“</w:t>
      </w:r>
      <w:r>
        <w:rPr/>
        <w:t>科技</w:t>
      </w:r>
      <w:r>
        <w:rPr>
          <w:rFonts w:ascii="Times New Roman" w:hAnsi="Times New Roman" w:cs="Times New Roman" w:eastAsia="Times New Roman" w:hint="default"/>
        </w:rPr>
        <w:t>+</w:t>
      </w:r>
      <w:r>
        <w:rPr/>
        <w:t>交通</w:t>
      </w:r>
      <w:r>
        <w:rPr>
          <w:rFonts w:ascii="Times New Roman" w:hAnsi="Times New Roman" w:cs="Times New Roman" w:eastAsia="Times New Roman" w:hint="default"/>
        </w:rPr>
        <w:t>”</w:t>
      </w:r>
      <w:r>
        <w:rPr/>
        <w:t>概念为主的 智能交通行业，未来将有望吸引巨量资金进入。</w:t>
      </w:r>
    </w:p>
    <w:p>
      <w:pPr>
        <w:pStyle w:val="BodyText"/>
        <w:spacing w:line="288" w:lineRule="auto" w:before="28"/>
        <w:ind w:left="511" w:right="1035"/>
        <w:jc w:val="left"/>
      </w:pPr>
      <w:r>
        <w:rPr/>
        <w:t>（</w:t>
      </w:r>
      <w:r>
        <w:rPr>
          <w:rFonts w:ascii="Times New Roman" w:hAnsi="Times New Roman" w:cs="Times New Roman" w:eastAsia="Times New Roman" w:hint="default"/>
        </w:rPr>
        <w:t>2</w:t>
      </w:r>
      <w:r>
        <w:rPr/>
        <w:t>）轨道交通 为了稳定经济，加快发展，国家将高铁建设与新型城镇化建设作为近年来重点发展的方向，它们一起带来基建的提速，</w:t>
      </w:r>
    </w:p>
    <w:p>
      <w:pPr>
        <w:pStyle w:val="BodyText"/>
        <w:spacing w:line="304" w:lineRule="auto" w:before="28"/>
        <w:ind w:right="1130"/>
        <w:jc w:val="both"/>
      </w:pPr>
      <w:r>
        <w:rPr>
          <w:spacing w:val="-2"/>
        </w:rPr>
        <w:t>从而成为拉动国内基建的双子星座。城市轨道交通已经成为新型城镇化基础设施建设的重点。轨道交通载客量大、低碳环保</w:t>
      </w:r>
      <w:r>
        <w:rPr>
          <w:spacing w:val="-66"/>
        </w:rPr>
        <w:t> </w:t>
      </w:r>
      <w:r>
        <w:rPr>
          <w:spacing w:val="-66"/>
        </w:rPr>
      </w:r>
      <w:r>
        <w:rPr>
          <w:spacing w:val="-2"/>
        </w:rPr>
        <w:t>等特点，符合新型城镇化以人为核心的发展方向。城市轨道交通在保证我国城市土地的集约化开发与利用，引导和改善城市</w:t>
      </w:r>
      <w:r>
        <w:rPr>
          <w:spacing w:val="-66"/>
        </w:rPr>
        <w:t> </w:t>
      </w:r>
      <w:r>
        <w:rPr>
          <w:spacing w:val="-66"/>
        </w:rPr>
      </w:r>
      <w:r>
        <w:rPr>
          <w:spacing w:val="-2"/>
        </w:rPr>
        <w:t>空间结构，解决城市交通拥挤问题，促进沿线房地产增值和经济的繁荣，以及促进城市社会、经济和环境协调发展等方面都</w:t>
      </w:r>
      <w:r>
        <w:rPr>
          <w:spacing w:val="-66"/>
        </w:rPr>
        <w:t> </w:t>
      </w:r>
      <w:r>
        <w:rPr>
          <w:spacing w:val="-66"/>
        </w:rPr>
      </w:r>
      <w:r>
        <w:rPr/>
        <w:t>具有极其重要的作用。</w:t>
      </w:r>
    </w:p>
    <w:p>
      <w:pPr>
        <w:pStyle w:val="BodyText"/>
        <w:spacing w:line="288" w:lineRule="auto" w:before="16"/>
        <w:ind w:right="1128" w:firstLine="357"/>
        <w:jc w:val="both"/>
      </w:pPr>
      <w:r>
        <w:rPr/>
        <w:t>根据前瞻产业研究院发布的《</w:t>
      </w:r>
      <w:r>
        <w:rPr>
          <w:rFonts w:ascii="Times New Roman" w:hAnsi="Times New Roman" w:cs="Times New Roman" w:eastAsia="Times New Roman" w:hint="default"/>
        </w:rPr>
        <w:t>2016-2021</w:t>
      </w:r>
      <w:r>
        <w:rPr/>
        <w:t>年中国城市轨道交通行业市场前瞻与投资战略规划分析报告》数据显示，截止 </w:t>
      </w:r>
      <w:r>
        <w:rPr>
          <w:rFonts w:ascii="Times New Roman" w:hAnsi="Times New Roman" w:cs="Times New Roman" w:eastAsia="Times New Roman" w:hint="default"/>
        </w:rPr>
        <w:t>2015</w:t>
      </w:r>
      <w:r>
        <w:rPr/>
        <w:t>年的</w:t>
      </w:r>
      <w:r>
        <w:rPr>
          <w:rFonts w:ascii="Times New Roman" w:hAnsi="Times New Roman" w:cs="Times New Roman" w:eastAsia="Times New Roman" w:hint="default"/>
        </w:rPr>
        <w:t>6</w:t>
      </w:r>
      <w:r>
        <w:rPr/>
        <w:t>月，已经有</w:t>
      </w:r>
      <w:r>
        <w:rPr>
          <w:rFonts w:ascii="Times New Roman" w:hAnsi="Times New Roman" w:cs="Times New Roman" w:eastAsia="Times New Roman" w:hint="default"/>
        </w:rPr>
        <w:t>22</w:t>
      </w:r>
      <w:r>
        <w:rPr/>
        <w:t>个城市开通了轨道交通运营里程</w:t>
      </w:r>
      <w:r>
        <w:rPr>
          <w:rFonts w:ascii="Times New Roman" w:hAnsi="Times New Roman" w:cs="Times New Roman" w:eastAsia="Times New Roman" w:hint="default"/>
        </w:rPr>
        <w:t>2,764</w:t>
      </w:r>
      <w:r>
        <w:rPr/>
        <w:t>公里，其中北京、上海都已经超过</w:t>
      </w:r>
      <w:r>
        <w:rPr>
          <w:rFonts w:ascii="Times New Roman" w:hAnsi="Times New Roman" w:cs="Times New Roman" w:eastAsia="Times New Roman" w:hint="default"/>
        </w:rPr>
        <w:t>500</w:t>
      </w:r>
      <w:r>
        <w:rPr/>
        <w:t>公里以上，这已经在全</w:t>
      </w:r>
      <w:r>
        <w:rPr>
          <w:spacing w:val="-45"/>
        </w:rPr>
        <w:t> </w:t>
      </w:r>
      <w:r>
        <w:rPr>
          <w:spacing w:val="-45"/>
        </w:rPr>
      </w:r>
      <w:r>
        <w:rPr/>
        <w:t>世界名列前茅。分析表明，到</w:t>
      </w:r>
      <w:r>
        <w:rPr>
          <w:rFonts w:ascii="Times New Roman" w:hAnsi="Times New Roman" w:cs="Times New Roman" w:eastAsia="Times New Roman" w:hint="default"/>
        </w:rPr>
        <w:t>2020</w:t>
      </w:r>
      <w:r>
        <w:rPr/>
        <w:t>年，我国城市轨道交通运营里程将达</w:t>
      </w:r>
      <w:r>
        <w:rPr>
          <w:rFonts w:ascii="Times New Roman" w:hAnsi="Times New Roman" w:cs="Times New Roman" w:eastAsia="Times New Roman" w:hint="default"/>
        </w:rPr>
        <w:t>6,000</w:t>
      </w:r>
      <w:r>
        <w:rPr/>
        <w:t>公里左右，这也意味着我国城市轨道交通市场</w:t>
      </w:r>
      <w:r>
        <w:rPr>
          <w:spacing w:val="-45"/>
        </w:rPr>
        <w:t> </w:t>
      </w:r>
      <w:r>
        <w:rPr>
          <w:spacing w:val="-45"/>
        </w:rPr>
      </w:r>
      <w:r>
        <w:rPr>
          <w:spacing w:val="-2"/>
        </w:rPr>
        <w:t>有逾</w:t>
      </w:r>
      <w:r>
        <w:rPr>
          <w:rFonts w:ascii="Times New Roman" w:hAnsi="Times New Roman" w:cs="Times New Roman" w:eastAsia="Times New Roman" w:hint="default"/>
          <w:spacing w:val="-2"/>
        </w:rPr>
        <w:t>10</w:t>
      </w:r>
      <w:r>
        <w:rPr>
          <w:spacing w:val="-2"/>
        </w:rPr>
        <w:t>万亿的投资空间。近两年国家为拉动投资，加大</w:t>
      </w:r>
      <w:r>
        <w:rPr>
          <w:rFonts w:ascii="Times New Roman" w:hAnsi="Times New Roman" w:cs="Times New Roman" w:eastAsia="Times New Roman" w:hint="default"/>
          <w:spacing w:val="-2"/>
        </w:rPr>
        <w:t>PPP</w:t>
      </w:r>
      <w:r>
        <w:rPr>
          <w:spacing w:val="-2"/>
        </w:rPr>
        <w:t>项目在轨道交通中应用，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日，发展改革委印发了《关</w:t>
      </w:r>
      <w:r>
        <w:rPr>
          <w:spacing w:val="-86"/>
        </w:rPr>
        <w:t> </w:t>
      </w:r>
      <w:r>
        <w:rPr>
          <w:spacing w:val="-86"/>
        </w:rPr>
      </w:r>
      <w:r>
        <w:rPr>
          <w:spacing w:val="-1"/>
        </w:rPr>
        <w:t>于进一步做好政府和社会资本合作项目推介工作的通知》，要求各地发展改革部门尽快搭建信息平台，及时做好</w:t>
      </w:r>
      <w:r>
        <w:rPr>
          <w:rFonts w:ascii="Times New Roman" w:hAnsi="Times New Roman" w:cs="Times New Roman" w:eastAsia="Times New Roman" w:hint="default"/>
          <w:spacing w:val="-1"/>
        </w:rPr>
        <w:t>PPP</w:t>
      </w:r>
      <w:r>
        <w:rPr>
          <w:spacing w:val="-1"/>
        </w:rPr>
        <w:t>项目的</w:t>
      </w:r>
      <w:r>
        <w:rPr>
          <w:spacing w:val="-63"/>
        </w:rPr>
        <w:t> </w:t>
      </w:r>
      <w:r>
        <w:rPr/>
        <w:t>推介工作，发展改革委以各地已公布的项目为基础，经认真审核后建立了</w:t>
      </w:r>
      <w:r>
        <w:rPr>
          <w:rFonts w:ascii="Times New Roman" w:hAnsi="Times New Roman" w:cs="Times New Roman" w:eastAsia="Times New Roman" w:hint="default"/>
        </w:rPr>
        <w:t>PPP</w:t>
      </w:r>
      <w:r>
        <w:rPr/>
        <w:t>项目库，集中向社会公开推介。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月发</w:t>
      </w:r>
      <w:r>
        <w:rPr>
          <w:spacing w:val="-26"/>
        </w:rPr>
        <w:t> </w:t>
      </w:r>
      <w:r>
        <w:rPr/>
        <w:t>布的</w:t>
      </w:r>
      <w:r>
        <w:rPr>
          <w:rFonts w:ascii="Times New Roman" w:hAnsi="Times New Roman" w:cs="Times New Roman" w:eastAsia="Times New Roman" w:hint="default"/>
        </w:rPr>
        <w:t>PPP</w:t>
      </w:r>
      <w:r>
        <w:rPr/>
        <w:t>项目共计</w:t>
      </w:r>
      <w:r>
        <w:rPr>
          <w:rFonts w:ascii="Times New Roman" w:hAnsi="Times New Roman" w:cs="Times New Roman" w:eastAsia="Times New Roman" w:hint="default"/>
        </w:rPr>
        <w:t>1,043</w:t>
      </w:r>
      <w:r>
        <w:rPr/>
        <w:t>个，总投资</w:t>
      </w:r>
      <w:r>
        <w:rPr>
          <w:rFonts w:ascii="Times New Roman" w:hAnsi="Times New Roman" w:cs="Times New Roman" w:eastAsia="Times New Roman" w:hint="default"/>
        </w:rPr>
        <w:t>1.97</w:t>
      </w:r>
      <w:r>
        <w:rPr/>
        <w:t>万亿元，其中涉及地铁类轨道交通项目高达</w:t>
      </w:r>
      <w:r>
        <w:rPr>
          <w:rFonts w:ascii="Times New Roman" w:hAnsi="Times New Roman" w:cs="Times New Roman" w:eastAsia="Times New Roman" w:hint="default"/>
        </w:rPr>
        <w:t>32</w:t>
      </w:r>
      <w:r>
        <w:rPr/>
        <w:t>个。</w:t>
      </w:r>
    </w:p>
    <w:p>
      <w:pPr>
        <w:pStyle w:val="BodyText"/>
        <w:spacing w:line="199" w:lineRule="exact"/>
        <w:ind w:left="511" w:right="0"/>
        <w:jc w:val="left"/>
      </w:pPr>
      <w:r>
        <w:rPr/>
        <w:t>未来轨道交通行业将向智能化、集成化、信息化的趋势发展，在保障轨道交通建设和运营管理高效运行的同时，也为乘</w:t>
      </w:r>
    </w:p>
    <w:p>
      <w:pPr>
        <w:pStyle w:val="BodyText"/>
        <w:spacing w:line="240" w:lineRule="auto" w:before="4"/>
        <w:ind w:right="1118"/>
        <w:jc w:val="left"/>
      </w:pPr>
      <w:r>
        <w:rPr/>
        <w:t>客供高质、舒适的服务需求。我国正处在轨道交通建设的繁荣时期，已经成为世界上最大的城市轨道交通市场。</w:t>
      </w:r>
    </w:p>
    <w:p>
      <w:pPr>
        <w:pStyle w:val="BodyText"/>
        <w:spacing w:line="297" w:lineRule="auto" w:before="4"/>
        <w:ind w:left="513" w:right="1123" w:hanging="3"/>
        <w:jc w:val="left"/>
      </w:pPr>
      <w:r>
        <w:rPr/>
        <w:t>（</w:t>
      </w:r>
      <w:r>
        <w:rPr>
          <w:rFonts w:ascii="Times New Roman" w:hAnsi="Times New Roman" w:cs="Times New Roman" w:eastAsia="Times New Roman" w:hint="default"/>
        </w:rPr>
        <w:t>3</w:t>
      </w:r>
      <w:r>
        <w:rPr/>
        <w:t>）高速公路 按中国交通运输部数据，</w:t>
      </w:r>
      <w:r>
        <w:rPr>
          <w:rFonts w:ascii="Times New Roman" w:hAnsi="Times New Roman" w:cs="Times New Roman" w:eastAsia="Times New Roman" w:hint="default"/>
        </w:rPr>
        <w:t>2016</w:t>
      </w:r>
      <w:r>
        <w:rPr/>
        <w:t>年中国将新增高速公路</w:t>
      </w:r>
      <w:r>
        <w:rPr>
          <w:rFonts w:ascii="Times New Roman" w:hAnsi="Times New Roman" w:cs="Times New Roman" w:eastAsia="Times New Roman" w:hint="default"/>
        </w:rPr>
        <w:t>4,500</w:t>
      </w:r>
      <w:r>
        <w:rPr/>
        <w:t>公里左右；新改建国省干线升级公路</w:t>
      </w:r>
      <w:r>
        <w:rPr>
          <w:rFonts w:ascii="Times New Roman" w:hAnsi="Times New Roman" w:cs="Times New Roman" w:eastAsia="Times New Roman" w:hint="default"/>
        </w:rPr>
        <w:t>1.6</w:t>
      </w:r>
      <w:r>
        <w:rPr/>
        <w:t>万公里左右。此外，</w:t>
      </w:r>
    </w:p>
    <w:p>
      <w:pPr>
        <w:pStyle w:val="BodyText"/>
        <w:spacing w:line="338" w:lineRule="auto" w:before="15"/>
        <w:ind w:left="514" w:right="1118" w:hanging="360"/>
        <w:jc w:val="left"/>
      </w:pPr>
      <w:r>
        <w:rPr/>
        <w:t>力争新建改建农村公路</w:t>
      </w:r>
      <w:r>
        <w:rPr>
          <w:rFonts w:ascii="Times New Roman" w:hAnsi="Times New Roman" w:cs="Times New Roman" w:eastAsia="Times New Roman" w:hint="default"/>
        </w:rPr>
        <w:t>18</w:t>
      </w:r>
      <w:r>
        <w:rPr/>
        <w:t>万公里。 </w:t>
      </w:r>
      <w:r>
        <w:rPr>
          <w:spacing w:val="-2"/>
        </w:rPr>
        <w:t>未来我国将逐步形成横连东西、纵贯南北高速公路网。按照中央提出的</w:t>
      </w:r>
      <w:r>
        <w:rPr>
          <w:rFonts w:ascii="Times New Roman" w:hAnsi="Times New Roman" w:cs="Times New Roman" w:eastAsia="Times New Roman" w:hint="default"/>
          <w:spacing w:val="-2"/>
        </w:rPr>
        <w:t>“</w:t>
      </w:r>
      <w:r>
        <w:rPr>
          <w:spacing w:val="-2"/>
        </w:rPr>
        <w:t>适度超前</w:t>
      </w:r>
      <w:r>
        <w:rPr>
          <w:rFonts w:ascii="Times New Roman" w:hAnsi="Times New Roman" w:cs="Times New Roman" w:eastAsia="Times New Roman" w:hint="default"/>
          <w:spacing w:val="-2"/>
        </w:rPr>
        <w:t>”</w:t>
      </w:r>
      <w:r>
        <w:rPr>
          <w:spacing w:val="-2"/>
        </w:rPr>
        <w:t>的要求，交通运输仍处于大建设、大</w:t>
      </w:r>
    </w:p>
    <w:p>
      <w:pPr>
        <w:pStyle w:val="BodyText"/>
        <w:spacing w:line="230" w:lineRule="exact"/>
        <w:ind w:left="154" w:right="0"/>
        <w:jc w:val="left"/>
      </w:pPr>
      <w:r>
        <w:rPr/>
        <w:t>发展的关键时期。未来</w:t>
      </w:r>
      <w:r>
        <w:rPr>
          <w:rFonts w:ascii="Times New Roman" w:hAnsi="Times New Roman" w:cs="Times New Roman" w:eastAsia="Times New Roman" w:hint="default"/>
        </w:rPr>
        <w:t>3</w:t>
      </w:r>
      <w:r>
        <w:rPr/>
        <w:t>年，我国将继续推进国家高速公路建设，加快高速公路网剩余路段、瓶颈路段的建设，基本完成国</w:t>
      </w:r>
    </w:p>
    <w:p>
      <w:pPr>
        <w:pStyle w:val="BodyText"/>
        <w:spacing w:line="309" w:lineRule="auto" w:before="63"/>
        <w:ind w:right="0"/>
        <w:jc w:val="left"/>
      </w:pPr>
      <w:r>
        <w:rPr>
          <w:spacing w:val="-3"/>
        </w:rPr>
        <w:t>家高速公路网，建成比例超过</w:t>
      </w:r>
      <w:r>
        <w:rPr>
          <w:rFonts w:ascii="Times New Roman" w:hAnsi="Times New Roman" w:cs="Times New Roman" w:eastAsia="Times New Roman" w:hint="default"/>
          <w:spacing w:val="-3"/>
        </w:rPr>
        <w:t>90%</w:t>
      </w:r>
      <w:r>
        <w:rPr>
          <w:spacing w:val="-3"/>
        </w:rPr>
        <w:t>。积极推进国家公路网规划中的国家高速公路新增路线建设；支持纳入国家区域发展规划、</w:t>
      </w:r>
      <w:r>
        <w:rPr>
          <w:spacing w:val="-65"/>
        </w:rPr>
        <w:t> </w:t>
      </w:r>
      <w:r>
        <w:rPr>
          <w:spacing w:val="-65"/>
        </w:rPr>
      </w:r>
      <w:r>
        <w:rPr>
          <w:spacing w:val="-2"/>
        </w:rPr>
        <w:t>对加强省际、区域和城际联系具有重要意义的高速公路建设；继续完善疏港高速公路和大中城市绕城高速公路等建设。总体</w:t>
      </w:r>
      <w:r>
        <w:rPr>
          <w:spacing w:val="-66"/>
        </w:rPr>
        <w:t> </w:t>
      </w:r>
      <w:r>
        <w:rPr>
          <w:spacing w:val="-66"/>
        </w:rPr>
      </w:r>
      <w:r>
        <w:rPr/>
        <w:t>上虽然高速公路的投资增长较前几年相对有所放缓，但绝对投资规模依然很大，发展空间广阔。</w:t>
      </w:r>
    </w:p>
    <w:p>
      <w:pPr>
        <w:spacing w:line="240" w:lineRule="auto" w:before="0"/>
        <w:rPr>
          <w:rFonts w:ascii="宋体" w:hAnsi="宋体" w:cs="宋体" w:eastAsia="宋体" w:hint="default"/>
          <w:sz w:val="18"/>
          <w:szCs w:val="18"/>
        </w:rPr>
      </w:pPr>
    </w:p>
    <w:p>
      <w:pPr>
        <w:pStyle w:val="Heading3"/>
        <w:spacing w:line="240" w:lineRule="auto" w:before="153"/>
        <w:ind w:left="443" w:right="1118"/>
        <w:jc w:val="left"/>
        <w:rPr>
          <w:b w:val="0"/>
          <w:bCs w:val="0"/>
        </w:rPr>
      </w:pPr>
      <w:r>
        <w:rPr/>
        <w:t>（二）公司未来发展战略</w:t>
      </w:r>
      <w:r>
        <w:rPr>
          <w:b w:val="0"/>
          <w:bCs w:val="0"/>
        </w:rPr>
      </w:r>
    </w:p>
    <w:p>
      <w:pPr>
        <w:pStyle w:val="BodyText"/>
        <w:spacing w:line="316" w:lineRule="auto" w:before="62"/>
        <w:ind w:right="1131" w:firstLine="290"/>
        <w:jc w:val="both"/>
      </w:pPr>
      <w:r>
        <w:rPr>
          <w:spacing w:val="-1"/>
        </w:rPr>
        <w:t>公司多年来一直定位于专网通信技术解决方案服务商，公司的总体战略是结合对所服务行业的深切理解以及行业需求的</w:t>
      </w:r>
      <w:r>
        <w:rPr/>
        <w:t> </w:t>
      </w:r>
      <w:r>
        <w:rPr>
          <w:spacing w:val="-2"/>
        </w:rPr>
        <w:t>精准把握，通过不断将通信信息领域先进技术成果引入专网通信领域，加强专网通信技术及其应用技术的研发，满足专网用</w:t>
      </w:r>
      <w:r>
        <w:rPr>
          <w:spacing w:val="-66"/>
        </w:rPr>
        <w:t> </w:t>
      </w:r>
      <w:r>
        <w:rPr>
          <w:spacing w:val="-66"/>
        </w:rPr>
      </w:r>
      <w:r>
        <w:rPr>
          <w:spacing w:val="-2"/>
        </w:rPr>
        <w:t>户更加精细化、个性化及多元化的通信信息服务需求，提供更加专业的服务，推动公司从专网通信服务商向信息技术一站式</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t>服务商转变，成为在大数据及金融能力支持下，物联网</w:t>
      </w:r>
      <w:r>
        <w:rPr>
          <w:rFonts w:ascii="Times New Roman" w:hAnsi="Times New Roman" w:cs="Times New Roman" w:eastAsia="Times New Roman" w:hint="default"/>
        </w:rPr>
        <w:t>+</w:t>
      </w:r>
      <w:r>
        <w:rPr/>
        <w:t>云技术领域最具代表性的技术解决方案服务商和行业的领先者。公 </w:t>
      </w:r>
      <w:r>
        <w:rPr>
          <w:spacing w:val="-2"/>
        </w:rPr>
        <w:t>司始终坚持客户与市场导向的价值观，把客户看成生存与发展的根本，不断倾听、理解并引导客户需求，积极在工业信息与</w:t>
      </w:r>
      <w:r>
        <w:rPr>
          <w:spacing w:val="-66"/>
        </w:rPr>
        <w:t> </w:t>
      </w:r>
      <w:r>
        <w:rPr>
          <w:spacing w:val="-66"/>
        </w:rPr>
      </w:r>
      <w:r>
        <w:rPr/>
        <w:t>通信领域引导并推行互联网思维，推动工业互联网在专网领域的实施与应用，从而为专网行业不断提供价值。</w:t>
      </w:r>
    </w:p>
    <w:p>
      <w:pPr>
        <w:pStyle w:val="BodyText"/>
        <w:spacing w:line="319" w:lineRule="auto" w:before="24"/>
        <w:ind w:right="1118" w:firstLine="290"/>
        <w:jc w:val="left"/>
      </w:pPr>
      <w:r>
        <w:rPr>
          <w:spacing w:val="-1"/>
        </w:rPr>
        <w:t>未来公司将继续走专网通信技术服务之路，整合新老资源，在继续发扬公司原有的专业方案、优质服务、量身定制这三</w:t>
      </w:r>
      <w:r>
        <w:rPr/>
        <w:t> 大优势的前提下，不断创新，积极探索产业升级和产融结合道路。</w:t>
      </w:r>
    </w:p>
    <w:p>
      <w:pPr>
        <w:pStyle w:val="BodyText"/>
        <w:spacing w:line="240" w:lineRule="auto" w:before="17"/>
        <w:ind w:left="444" w:right="1118"/>
        <w:jc w:val="left"/>
      </w:pPr>
      <w:r>
        <w:rPr>
          <w:rFonts w:ascii="Times New Roman" w:hAnsi="Times New Roman" w:cs="Times New Roman" w:eastAsia="Times New Roman" w:hint="default"/>
        </w:rPr>
        <w:t>1</w:t>
      </w:r>
      <w:r>
        <w:rPr/>
        <w:t>、专注专网信息通信领域</w:t>
      </w:r>
    </w:p>
    <w:p>
      <w:pPr>
        <w:pStyle w:val="BodyText"/>
        <w:spacing w:line="300" w:lineRule="auto" w:before="63"/>
        <w:ind w:left="154" w:right="1118" w:firstLine="290"/>
        <w:jc w:val="left"/>
      </w:pPr>
      <w:r>
        <w:rPr>
          <w:rFonts w:ascii="Times New Roman" w:hAnsi="Times New Roman" w:cs="Times New Roman" w:eastAsia="Times New Roman" w:hint="default"/>
          <w:spacing w:val="-1"/>
        </w:rPr>
        <w:t>2016</w:t>
      </w:r>
      <w:r>
        <w:rPr>
          <w:spacing w:val="-1"/>
        </w:rPr>
        <w:t>年公司将继续聚焦在电力、智能交通、轨道交通和高速公路行业领域，在巩固原来市场的同时不断拓展新的市场空</w:t>
      </w:r>
      <w:r>
        <w:rPr/>
        <w:t> 间。</w:t>
      </w:r>
    </w:p>
    <w:p>
      <w:pPr>
        <w:pStyle w:val="BodyText"/>
        <w:spacing w:line="316" w:lineRule="auto" w:before="31"/>
        <w:ind w:left="154" w:right="1033" w:firstLine="290"/>
        <w:jc w:val="left"/>
      </w:pPr>
      <w:r>
        <w:rPr>
          <w:spacing w:val="-3"/>
        </w:rPr>
        <w:t>在电力行业方面，利用既有的优势，继续保持在国网集采中的领先地位，同时不断巩固和拓展省网市场，提高利润空间。</w:t>
      </w:r>
      <w:r>
        <w:rPr/>
        <w:t> </w:t>
      </w:r>
      <w:r>
        <w:rPr>
          <w:spacing w:val="-2"/>
        </w:rPr>
        <w:t>与行业内的大型企业、优质的区域代理商等建立密切的业务合作关系，并形成紧密的战略伙伴，共同开拓市场，进一步提升</w:t>
      </w:r>
      <w:r>
        <w:rPr>
          <w:spacing w:val="-66"/>
        </w:rPr>
        <w:t> </w:t>
      </w:r>
      <w:r>
        <w:rPr>
          <w:spacing w:val="-66"/>
        </w:rPr>
      </w:r>
      <w:r>
        <w:rPr/>
        <w:t>市场份额。</w:t>
      </w:r>
    </w:p>
    <w:p>
      <w:pPr>
        <w:pStyle w:val="BodyText"/>
        <w:spacing w:line="316" w:lineRule="auto" w:before="19"/>
        <w:ind w:left="154" w:right="1118" w:firstLine="290"/>
        <w:jc w:val="left"/>
      </w:pPr>
      <w:r>
        <w:rPr>
          <w:spacing w:val="-1"/>
        </w:rPr>
        <w:t>在智能交通方面，把握好智能交通行业的发展趋势，不断探索新的合作模式，拓展融资渠道，尝试通过产融结合的模式</w:t>
      </w:r>
      <w:r>
        <w:rPr/>
        <w:t> 实现跨越式的发展。</w:t>
      </w:r>
    </w:p>
    <w:p>
      <w:pPr>
        <w:pStyle w:val="BodyText"/>
        <w:spacing w:line="316" w:lineRule="auto" w:before="19"/>
        <w:ind w:left="154" w:right="1118" w:firstLine="290"/>
        <w:jc w:val="left"/>
      </w:pPr>
      <w:r>
        <w:rPr>
          <w:spacing w:val="-1"/>
        </w:rPr>
        <w:t>在轨道交通方面，抓住国家大中城市轨道交通建设高峰的机遇，在巩固现有市场的基础上，拓展新的轨道交通线路。同</w:t>
      </w:r>
      <w:r>
        <w:rPr/>
        <w:t> 时，抓住轨道交通领域技术转型的机遇，积极推广新技术新应用。</w:t>
      </w:r>
    </w:p>
    <w:p>
      <w:pPr>
        <w:pStyle w:val="BodyText"/>
        <w:spacing w:line="316" w:lineRule="auto" w:before="19"/>
        <w:ind w:right="0" w:firstLine="290"/>
        <w:jc w:val="left"/>
      </w:pPr>
      <w:r>
        <w:rPr>
          <w:spacing w:val="-3"/>
        </w:rPr>
        <w:t>在高速公路方面，不断加强项目管理能力，提高项目执行效率，降低项目执行成本。同时，在保证总包商地位的基础上，</w:t>
      </w:r>
      <w:r>
        <w:rPr/>
        <w:t> 探索在一些项目上引入自有产品及定制化开发增值业务，加强客户粘度，提高项目利润空间。</w:t>
      </w:r>
    </w:p>
    <w:p>
      <w:pPr>
        <w:pStyle w:val="BodyText"/>
        <w:spacing w:line="240" w:lineRule="auto" w:before="19"/>
        <w:ind w:left="444" w:right="1118"/>
        <w:jc w:val="left"/>
      </w:pPr>
      <w:r>
        <w:rPr>
          <w:rFonts w:ascii="Times New Roman" w:hAnsi="Times New Roman" w:cs="Times New Roman" w:eastAsia="Times New Roman" w:hint="default"/>
        </w:rPr>
        <w:t>2</w:t>
      </w:r>
      <w:r>
        <w:rPr/>
        <w:t>、拓展新的业务模式</w:t>
      </w:r>
    </w:p>
    <w:p>
      <w:pPr>
        <w:pStyle w:val="BodyText"/>
        <w:spacing w:line="300" w:lineRule="auto" w:before="63"/>
        <w:ind w:left="154" w:right="1118" w:firstLine="290"/>
        <w:jc w:val="left"/>
      </w:pPr>
      <w:r>
        <w:rPr/>
        <w:t>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大背景下，发挥互联网的优势，利用大数据技术，进行业务模式的新布局，探索物联网与金融、交通、能 源等领域的结合，探索新的业务模式和服务方式，把握行业变革机会，引领行业前沿趋势。</w:t>
      </w:r>
    </w:p>
    <w:p>
      <w:pPr>
        <w:pStyle w:val="BodyText"/>
        <w:spacing w:line="300" w:lineRule="auto" w:before="31"/>
        <w:ind w:left="444" w:right="1028" w:hanging="1"/>
        <w:jc w:val="left"/>
      </w:pPr>
      <w:r>
        <w:rPr>
          <w:rFonts w:ascii="Times New Roman" w:hAnsi="Times New Roman" w:cs="Times New Roman" w:eastAsia="Times New Roman" w:hint="default"/>
        </w:rPr>
        <w:t>3</w:t>
      </w:r>
      <w:r>
        <w:rPr/>
        <w:t>、探索产融结合 </w:t>
      </w:r>
      <w:r>
        <w:rPr>
          <w:spacing w:val="-2"/>
        </w:rPr>
        <w:t>公司将积极推进产融结合模式，使公司的产业链运行更加顺畅，巩固公司在产业链中的核心地位，拓展公司的业务渠道。</w:t>
      </w:r>
    </w:p>
    <w:p>
      <w:pPr>
        <w:pStyle w:val="BodyText"/>
        <w:spacing w:line="240" w:lineRule="auto" w:before="32"/>
        <w:ind w:left="154" w:right="1118"/>
        <w:jc w:val="left"/>
      </w:pPr>
      <w:r>
        <w:rPr/>
        <w:t>同时为公司提供新的利润增长点，拓宽公司的经营范围，提升公司的盈利能力。</w:t>
      </w:r>
    </w:p>
    <w:p>
      <w:pPr>
        <w:spacing w:line="240" w:lineRule="auto" w:before="0"/>
        <w:rPr>
          <w:rFonts w:ascii="宋体" w:hAnsi="宋体" w:cs="宋体" w:eastAsia="宋体" w:hint="default"/>
          <w:sz w:val="18"/>
          <w:szCs w:val="18"/>
        </w:rPr>
      </w:pPr>
    </w:p>
    <w:p>
      <w:pPr>
        <w:pStyle w:val="Heading3"/>
        <w:spacing w:line="240" w:lineRule="auto" w:before="127"/>
        <w:ind w:left="455" w:right="1118"/>
        <w:jc w:val="left"/>
        <w:rPr>
          <w:b w:val="0"/>
          <w:bCs w:val="0"/>
        </w:rPr>
      </w:pPr>
      <w:r>
        <w:rPr/>
        <w:t>（三）公司经营计划</w:t>
      </w:r>
      <w:r>
        <w:rPr>
          <w:b w:val="0"/>
          <w:bCs w:val="0"/>
        </w:rPr>
      </w:r>
    </w:p>
    <w:p>
      <w:pPr>
        <w:pStyle w:val="BodyText"/>
        <w:spacing w:line="300" w:lineRule="auto" w:before="62"/>
        <w:ind w:left="444" w:right="1118" w:firstLine="16"/>
        <w:jc w:val="left"/>
      </w:pPr>
      <w:r>
        <w:rPr>
          <w:rFonts w:ascii="Times New Roman" w:hAnsi="Times New Roman" w:cs="Times New Roman" w:eastAsia="Times New Roman" w:hint="default"/>
        </w:rPr>
        <w:t>1</w:t>
      </w:r>
      <w:r>
        <w:rPr/>
        <w:t>、继续聚焦主业，并探索产业升级和新的业务模式 </w:t>
      </w:r>
      <w:r>
        <w:rPr>
          <w:spacing w:val="-1"/>
        </w:rPr>
        <w:t>公司将继续聚焦电力、轨道交通、高速公路、智能交通四大主业，在巩固原来市场，维系现有客户的同时，在智慧城市</w:t>
      </w:r>
    </w:p>
    <w:p>
      <w:pPr>
        <w:pStyle w:val="BodyText"/>
        <w:spacing w:line="316" w:lineRule="auto" w:before="31"/>
        <w:ind w:right="1033"/>
        <w:jc w:val="left"/>
      </w:pPr>
      <w:r>
        <w:rPr/>
        <w:t>领域加大对新市场、新客户的拓展。公司将坚持既定战略，不断探索新的技术、产品与解决方案在主业领域应用的可行性， </w:t>
      </w:r>
      <w:r>
        <w:rPr>
          <w:spacing w:val="-2"/>
        </w:rPr>
        <w:t>不断扩展自己的产品线，探索产业升级，提高利润空间。同时，积极探索如产融结合等新的业务模式、合作模式，实现公司</w:t>
      </w:r>
      <w:r>
        <w:rPr>
          <w:spacing w:val="-68"/>
        </w:rPr>
        <w:t> </w:t>
      </w:r>
      <w:r>
        <w:rPr>
          <w:spacing w:val="-68"/>
        </w:rPr>
      </w:r>
      <w:r>
        <w:rPr/>
        <w:t>跨越式发展。</w:t>
      </w:r>
    </w:p>
    <w:p>
      <w:pPr>
        <w:pStyle w:val="BodyText"/>
        <w:spacing w:line="300" w:lineRule="auto" w:before="19"/>
        <w:ind w:left="444" w:right="1118" w:firstLine="16"/>
        <w:jc w:val="left"/>
      </w:pPr>
      <w:r>
        <w:rPr>
          <w:rFonts w:ascii="Times New Roman" w:hAnsi="Times New Roman" w:cs="Times New Roman" w:eastAsia="Times New Roman" w:hint="default"/>
        </w:rPr>
        <w:t>2</w:t>
      </w:r>
      <w:r>
        <w:rPr/>
        <w:t>、提高定制化开发能力，加快研发成果转化 </w:t>
      </w:r>
      <w:r>
        <w:rPr>
          <w:spacing w:val="-1"/>
        </w:rPr>
        <w:t>坚持应用型开发的研发策略，提高开发效率，加强开发成果的转化、应用与推广。针对客户需求，提高自身定制化开发</w:t>
      </w:r>
    </w:p>
    <w:p>
      <w:pPr>
        <w:pStyle w:val="BodyText"/>
        <w:spacing w:line="309" w:lineRule="auto" w:before="31"/>
        <w:ind w:left="444" w:right="1118" w:hanging="291"/>
        <w:jc w:val="left"/>
      </w:pPr>
      <w:r>
        <w:rPr/>
        <w:t>能力，不断将项目的研发成果平台化、产品化，提高可复制能力，避免重复开发工作。 </w:t>
      </w:r>
      <w:r>
        <w:rPr>
          <w:rFonts w:ascii="Times New Roman" w:hAnsi="Times New Roman" w:cs="Times New Roman" w:eastAsia="Times New Roman" w:hint="default"/>
        </w:rPr>
        <w:t>3</w:t>
      </w:r>
      <w:r>
        <w:rPr/>
        <w:t>、加强人才培养，提高人员专业化水平 </w:t>
      </w:r>
      <w:r>
        <w:rPr>
          <w:spacing w:val="-1"/>
        </w:rPr>
        <w:t>人才是公司经营发展的根本，公司将加大各类人员的培养与招募工作，提高公司人才的技能水平，同时制定相应的激励</w:t>
      </w:r>
    </w:p>
    <w:p>
      <w:pPr>
        <w:pStyle w:val="BodyText"/>
        <w:spacing w:line="240" w:lineRule="auto" w:before="24"/>
        <w:ind w:left="154" w:right="1118"/>
        <w:jc w:val="left"/>
      </w:pPr>
      <w:r>
        <w:rPr/>
        <w:t>政策做好人员的育留工作。</w:t>
      </w:r>
    </w:p>
    <w:p>
      <w:pPr>
        <w:pStyle w:val="BodyText"/>
        <w:spacing w:line="300" w:lineRule="auto" w:before="76"/>
        <w:ind w:left="444" w:right="1118" w:hanging="1"/>
        <w:jc w:val="left"/>
      </w:pPr>
      <w:r>
        <w:rPr>
          <w:rFonts w:ascii="Times New Roman" w:hAnsi="Times New Roman" w:cs="Times New Roman" w:eastAsia="Times New Roman" w:hint="default"/>
        </w:rPr>
        <w:t>4</w:t>
      </w:r>
      <w:r>
        <w:rPr/>
        <w:t>、继续加强成本费用控制，提高公司盈利能力 </w:t>
      </w:r>
      <w:r>
        <w:rPr>
          <w:spacing w:val="-1"/>
        </w:rPr>
        <w:t>进一步做好预算管理工作，加强财务开支的审核，杜绝不合理开支；优化采购供应，优化工艺流程，降低公司生产经营</w:t>
      </w:r>
    </w:p>
    <w:p>
      <w:pPr>
        <w:pStyle w:val="BodyText"/>
        <w:spacing w:line="316" w:lineRule="auto" w:before="31"/>
        <w:ind w:right="0"/>
        <w:jc w:val="left"/>
      </w:pPr>
      <w:r>
        <w:rPr>
          <w:spacing w:val="-4"/>
        </w:rPr>
        <w:t>成本；优化组织架构和岗位结构，提高工作效率，控制人工成本的支出；进一步提高公司资金使用效率，控制各项费用增长，</w:t>
      </w:r>
      <w:r>
        <w:rPr>
          <w:spacing w:val="-44"/>
        </w:rPr>
        <w:t> </w:t>
      </w:r>
      <w:r>
        <w:rPr>
          <w:spacing w:val="-44"/>
        </w:rPr>
      </w:r>
      <w:r>
        <w:rPr/>
        <w:t>以拓展公司盈利空间，提高公司盈利能力。</w:t>
      </w:r>
    </w:p>
    <w:p>
      <w:pPr>
        <w:pStyle w:val="BodyText"/>
        <w:spacing w:line="300" w:lineRule="auto" w:before="19"/>
        <w:ind w:left="513" w:right="1118" w:hanging="70"/>
        <w:jc w:val="left"/>
      </w:pPr>
      <w:r>
        <w:rPr>
          <w:rFonts w:ascii="Times New Roman" w:hAnsi="Times New Roman" w:cs="Times New Roman" w:eastAsia="Times New Roman" w:hint="default"/>
        </w:rPr>
        <w:t>5</w:t>
      </w:r>
      <w:r>
        <w:rPr/>
        <w:t>、探索产融结合，推进主业发展，提升综合竞争力 </w:t>
      </w:r>
      <w:r>
        <w:rPr>
          <w:spacing w:val="-2"/>
        </w:rPr>
        <w:t>通过产融结合的探索使公司的产业链运行更加顺畅，使供应、需求保持稳定。同时可以拓宽公司的经营范围，增强公司</w:t>
      </w:r>
    </w:p>
    <w:p>
      <w:pPr>
        <w:pStyle w:val="BodyText"/>
        <w:spacing w:line="240" w:lineRule="auto" w:before="31"/>
        <w:ind w:right="1118"/>
        <w:jc w:val="left"/>
      </w:pPr>
      <w:r>
        <w:rPr/>
        <w:t>的盈利能力，扩大公司的盈利渠道，有利于公司综合竞争力的提升。</w:t>
      </w:r>
    </w:p>
    <w:p>
      <w:pPr>
        <w:pStyle w:val="BodyText"/>
        <w:spacing w:line="240" w:lineRule="auto" w:before="76"/>
        <w:ind w:left="514" w:right="1118"/>
        <w:jc w:val="left"/>
      </w:pPr>
      <w:r>
        <w:rPr>
          <w:rFonts w:ascii="Times New Roman" w:hAnsi="Times New Roman" w:cs="Times New Roman" w:eastAsia="Times New Roman" w:hint="default"/>
        </w:rPr>
        <w:t>6</w:t>
      </w:r>
      <w:r>
        <w:rPr/>
        <w:t>、推进非公开发行股票及募集资金投资项目实施</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1"/>
        </w:rPr>
        <w:t>推进基于物联网技术的综合研发平台及物联网＋行业解决方案项目、金融科技云服务项目、收购盈华租赁</w:t>
      </w:r>
      <w:r>
        <w:rPr>
          <w:rFonts w:ascii="Times New Roman" w:hAnsi="Times New Roman" w:cs="Times New Roman" w:eastAsia="Times New Roman" w:hint="default"/>
          <w:spacing w:val="-1"/>
        </w:rPr>
        <w:t>72.4%</w:t>
      </w:r>
      <w:r>
        <w:rPr>
          <w:spacing w:val="-1"/>
        </w:rPr>
        <w:t>股权并</w:t>
      </w:r>
      <w:r>
        <w:rPr/>
        <w:t> </w:t>
      </w:r>
      <w:r>
        <w:rPr>
          <w:spacing w:val="-2"/>
        </w:rPr>
        <w:t>增资等项目实施，完善公司现有业务的升级及拓展，同时促进公司优化资源配置、巩固并提高市场地位、提高综合竞争力及</w:t>
      </w:r>
      <w:r>
        <w:rPr>
          <w:spacing w:val="-66"/>
        </w:rPr>
        <w:t> </w:t>
      </w:r>
      <w:r>
        <w:rPr>
          <w:spacing w:val="-66"/>
        </w:rPr>
      </w:r>
      <w:r>
        <w:rPr/>
        <w:t>增强抗风险能力。</w:t>
      </w:r>
    </w:p>
    <w:p>
      <w:pPr>
        <w:spacing w:line="240" w:lineRule="auto" w:before="10"/>
        <w:rPr>
          <w:rFonts w:ascii="宋体" w:hAnsi="宋体" w:cs="宋体" w:eastAsia="宋体" w:hint="default"/>
          <w:sz w:val="23"/>
          <w:szCs w:val="23"/>
        </w:rPr>
      </w:pPr>
    </w:p>
    <w:p>
      <w:pPr>
        <w:pStyle w:val="Heading3"/>
        <w:spacing w:line="240" w:lineRule="auto"/>
        <w:ind w:left="443" w:right="1118"/>
        <w:jc w:val="left"/>
        <w:rPr>
          <w:b w:val="0"/>
          <w:bCs w:val="0"/>
        </w:rPr>
      </w:pPr>
      <w:r>
        <w:rPr/>
        <w:t>（四）可能面对的风险</w:t>
      </w:r>
      <w:r>
        <w:rPr>
          <w:b w:val="0"/>
          <w:bCs w:val="0"/>
        </w:rPr>
      </w:r>
    </w:p>
    <w:p>
      <w:pPr>
        <w:pStyle w:val="BodyText"/>
        <w:spacing w:line="300" w:lineRule="auto" w:before="62"/>
        <w:ind w:left="444" w:right="1118"/>
        <w:jc w:val="left"/>
      </w:pPr>
      <w:r>
        <w:rPr/>
        <w:t>（</w:t>
      </w:r>
      <w:r>
        <w:rPr>
          <w:rFonts w:ascii="Times New Roman" w:hAnsi="Times New Roman" w:cs="Times New Roman" w:eastAsia="Times New Roman" w:hint="default"/>
        </w:rPr>
        <w:t>1</w:t>
      </w:r>
      <w:r>
        <w:rPr/>
        <w:t>）宏观经济环境和宏观政策风险 </w:t>
      </w:r>
      <w:r>
        <w:rPr>
          <w:spacing w:val="-1"/>
        </w:rPr>
        <w:t>本公司是专业从事专网通信技术解决方案业务的服务商，所提供的解决方案主要面向电力、交通行业，上述行业的固定</w:t>
      </w:r>
    </w:p>
    <w:p>
      <w:pPr>
        <w:pStyle w:val="BodyText"/>
        <w:spacing w:line="316" w:lineRule="auto" w:before="31"/>
        <w:ind w:left="154" w:right="1131"/>
        <w:jc w:val="both"/>
      </w:pPr>
      <w:r>
        <w:rPr>
          <w:spacing w:val="-2"/>
        </w:rPr>
        <w:t>资产投资规模与国家的行业政策和宏观调控政策紧密联系。另外，受全球经济影响，中国经济增长增幅放缓，公司面临的外</w:t>
      </w:r>
      <w:r>
        <w:rPr>
          <w:spacing w:val="-66"/>
        </w:rPr>
        <w:t> </w:t>
      </w:r>
      <w:r>
        <w:rPr>
          <w:spacing w:val="-66"/>
        </w:rPr>
      </w:r>
      <w:r>
        <w:rPr/>
        <w:t>部经济形势较为复杂。如果宏观经济环境和宏观政策出现不利变化，将会对公司经营业绩产生影响。</w:t>
      </w:r>
    </w:p>
    <w:p>
      <w:pPr>
        <w:pStyle w:val="BodyText"/>
        <w:spacing w:line="300" w:lineRule="auto" w:before="19"/>
        <w:ind w:left="444" w:right="1118"/>
        <w:jc w:val="left"/>
      </w:pPr>
      <w:r>
        <w:rPr/>
        <w:t>（</w:t>
      </w:r>
      <w:r>
        <w:rPr>
          <w:rFonts w:ascii="Times New Roman" w:hAnsi="Times New Roman" w:cs="Times New Roman" w:eastAsia="Times New Roman" w:hint="default"/>
        </w:rPr>
        <w:t>2</w:t>
      </w:r>
      <w:r>
        <w:rPr/>
        <w:t>）市场竞争风险 </w:t>
      </w:r>
      <w:r>
        <w:rPr>
          <w:spacing w:val="-1"/>
        </w:rPr>
        <w:t>公司作为专业从事能源交通领域通信技术解决方案业务的服务商，具有技术、经验和品牌优势，但由于公司目前主要的</w:t>
      </w:r>
    </w:p>
    <w:p>
      <w:pPr>
        <w:pStyle w:val="BodyText"/>
        <w:spacing w:line="316" w:lineRule="auto" w:before="31"/>
        <w:ind w:left="154" w:right="1131"/>
        <w:jc w:val="both"/>
      </w:pPr>
      <w:r>
        <w:rPr>
          <w:spacing w:val="-2"/>
        </w:rPr>
        <w:t>竞争对手为行业内规模较大、技术水平较高的大中型企业，公司面临的竞争压力较大。伴随着市场集中度的不断提高，竞争</w:t>
      </w:r>
      <w:r>
        <w:rPr>
          <w:spacing w:val="-66"/>
        </w:rPr>
        <w:t> </w:t>
      </w:r>
      <w:r>
        <w:rPr>
          <w:spacing w:val="-66"/>
        </w:rPr>
      </w:r>
      <w:r>
        <w:rPr>
          <w:spacing w:val="-2"/>
        </w:rPr>
        <w:t>不断激烈，对公司的产品质量、价格、服务和市场开拓能力等方面都提出了更高的要求。如果公司不能继续强化自身的竞争</w:t>
      </w:r>
      <w:r>
        <w:rPr>
          <w:spacing w:val="-66"/>
        </w:rPr>
        <w:t> </w:t>
      </w:r>
      <w:r>
        <w:rPr>
          <w:spacing w:val="-66"/>
        </w:rPr>
      </w:r>
      <w:r>
        <w:rPr/>
        <w:t>优势，可能在日趋激烈的市场竞争中处于不利的地位。</w:t>
      </w:r>
    </w:p>
    <w:p>
      <w:pPr>
        <w:pStyle w:val="BodyText"/>
        <w:spacing w:line="300" w:lineRule="auto" w:before="19"/>
        <w:ind w:left="444" w:right="1118"/>
        <w:jc w:val="left"/>
      </w:pPr>
      <w:r>
        <w:rPr/>
        <w:t>（</w:t>
      </w:r>
      <w:r>
        <w:rPr>
          <w:rFonts w:ascii="Times New Roman" w:hAnsi="Times New Roman" w:cs="Times New Roman" w:eastAsia="Times New Roman" w:hint="default"/>
        </w:rPr>
        <w:t>3</w:t>
      </w:r>
      <w:r>
        <w:rPr/>
        <w:t>）经营管理风险 </w:t>
      </w:r>
      <w:r>
        <w:rPr>
          <w:spacing w:val="-1"/>
        </w:rPr>
        <w:t>随着公司后续的快速发展，及公司非公开发行股票事项的完成，公司的资产规模、运营规模、人员规模等将可能进一步</w:t>
      </w:r>
    </w:p>
    <w:p>
      <w:pPr>
        <w:pStyle w:val="BodyText"/>
        <w:spacing w:line="316" w:lineRule="auto" w:before="31"/>
        <w:ind w:left="154" w:right="1131"/>
        <w:jc w:val="both"/>
      </w:pPr>
      <w:r>
        <w:rPr>
          <w:spacing w:val="-2"/>
        </w:rPr>
        <w:t>扩张，对于公司的人员素质、管理水平等方面提出了更高要求。如果公司管理水平和机制不能适应公司业务发展，将可能影</w:t>
      </w:r>
      <w:r>
        <w:rPr>
          <w:spacing w:val="-66"/>
        </w:rPr>
        <w:t> </w:t>
      </w:r>
      <w:r>
        <w:rPr>
          <w:spacing w:val="-66"/>
        </w:rPr>
      </w:r>
      <w:r>
        <w:rPr/>
        <w:t>响公司实际经营和市场竞争能力。</w:t>
      </w:r>
    </w:p>
    <w:p>
      <w:pPr>
        <w:pStyle w:val="BodyText"/>
        <w:spacing w:line="300" w:lineRule="auto" w:before="19"/>
        <w:ind w:left="444" w:right="1118"/>
        <w:jc w:val="left"/>
      </w:pPr>
      <w:r>
        <w:rPr/>
        <w:t>（</w:t>
      </w:r>
      <w:r>
        <w:rPr>
          <w:rFonts w:ascii="Times New Roman" w:hAnsi="Times New Roman" w:cs="Times New Roman" w:eastAsia="Times New Roman" w:hint="default"/>
        </w:rPr>
        <w:t>4</w:t>
      </w:r>
      <w:r>
        <w:rPr/>
        <w:t>）应收账款和现金流的风险 </w:t>
      </w:r>
      <w:r>
        <w:rPr>
          <w:spacing w:val="-1"/>
        </w:rPr>
        <w:t>随着公司业务的快速发展，人员机构、生产规模、投资项目不断增加，对公司现金流提出了更高要求，如果公司现金流</w:t>
      </w:r>
    </w:p>
    <w:p>
      <w:pPr>
        <w:pStyle w:val="BodyText"/>
        <w:spacing w:line="319" w:lineRule="auto" w:before="31"/>
        <w:ind w:left="154" w:right="1132"/>
        <w:jc w:val="both"/>
      </w:pPr>
      <w:r>
        <w:rPr>
          <w:spacing w:val="-2"/>
        </w:rPr>
        <w:t>不能支撑公司业务快速扩张将对公司造成很大财务风险，影响公司未来发展。随着公司业务规模的不断扩大和销售收入的不</w:t>
      </w:r>
      <w:r>
        <w:rPr>
          <w:spacing w:val="-64"/>
        </w:rPr>
        <w:t> </w:t>
      </w:r>
      <w:r>
        <w:rPr>
          <w:spacing w:val="-64"/>
        </w:rPr>
      </w:r>
      <w:r>
        <w:rPr>
          <w:spacing w:val="-2"/>
        </w:rPr>
        <w:t>断增加，公司应收账款也有较大增长。如果出现应收账款无法收回而发生坏账的情况，将对公司业绩和生产经营产生不利影</w:t>
      </w:r>
      <w:r>
        <w:rPr>
          <w:spacing w:val="-66"/>
        </w:rPr>
        <w:t> </w:t>
      </w:r>
      <w:r>
        <w:rPr>
          <w:spacing w:val="-66"/>
        </w:rPr>
      </w:r>
      <w:r>
        <w:rPr/>
        <w:t>响。</w:t>
      </w:r>
    </w:p>
    <w:p>
      <w:pPr>
        <w:spacing w:line="240" w:lineRule="auto" w:before="8"/>
        <w:rPr>
          <w:rFonts w:ascii="宋体" w:hAnsi="宋体" w:cs="宋体" w:eastAsia="宋体" w:hint="default"/>
          <w:sz w:val="20"/>
          <w:szCs w:val="20"/>
        </w:rPr>
      </w:pPr>
    </w:p>
    <w:p>
      <w:pPr>
        <w:pStyle w:val="Heading2"/>
        <w:spacing w:line="240" w:lineRule="auto"/>
        <w:ind w:left="154" w:right="0"/>
        <w:jc w:val="both"/>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line="240" w:lineRule="auto" w:before="2"/>
        <w:rPr>
          <w:rFonts w:ascii="宋体" w:hAnsi="宋体" w:cs="宋体" w:eastAsia="宋体" w:hint="default"/>
          <w:sz w:val="21"/>
          <w:szCs w:val="21"/>
        </w:rPr>
      </w:pPr>
    </w:p>
    <w:p>
      <w:pPr>
        <w:pStyle w:val="Heading3"/>
        <w:spacing w:line="240" w:lineRule="auto"/>
        <w:ind w:left="154" w:right="0"/>
        <w:jc w:val="both"/>
        <w:rPr>
          <w:b w:val="0"/>
          <w:bCs w:val="0"/>
        </w:rPr>
      </w:pPr>
      <w:bookmarkStart w:name="2、报告期末至披露日期间接待调研、沟通、采访等活动登记表" w:id="58"/>
      <w:bookmarkEnd w:id="58"/>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公司报告期期末至披露日期间未发生接待调研、沟通、采访等活动。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6"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8"/>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报告期内普通股利润分配政策，特别是现金分红政策的制定、执行或调整情况</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444" w:right="1118"/>
        <w:jc w:val="left"/>
        <w:rPr>
          <w:rFonts w:ascii="Times New Roman" w:hAnsi="Times New Roman" w:cs="Times New Roman" w:eastAsia="Times New Roman" w:hint="default"/>
        </w:rPr>
      </w:pPr>
      <w:r>
        <w:rPr>
          <w:spacing w:val="-5"/>
        </w:rPr>
        <w:t>报告期，公司制定了公司《未来三年（</w:t>
      </w:r>
      <w:r>
        <w:rPr>
          <w:rFonts w:ascii="Times New Roman" w:hAnsi="Times New Roman" w:cs="Times New Roman" w:eastAsia="Times New Roman" w:hint="default"/>
          <w:spacing w:val="-5"/>
        </w:rPr>
        <w:t>2015-2017</w:t>
      </w:r>
      <w:r>
        <w:rPr>
          <w:spacing w:val="-5"/>
        </w:rPr>
        <w:t>年）股东回报规划》，并严格遵照执行。新制定的《公司未来三年（</w:t>
      </w:r>
      <w:r>
        <w:rPr>
          <w:rFonts w:ascii="Times New Roman" w:hAnsi="Times New Roman" w:cs="Times New Roman" w:eastAsia="Times New Roman" w:hint="default"/>
          <w:spacing w:val="-5"/>
        </w:rPr>
        <w:t>2015</w:t>
      </w:r>
    </w:p>
    <w:p>
      <w:pPr>
        <w:pStyle w:val="BodyText"/>
        <w:spacing w:line="300" w:lineRule="auto" w:before="63"/>
        <w:ind w:left="154" w:right="1118"/>
        <w:jc w:val="left"/>
      </w:pPr>
      <w:r>
        <w:rPr>
          <w:spacing w:val="-2"/>
        </w:rPr>
        <w:t>－</w:t>
      </w:r>
      <w:r>
        <w:rPr>
          <w:rFonts w:ascii="Times New Roman" w:hAnsi="Times New Roman" w:cs="Times New Roman" w:eastAsia="Times New Roman" w:hint="default"/>
          <w:spacing w:val="-2"/>
        </w:rPr>
        <w:t>2017</w:t>
      </w:r>
      <w:r>
        <w:rPr>
          <w:spacing w:val="-2"/>
        </w:rPr>
        <w:t>年）股东回报规划》已经公司第三届董事会第三十二次会议及</w:t>
      </w:r>
      <w:r>
        <w:rPr>
          <w:rFonts w:ascii="Times New Roman" w:hAnsi="Times New Roman" w:cs="Times New Roman" w:eastAsia="Times New Roman" w:hint="default"/>
          <w:spacing w:val="-2"/>
        </w:rPr>
        <w:t>2014</w:t>
      </w:r>
      <w:r>
        <w:rPr>
          <w:spacing w:val="-2"/>
        </w:rPr>
        <w:t>年度股东大会审议通过，公司独立董事对此事项均</w:t>
      </w:r>
      <w:r>
        <w:rPr>
          <w:spacing w:val="-58"/>
        </w:rPr>
        <w:t> </w:t>
      </w:r>
      <w:r>
        <w:rPr>
          <w:spacing w:val="-58"/>
        </w:rPr>
      </w:r>
      <w:r>
        <w:rPr/>
        <w:t>发表意见，相关内容刊登在巨潮资讯网（</w:t>
      </w:r>
      <w:hyperlink r:id="rId12">
        <w:r>
          <w:rPr>
            <w:rFonts w:ascii="Times New Roman" w:hAnsi="Times New Roman" w:cs="Times New Roman" w:eastAsia="Times New Roman" w:hint="default"/>
          </w:rPr>
          <w:t>http://www.cninfo.com.cn</w:t>
        </w:r>
      </w:hyperlink>
      <w:r>
        <w:rPr/>
        <w:t>）上。</w:t>
      </w:r>
    </w:p>
    <w:p>
      <w:pPr>
        <w:spacing w:line="240" w:lineRule="auto" w:before="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1"/>
        <w:ind w:left="444" w:right="2748" w:hanging="291"/>
        <w:jc w:val="left"/>
      </w:pPr>
      <w:r>
        <w:rPr/>
        <w:t>公司近</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spacing w:val="-88"/>
        </w:rPr>
        <w:t> </w:t>
      </w:r>
      <w:r>
        <w:rPr>
          <w:spacing w:val="-8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年度利润分配及资本公积转增股本的方案 公司对</w:t>
      </w:r>
      <w:r>
        <w:rPr>
          <w:rFonts w:ascii="Times New Roman" w:hAnsi="Times New Roman" w:cs="Times New Roman" w:eastAsia="Times New Roman" w:hint="default"/>
        </w:rPr>
        <w:t>2013</w:t>
      </w:r>
      <w:r>
        <w:rPr/>
        <w:t>年度不派发现金红利，不送红股，不以公积金转增股本。</w:t>
      </w:r>
    </w:p>
    <w:p>
      <w:pPr>
        <w:pStyle w:val="BodyText"/>
        <w:spacing w:line="300" w:lineRule="auto"/>
        <w:ind w:left="443" w:right="1118" w:firstLine="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年度利润分配及资本公积转增股本的方案 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393,120,000</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0.10</w:t>
      </w:r>
      <w:r>
        <w:rPr/>
        <w:t>元（含税），共计派</w:t>
      </w:r>
    </w:p>
    <w:p>
      <w:pPr>
        <w:pStyle w:val="BodyText"/>
        <w:spacing w:line="240" w:lineRule="auto" w:before="13"/>
        <w:ind w:right="1118"/>
        <w:jc w:val="left"/>
      </w:pPr>
      <w:r>
        <w:rPr/>
        <w:t>发现金红利</w:t>
      </w:r>
      <w:r>
        <w:rPr>
          <w:rFonts w:ascii="Times New Roman" w:hAnsi="Times New Roman" w:cs="Times New Roman" w:eastAsia="Times New Roman" w:hint="default"/>
        </w:rPr>
        <w:t>3,931,200.00</w:t>
      </w:r>
      <w:r>
        <w:rPr/>
        <w:t>元，不送红股，不以公积金转增股本。</w:t>
      </w:r>
    </w:p>
    <w:p>
      <w:pPr>
        <w:pStyle w:val="BodyText"/>
        <w:spacing w:line="300" w:lineRule="auto" w:before="63"/>
        <w:ind w:left="443" w:right="1118" w:firstLine="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年度利润分配及资本公积转增股本的预案 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393,120,000</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0.10</w:t>
      </w:r>
      <w:r>
        <w:rPr/>
        <w:t>元（含税），共计派</w:t>
      </w:r>
    </w:p>
    <w:p>
      <w:pPr>
        <w:pStyle w:val="BodyText"/>
        <w:spacing w:line="240" w:lineRule="auto" w:before="13"/>
        <w:ind w:right="1118"/>
        <w:jc w:val="left"/>
      </w:pPr>
      <w:r>
        <w:rPr/>
        <w:t>发现金红利</w:t>
      </w:r>
      <w:r>
        <w:rPr>
          <w:rFonts w:ascii="Times New Roman" w:hAnsi="Times New Roman" w:cs="Times New Roman" w:eastAsia="Times New Roman" w:hint="default"/>
        </w:rPr>
        <w:t>3,931,200.00</w:t>
      </w:r>
      <w:r>
        <w:rPr/>
        <w:t>元，不送红股，不以公积金转增股本。</w:t>
      </w:r>
    </w:p>
    <w:p>
      <w:pPr>
        <w:spacing w:line="240" w:lineRule="auto" w:before="5"/>
        <w:rPr>
          <w:rFonts w:ascii="宋体" w:hAnsi="宋体" w:cs="宋体" w:eastAsia="宋体" w:hint="default"/>
          <w:sz w:val="28"/>
          <w:szCs w:val="28"/>
        </w:rPr>
      </w:pPr>
    </w:p>
    <w:p>
      <w:pPr>
        <w:pStyle w:val="BodyText"/>
        <w:spacing w:line="240" w:lineRule="auto" w:before="44"/>
        <w:ind w:left="154" w:right="1118"/>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23,139,733.68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19,014,808.93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-31,123,510.55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公司报告期内盈利且母公司可供普通股股东分配利润为正但未提出普通股现金红利分配预案</w:t>
      </w:r>
    </w:p>
    <w:p>
      <w:pPr>
        <w:pStyle w:val="BodyText"/>
        <w:spacing w:line="240" w:lineRule="auto" w:before="116"/>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182,288,916.91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总</w:t>
            </w: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393,120,0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w:t>
            </w:r>
            <w:r>
              <w:rPr>
                <w:rFonts w:ascii="宋体" w:hAnsi="宋体" w:cs="宋体" w:eastAsia="宋体" w:hint="default"/>
                <w:spacing w:val="1"/>
                <w:sz w:val="18"/>
                <w:szCs w:val="18"/>
              </w:rPr>
              <w:t>税</w:t>
            </w:r>
            <w:r>
              <w:rPr>
                <w:rFonts w:ascii="宋体" w:hAnsi="宋体" w:cs="宋体" w:eastAsia="宋体" w:hint="default"/>
                <w:spacing w:val="-89"/>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共</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3,931,200.00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元，不送红股，不以资本公积转增股本。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118"/>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992"/>
        <w:gridCol w:w="1134"/>
        <w:gridCol w:w="2551"/>
        <w:gridCol w:w="1134"/>
        <w:gridCol w:w="805"/>
        <w:gridCol w:w="1108"/>
      </w:tblGrid>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55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自完成收购公司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w:t>
            </w:r>
          </w:p>
          <w:p>
            <w:pPr>
              <w:pStyle w:val="TableParagraph"/>
              <w:spacing w:line="302" w:lineRule="auto" w:before="61"/>
              <w:ind w:left="22" w:right="86"/>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个月内，不以任何方 式转让所持有的公司股份。</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704"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992" w:type="dxa"/>
            <w:vMerge/>
            <w:tcBorders>
              <w:left w:val="single" w:sz="10"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25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10"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20"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2551"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、对于公司享有的企业所得税 </w:t>
            </w:r>
            <w:r>
              <w:rPr>
                <w:rFonts w:ascii="宋体" w:hAnsi="宋体" w:cs="宋体" w:eastAsia="宋体" w:hint="default"/>
                <w:spacing w:val="-2"/>
                <w:sz w:val="18"/>
                <w:szCs w:val="18"/>
              </w:rPr>
              <w:t>税收优惠事项，公司股东键桥通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讯技术有限公司承诺：如今后公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司因税收优惠被税务机关撤销 </w:t>
            </w:r>
            <w:r>
              <w:rPr>
                <w:rFonts w:ascii="宋体" w:hAnsi="宋体" w:cs="宋体" w:eastAsia="宋体" w:hint="default"/>
                <w:spacing w:val="-2"/>
                <w:sz w:val="18"/>
                <w:szCs w:val="18"/>
              </w:rPr>
              <w:t>而产生额外税项和费用时，将及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时、无条件、全额承担公司补缴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的税款以及因此所产生的所有 相关费用。</w:t>
            </w:r>
            <w:r>
              <w:rPr>
                <w:rFonts w:ascii="Times New Roman" w:hAnsi="Times New Roman" w:cs="Times New Roman" w:eastAsia="Times New Roman" w:hint="default"/>
                <w:sz w:val="18"/>
                <w:szCs w:val="18"/>
              </w:rPr>
              <w:t>2</w:t>
            </w:r>
            <w:r>
              <w:rPr>
                <w:rFonts w:ascii="宋体" w:hAnsi="宋体" w:cs="宋体" w:eastAsia="宋体" w:hint="default"/>
                <w:sz w:val="18"/>
                <w:szCs w:val="18"/>
              </w:rPr>
              <w:t>、目前没有直接或</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5"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诺人严格履 行了承诺。</w:t>
            </w:r>
          </w:p>
        </w:tc>
      </w:tr>
      <w:tr>
        <w:trPr>
          <w:trHeight w:val="705"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992" w:type="dxa"/>
            <w:vMerge/>
            <w:tcBorders>
              <w:left w:val="single" w:sz="10"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25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05"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22"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10"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5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1134"/>
        <w:gridCol w:w="2551"/>
        <w:gridCol w:w="1134"/>
        <w:gridCol w:w="805"/>
        <w:gridCol w:w="1108"/>
      </w:tblGrid>
      <w:tr>
        <w:trPr>
          <w:trHeight w:val="2859"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间接地从事任何与公司营业执 照所列明经营范围内的业务存 </w:t>
            </w:r>
            <w:r>
              <w:rPr>
                <w:rFonts w:ascii="宋体" w:hAnsi="宋体" w:cs="宋体" w:eastAsia="宋体" w:hint="default"/>
                <w:spacing w:val="-2"/>
                <w:sz w:val="18"/>
                <w:szCs w:val="18"/>
              </w:rPr>
              <w:t>在竞争的任何业务活动。保证现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时及将来均不会以任何方式（包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括但不限于独资经营，合资经 </w:t>
            </w:r>
            <w:r>
              <w:rPr>
                <w:rFonts w:ascii="宋体" w:hAnsi="宋体" w:cs="宋体" w:eastAsia="宋体" w:hint="default"/>
                <w:spacing w:val="-2"/>
                <w:sz w:val="18"/>
                <w:szCs w:val="18"/>
              </w:rPr>
              <w:t>营，联营和拥有在其他公司或企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业的股票或权益）从事与公司的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业务有竞争或可能构成竞争的 业务或活动。</w:t>
            </w:r>
          </w:p>
        </w:tc>
        <w:tc>
          <w:tcPr>
            <w:tcW w:w="113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Brenda</w:t>
            </w:r>
            <w:r>
              <w:rPr>
                <w:rFonts w:ascii="Times New Roman"/>
                <w:spacing w:val="-4"/>
                <w:sz w:val="18"/>
              </w:rPr>
              <w:t> </w:t>
            </w:r>
            <w:r>
              <w:rPr>
                <w:rFonts w:ascii="Times New Roman"/>
                <w:spacing w:val="-7"/>
                <w:sz w:val="18"/>
              </w:rPr>
              <w:t>Yap</w:t>
            </w:r>
          </w:p>
          <w:p>
            <w:pPr>
              <w:pStyle w:val="TableParagraph"/>
              <w:spacing w:line="300" w:lineRule="auto" w:before="64"/>
              <w:ind w:left="22" w:right="23"/>
              <w:jc w:val="left"/>
              <w:rPr>
                <w:rFonts w:ascii="宋体" w:hAnsi="宋体" w:cs="宋体" w:eastAsia="宋体" w:hint="default"/>
                <w:sz w:val="18"/>
                <w:szCs w:val="18"/>
              </w:rPr>
            </w:pPr>
            <w:r>
              <w:rPr>
                <w:rFonts w:ascii="宋体" w:hAnsi="宋体" w:cs="宋体" w:eastAsia="宋体" w:hint="default"/>
                <w:spacing w:val="-3"/>
                <w:sz w:val="18"/>
                <w:szCs w:val="18"/>
              </w:rPr>
              <w:t>（叶冰）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叶</w:t>
            </w:r>
            <w:r>
              <w:rPr>
                <w:rFonts w:ascii="宋体" w:hAnsi="宋体" w:cs="宋体" w:eastAsia="宋体" w:hint="default"/>
                <w:spacing w:val="-87"/>
                <w:sz w:val="18"/>
                <w:szCs w:val="18"/>
              </w:rPr>
              <w:t> </w:t>
            </w:r>
            <w:r>
              <w:rPr>
                <w:rFonts w:ascii="宋体" w:hAnsi="宋体" w:cs="宋体" w:eastAsia="宋体" w:hint="default"/>
                <w:sz w:val="18"/>
                <w:szCs w:val="18"/>
              </w:rPr>
              <w:t>琼</w:t>
            </w:r>
            <w:r>
              <w:rPr>
                <w:rFonts w:ascii="Times New Roman" w:hAnsi="Times New Roman" w:cs="Times New Roman" w:eastAsia="Times New Roman" w:hint="default"/>
                <w:sz w:val="18"/>
                <w:szCs w:val="18"/>
              </w:rPr>
              <w:t>;David Xun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Ge</w:t>
            </w:r>
            <w:r>
              <w:rPr>
                <w:rFonts w:ascii="宋体" w:hAnsi="宋体" w:cs="宋体" w:eastAsia="宋体" w:hint="default"/>
                <w:sz w:val="18"/>
                <w:szCs w:val="18"/>
              </w:rPr>
              <w:t>（葛 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25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
              <w:jc w:val="left"/>
              <w:rPr>
                <w:rFonts w:ascii="宋体" w:hAnsi="宋体" w:cs="宋体" w:eastAsia="宋体" w:hint="default"/>
                <w:sz w:val="18"/>
                <w:szCs w:val="18"/>
              </w:rPr>
            </w:pPr>
            <w:r>
              <w:rPr>
                <w:rFonts w:ascii="宋体" w:hAnsi="宋体" w:cs="宋体" w:eastAsia="宋体" w:hint="default"/>
                <w:spacing w:val="-2"/>
                <w:sz w:val="18"/>
                <w:szCs w:val="18"/>
              </w:rPr>
              <w:t>作为公司的实际控制人期间，不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会而且将促使其控股或以其它 方式控制的企业、单位不会单 </w:t>
            </w:r>
            <w:r>
              <w:rPr>
                <w:rFonts w:ascii="宋体" w:hAnsi="宋体" w:cs="宋体" w:eastAsia="宋体" w:hint="default"/>
                <w:spacing w:val="-9"/>
                <w:sz w:val="18"/>
                <w:szCs w:val="18"/>
              </w:rPr>
              <w:t>独、连同、代表任何人士、企业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单位，从事与公司（包括公司的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附属公司）所从事业务相同或近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似的业务；或从事其他公司认为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对公司构成直接或间接竞争的 业务。</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0"/>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755" w:lineRule="exact"/>
              <w:ind w:left="-7" w:right="-51"/>
              <w:jc w:val="left"/>
              <w:rPr>
                <w:rFonts w:ascii="宋体" w:hAnsi="宋体" w:cs="宋体" w:eastAsia="宋体" w:hint="default"/>
                <w:sz w:val="20"/>
                <w:szCs w:val="20"/>
              </w:rPr>
            </w:pPr>
            <w:r>
              <w:rPr>
                <w:rFonts w:ascii="宋体" w:hAnsi="宋体" w:cs="宋体" w:eastAsia="宋体" w:hint="default"/>
                <w:position w:val="-34"/>
                <w:sz w:val="20"/>
                <w:szCs w:val="20"/>
              </w:rPr>
              <w:pict>
                <v:group style="width:56.25pt;height:87.8pt;mso-position-horizontal-relative:char;mso-position-vertical-relative:line" coordorigin="0,0" coordsize="1125,1756">
                  <v:group style="position:absolute;left:0;top:0;width:1125;height:1404" coordorigin="0,0" coordsize="1125,1404">
                    <v:shape style="position:absolute;left:0;top:0;width:1125;height:1404" coordorigin="0,0" coordsize="1125,1404" path="m0,1404l1125,1404,1125,0,0,0,0,1404xe" filled="true" fillcolor="#ffffff" stroked="false">
                      <v:path arrowok="t"/>
                      <v:fill type="solid"/>
                    </v:shape>
                  </v:group>
                  <v:group style="position:absolute;left:23;top:1404;width:1080;height:352" coordorigin="23,1404" coordsize="1080,352">
                    <v:shape style="position:absolute;left:23;top:1404;width:1080;height:352" coordorigin="23,1404" coordsize="1080,352" path="m23,1756l1102,1756,1102,1404,23,1404,23,1756xe" filled="true" fillcolor="#ffffff" stroked="false">
                      <v:path arrowok="t"/>
                      <v:fill type="solid"/>
                    </v:shape>
                  </v:group>
                </v:group>
              </w:pict>
            </w:r>
            <w:r>
              <w:rPr>
                <w:rFonts w:ascii="宋体" w:hAnsi="宋体" w:cs="宋体" w:eastAsia="宋体" w:hint="default"/>
                <w:position w:val="-34"/>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作为公司 实际控制 人期间长 期有效。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314" w:lineRule="auto"/>
              <w:ind w:left="22" w:right="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以后，承 诺人不再 是公司的 实际控制 人。</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日，承</w:t>
            </w:r>
            <w:r>
              <w:rPr>
                <w:rFonts w:ascii="宋体" w:hAnsi="宋体" w:cs="宋体" w:eastAsia="宋体" w:hint="default"/>
                <w:sz w:val="18"/>
                <w:szCs w:val="18"/>
              </w:rPr>
              <w:t> 诺人严格履 行了承诺。</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single" w:sz="4" w:space="0" w:color="000000"/>
              <w:bottom w:val="single" w:sz="4" w:space="0" w:color="000000"/>
              <w:right w:val="single" w:sz="4" w:space="0" w:color="000000"/>
            </w:tcBorders>
          </w:tcPr>
          <w:p>
            <w:pPr/>
          </w:p>
        </w:tc>
        <w:tc>
          <w:tcPr>
            <w:tcW w:w="25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left="154" w:right="1118"/>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1118"/>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1118"/>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129" w:firstLine="360"/>
        <w:jc w:val="both"/>
      </w:pPr>
      <w:r>
        <w:rPr>
          <w:rFonts w:ascii="Times New Roman" w:hAnsi="Times New Roman" w:cs="Times New Roman" w:eastAsia="Times New Roman" w:hint="default"/>
          <w:spacing w:val="-2"/>
        </w:rPr>
        <w:t>1</w:t>
      </w:r>
      <w:r>
        <w:rPr>
          <w:spacing w:val="-2"/>
        </w:rPr>
        <w:t>、本年增加子公司</w:t>
      </w:r>
      <w:r>
        <w:rPr>
          <w:rFonts w:ascii="Times New Roman" w:hAnsi="Times New Roman" w:cs="Times New Roman" w:eastAsia="Times New Roman" w:hint="default"/>
          <w:spacing w:val="-2"/>
        </w:rPr>
        <w:t>7</w:t>
      </w:r>
      <w:r>
        <w:rPr>
          <w:spacing w:val="-2"/>
        </w:rPr>
        <w:t>家，其中：收购子公司</w:t>
      </w:r>
      <w:r>
        <w:rPr>
          <w:rFonts w:ascii="Times New Roman" w:hAnsi="Times New Roman" w:cs="Times New Roman" w:eastAsia="Times New Roman" w:hint="default"/>
          <w:spacing w:val="-2"/>
        </w:rPr>
        <w:t>1</w:t>
      </w:r>
      <w:r>
        <w:rPr>
          <w:spacing w:val="-2"/>
        </w:rPr>
        <w:t>家即大连先锋投资管理有限公司；新设子公司</w:t>
      </w:r>
      <w:r>
        <w:rPr>
          <w:rFonts w:ascii="Times New Roman" w:hAnsi="Times New Roman" w:cs="Times New Roman" w:eastAsia="Times New Roman" w:hint="default"/>
          <w:spacing w:val="-2"/>
        </w:rPr>
        <w:t>5</w:t>
      </w:r>
      <w:r>
        <w:rPr>
          <w:spacing w:val="-2"/>
        </w:rPr>
        <w:t>家即键桥投资（香港）有限</w:t>
      </w:r>
      <w:r>
        <w:rPr/>
        <w:t> </w:t>
      </w:r>
      <w:r>
        <w:rPr>
          <w:spacing w:val="-2"/>
        </w:rPr>
        <w:t>公司、深圳键桥轨道交通有限公司、深圳键桥菁英科技有限公司、深圳键桥智能技术有限公司及深圳网信金融科技发展有限</w:t>
      </w:r>
      <w:r>
        <w:rPr>
          <w:spacing w:val="-66"/>
        </w:rPr>
        <w:t> </w:t>
      </w:r>
      <w:r>
        <w:rPr>
          <w:spacing w:val="-66"/>
        </w:rPr>
      </w:r>
      <w:r>
        <w:rPr>
          <w:spacing w:val="-2"/>
        </w:rPr>
        <w:t>公司（深圳键桥菁英科技有限公司、深圳键桥智能技术有限公司及深圳网信金融科技发展有限公司已取得营业执照、尚未实</w:t>
      </w:r>
      <w:r>
        <w:rPr>
          <w:spacing w:val="-66"/>
        </w:rPr>
        <w:t> </w:t>
      </w:r>
      <w:r>
        <w:rPr>
          <w:spacing w:val="-66"/>
        </w:rPr>
      </w:r>
      <w:r>
        <w:rPr/>
        <w:t>际投资）；入伙合伙企业</w:t>
      </w:r>
      <w:r>
        <w:rPr>
          <w:rFonts w:ascii="Times New Roman" w:hAnsi="Times New Roman" w:cs="Times New Roman" w:eastAsia="Times New Roman" w:hint="default"/>
        </w:rPr>
        <w:t>1</w:t>
      </w:r>
      <w:r>
        <w:rPr/>
        <w:t>家即嘉兴德玖投资合伙企业（有限合伙）。</w:t>
      </w:r>
    </w:p>
    <w:p>
      <w:pPr>
        <w:pStyle w:val="BodyText"/>
        <w:spacing w:line="300" w:lineRule="auto" w:before="42"/>
        <w:ind w:right="112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年公司全资子公司深圳键桥资产管理有限公司通过同一控制下的企业合并，将原子公司键桥国际（香港）投资 有限公司</w:t>
      </w:r>
      <w:r>
        <w:rPr>
          <w:rFonts w:ascii="Times New Roman" w:hAnsi="Times New Roman" w:cs="Times New Roman" w:eastAsia="Times New Roman" w:hint="default"/>
        </w:rPr>
        <w:t>100%</w:t>
      </w:r>
      <w:r>
        <w:rPr/>
        <w:t>股权与南京键桥通讯技术有限公司</w:t>
      </w:r>
      <w:r>
        <w:rPr>
          <w:rFonts w:ascii="Times New Roman" w:hAnsi="Times New Roman" w:cs="Times New Roman" w:eastAsia="Times New Roman" w:hint="default"/>
        </w:rPr>
        <w:t>100%</w:t>
      </w:r>
      <w:r>
        <w:rPr/>
        <w:t>股权纳入了其合并范围；经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日公司第三届董事会第三十 </w:t>
      </w:r>
      <w:r>
        <w:rPr>
          <w:spacing w:val="-1"/>
        </w:rPr>
        <w:t>八次会议，及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日公司</w:t>
      </w:r>
      <w:r>
        <w:rPr>
          <w:rFonts w:ascii="Times New Roman" w:hAnsi="Times New Roman" w:cs="Times New Roman" w:eastAsia="Times New Roman" w:hint="default"/>
          <w:spacing w:val="-1"/>
        </w:rPr>
        <w:t>2015</w:t>
      </w:r>
      <w:r>
        <w:rPr>
          <w:spacing w:val="-1"/>
        </w:rPr>
        <w:t>年第三次临时股东大会审议通过，公司将全资子公司键桥资产管理</w:t>
      </w:r>
      <w:r>
        <w:rPr>
          <w:rFonts w:ascii="Times New Roman" w:hAnsi="Times New Roman" w:cs="Times New Roman" w:eastAsia="Times New Roman" w:hint="default"/>
          <w:spacing w:val="-1"/>
        </w:rPr>
        <w:t>100%</w:t>
      </w:r>
      <w:r>
        <w:rPr>
          <w:spacing w:val="-1"/>
        </w:rPr>
        <w:t>股权（含键桥</w:t>
      </w:r>
      <w:r>
        <w:rPr>
          <w:spacing w:val="-80"/>
        </w:rPr>
        <w:t> </w:t>
      </w:r>
      <w:r>
        <w:rPr>
          <w:spacing w:val="-80"/>
        </w:rPr>
      </w:r>
      <w:r>
        <w:rPr/>
        <w:t>国际</w:t>
      </w:r>
      <w:r>
        <w:rPr>
          <w:rFonts w:ascii="Times New Roman" w:hAnsi="Times New Roman" w:cs="Times New Roman" w:eastAsia="Times New Roman" w:hint="default"/>
        </w:rPr>
        <w:t>100%</w:t>
      </w:r>
      <w:r>
        <w:rPr/>
        <w:t>股权与南京键桥</w:t>
      </w:r>
      <w:r>
        <w:rPr>
          <w:rFonts w:ascii="Times New Roman" w:hAnsi="Times New Roman" w:cs="Times New Roman" w:eastAsia="Times New Roman" w:hint="default"/>
        </w:rPr>
        <w:t>100%</w:t>
      </w:r>
      <w:r>
        <w:rPr/>
        <w:t>股权）以</w:t>
      </w:r>
      <w:r>
        <w:rPr>
          <w:rFonts w:ascii="Times New Roman" w:hAnsi="Times New Roman" w:cs="Times New Roman" w:eastAsia="Times New Roman" w:hint="default"/>
        </w:rPr>
        <w:t>1</w:t>
      </w:r>
      <w:r>
        <w:rPr/>
        <w:t>元价格转让给浩瀚天成。</w:t>
      </w:r>
    </w:p>
    <w:p>
      <w:pPr>
        <w:spacing w:line="240" w:lineRule="auto" w:before="2"/>
        <w:rPr>
          <w:rFonts w:ascii="宋体" w:hAnsi="宋体" w:cs="宋体" w:eastAsia="宋体" w:hint="default"/>
          <w:sz w:val="20"/>
          <w:szCs w:val="20"/>
        </w:rPr>
      </w:pPr>
    </w:p>
    <w:p>
      <w:pPr>
        <w:pStyle w:val="Heading2"/>
        <w:spacing w:line="240" w:lineRule="auto"/>
        <w:ind w:right="1118"/>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13"/>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110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饶世旗、陈松波</w:t>
            </w:r>
          </w:p>
        </w:tc>
      </w:tr>
    </w:tbl>
    <w:p>
      <w:pPr>
        <w:pStyle w:val="BodyText"/>
        <w:spacing w:line="240" w:lineRule="auto" w:before="51"/>
        <w:ind w:left="154" w:right="1118"/>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18"/>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912"/>
        <w:gridCol w:w="1419"/>
        <w:gridCol w:w="1230"/>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9" w:right="68" w:firstLine="3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借款合同纠纷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3,864.26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1"/>
              <w:jc w:val="left"/>
              <w:rPr>
                <w:rFonts w:ascii="宋体" w:hAnsi="宋体" w:cs="宋体" w:eastAsia="宋体" w:hint="default"/>
                <w:sz w:val="18"/>
                <w:szCs w:val="18"/>
              </w:rPr>
            </w:pPr>
            <w:r>
              <w:rPr>
                <w:rFonts w:ascii="宋体" w:hAnsi="宋体" w:cs="宋体" w:eastAsia="宋体" w:hint="default"/>
                <w:sz w:val="18"/>
                <w:szCs w:val="18"/>
              </w:rPr>
              <w:t>中止审理仲裁案 </w:t>
            </w:r>
            <w:r>
              <w:rPr>
                <w:rFonts w:ascii="宋体" w:hAnsi="宋体" w:cs="宋体" w:eastAsia="宋体" w:hint="default"/>
                <w:spacing w:val="-10"/>
                <w:sz w:val="18"/>
                <w:szCs w:val="18"/>
              </w:rPr>
              <w:t>件，待中院案件作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出生效审理结果 后，再恢复审理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r>
        <w:rPr/>
        <w:pict>
          <v:group style="position:absolute;margin-left:305.079987pt;margin-top:-35.804348pt;width:61.05pt;height:23.4pt;mso-position-horizontal-relative:page;mso-position-vertical-relative:paragraph;z-index:-885952" coordorigin="6102,-716" coordsize="1221,468">
            <v:shape style="position:absolute;left:6102;top:-716;width:1221;height:468" coordorigin="6102,-716" coordsize="1221,468" path="m6102,-248l7322,-248,7322,-716,6102,-716,6102,-248xe" filled="true" fillcolor="#ffffff" stroked="false">
              <v:path arrowok="t"/>
              <v:fill type="solid"/>
            </v:shape>
            <w10:wrap type="none"/>
          </v:group>
        </w:pict>
      </w: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70"/>
        <w:gridCol w:w="899"/>
        <w:gridCol w:w="1134"/>
        <w:gridCol w:w="1276"/>
        <w:gridCol w:w="2160"/>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键桥通讯</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因公司信息 披露违法违 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被中国证监会 立案调查或行 政处罚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公司存在如下违法事实：</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pacing w:val="-5"/>
                <w:sz w:val="18"/>
                <w:szCs w:val="18"/>
              </w:rPr>
              <w:t>（一）定期报告虚构营业收</w:t>
            </w:r>
            <w:r>
              <w:rPr>
                <w:rFonts w:ascii="宋体" w:hAnsi="宋体" w:cs="宋体" w:eastAsia="宋体" w:hint="default"/>
                <w:sz w:val="18"/>
                <w:szCs w:val="18"/>
              </w:rPr>
              <w:t> </w:t>
            </w:r>
            <w:r>
              <w:rPr>
                <w:rFonts w:ascii="宋体" w:hAnsi="宋体" w:cs="宋体" w:eastAsia="宋体" w:hint="default"/>
                <w:spacing w:val="-5"/>
                <w:sz w:val="18"/>
                <w:szCs w:val="18"/>
              </w:rPr>
              <w:t>入、成本以及虚构应收账款</w:t>
            </w:r>
            <w:r>
              <w:rPr>
                <w:rFonts w:ascii="宋体" w:hAnsi="宋体" w:cs="宋体" w:eastAsia="宋体" w:hint="default"/>
                <w:sz w:val="18"/>
                <w:szCs w:val="18"/>
              </w:rPr>
              <w:t> 回款的事实；</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重大对外 贷款未及时入账及披露的 事实</w:t>
            </w:r>
            <w:r>
              <w:rPr>
                <w:rFonts w:ascii="宋体" w:hAnsi="宋体" w:cs="宋体" w:eastAsia="宋体" w:hint="default"/>
                <w:spacing w:val="1"/>
                <w:sz w:val="18"/>
                <w:szCs w:val="18"/>
              </w:rPr>
              <w:t> </w:t>
            </w:r>
            <w:r>
              <w:rPr>
                <w:rFonts w:ascii="宋体" w:hAnsi="宋体" w:cs="宋体" w:eastAsia="宋体" w:hint="default"/>
                <w:spacing w:val="-15"/>
                <w:sz w:val="18"/>
                <w:szCs w:val="18"/>
              </w:rPr>
              <w:t>；（三）重大对外担保</w:t>
            </w:r>
            <w:r>
              <w:rPr>
                <w:rFonts w:ascii="宋体" w:hAnsi="宋体" w:cs="宋体" w:eastAsia="宋体" w:hint="default"/>
                <w:sz w:val="18"/>
                <w:szCs w:val="18"/>
              </w:rPr>
              <w:t> 未及时披露的事实 。对公 </w:t>
            </w:r>
            <w:r>
              <w:rPr>
                <w:rFonts w:ascii="宋体" w:hAnsi="宋体" w:cs="宋体" w:eastAsia="宋体" w:hint="default"/>
                <w:spacing w:val="-5"/>
                <w:sz w:val="18"/>
                <w:szCs w:val="18"/>
              </w:rPr>
              <w:t>司责令改正，给予警告，并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处以六十万元罚款。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 址为 </w:t>
            </w:r>
            <w:r>
              <w:rPr>
                <w:rFonts w:ascii="Times New Roman" w:hAnsi="Times New Roman" w:cs="Times New Roman" w:eastAsia="Times New Roman" w:hint="default"/>
                <w:sz w:val="18"/>
                <w:szCs w:val="18"/>
              </w:rPr>
              <w:t>http://www.cninf</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告</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名称：关于收到 中国证券监督管 理委员会深圳监 管局 ，公告编 号：</w:t>
            </w:r>
            <w:r>
              <w:rPr>
                <w:rFonts w:ascii="Times New Roman" w:hAnsi="Times New Roman" w:cs="Times New Roman" w:eastAsia="Times New Roman" w:hint="default"/>
                <w:sz w:val="18"/>
                <w:szCs w:val="18"/>
              </w:rPr>
              <w:t>2015-011</w:t>
            </w:r>
            <w:r>
              <w:rPr>
                <w:rFonts w:ascii="宋体" w:hAnsi="宋体" w:cs="宋体" w:eastAsia="宋体" w:hint="default"/>
                <w:sz w:val="18"/>
                <w:szCs w:val="18"/>
              </w:rPr>
              <w:t>。</w:t>
            </w:r>
          </w:p>
        </w:tc>
      </w:tr>
    </w:tbl>
    <w:p>
      <w:pPr>
        <w:pStyle w:val="BodyText"/>
        <w:spacing w:line="240" w:lineRule="auto" w:before="51"/>
        <w:ind w:left="154" w:right="1118"/>
        <w:jc w:val="left"/>
      </w:pPr>
      <w:r>
        <w:rPr/>
        <w:t>整改情况说明</w:t>
      </w:r>
    </w:p>
    <w:p>
      <w:pPr>
        <w:pStyle w:val="BodyText"/>
        <w:spacing w:line="338" w:lineRule="auto" w:before="117"/>
        <w:ind w:left="444" w:right="1118" w:hanging="29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公司根据行政处罚决定书及财务自查结果，对涉及的重要前期差错采用追溯重述法进行了更正。具体内容详见公司</w:t>
      </w:r>
      <w:r>
        <w:rPr>
          <w:rFonts w:ascii="Times New Roman" w:hAnsi="Times New Roman" w:cs="Times New Roman" w:eastAsia="Times New Roman" w:hint="default"/>
          <w:spacing w:val="-1"/>
        </w:rPr>
        <w:t>2015</w:t>
      </w:r>
    </w:p>
    <w:p>
      <w:pPr>
        <w:pStyle w:val="BodyText"/>
        <w:spacing w:line="230" w:lineRule="exact"/>
        <w:ind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日在巨潮资讯网（</w:t>
      </w:r>
      <w:hyperlink r:id="rId12">
        <w:r>
          <w:rPr>
            <w:rFonts w:ascii="Times New Roman" w:hAnsi="Times New Roman" w:cs="Times New Roman" w:eastAsia="Times New Roman" w:hint="default"/>
          </w:rPr>
          <w:t>www.cninfo.com.cn</w:t>
        </w:r>
      </w:hyperlink>
      <w:r>
        <w:rPr/>
        <w:t>）、《中国证券报》、《上海证券报》、《证券时报》和《证券日报》披露的</w:t>
      </w:r>
    </w:p>
    <w:p>
      <w:pPr>
        <w:pStyle w:val="BodyText"/>
        <w:spacing w:line="240" w:lineRule="auto" w:before="63"/>
        <w:ind w:right="1118"/>
        <w:jc w:val="left"/>
      </w:pPr>
      <w:r>
        <w:rPr/>
        <w:t>《关于对以前年度会计差错更正及追溯调整的公告》（</w:t>
      </w:r>
      <w:r>
        <w:rPr>
          <w:rFonts w:ascii="Times New Roman" w:hAnsi="Times New Roman" w:cs="Times New Roman" w:eastAsia="Times New Roman" w:hint="default"/>
        </w:rPr>
        <w:t>2015-037</w:t>
      </w:r>
      <w:r>
        <w:rPr/>
        <w:t>）。</w:t>
      </w:r>
    </w:p>
    <w:p>
      <w:pPr>
        <w:spacing w:line="240" w:lineRule="auto" w:before="1"/>
        <w:rPr>
          <w:rFonts w:ascii="宋体" w:hAnsi="宋体" w:cs="宋体" w:eastAsia="宋体" w:hint="default"/>
          <w:sz w:val="24"/>
          <w:szCs w:val="24"/>
        </w:rPr>
      </w:pPr>
    </w:p>
    <w:p>
      <w:pPr>
        <w:pStyle w:val="Heading2"/>
        <w:spacing w:line="240" w:lineRule="auto"/>
        <w:ind w:right="1118"/>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5"/>
        <w:rPr>
          <w:rFonts w:ascii="宋体" w:hAnsi="宋体" w:cs="宋体" w:eastAsia="宋体" w:hint="default"/>
          <w:sz w:val="19"/>
          <w:szCs w:val="19"/>
        </w:rPr>
      </w:pPr>
    </w:p>
    <w:p>
      <w:pPr>
        <w:pStyle w:val="Heading2"/>
        <w:spacing w:line="240" w:lineRule="auto"/>
        <w:ind w:right="1118"/>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公司报告期未发生与日常经营相关的关联交易。</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337"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09"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t>浩瀚天成</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股权出 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键桥资 产管理</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根据瑞 华会计 师事务 </w:t>
            </w:r>
            <w:r>
              <w:rPr>
                <w:rFonts w:ascii="宋体" w:hAnsi="宋体" w:cs="宋体" w:eastAsia="宋体" w:hint="default"/>
                <w:spacing w:val="-12"/>
                <w:sz w:val="18"/>
                <w:szCs w:val="18"/>
              </w:rPr>
              <w:t>所（特殊</w:t>
            </w:r>
            <w:r>
              <w:rPr>
                <w:rFonts w:ascii="宋体" w:hAnsi="宋体" w:cs="宋体" w:eastAsia="宋体" w:hint="default"/>
                <w:sz w:val="18"/>
                <w:szCs w:val="18"/>
              </w:rPr>
              <w:t> 普通合 </w:t>
            </w:r>
            <w:r>
              <w:rPr>
                <w:rFonts w:ascii="宋体" w:hAnsi="宋体" w:cs="宋体" w:eastAsia="宋体" w:hint="default"/>
                <w:spacing w:val="-8"/>
                <w:sz w:val="18"/>
                <w:szCs w:val="18"/>
              </w:rPr>
              <w:t>伙）</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p>
            <w:pPr>
              <w:pStyle w:val="TableParagraph"/>
              <w:spacing w:line="309" w:lineRule="auto" w:before="1"/>
              <w:ind w:left="22" w:right="3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日出 具的瑞 华审字</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[2015]48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040077</w:t>
            </w:r>
          </w:p>
          <w:p>
            <w:pPr>
              <w:pStyle w:val="TableParagraph"/>
              <w:spacing w:line="319" w:lineRule="auto" w:before="65"/>
              <w:ind w:left="22" w:right="22"/>
              <w:jc w:val="left"/>
              <w:rPr>
                <w:rFonts w:ascii="宋体" w:hAnsi="宋体" w:cs="宋体" w:eastAsia="宋体" w:hint="default"/>
                <w:sz w:val="18"/>
                <w:szCs w:val="18"/>
              </w:rPr>
            </w:pPr>
            <w:r>
              <w:rPr>
                <w:rFonts w:ascii="宋体" w:hAnsi="宋体" w:cs="宋体" w:eastAsia="宋体" w:hint="default"/>
                <w:spacing w:val="-12"/>
                <w:sz w:val="18"/>
                <w:szCs w:val="18"/>
              </w:rPr>
              <w:t>号《审计</w:t>
            </w:r>
            <w:r>
              <w:rPr>
                <w:rFonts w:ascii="宋体" w:hAnsi="宋体" w:cs="宋体" w:eastAsia="宋体" w:hint="default"/>
                <w:sz w:val="18"/>
                <w:szCs w:val="18"/>
              </w:rPr>
              <w:t> 报告》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796.62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详见巨潮 </w:t>
            </w:r>
            <w:r>
              <w:rPr>
                <w:rFonts w:ascii="宋体" w:hAnsi="宋体" w:cs="宋体" w:eastAsia="宋体" w:hint="default"/>
                <w:spacing w:val="-9"/>
                <w:sz w:val="18"/>
                <w:szCs w:val="18"/>
              </w:rPr>
              <w:t>资讯网（网</w:t>
            </w:r>
            <w:r>
              <w:rPr>
                <w:rFonts w:ascii="宋体" w:hAnsi="宋体" w:cs="宋体" w:eastAsia="宋体" w:hint="default"/>
                <w:sz w:val="18"/>
                <w:szCs w:val="18"/>
              </w:rPr>
              <w:t> 址为</w:t>
            </w:r>
          </w:p>
          <w:p>
            <w:pPr>
              <w:pStyle w:val="TableParagraph"/>
              <w:spacing w:line="362" w:lineRule="auto" w:before="58"/>
              <w:ind w:left="22" w:right="24"/>
              <w:jc w:val="left"/>
              <w:rPr>
                <w:rFonts w:ascii="Times New Roman" w:hAnsi="Times New Roman" w:cs="Times New Roman" w:eastAsia="Times New Roman" w:hint="default"/>
                <w:sz w:val="18"/>
                <w:szCs w:val="18"/>
              </w:rPr>
            </w:pPr>
            <w:hyperlink r:id="rId14">
              <w:r>
                <w:rPr>
                  <w:rFonts w:ascii="Times New Roman"/>
                  <w:spacing w:val="-2"/>
                  <w:sz w:val="18"/>
                </w:rPr>
                <w:t>http://www.</w:t>
              </w:r>
            </w:hyperlink>
            <w:r>
              <w:rPr>
                <w:rFonts w:ascii="Times New Roman"/>
                <w:spacing w:val="-38"/>
                <w:sz w:val="18"/>
              </w:rPr>
              <w:t> </w:t>
            </w:r>
            <w:r>
              <w:rPr>
                <w:rFonts w:ascii="Times New Roman"/>
                <w:spacing w:val="-38"/>
                <w:sz w:val="18"/>
              </w:rPr>
            </w:r>
            <w:r>
              <w:rPr>
                <w:rFonts w:ascii="Times New Roman"/>
                <w:sz w:val="18"/>
              </w:rPr>
              <w:t>cninfo.com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81"/>
                <w:sz w:val="18"/>
                <w:szCs w:val="18"/>
              </w:rPr>
              <w:t>）</w:t>
            </w:r>
            <w:r>
              <w:rPr>
                <w:rFonts w:ascii="宋体" w:hAnsi="宋体" w:cs="宋体" w:eastAsia="宋体" w:hint="default"/>
                <w:sz w:val="18"/>
                <w:szCs w:val="18"/>
              </w:rPr>
              <w:t>披露的</w:t>
            </w:r>
          </w:p>
          <w:p>
            <w:pPr>
              <w:pStyle w:val="TableParagraph"/>
              <w:spacing w:line="316" w:lineRule="auto" w:before="63"/>
              <w:ind w:left="22" w:right="156"/>
              <w:jc w:val="both"/>
              <w:rPr>
                <w:rFonts w:ascii="宋体" w:hAnsi="宋体" w:cs="宋体" w:eastAsia="宋体" w:hint="default"/>
                <w:sz w:val="18"/>
                <w:szCs w:val="18"/>
              </w:rPr>
            </w:pPr>
            <w:r>
              <w:rPr>
                <w:rFonts w:ascii="宋体" w:hAnsi="宋体" w:cs="宋体" w:eastAsia="宋体" w:hint="default"/>
                <w:sz w:val="18"/>
                <w:szCs w:val="18"/>
              </w:rPr>
              <w:t>《关于出 售资产暨 关联交易 的公告》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2015-095</w:t>
            </w:r>
            <w:r>
              <w:rPr>
                <w:rFonts w:ascii="宋体" w:hAnsi="宋体" w:cs="宋体" w:eastAsia="宋体" w:hint="default"/>
                <w:sz w:val="18"/>
                <w:szCs w:val="18"/>
              </w:rPr>
              <w:t>）</w:t>
            </w:r>
          </w:p>
        </w:tc>
      </w:tr>
      <w:tr>
        <w:trPr>
          <w:trHeight w:val="383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78"/>
              <w:jc w:val="center"/>
              <w:rPr>
                <w:rFonts w:ascii="宋体" w:hAnsi="宋体" w:cs="宋体" w:eastAsia="宋体" w:hint="default"/>
                <w:sz w:val="18"/>
                <w:szCs w:val="18"/>
              </w:rPr>
            </w:pPr>
            <w:r>
              <w:rPr>
                <w:rFonts w:ascii="宋体" w:hAnsi="宋体" w:cs="宋体" w:eastAsia="宋体" w:hint="default"/>
                <w:sz w:val="18"/>
                <w:szCs w:val="18"/>
              </w:rPr>
              <w:t>浩瀚天成</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资产出 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按评估 价格</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5,699.81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6,717.33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6,717.</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33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详见巨潮 </w:t>
            </w:r>
            <w:r>
              <w:rPr>
                <w:rFonts w:ascii="宋体" w:hAnsi="宋体" w:cs="宋体" w:eastAsia="宋体" w:hint="default"/>
                <w:spacing w:val="-9"/>
                <w:sz w:val="18"/>
                <w:szCs w:val="18"/>
              </w:rPr>
              <w:t>资讯网（网</w:t>
            </w:r>
            <w:r>
              <w:rPr>
                <w:rFonts w:ascii="宋体" w:hAnsi="宋体" w:cs="宋体" w:eastAsia="宋体" w:hint="default"/>
                <w:sz w:val="18"/>
                <w:szCs w:val="18"/>
              </w:rPr>
              <w:t> 址为</w:t>
            </w:r>
          </w:p>
          <w:p>
            <w:pPr>
              <w:pStyle w:val="TableParagraph"/>
              <w:spacing w:line="362" w:lineRule="auto" w:before="58"/>
              <w:ind w:left="22" w:right="24"/>
              <w:jc w:val="left"/>
              <w:rPr>
                <w:rFonts w:ascii="Times New Roman" w:hAnsi="Times New Roman" w:cs="Times New Roman" w:eastAsia="Times New Roman" w:hint="default"/>
                <w:sz w:val="18"/>
                <w:szCs w:val="18"/>
              </w:rPr>
            </w:pPr>
            <w:hyperlink r:id="rId14">
              <w:r>
                <w:rPr>
                  <w:rFonts w:ascii="Times New Roman"/>
                  <w:spacing w:val="-2"/>
                  <w:sz w:val="18"/>
                </w:rPr>
                <w:t>http://www.</w:t>
              </w:r>
            </w:hyperlink>
            <w:r>
              <w:rPr>
                <w:rFonts w:ascii="Times New Roman"/>
                <w:spacing w:val="-38"/>
                <w:sz w:val="18"/>
              </w:rPr>
              <w:t> </w:t>
            </w:r>
            <w:r>
              <w:rPr>
                <w:rFonts w:ascii="Times New Roman"/>
                <w:spacing w:val="-38"/>
                <w:sz w:val="18"/>
              </w:rPr>
            </w:r>
            <w:r>
              <w:rPr>
                <w:rFonts w:ascii="Times New Roman"/>
                <w:sz w:val="18"/>
              </w:rPr>
              <w:t>cninfo.com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81"/>
                <w:sz w:val="18"/>
                <w:szCs w:val="18"/>
              </w:rPr>
              <w:t>）</w:t>
            </w:r>
            <w:r>
              <w:rPr>
                <w:rFonts w:ascii="宋体" w:hAnsi="宋体" w:cs="宋体" w:eastAsia="宋体" w:hint="default"/>
                <w:sz w:val="18"/>
                <w:szCs w:val="18"/>
              </w:rPr>
              <w:t>披露的</w:t>
            </w:r>
          </w:p>
          <w:p>
            <w:pPr>
              <w:pStyle w:val="TableParagraph"/>
              <w:spacing w:line="316" w:lineRule="auto" w:before="63"/>
              <w:ind w:left="22" w:right="156"/>
              <w:jc w:val="both"/>
              <w:rPr>
                <w:rFonts w:ascii="宋体" w:hAnsi="宋体" w:cs="宋体" w:eastAsia="宋体" w:hint="default"/>
                <w:sz w:val="18"/>
                <w:szCs w:val="18"/>
              </w:rPr>
            </w:pPr>
            <w:r>
              <w:rPr>
                <w:rFonts w:ascii="宋体" w:hAnsi="宋体" w:cs="宋体" w:eastAsia="宋体" w:hint="default"/>
                <w:sz w:val="18"/>
                <w:szCs w:val="18"/>
              </w:rPr>
              <w:t>《关于出 售资产暨 关联交易 的公告》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2015-095</w:t>
            </w:r>
            <w:r>
              <w:rPr>
                <w:rFonts w:ascii="宋体" w:hAnsi="宋体" w:cs="宋体" w:eastAsia="宋体" w:hint="default"/>
                <w:sz w:val="18"/>
                <w:szCs w:val="18"/>
              </w:rPr>
              <w:t>）</w:t>
            </w:r>
          </w:p>
        </w:tc>
      </w:tr>
      <w:tr>
        <w:trPr>
          <w:trHeight w:val="2547"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8"/>
              <w:jc w:val="center"/>
              <w:rPr>
                <w:rFonts w:ascii="宋体" w:hAnsi="宋体" w:cs="宋体" w:eastAsia="宋体" w:hint="default"/>
                <w:sz w:val="18"/>
                <w:szCs w:val="18"/>
              </w:rPr>
            </w:pPr>
            <w:r>
              <w:rPr>
                <w:rFonts w:ascii="宋体" w:hAnsi="宋体" w:cs="宋体" w:eastAsia="宋体" w:hint="default"/>
                <w:sz w:val="18"/>
                <w:szCs w:val="18"/>
              </w:rPr>
              <w:t>浩瀚天成</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资产出 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应收账 </w:t>
            </w:r>
            <w:r>
              <w:rPr>
                <w:rFonts w:ascii="宋体" w:hAnsi="宋体" w:cs="宋体" w:eastAsia="宋体" w:hint="default"/>
                <w:spacing w:val="-13"/>
                <w:sz w:val="18"/>
                <w:szCs w:val="18"/>
              </w:rPr>
              <w:t>款、预付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账款及 其他应 收款转 让</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按评估 价格</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15,578.93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16,225.68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16,225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详见巨潮 </w:t>
            </w:r>
            <w:r>
              <w:rPr>
                <w:rFonts w:ascii="宋体" w:hAnsi="宋体" w:cs="宋体" w:eastAsia="宋体" w:hint="default"/>
                <w:spacing w:val="-9"/>
                <w:sz w:val="18"/>
                <w:szCs w:val="18"/>
              </w:rPr>
              <w:t>资讯网（网</w:t>
            </w:r>
            <w:r>
              <w:rPr>
                <w:rFonts w:ascii="宋体" w:hAnsi="宋体" w:cs="宋体" w:eastAsia="宋体" w:hint="default"/>
                <w:sz w:val="18"/>
                <w:szCs w:val="18"/>
              </w:rPr>
              <w:t> 址为</w:t>
            </w:r>
          </w:p>
          <w:p>
            <w:pPr>
              <w:pStyle w:val="TableParagraph"/>
              <w:spacing w:line="362" w:lineRule="auto" w:before="58"/>
              <w:ind w:left="22" w:right="24"/>
              <w:jc w:val="left"/>
              <w:rPr>
                <w:rFonts w:ascii="Times New Roman" w:hAnsi="Times New Roman" w:cs="Times New Roman" w:eastAsia="Times New Roman" w:hint="default"/>
                <w:sz w:val="18"/>
                <w:szCs w:val="18"/>
              </w:rPr>
            </w:pPr>
            <w:hyperlink r:id="rId14">
              <w:r>
                <w:rPr>
                  <w:rFonts w:ascii="Times New Roman"/>
                  <w:spacing w:val="-2"/>
                  <w:sz w:val="18"/>
                </w:rPr>
                <w:t>http://www.</w:t>
              </w:r>
            </w:hyperlink>
            <w:r>
              <w:rPr>
                <w:rFonts w:ascii="Times New Roman"/>
                <w:spacing w:val="-38"/>
                <w:sz w:val="18"/>
              </w:rPr>
              <w:t> </w:t>
            </w:r>
            <w:r>
              <w:rPr>
                <w:rFonts w:ascii="Times New Roman"/>
                <w:spacing w:val="-38"/>
                <w:sz w:val="18"/>
              </w:rPr>
            </w:r>
            <w:r>
              <w:rPr>
                <w:rFonts w:ascii="Times New Roman"/>
                <w:sz w:val="18"/>
              </w:rPr>
              <w:t>cninfo.com</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81"/>
                <w:sz w:val="18"/>
                <w:szCs w:val="18"/>
              </w:rPr>
              <w:t>）</w:t>
            </w:r>
            <w:r>
              <w:rPr>
                <w:rFonts w:ascii="宋体" w:hAnsi="宋体" w:cs="宋体" w:eastAsia="宋体" w:hint="default"/>
                <w:sz w:val="18"/>
                <w:szCs w:val="18"/>
              </w:rPr>
              <w:t>披露的</w:t>
            </w:r>
          </w:p>
          <w:p>
            <w:pPr>
              <w:pStyle w:val="TableParagraph"/>
              <w:spacing w:line="316" w:lineRule="auto" w:before="63"/>
              <w:ind w:left="22" w:right="156"/>
              <w:jc w:val="left"/>
              <w:rPr>
                <w:rFonts w:ascii="宋体" w:hAnsi="宋体" w:cs="宋体" w:eastAsia="宋体" w:hint="default"/>
                <w:sz w:val="18"/>
                <w:szCs w:val="18"/>
              </w:rPr>
            </w:pPr>
            <w:r>
              <w:rPr>
                <w:rFonts w:ascii="宋体" w:hAnsi="宋体" w:cs="宋体" w:eastAsia="宋体" w:hint="default"/>
                <w:sz w:val="18"/>
                <w:szCs w:val="18"/>
              </w:rPr>
              <w:t>《关于出 售资产暨</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16"/>
        <w:gridCol w:w="741"/>
        <w:gridCol w:w="799"/>
        <w:gridCol w:w="786"/>
        <w:gridCol w:w="588"/>
        <w:gridCol w:w="856"/>
        <w:gridCol w:w="921"/>
        <w:gridCol w:w="919"/>
        <w:gridCol w:w="911"/>
      </w:tblGrid>
      <w:tr>
        <w:trPr>
          <w:trHeight w:val="1298" w:hRule="exact"/>
        </w:trPr>
        <w:tc>
          <w:tcPr>
            <w:tcW w:w="85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关联交易 的公告》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2015-151</w:t>
            </w:r>
            <w:r>
              <w:rPr>
                <w:rFonts w:ascii="宋体" w:hAnsi="宋体" w:cs="宋体" w:eastAsia="宋体" w:hint="default"/>
                <w:sz w:val="18"/>
                <w:szCs w:val="18"/>
              </w:rPr>
              <w:t>）</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1"/>
                <w:sz w:val="18"/>
                <w:szCs w:val="18"/>
              </w:rPr>
              <w:t>相关资产转让有利于公司盘活资产，提高资产质量，提升资金使用效率，有利于公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司未来更好地发展，不会对公司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年业绩造成影响，也不会对公司造成损失。</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3"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274"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深圳精一</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公司第一大 股东乾德精 一的执行事 </w:t>
            </w:r>
            <w:r>
              <w:rPr>
                <w:rFonts w:ascii="宋体" w:hAnsi="宋体" w:cs="宋体" w:eastAsia="宋体" w:hint="default"/>
                <w:spacing w:val="-11"/>
                <w:sz w:val="18"/>
                <w:szCs w:val="18"/>
              </w:rPr>
              <w:t>务合伙人，公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司副董事长 刘辉控制的 公司</w:t>
            </w:r>
          </w:p>
        </w:tc>
        <w:tc>
          <w:tcPr>
            <w:tcW w:w="10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嘉兴德玖投 资合伙企业</w:t>
            </w:r>
          </w:p>
          <w:p>
            <w:pPr>
              <w:pStyle w:val="TableParagraph"/>
              <w:spacing w:line="240" w:lineRule="auto" w:before="20"/>
              <w:ind w:left="22" w:right="-49"/>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2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 w:right="108"/>
              <w:jc w:val="both"/>
              <w:rPr>
                <w:rFonts w:ascii="宋体" w:hAnsi="宋体" w:cs="宋体" w:eastAsia="宋体" w:hint="default"/>
                <w:sz w:val="18"/>
                <w:szCs w:val="18"/>
              </w:rPr>
            </w:pPr>
            <w:r>
              <w:rPr>
                <w:rFonts w:ascii="宋体" w:hAnsi="宋体" w:cs="宋体" w:eastAsia="宋体" w:hint="default"/>
                <w:sz w:val="18"/>
                <w:szCs w:val="18"/>
              </w:rPr>
              <w:t>实业投资、投 资管理、投资 咨询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3,009.97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3,009.87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r>
      <w:tr>
        <w:trPr>
          <w:trHeight w:val="715"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1118"/>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118"/>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1129" w:firstLine="290"/>
        <w:jc w:val="left"/>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日，与深圳怡化电脑股份有限公司签订了租赁合同，承租位于深圳市南山区高新科技园后海大道</w:t>
      </w:r>
      <w:r>
        <w:rPr>
          <w:rFonts w:ascii="Times New Roman" w:hAnsi="Times New Roman" w:cs="Times New Roman" w:eastAsia="Times New Roman" w:hint="default"/>
          <w:spacing w:val="-2"/>
        </w:rPr>
        <w:t>2388</w:t>
      </w:r>
      <w:r>
        <w:rPr>
          <w:rFonts w:ascii="Times New Roman" w:hAnsi="Times New Roman" w:cs="Times New Roman" w:eastAsia="Times New Roman" w:hint="default"/>
        </w:rPr>
        <w:t> </w:t>
      </w:r>
      <w:r>
        <w:rPr/>
        <w:t>号怡化金融科技大厦</w:t>
      </w:r>
      <w:r>
        <w:rPr>
          <w:rFonts w:ascii="Times New Roman" w:hAnsi="Times New Roman" w:cs="Times New Roman" w:eastAsia="Times New Roman" w:hint="default"/>
        </w:rPr>
        <w:t>24</w:t>
      </w:r>
      <w:r>
        <w:rPr/>
        <w:t>层共计</w:t>
      </w:r>
      <w:r>
        <w:rPr>
          <w:rFonts w:ascii="Times New Roman" w:hAnsi="Times New Roman" w:cs="Times New Roman" w:eastAsia="Times New Roman" w:hint="default"/>
        </w:rPr>
        <w:t>1,823.4</w:t>
      </w:r>
      <w:r>
        <w:rPr/>
        <w:t>平方米，租期自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2015</w:t>
      </w:r>
      <w:r>
        <w:rPr/>
        <w:t>年度合计支付租金</w:t>
      </w:r>
      <w:r>
        <w:rPr>
          <w:rFonts w:ascii="Times New Roman" w:hAnsi="Times New Roman" w:cs="Times New Roman" w:eastAsia="Times New Roman" w:hint="default"/>
        </w:rPr>
        <w:t>1,243,415.00 </w:t>
      </w:r>
      <w:r>
        <w:rPr/>
        <w:t>元。</w:t>
      </w:r>
    </w:p>
    <w:p>
      <w:pPr>
        <w:pStyle w:val="BodyText"/>
        <w:spacing w:line="240" w:lineRule="auto" w:before="72"/>
        <w:ind w:left="154" w:right="1118"/>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18"/>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1"/>
        <w:gridCol w:w="919"/>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4"/>
              <w:jc w:val="left"/>
              <w:rPr>
                <w:rFonts w:ascii="宋体" w:hAnsi="宋体" w:cs="宋体" w:eastAsia="宋体" w:hint="default"/>
                <w:sz w:val="18"/>
                <w:szCs w:val="18"/>
              </w:rPr>
            </w:pPr>
            <w:r>
              <w:rPr>
                <w:rFonts w:ascii="宋体" w:hAnsi="宋体" w:cs="宋体" w:eastAsia="宋体" w:hint="default"/>
                <w:sz w:val="18"/>
                <w:szCs w:val="18"/>
              </w:rPr>
              <w:t>键桥国际（香港）投 资有限公司</w:t>
            </w:r>
          </w:p>
        </w:tc>
        <w:tc>
          <w:tcPr>
            <w:tcW w:w="93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1,815.87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592.87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债务人履行 主合同义务 期限届满之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1,815.87</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10"/>
        <w:gridCol w:w="932"/>
        <w:gridCol w:w="1301"/>
        <w:gridCol w:w="1045"/>
        <w:gridCol w:w="1044"/>
        <w:gridCol w:w="1057"/>
        <w:gridCol w:w="785"/>
        <w:gridCol w:w="785"/>
      </w:tblGrid>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1,815.87</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592.87</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6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0"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2,370.94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1,334.31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2"/>
                <w:sz w:val="18"/>
              </w:rPr>
              <w:t>11,500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6,598.33</w:t>
            </w:r>
          </w:p>
        </w:tc>
      </w:tr>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2"/>
                <w:sz w:val="18"/>
              </w:rPr>
              <w:t>11,500</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6,705.25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13,315.87</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7,191.2</w:t>
            </w:r>
          </w:p>
        </w:tc>
      </w:tr>
      <w:tr>
        <w:trPr>
          <w:trHeight w:val="714" w:hRule="exact"/>
        </w:trPr>
        <w:tc>
          <w:tcPr>
            <w:tcW w:w="2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13,315.87</w:t>
            </w: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7,298.12</w:t>
            </w:r>
          </w:p>
        </w:tc>
      </w:tr>
      <w:tr>
        <w:trPr>
          <w:trHeight w:val="407"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1,815.87</w:t>
            </w:r>
          </w:p>
        </w:tc>
      </w:tr>
      <w:tr>
        <w:trPr>
          <w:trHeight w:val="714"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6,705.25</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7,298.12</w:t>
            </w:r>
          </w:p>
        </w:tc>
      </w:tr>
      <w:tr>
        <w:trPr>
          <w:trHeight w:val="714"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left="253" w:right="6761"/>
        <w:jc w:val="left"/>
      </w:pPr>
      <w:r>
        <w:rPr/>
        <w:t>采用复合方式担保的具体情况说明</w:t>
      </w:r>
    </w:p>
    <w:p>
      <w:pPr>
        <w:spacing w:line="240" w:lineRule="auto" w:before="10"/>
        <w:rPr>
          <w:rFonts w:ascii="宋体" w:hAnsi="宋体" w:cs="宋体" w:eastAsia="宋体" w:hint="default"/>
          <w:sz w:val="26"/>
          <w:szCs w:val="26"/>
        </w:rPr>
      </w:pPr>
    </w:p>
    <w:p>
      <w:pPr>
        <w:pStyle w:val="Heading3"/>
        <w:spacing w:line="240" w:lineRule="auto"/>
        <w:ind w:left="253" w:right="6761"/>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3" w:right="6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left="253" w:right="6761"/>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3" w:right="6761"/>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253" w:right="6761"/>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5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253" w:right="6761"/>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3" w:right="6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778"/>
        <w:gridCol w:w="640"/>
        <w:gridCol w:w="1134"/>
        <w:gridCol w:w="709"/>
        <w:gridCol w:w="710"/>
        <w:gridCol w:w="850"/>
        <w:gridCol w:w="709"/>
        <w:gridCol w:w="568"/>
        <w:gridCol w:w="850"/>
        <w:gridCol w:w="851"/>
        <w:gridCol w:w="1559"/>
      </w:tblGrid>
      <w:tr>
        <w:trPr>
          <w:trHeight w:val="1026"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7"/>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20"/>
              <w:ind w:left="23" w:right="-45"/>
              <w:jc w:val="left"/>
              <w:rPr>
                <w:rFonts w:ascii="宋体" w:hAnsi="宋体" w:cs="宋体" w:eastAsia="宋体" w:hint="default"/>
                <w:sz w:val="18"/>
                <w:szCs w:val="18"/>
              </w:rPr>
            </w:pPr>
            <w:r>
              <w:rPr>
                <w:rFonts w:ascii="宋体" w:hAnsi="宋体" w:cs="宋体" w:eastAsia="宋体" w:hint="default"/>
                <w:sz w:val="18"/>
                <w:szCs w:val="18"/>
              </w:rPr>
              <w:t>（如有）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南京凌云</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广州广 明高速 公路有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50"/>
              <w:jc w:val="both"/>
              <w:rPr>
                <w:rFonts w:ascii="宋体" w:hAnsi="宋体" w:cs="宋体" w:eastAsia="宋体" w:hint="default"/>
                <w:sz w:val="18"/>
                <w:szCs w:val="18"/>
              </w:rPr>
            </w:pPr>
            <w:r>
              <w:rPr>
                <w:rFonts w:ascii="宋体" w:hAnsi="宋体" w:cs="宋体" w:eastAsia="宋体" w:hint="default"/>
                <w:sz w:val="18"/>
                <w:szCs w:val="18"/>
              </w:rPr>
              <w:t>广州至高明 高速公路广 州段交通工 程（</w:t>
            </w:r>
            <w:r>
              <w:rPr>
                <w:rFonts w:ascii="Times New Roman" w:hAnsi="Times New Roman" w:cs="Times New Roman" w:eastAsia="Times New Roman" w:hint="default"/>
                <w:sz w:val="18"/>
                <w:szCs w:val="18"/>
              </w:rPr>
              <w:t>SG15</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5,159.23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89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宋体" w:hAnsi="宋体" w:cs="宋体" w:eastAsia="宋体" w:hint="default"/>
                <w:sz w:val="18"/>
                <w:szCs w:val="18"/>
              </w:rPr>
            </w:pPr>
            <w:r>
              <w:rPr>
                <w:rFonts w:ascii="宋体" w:hAnsi="宋体" w:cs="宋体" w:eastAsia="宋体" w:hint="default"/>
                <w:sz w:val="18"/>
                <w:szCs w:val="18"/>
              </w:rPr>
              <w:t>南京凌云</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65"/>
              <w:jc w:val="left"/>
              <w:rPr>
                <w:rFonts w:ascii="宋体" w:hAnsi="宋体" w:cs="宋体" w:eastAsia="宋体" w:hint="default"/>
                <w:sz w:val="18"/>
                <w:szCs w:val="18"/>
              </w:rPr>
            </w:pPr>
            <w:r>
              <w:rPr>
                <w:rFonts w:ascii="宋体" w:hAnsi="宋体" w:cs="宋体" w:eastAsia="宋体" w:hint="default"/>
                <w:sz w:val="18"/>
                <w:szCs w:val="18"/>
              </w:rPr>
              <w:t>中国水 利水电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工程局 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贵州省凯里 至雷山高速 公路机电工 程，起止桩号 为</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K0+000~K21</w:t>
            </w:r>
          </w:p>
          <w:p>
            <w:pPr>
              <w:pStyle w:val="TableParagraph"/>
              <w:spacing w:line="309" w:lineRule="auto" w:before="65"/>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+919</w:t>
            </w:r>
            <w:r>
              <w:rPr>
                <w:rFonts w:ascii="宋体" w:hAnsi="宋体" w:cs="宋体" w:eastAsia="宋体" w:hint="default"/>
                <w:spacing w:val="-2"/>
                <w:sz w:val="18"/>
                <w:szCs w:val="18"/>
              </w:rPr>
              <w:t>，含西江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连接线和雷 山连接线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7,565.99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71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南京凌云</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left"/>
              <w:rPr>
                <w:rFonts w:ascii="宋体" w:hAnsi="宋体" w:cs="宋体" w:eastAsia="宋体" w:hint="default"/>
                <w:sz w:val="18"/>
                <w:szCs w:val="18"/>
              </w:rPr>
            </w:pPr>
            <w:r>
              <w:rPr>
                <w:rFonts w:ascii="宋体" w:hAnsi="宋体" w:cs="宋体" w:eastAsia="宋体" w:hint="default"/>
                <w:sz w:val="18"/>
                <w:szCs w:val="18"/>
              </w:rPr>
              <w:t>银川兵 沟黄河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9"/>
              <w:jc w:val="left"/>
              <w:rPr>
                <w:rFonts w:ascii="宋体" w:hAnsi="宋体" w:cs="宋体" w:eastAsia="宋体" w:hint="default"/>
                <w:sz w:val="18"/>
                <w:szCs w:val="18"/>
              </w:rPr>
            </w:pPr>
            <w:r>
              <w:rPr>
                <w:rFonts w:ascii="宋体" w:hAnsi="宋体" w:cs="宋体" w:eastAsia="宋体" w:hint="default"/>
                <w:sz w:val="18"/>
                <w:szCs w:val="18"/>
              </w:rPr>
              <w:t>银川兵沟黄 河公路大桥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5,345.67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5"/>
              <w:jc w:val="left"/>
              <w:rPr>
                <w:rFonts w:ascii="宋体" w:hAnsi="宋体" w:cs="宋体" w:eastAsia="宋体" w:hint="default"/>
                <w:sz w:val="18"/>
                <w:szCs w:val="18"/>
              </w:rPr>
            </w:pPr>
            <w:r>
              <w:rPr>
                <w:rFonts w:ascii="宋体" w:hAnsi="宋体" w:cs="宋体" w:eastAsia="宋体" w:hint="default"/>
                <w:sz w:val="18"/>
                <w:szCs w:val="18"/>
              </w:rPr>
              <w:t>合同已签 订，未执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778"/>
        <w:gridCol w:w="640"/>
        <w:gridCol w:w="1134"/>
        <w:gridCol w:w="709"/>
        <w:gridCol w:w="710"/>
        <w:gridCol w:w="850"/>
        <w:gridCol w:w="709"/>
        <w:gridCol w:w="568"/>
        <w:gridCol w:w="850"/>
        <w:gridCol w:w="851"/>
        <w:gridCol w:w="1559"/>
      </w:tblGrid>
      <w:tr>
        <w:trPr>
          <w:trHeight w:val="1611" w:hRule="exact"/>
        </w:trPr>
        <w:tc>
          <w:tcPr>
            <w:tcW w:w="77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公路大 桥投资 管理有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及连接线项 目机电工程</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合肥市 重点工 程建设 管理局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合肥市阜阳 北路高架交 通监控工程 采购项目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3,651.66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both"/>
              <w:rPr>
                <w:rFonts w:ascii="宋体" w:hAnsi="宋体" w:cs="宋体" w:eastAsia="宋体" w:hint="default"/>
                <w:sz w:val="18"/>
                <w:szCs w:val="18"/>
              </w:rPr>
            </w:pPr>
            <w:r>
              <w:rPr>
                <w:rFonts w:ascii="宋体" w:hAnsi="宋体" w:cs="宋体" w:eastAsia="宋体" w:hint="default"/>
                <w:sz w:val="18"/>
                <w:szCs w:val="18"/>
              </w:rPr>
              <w:t>苏州市 轨道交 通集团 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苏州市轨道 交通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号线及 支线工程警 用通信系统 采购项目</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STR4-3-2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7,250.11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58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南宁轨 道交通 集团有 限责任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南宁东站综 合交通枢纽 一期工程（地 下空间）</w:t>
            </w:r>
            <w:r>
              <w:rPr>
                <w:rFonts w:ascii="Times New Roman" w:hAnsi="Times New Roman" w:cs="Times New Roman" w:eastAsia="Times New Roman" w:hint="default"/>
                <w:sz w:val="18"/>
                <w:szCs w:val="18"/>
              </w:rPr>
              <w:t>—— </w:t>
            </w:r>
            <w:r>
              <w:rPr>
                <w:rFonts w:ascii="宋体" w:hAnsi="宋体" w:cs="宋体" w:eastAsia="宋体" w:hint="default"/>
                <w:sz w:val="18"/>
                <w:szCs w:val="18"/>
              </w:rPr>
              <w:t>公共服务工 程通信系统 设备集成采 购项目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7"/>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键桥通讯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both"/>
              <w:rPr>
                <w:rFonts w:ascii="宋体" w:hAnsi="宋体" w:cs="宋体" w:eastAsia="宋体" w:hint="default"/>
                <w:sz w:val="18"/>
                <w:szCs w:val="18"/>
              </w:rPr>
            </w:pPr>
            <w:r>
              <w:rPr>
                <w:rFonts w:ascii="宋体" w:hAnsi="宋体" w:cs="宋体" w:eastAsia="宋体" w:hint="default"/>
                <w:sz w:val="18"/>
                <w:szCs w:val="18"/>
              </w:rPr>
              <w:t>长沙市 轨道交 通集团 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长沙市轨道 交通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号线一 期工程通信 部分子系统 采购及集成 服务项目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5,550.06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84"/>
              <w:jc w:val="both"/>
              <w:rPr>
                <w:rFonts w:ascii="宋体" w:hAnsi="宋体" w:cs="宋体" w:eastAsia="宋体" w:hint="default"/>
                <w:sz w:val="18"/>
                <w:szCs w:val="18"/>
              </w:rPr>
            </w:pPr>
            <w:r>
              <w:rPr>
                <w:rFonts w:ascii="宋体" w:hAnsi="宋体" w:cs="宋体" w:eastAsia="宋体" w:hint="default"/>
                <w:spacing w:val="-20"/>
                <w:sz w:val="18"/>
                <w:szCs w:val="18"/>
              </w:rPr>
              <w:t>《证券时报》、《证</w:t>
            </w:r>
            <w:r>
              <w:rPr>
                <w:rFonts w:ascii="宋体" w:hAnsi="宋体" w:cs="宋体" w:eastAsia="宋体" w:hint="default"/>
                <w:sz w:val="18"/>
                <w:szCs w:val="18"/>
              </w:rPr>
              <w:t> 券日报》及巨潮资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254" w:right="6761"/>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3" w:right="6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95" w:right="8321"/>
        <w:jc w:val="center"/>
      </w:pPr>
      <w:r>
        <w:rPr>
          <w:rFonts w:ascii="Times New Roman" w:hAnsi="Times New Roman" w:cs="Times New Roman" w:eastAsia="Times New Roman" w:hint="default"/>
        </w:rPr>
        <w:t>1</w:t>
      </w:r>
      <w:r>
        <w:rPr/>
        <w:t>、大股东股权转让的事项</w:t>
      </w:r>
    </w:p>
    <w:p>
      <w:pPr>
        <w:pStyle w:val="BodyText"/>
        <w:spacing w:line="300" w:lineRule="auto" w:before="103"/>
        <w:ind w:left="253"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日，香港键桥与乾德精一签署了《股份转让协议》，乾德精一协议受让香港键桥持有的键桥通讯无限售流 </w:t>
      </w:r>
      <w:r>
        <w:rPr>
          <w:spacing w:val="-2"/>
        </w:rPr>
        <w:t>通股</w:t>
      </w:r>
      <w:r>
        <w:rPr>
          <w:rFonts w:ascii="Times New Roman" w:hAnsi="Times New Roman" w:cs="Times New Roman" w:eastAsia="Times New Roman" w:hint="default"/>
          <w:spacing w:val="-2"/>
        </w:rPr>
        <w:t>7800</w:t>
      </w:r>
      <w:r>
        <w:rPr>
          <w:spacing w:val="-2"/>
        </w:rPr>
        <w:t>万股。详情请见公司于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日在巨潮资讯网（</w:t>
      </w:r>
      <w:hyperlink r:id="rId12">
        <w:r>
          <w:rPr>
            <w:rFonts w:ascii="Times New Roman" w:hAnsi="Times New Roman" w:cs="Times New Roman" w:eastAsia="Times New Roman" w:hint="default"/>
            <w:spacing w:val="-2"/>
          </w:rPr>
          <w:t>http://www.cninfo.com.cn</w:t>
        </w:r>
      </w:hyperlink>
      <w:r>
        <w:rPr>
          <w:spacing w:val="-2"/>
        </w:rPr>
        <w:t>）披露的《关于公司控股股东签署股</w:t>
      </w:r>
      <w:r>
        <w:rPr>
          <w:spacing w:val="-35"/>
        </w:rPr>
        <w:t> </w:t>
      </w:r>
      <w:r>
        <w:rPr>
          <w:spacing w:val="-35"/>
        </w:rPr>
      </w:r>
      <w:r>
        <w:rPr/>
        <w:t>份转让协议及实际控制人变更的提示性公告》（公告编号：</w:t>
      </w:r>
      <w:r>
        <w:rPr>
          <w:rFonts w:ascii="Times New Roman" w:hAnsi="Times New Roman" w:cs="Times New Roman" w:eastAsia="Times New Roman" w:hint="default"/>
        </w:rPr>
        <w:t>2015-032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日，中国证券登记结算有限责任公司</w:t>
      </w:r>
      <w:r>
        <w:rPr>
          <w:spacing w:val="-54"/>
        </w:rPr>
        <w:t> </w:t>
      </w:r>
      <w:r>
        <w:rPr>
          <w:spacing w:val="-54"/>
        </w:rPr>
      </w:r>
      <w:r>
        <w:rPr>
          <w:spacing w:val="2"/>
        </w:rPr>
        <w:t>深圳分公司出具了《过户登记确认书》，此次股份转让完成过户登记手续。详情请见公司于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日在巨潮资讯网</w:t>
      </w:r>
    </w:p>
    <w:p>
      <w:pPr>
        <w:spacing w:after="0" w:line="300" w:lineRule="auto"/>
        <w:jc w:val="both"/>
        <w:sectPr>
          <w:pgSz w:w="11910" w:h="16840"/>
          <w:pgMar w:header="747" w:footer="979" w:top="1060" w:bottom="1160" w:left="880" w:right="0"/>
        </w:sectPr>
      </w:pPr>
    </w:p>
    <w:p>
      <w:pPr>
        <w:spacing w:line="240" w:lineRule="auto" w:before="12"/>
        <w:rPr>
          <w:rFonts w:ascii="宋体" w:hAnsi="宋体" w:cs="宋体" w:eastAsia="宋体" w:hint="default"/>
          <w:sz w:val="25"/>
          <w:szCs w:val="25"/>
        </w:rPr>
      </w:pPr>
    </w:p>
    <w:p>
      <w:pPr>
        <w:pStyle w:val="BodyText"/>
        <w:spacing w:line="300" w:lineRule="auto" w:before="44"/>
        <w:ind w:right="1081"/>
        <w:jc w:val="both"/>
      </w:pPr>
      <w:r>
        <w:rPr>
          <w:spacing w:val="-4"/>
          <w:w w:val="99"/>
        </w:rPr>
        <w:t>（</w:t>
      </w:r>
      <w:hyperlink r:id="rId12">
        <w:r>
          <w:rPr>
            <w:rFonts w:ascii="Times New Roman" w:hAnsi="Times New Roman" w:cs="Times New Roman" w:eastAsia="Times New Roman" w:hint="default"/>
            <w:spacing w:val="-4"/>
            <w:w w:val="99"/>
          </w:rPr>
          <w:t>http://www.cninfo.com.cn</w:t>
        </w:r>
      </w:hyperlink>
      <w:r>
        <w:rPr>
          <w:spacing w:val="-4"/>
          <w:w w:val="99"/>
        </w:rPr>
        <w:t>）披露的《关于控股股东协议转让公司部分股份已完成过户登记的公告》（公告编号：</w:t>
      </w:r>
      <w:r>
        <w:rPr>
          <w:rFonts w:ascii="Times New Roman" w:hAnsi="Times New Roman" w:cs="Times New Roman" w:eastAsia="Times New Roman" w:hint="default"/>
          <w:spacing w:val="-4"/>
          <w:w w:val="99"/>
        </w:rPr>
        <w:t>2015-056</w:t>
      </w:r>
      <w:r>
        <w:rPr>
          <w:spacing w:val="-4"/>
          <w:w w:val="99"/>
        </w:rPr>
        <w:t>）。</w:t>
      </w:r>
      <w:r>
        <w:rPr>
          <w:spacing w:val="-80"/>
          <w:w w:val="9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日，深圳市经济贸易和信息化委员会出具了《关于深圳键桥通讯技术股份有限公司投资者股权变更的批复》，</w:t>
      </w:r>
      <w:r>
        <w:rPr>
          <w:spacing w:val="-83"/>
        </w:rPr>
        <w:t> </w:t>
      </w:r>
      <w:r>
        <w:rPr>
          <w:spacing w:val="-83"/>
        </w:rPr>
      </w:r>
      <w:r>
        <w:rPr/>
        <w:t>同意公司投资者香港注册的香港键桥将其持有的公司股份</w:t>
      </w:r>
      <w:r>
        <w:rPr>
          <w:rFonts w:ascii="Times New Roman" w:hAnsi="Times New Roman" w:cs="Times New Roman" w:eastAsia="Times New Roman" w:hint="default"/>
        </w:rPr>
        <w:t>7,800</w:t>
      </w:r>
      <w:r>
        <w:rPr/>
        <w:t>万股转让给乾德精一。详情请见公司于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日在巨潮 资讯网（</w:t>
      </w:r>
      <w:hyperlink r:id="rId12">
        <w:r>
          <w:rPr>
            <w:rFonts w:ascii="Times New Roman" w:hAnsi="Times New Roman" w:cs="Times New Roman" w:eastAsia="Times New Roman" w:hint="default"/>
          </w:rPr>
          <w:t>http://www.cninfo.com.cn</w:t>
        </w:r>
      </w:hyperlink>
      <w:r>
        <w:rPr/>
        <w:t>）披露的《关于公司股权变更获得深圳市经济贸易和信息化委员会批复的公告》（公告编</w:t>
      </w:r>
      <w:r>
        <w:rPr>
          <w:w w:val="99"/>
        </w:rPr>
        <w:t> </w:t>
      </w:r>
      <w:r>
        <w:rPr/>
        <w:t>号：</w:t>
      </w:r>
      <w:r>
        <w:rPr>
          <w:rFonts w:ascii="Times New Roman" w:hAnsi="Times New Roman" w:cs="Times New Roman" w:eastAsia="Times New Roman" w:hint="default"/>
        </w:rPr>
        <w:t>2015-058</w:t>
      </w:r>
      <w:r>
        <w:rPr/>
        <w:t>）。</w:t>
      </w:r>
    </w:p>
    <w:p>
      <w:pPr>
        <w:pStyle w:val="BodyText"/>
        <w:spacing w:line="240" w:lineRule="auto" w:before="52"/>
        <w:ind w:left="513" w:right="1118"/>
        <w:jc w:val="left"/>
      </w:pPr>
      <w:r>
        <w:rPr>
          <w:rFonts w:ascii="Times New Roman" w:hAnsi="Times New Roman" w:cs="Times New Roman" w:eastAsia="Times New Roman" w:hint="default"/>
        </w:rPr>
        <w:t>2</w:t>
      </w:r>
      <w:r>
        <w:rPr/>
        <w:t>、公司非公开发行股票的事项</w:t>
      </w:r>
    </w:p>
    <w:p>
      <w:pPr>
        <w:pStyle w:val="BodyText"/>
        <w:spacing w:line="309" w:lineRule="auto" w:before="102"/>
        <w:ind w:right="1128"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日公司召开的第三届董事会第四十一次会议，以及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日召开的</w:t>
      </w:r>
      <w:r>
        <w:rPr>
          <w:rFonts w:ascii="Times New Roman" w:hAnsi="Times New Roman" w:cs="Times New Roman" w:eastAsia="Times New Roman" w:hint="default"/>
          <w:spacing w:val="-2"/>
        </w:rPr>
        <w:t>2015</w:t>
      </w:r>
      <w:r>
        <w:rPr>
          <w:spacing w:val="-2"/>
        </w:rPr>
        <w:t>年第五次临时股东大会审议</w:t>
      </w:r>
      <w:r>
        <w:rPr/>
        <w:t> </w:t>
      </w:r>
      <w:r>
        <w:rPr>
          <w:spacing w:val="-2"/>
        </w:rPr>
        <w:t>通过了《关于公司符合非公开发行股票条件的议案》、《关于公司向特定对象非公开发行股票方案的议案》、《关于公司本</w:t>
      </w:r>
      <w:r>
        <w:rPr>
          <w:spacing w:val="-66"/>
        </w:rPr>
        <w:t> </w:t>
      </w:r>
      <w:r>
        <w:rPr>
          <w:spacing w:val="-66"/>
        </w:rPr>
      </w:r>
      <w:r>
        <w:rPr>
          <w:spacing w:val="-2"/>
        </w:rPr>
        <w:t>次非公开发行股票预案的议案》、《关于公司非公开发行股票募集资金使用可行性研究报告的议案》、《关于提请公司股东</w:t>
      </w:r>
      <w:r>
        <w:rPr>
          <w:spacing w:val="-68"/>
        </w:rPr>
        <w:t> </w:t>
      </w:r>
      <w:r>
        <w:rPr>
          <w:spacing w:val="-68"/>
        </w:rPr>
      </w:r>
      <w:r>
        <w:rPr/>
        <w:t>大会授权董事会全权办理本次非公开发行股票相关事宜的议案》等议案，详情请见公司于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 </w:t>
      </w:r>
      <w:r>
        <w:rPr/>
        <w:t>日在巨潮资讯网（</w:t>
      </w:r>
      <w:hyperlink r:id="rId12">
        <w:r>
          <w:rPr>
            <w:rFonts w:ascii="Times New Roman" w:hAnsi="Times New Roman" w:cs="Times New Roman" w:eastAsia="Times New Roman" w:hint="default"/>
          </w:rPr>
          <w:t>http://www.cninfo.com.cn</w:t>
        </w:r>
      </w:hyperlink>
      <w:r>
        <w:rPr/>
        <w:t>）披露的相关公告。</w:t>
      </w:r>
    </w:p>
    <w:p>
      <w:pPr>
        <w:pStyle w:val="BodyText"/>
        <w:spacing w:line="307" w:lineRule="auto" w:before="43"/>
        <w:ind w:right="1129"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日，公司收到中国证券监督管理委员会出具的《中国证监会行政许可申请受理通知书》（</w:t>
      </w:r>
      <w:r>
        <w:rPr>
          <w:rFonts w:ascii="Times New Roman" w:hAnsi="Times New Roman" w:cs="Times New Roman" w:eastAsia="Times New Roman" w:hint="default"/>
          <w:spacing w:val="-2"/>
        </w:rPr>
        <w:t>160215</w:t>
      </w:r>
      <w:r>
        <w:rPr>
          <w:spacing w:val="-2"/>
        </w:rPr>
        <w:t>号），中国</w:t>
      </w:r>
      <w:r>
        <w:rPr/>
        <w:t> </w:t>
      </w:r>
      <w:r>
        <w:rPr>
          <w:spacing w:val="-2"/>
        </w:rPr>
        <w:t>证券监督管理委员会依法对公司提交的《上市公司非公开发行股票》行政许可申请材料进行了审查。认为申请材料齐全，符</w:t>
      </w:r>
      <w:r>
        <w:rPr>
          <w:spacing w:val="-66"/>
        </w:rPr>
        <w:t> </w:t>
      </w:r>
      <w:r>
        <w:rPr>
          <w:spacing w:val="-66"/>
        </w:rPr>
      </w:r>
      <w:r>
        <w:rPr/>
        <w:t>合法定形式，决定对该行政许可申请予以受理。详情请见公司于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日在巨潮资讯网（</w:t>
      </w:r>
      <w:hyperlink r:id="rId12">
        <w:r>
          <w:rPr>
            <w:rFonts w:ascii="Times New Roman" w:hAnsi="Times New Roman" w:cs="Times New Roman" w:eastAsia="Times New Roman" w:hint="default"/>
          </w:rPr>
          <w:t>http://www.cninfo.com.cn</w:t>
        </w:r>
      </w:hyperlink>
      <w:r>
        <w:rPr/>
        <w:t>）披</w:t>
      </w:r>
      <w:r>
        <w:rPr>
          <w:spacing w:val="1"/>
        </w:rPr>
        <w:t> </w:t>
      </w:r>
      <w:r>
        <w:rPr/>
        <w:t>露的《关于收到</w:t>
      </w:r>
      <w:r>
        <w:rPr>
          <w:rFonts w:ascii="Times New Roman" w:hAnsi="Times New Roman" w:cs="Times New Roman" w:eastAsia="Times New Roman" w:hint="default"/>
        </w:rPr>
        <w:t>&lt;</w:t>
      </w:r>
      <w:r>
        <w:rPr/>
        <w:t>中国证监会行政许可申请受理通知书</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2016-014</w:t>
      </w:r>
      <w:r>
        <w:rPr/>
        <w:t>）。</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二十、社会责任情况" w:id="98"/>
      <w:bookmarkEnd w:id="98"/>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118"/>
        <w:jc w:val="left"/>
        <w:rPr>
          <w:b w:val="0"/>
          <w:bCs w:val="0"/>
        </w:rPr>
      </w:pPr>
      <w:bookmarkStart w:name="_TOC_250005"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518,275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78,394,92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518,275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78,394,92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394,925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99.87%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-77,876,6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-77,876,6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80.06%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392,601,7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99.87%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-77,876,6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-77,876,6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314,725,0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80.06%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118"/>
        <w:jc w:val="left"/>
      </w:pPr>
      <w:r>
        <w:rPr/>
        <w:t>股份变动的原因</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20" w:firstLine="325"/>
        <w:jc w:val="left"/>
      </w:pPr>
      <w:r>
        <w:rPr>
          <w:spacing w:val="-1"/>
        </w:rPr>
        <w:t>①报告期内，根据规定，孟令章先生、袁训明先生和程启北先生在公司担任董事、监事、高级管理人员，其每年可转让</w:t>
      </w:r>
      <w:r>
        <w:rPr/>
        <w:t> 的股份不超过其持有的键桥通讯股份总数的</w:t>
      </w:r>
      <w:r>
        <w:rPr>
          <w:rFonts w:ascii="Times New Roman" w:hAnsi="Times New Roman" w:cs="Times New Roman" w:eastAsia="Times New Roman" w:hint="default"/>
        </w:rPr>
        <w:t>25%</w:t>
      </w:r>
      <w:r>
        <w:rPr/>
        <w:t>，即合计持有</w:t>
      </w:r>
      <w:r>
        <w:rPr>
          <w:rFonts w:ascii="Times New Roman" w:hAnsi="Times New Roman" w:cs="Times New Roman" w:eastAsia="Times New Roman" w:hint="default"/>
        </w:rPr>
        <w:t>187,275</w:t>
      </w:r>
      <w:r>
        <w:rPr/>
        <w:t>股高管锁定股；截至报告期末，叶琼先生、殷建锋先 生、王健先生、夏明荣女士、杨建萍女士辞去董事、监事、高级管理人员职务已满</w:t>
      </w:r>
      <w:r>
        <w:rPr>
          <w:rFonts w:ascii="Times New Roman" w:hAnsi="Times New Roman" w:cs="Times New Roman" w:eastAsia="Times New Roman" w:hint="default"/>
        </w:rPr>
        <w:t>6</w:t>
      </w:r>
      <w:r>
        <w:rPr/>
        <w:t>个月但未满</w:t>
      </w:r>
      <w:r>
        <w:rPr>
          <w:rFonts w:ascii="Times New Roman" w:hAnsi="Times New Roman" w:cs="Times New Roman" w:eastAsia="Times New Roman" w:hint="default"/>
        </w:rPr>
        <w:t>18</w:t>
      </w:r>
      <w:r>
        <w:rPr/>
        <w:t>个月，故其所持股份锁定 </w:t>
      </w:r>
      <w:r>
        <w:rPr>
          <w:rFonts w:ascii="Times New Roman" w:hAnsi="Times New Roman" w:cs="Times New Roman" w:eastAsia="Times New Roman" w:hint="default"/>
          <w:spacing w:val="-2"/>
        </w:rPr>
        <w:t>50%</w:t>
      </w:r>
      <w:r>
        <w:rPr>
          <w:spacing w:val="-2"/>
        </w:rPr>
        <w:t>，即合计持有</w:t>
      </w:r>
      <w:r>
        <w:rPr>
          <w:rFonts w:ascii="Times New Roman" w:hAnsi="Times New Roman" w:cs="Times New Roman" w:eastAsia="Times New Roman" w:hint="default"/>
          <w:spacing w:val="-2"/>
        </w:rPr>
        <w:t>199,650</w:t>
      </w:r>
      <w:r>
        <w:rPr>
          <w:spacing w:val="-2"/>
        </w:rPr>
        <w:t>股高管锁定股；赵秀玉先生辞去监事职务未满</w:t>
      </w:r>
      <w:r>
        <w:rPr>
          <w:rFonts w:ascii="Times New Roman" w:hAnsi="Times New Roman" w:cs="Times New Roman" w:eastAsia="Times New Roman" w:hint="default"/>
          <w:spacing w:val="-2"/>
        </w:rPr>
        <w:t>6</w:t>
      </w:r>
      <w:r>
        <w:rPr>
          <w:spacing w:val="-2"/>
        </w:rPr>
        <w:t>个月，故其所持有的可锁定的股份锁定</w:t>
      </w:r>
      <w:r>
        <w:rPr>
          <w:rFonts w:ascii="Times New Roman" w:hAnsi="Times New Roman" w:cs="Times New Roman" w:eastAsia="Times New Roman" w:hint="default"/>
          <w:spacing w:val="-2"/>
        </w:rPr>
        <w:t>100%</w:t>
      </w:r>
      <w:r>
        <w:rPr>
          <w:spacing w:val="-2"/>
        </w:rPr>
        <w:t>，即持</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18"/>
        <w:jc w:val="left"/>
      </w:pPr>
      <w:r>
        <w:rPr/>
        <w:t>有</w:t>
      </w:r>
      <w:r>
        <w:rPr>
          <w:rFonts w:ascii="Times New Roman" w:hAnsi="Times New Roman" w:cs="Times New Roman" w:eastAsia="Times New Roman" w:hint="default"/>
        </w:rPr>
        <w:t>8,000</w:t>
      </w:r>
      <w:r>
        <w:rPr/>
        <w:t>股高管锁定股。截止报告期末，公司董事、监事、高级管理人员（含离职）合计持有</w:t>
      </w:r>
      <w:r>
        <w:rPr>
          <w:rFonts w:ascii="Times New Roman" w:hAnsi="Times New Roman" w:cs="Times New Roman" w:eastAsia="Times New Roman" w:hint="default"/>
        </w:rPr>
        <w:t>394,925</w:t>
      </w:r>
      <w:r>
        <w:rPr/>
        <w:t>股高管锁定股；</w:t>
      </w:r>
    </w:p>
    <w:p>
      <w:pPr>
        <w:pStyle w:val="BodyText"/>
        <w:spacing w:line="340" w:lineRule="auto" w:before="63"/>
        <w:ind w:right="2993" w:firstLine="290"/>
        <w:jc w:val="left"/>
      </w:pPr>
      <w:r>
        <w:rPr/>
        <w:t>②报告期内，乾德精一受让香港键桥持有的键桥通讯股份</w:t>
      </w:r>
      <w:r>
        <w:rPr>
          <w:rFonts w:ascii="Times New Roman" w:hAnsi="Times New Roman" w:cs="Times New Roman" w:eastAsia="Times New Roman" w:hint="default"/>
        </w:rPr>
        <w:t>78,000,000</w:t>
      </w:r>
      <w:r>
        <w:rPr/>
        <w:t>股并按承诺进行股份锁定。 股份变动的批准情况</w:t>
      </w:r>
    </w:p>
    <w:p>
      <w:pPr>
        <w:pStyle w:val="BodyText"/>
        <w:spacing w:line="240" w:lineRule="auto" w:before="41"/>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29" w:firstLine="29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日，公司收到深圳市经济贸易和信息化委员会出具的《关于深圳键桥通讯技术股份有限公司投资者股权变 更的批复》，同意公司投资者香港注册的香港键桥将其持有的公司股份</w:t>
      </w:r>
      <w:r>
        <w:rPr>
          <w:rFonts w:ascii="Times New Roman" w:hAnsi="Times New Roman" w:cs="Times New Roman" w:eastAsia="Times New Roman" w:hint="default"/>
        </w:rPr>
        <w:t>7,800</w:t>
      </w:r>
      <w:r>
        <w:rPr/>
        <w:t>万股转让给乾德精一。具体内容详见公司</w:t>
      </w:r>
      <w:r>
        <w:rPr>
          <w:rFonts w:ascii="Times New Roman" w:hAnsi="Times New Roman" w:cs="Times New Roman" w:eastAsia="Times New Roman" w:hint="default"/>
        </w:rPr>
        <w:t>2015 </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日在巨潮资讯网（</w:t>
      </w:r>
      <w:hyperlink r:id="rId12">
        <w:r>
          <w:rPr>
            <w:rFonts w:ascii="Times New Roman" w:hAnsi="Times New Roman" w:cs="Times New Roman" w:eastAsia="Times New Roman" w:hint="default"/>
            <w:spacing w:val="-1"/>
          </w:rPr>
          <w:t>www.cninfo.com.cn</w:t>
        </w:r>
      </w:hyperlink>
      <w:r>
        <w:rPr>
          <w:spacing w:val="-1"/>
        </w:rPr>
        <w:t>）、《中国证券报》、《上海证券报》、《证券时报》和《证券日报》披露的</w:t>
      </w:r>
    </w:p>
    <w:p>
      <w:pPr>
        <w:pStyle w:val="BodyText"/>
        <w:spacing w:line="340" w:lineRule="auto" w:before="13"/>
        <w:ind w:right="3043"/>
        <w:jc w:val="left"/>
      </w:pPr>
      <w:r>
        <w:rPr/>
        <w:t>《关于公司股权变更获得深圳市经济贸易和信息化委员会批复的公告》（公告编号：</w:t>
      </w:r>
      <w:r>
        <w:rPr>
          <w:rFonts w:ascii="Times New Roman" w:hAnsi="Times New Roman" w:cs="Times New Roman" w:eastAsia="Times New Roman" w:hint="default"/>
        </w:rPr>
        <w:t>2015-058</w:t>
      </w:r>
      <w:r>
        <w:rPr/>
        <w:t>）。 股份变动的过户情况</w:t>
      </w:r>
    </w:p>
    <w:p>
      <w:pPr>
        <w:pStyle w:val="BodyText"/>
        <w:spacing w:line="240" w:lineRule="auto" w:before="41"/>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left="154" w:right="1133" w:firstLine="2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日，中国证券登记结算有限责任公司深圳分公司出具了《过户登记确认书》，香港键桥和乾德精一的股份 </w:t>
      </w:r>
      <w:r>
        <w:rPr>
          <w:spacing w:val="-1"/>
        </w:rPr>
        <w:t>转让已完成过户登记手续。具体内容详见公司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日在巨潮资讯网（</w:t>
      </w:r>
      <w:hyperlink r:id="rId12">
        <w:r>
          <w:rPr>
            <w:rFonts w:ascii="Times New Roman" w:hAnsi="Times New Roman" w:cs="Times New Roman" w:eastAsia="Times New Roman" w:hint="default"/>
            <w:spacing w:val="-1"/>
          </w:rPr>
          <w:t>www.cninfo.com.cn</w:t>
        </w:r>
      </w:hyperlink>
      <w:r>
        <w:rPr>
          <w:spacing w:val="-1"/>
        </w:rPr>
        <w:t>）、《中国证券报》、《上</w:t>
      </w:r>
      <w:r>
        <w:rPr>
          <w:spacing w:val="-49"/>
        </w:rPr>
        <w:t> </w:t>
      </w:r>
      <w:r>
        <w:rPr>
          <w:spacing w:val="-49"/>
        </w:rPr>
      </w:r>
      <w:r>
        <w:rPr>
          <w:spacing w:val="-2"/>
        </w:rPr>
        <w:t>海证券报》、《证券时报》和《证券日报》披露的《关于控股股东协议转让公司部分股份已完成过户登记的公告》（公告编</w:t>
      </w:r>
      <w:r>
        <w:rPr>
          <w:spacing w:val="-69"/>
        </w:rPr>
        <w:t> </w:t>
      </w:r>
      <w:r>
        <w:rPr>
          <w:spacing w:val="-69"/>
        </w:rPr>
      </w:r>
      <w:r>
        <w:rPr/>
        <w:t>号：</w:t>
      </w:r>
      <w:r>
        <w:rPr>
          <w:rFonts w:ascii="Times New Roman" w:hAnsi="Times New Roman" w:cs="Times New Roman" w:eastAsia="Times New Roman" w:hint="default"/>
        </w:rPr>
        <w:t>2015-056</w:t>
      </w:r>
      <w:r>
        <w:rPr/>
        <w:t>）。</w:t>
      </w:r>
    </w:p>
    <w:p>
      <w:pPr>
        <w:pStyle w:val="BodyText"/>
        <w:spacing w:line="240" w:lineRule="auto" w:before="48"/>
        <w:ind w:left="154" w:right="1118"/>
        <w:jc w:val="left"/>
      </w:pPr>
      <w:r>
        <w:rPr/>
        <w:t>股份变动对最近一年和最近一期基本每股收益和稀释每股收益、归属于公司普通股股东的每股净资产等财务指标的影响</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1134"/>
        <w:gridCol w:w="1134"/>
        <w:gridCol w:w="1134"/>
        <w:gridCol w:w="1842"/>
        <w:gridCol w:w="2200"/>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嘉兴乾德精 一投资合伙 企业（有限合 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权益变动报告书中承 诺锁定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7,800  </w:t>
            </w:r>
            <w:r>
              <w:rPr>
                <w:rFonts w:ascii="宋体" w:hAnsi="宋体" w:cs="宋体" w:eastAsia="宋体" w:hint="default"/>
                <w:sz w:val="18"/>
                <w:szCs w:val="18"/>
              </w:rPr>
              <w:t>万股股份将于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担任公司董事、高级管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理人员，持股锁定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每年可转让的股份不超过 其持有的键桥通讯股份总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担任公司监事，持股锁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每年可转让的股份不超过 其持有的键桥通讯股份总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89"/>
              <w:jc w:val="left"/>
              <w:rPr>
                <w:rFonts w:ascii="Times New Roman" w:hAnsi="Times New Roman" w:cs="Times New Roman" w:eastAsia="Times New Roman" w:hint="default"/>
                <w:sz w:val="18"/>
                <w:szCs w:val="18"/>
              </w:rPr>
            </w:pPr>
            <w:r>
              <w:rPr>
                <w:rFonts w:ascii="宋体" w:hAnsi="宋体" w:cs="宋体" w:eastAsia="宋体" w:hint="default"/>
                <w:sz w:val="18"/>
                <w:szCs w:val="18"/>
              </w:rPr>
              <w:t>担任公司高级管理人 员，持股锁定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每年可转让的股份不超过 其持有的键桥通讯股份总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公司董事和高级管理 </w:t>
            </w:r>
            <w:r>
              <w:rPr>
                <w:rFonts w:ascii="宋体" w:hAnsi="宋体" w:cs="宋体" w:eastAsia="宋体" w:hint="default"/>
                <w:spacing w:val="-2"/>
                <w:sz w:val="18"/>
                <w:szCs w:val="18"/>
              </w:rPr>
              <w:t>人员辞职后，按规定进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行股份锁定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1134"/>
        <w:gridCol w:w="1134"/>
        <w:gridCol w:w="1134"/>
        <w:gridCol w:w="1842"/>
        <w:gridCol w:w="2200"/>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公司董事辞职后，按规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定进行股份锁定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公司监事辞职后，按规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定进行股份锁定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公司监事辞职后，按规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定进行股份锁定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辞职满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夏明荣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公司高级管理人员辞 </w:t>
            </w:r>
            <w:r>
              <w:rPr>
                <w:rFonts w:ascii="宋体" w:hAnsi="宋体" w:cs="宋体" w:eastAsia="宋体" w:hint="default"/>
                <w:spacing w:val="-2"/>
                <w:sz w:val="18"/>
                <w:szCs w:val="18"/>
              </w:rPr>
              <w:t>职后，按规定进行股份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日解锁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公司高级管理人员辞 </w:t>
            </w:r>
            <w:r>
              <w:rPr>
                <w:rFonts w:ascii="宋体" w:hAnsi="宋体" w:cs="宋体" w:eastAsia="宋体" w:hint="default"/>
                <w:spacing w:val="-2"/>
                <w:sz w:val="18"/>
                <w:szCs w:val="18"/>
              </w:rPr>
              <w:t>职后，按规定进行股份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锁定</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518,275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78,123,800</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78,394,925</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149"/>
        <w:gridCol w:w="850"/>
        <w:gridCol w:w="175"/>
        <w:gridCol w:w="819"/>
        <w:gridCol w:w="400"/>
        <w:gridCol w:w="592"/>
        <w:gridCol w:w="581"/>
        <w:gridCol w:w="412"/>
        <w:gridCol w:w="809"/>
        <w:gridCol w:w="184"/>
        <w:gridCol w:w="849"/>
        <w:gridCol w:w="140"/>
        <w:gridCol w:w="1207"/>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27,509</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27,302</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3"/>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5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4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0" w:right="4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2"/>
              <w:ind w:left="40" w:right="41"/>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2"/>
              <w:ind w:left="40" w:right="39"/>
              <w:jc w:val="left"/>
              <w:rPr>
                <w:rFonts w:ascii="宋体" w:hAnsi="宋体" w:cs="宋体" w:eastAsia="宋体" w:hint="default"/>
                <w:sz w:val="18"/>
                <w:szCs w:val="18"/>
              </w:rPr>
            </w:pPr>
            <w:r>
              <w:rPr>
                <w:rFonts w:ascii="宋体" w:hAnsi="宋体" w:cs="宋体" w:eastAsia="宋体" w:hint="default"/>
                <w:sz w:val="18"/>
                <w:szCs w:val="18"/>
              </w:rPr>
              <w:t>持有无限售 条件的股份</w:t>
            </w:r>
          </w:p>
        </w:tc>
        <w:tc>
          <w:tcPr>
            <w:tcW w:w="21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219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3" w:hRule="exact"/>
        </w:trPr>
        <w:tc>
          <w:tcPr>
            <w:tcW w:w="14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49" w:type="dxa"/>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8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084"/>
                    <w:gridCol w:w="850"/>
                    <w:gridCol w:w="568"/>
                    <w:gridCol w:w="426"/>
                    <w:gridCol w:w="991"/>
                    <w:gridCol w:w="992"/>
                    <w:gridCol w:w="492"/>
                    <w:gridCol w:w="501"/>
                    <w:gridCol w:w="848"/>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嘉兴乾德精一投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78,000,000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52,260,000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72,338,916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-78,000,00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72,338,916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国泰君安证券股 份有限公司约定 购回专用账户</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5,200,000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宏源证券股份有 限公司约定购回 专用账户</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4,920,000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4,920,000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方德基</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4,365,631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4,365,631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4,365,631</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陈昊</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4,298,200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4,298,200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3,973,647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266,685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3,973,647</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3,923,620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1,216,620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3,923,620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李春辉</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3,605,921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1,388,178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3,605,921</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陈南京</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3,594,256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2,529,890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3,594,256</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9"/>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1"/>
                          <w:jc w:val="left"/>
                          <w:rPr>
                            <w:rFonts w:ascii="宋体" w:hAnsi="宋体" w:cs="宋体" w:eastAsia="宋体" w:hint="default"/>
                            <w:sz w:val="18"/>
                            <w:szCs w:val="18"/>
                          </w:rPr>
                        </w:pPr>
                        <w:r>
                          <w:rPr>
                            <w:rFonts w:ascii="宋体" w:hAnsi="宋体" w:cs="宋体" w:eastAsia="宋体" w:hint="default"/>
                            <w:spacing w:val="-2"/>
                            <w:sz w:val="18"/>
                            <w:szCs w:val="18"/>
                          </w:rPr>
                          <w:t>本公司未知上述股东之间是否存在关联关系，也未知上述股东之间是否属于《上市公司股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东持股变动信息披露管理办法》中规定的一致行动人。</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97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0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97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0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970" w:type="dxa"/>
                        <w:gridSpan w:val="4"/>
                        <w:vMerge/>
                        <w:tcBorders>
                          <w:left w:val="single" w:sz="4" w:space="0" w:color="000000"/>
                          <w:bottom w:val="nil" w:sz="6" w:space="0" w:color="auto"/>
                          <w:right w:val="single" w:sz="4" w:space="0" w:color="000000"/>
                        </w:tcBorders>
                        <w:shd w:val="clear" w:color="auto" w:fill="D2D2D2"/>
                      </w:tcPr>
                      <w:p>
                        <w:pPr/>
                      </w:p>
                    </w:tc>
                    <w:tc>
                      <w:tcPr>
                        <w:tcW w:w="2902" w:type="dxa"/>
                        <w:gridSpan w:val="4"/>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97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90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72,338,916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72,338,916</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国泰君安证券股份有限公司约定购回专用账户</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宏源证券股份有限公司约定购回专用账户</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4,920,000</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方德基</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4,365,631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4,365,631</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陈昊</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4,298,200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4,298,200</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3,973,647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3,973,647</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3,923,620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3,923,620</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李春辉</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3,605,921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3,605,921</w:t>
                        </w:r>
                      </w:p>
                    </w:tc>
                  </w:tr>
                  <w:tr>
                    <w:trPr>
                      <w:trHeight w:val="402"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陈南京</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3,594,256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3,594,256</w:t>
                        </w:r>
                      </w:p>
                    </w:tc>
                  </w:tr>
                  <w:tr>
                    <w:trPr>
                      <w:trHeight w:val="714" w:hRule="exact"/>
                    </w:trPr>
                    <w:tc>
                      <w:tcPr>
                        <w:tcW w:w="397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中国工商银行股份有限公司－鹏华优质治理混合 型证券投资基金（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2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3,499,909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3,499,909</w:t>
                        </w:r>
                      </w:p>
                    </w:tc>
                  </w:tr>
                  <w:tr>
                    <w:trPr>
                      <w:trHeight w:val="1026" w:hRule="exact"/>
                    </w:trPr>
                    <w:tc>
                      <w:tcPr>
                        <w:tcW w:w="39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w:t>
                        </w:r>
                      </w:p>
                      <w:p>
                        <w:pPr>
                          <w:pStyle w:val="TableParagraph"/>
                          <w:spacing w:line="302" w:lineRule="auto" w:before="61"/>
                          <w:ind w:left="22" w:right="65"/>
                          <w:jc w:val="left"/>
                          <w:rPr>
                            <w:rFonts w:ascii="宋体" w:hAnsi="宋体" w:cs="宋体" w:eastAsia="宋体" w:hint="default"/>
                            <w:sz w:val="18"/>
                            <w:szCs w:val="18"/>
                          </w:rPr>
                        </w:pPr>
                        <w:r>
                          <w:rPr>
                            <w:rFonts w:ascii="宋体" w:hAnsi="宋体" w:cs="宋体" w:eastAsia="宋体" w:hint="default"/>
                            <w:sz w:val="18"/>
                            <w:szCs w:val="18"/>
                          </w:rPr>
                          <w:t>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559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 w:right="21"/>
                          <w:jc w:val="left"/>
                          <w:rPr>
                            <w:rFonts w:ascii="宋体" w:hAnsi="宋体" w:cs="宋体" w:eastAsia="宋体" w:hint="default"/>
                            <w:sz w:val="18"/>
                            <w:szCs w:val="18"/>
                          </w:rPr>
                        </w:pPr>
                        <w:r>
                          <w:rPr>
                            <w:rFonts w:ascii="宋体" w:hAnsi="宋体" w:cs="宋体" w:eastAsia="宋体" w:hint="default"/>
                            <w:spacing w:val="-2"/>
                            <w:sz w:val="18"/>
                            <w:szCs w:val="18"/>
                          </w:rPr>
                          <w:t>本公司未知上述股东之间是否存在关联关系，也未知上述股东之间是否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属于《上市公司股东持股变动信息披露管理办法》中规定的一致行动人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1338"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报告期末，公司股东陈昊通过国泰君安证券股份有限公司客户信用交易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4,298,200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w:t>
            </w:r>
            <w:r>
              <w:rPr>
                <w:rFonts w:ascii="宋体" w:hAnsi="宋体" w:cs="宋体" w:eastAsia="宋体" w:hint="default"/>
                <w:sz w:val="18"/>
                <w:szCs w:val="18"/>
              </w:rPr>
              <w:t>； 公司股东胡兰通过招商证券股份有限公司客户信用交易担保证券账户 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3,973,647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股，占公司股份总数的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w:t>
            </w:r>
          </w:p>
        </w:tc>
      </w:tr>
    </w:tbl>
    <w:p>
      <w:pPr>
        <w:pStyle w:val="BodyText"/>
        <w:spacing w:line="240" w:lineRule="auto" w:before="51"/>
        <w:ind w:left="154" w:right="111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0" w:firstLine="2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月，公司股东叶春华女士将其持有的公司股份</w:t>
      </w:r>
      <w:r>
        <w:rPr>
          <w:rFonts w:ascii="Times New Roman" w:hAnsi="Times New Roman" w:cs="Times New Roman" w:eastAsia="Times New Roman" w:hint="default"/>
        </w:rPr>
        <w:t>4,920,000</w:t>
      </w:r>
      <w:r>
        <w:rPr/>
        <w:t>股（占公司股份总数的</w:t>
      </w:r>
      <w:r>
        <w:rPr>
          <w:rFonts w:ascii="Times New Roman" w:hAnsi="Times New Roman" w:cs="Times New Roman" w:eastAsia="Times New Roman" w:hint="default"/>
        </w:rPr>
        <w:t>1.25%</w:t>
      </w:r>
      <w:r>
        <w:rPr/>
        <w:t>）与宏源证券股份有限公 </w:t>
      </w:r>
      <w:r>
        <w:rPr>
          <w:spacing w:val="-2"/>
        </w:rPr>
        <w:t>司进行了约定购回初始交易。</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月，公司股东叶春华女士将其持有的公司股份</w:t>
      </w:r>
      <w:r>
        <w:rPr>
          <w:rFonts w:ascii="Times New Roman" w:hAnsi="Times New Roman" w:cs="Times New Roman" w:eastAsia="Times New Roman" w:hint="default"/>
          <w:spacing w:val="-2"/>
        </w:rPr>
        <w:t>5,200,000</w:t>
      </w:r>
      <w:r>
        <w:rPr>
          <w:spacing w:val="-2"/>
        </w:rPr>
        <w:t>股（占公司股份总数的</w:t>
      </w:r>
      <w:r>
        <w:rPr>
          <w:rFonts w:ascii="Times New Roman" w:hAnsi="Times New Roman" w:cs="Times New Roman" w:eastAsia="Times New Roman" w:hint="default"/>
          <w:spacing w:val="-2"/>
        </w:rPr>
        <w:t>1.32%</w:t>
      </w:r>
      <w:r>
        <w:rPr>
          <w:spacing w:val="-2"/>
        </w:rPr>
        <w:t>）</w:t>
      </w:r>
      <w:r>
        <w:rPr>
          <w:spacing w:val="-62"/>
        </w:rPr>
        <w:t> </w:t>
      </w:r>
      <w:r>
        <w:rPr>
          <w:spacing w:val="-2"/>
        </w:rPr>
        <w:t>与国泰君安证券股份有限公司进行了约定购回初始交易。截至报告期末，股东叶春华女士持有公司股份</w:t>
      </w:r>
      <w:r>
        <w:rPr>
          <w:rFonts w:ascii="Times New Roman" w:hAnsi="Times New Roman" w:cs="Times New Roman" w:eastAsia="Times New Roman" w:hint="default"/>
          <w:spacing w:val="-2"/>
        </w:rPr>
        <w:t>3,923,620</w:t>
      </w:r>
      <w:r>
        <w:rPr>
          <w:spacing w:val="-2"/>
        </w:rPr>
        <w:t>股，占公司</w:t>
      </w:r>
      <w:r>
        <w:rPr>
          <w:spacing w:val="-57"/>
        </w:rPr>
        <w:t> </w:t>
      </w:r>
      <w:r>
        <w:rPr>
          <w:spacing w:val="-57"/>
        </w:rPr>
      </w:r>
      <w:r>
        <w:rPr/>
        <w:t>股份总数的</w:t>
      </w:r>
      <w:r>
        <w:rPr>
          <w:rFonts w:ascii="Times New Roman" w:hAnsi="Times New Roman" w:cs="Times New Roman" w:eastAsia="Times New Roman" w:hint="default"/>
        </w:rPr>
        <w:t>1.00%</w:t>
      </w:r>
      <w:r>
        <w:rPr/>
        <w:t>。</w:t>
      </w:r>
    </w:p>
    <w:p>
      <w:pPr>
        <w:spacing w:line="240" w:lineRule="auto" w:before="1"/>
        <w:rPr>
          <w:rFonts w:ascii="宋体" w:hAnsi="宋体" w:cs="宋体" w:eastAsia="宋体" w:hint="default"/>
          <w:sz w:val="22"/>
          <w:szCs w:val="22"/>
        </w:rPr>
      </w:pPr>
    </w:p>
    <w:p>
      <w:pPr>
        <w:pStyle w:val="Heading3"/>
        <w:spacing w:line="240" w:lineRule="auto"/>
        <w:ind w:left="154" w:right="1118"/>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232"/>
        <w:jc w:val="left"/>
      </w:pPr>
      <w:r>
        <w:rPr/>
        <w:t>控股股东性质：无控股主体 控股股东类型：不存在 公司不存在控股股东情况的说明</w:t>
      </w:r>
    </w:p>
    <w:p>
      <w:pPr>
        <w:pStyle w:val="BodyText"/>
        <w:spacing w:line="300" w:lineRule="auto" w:before="25"/>
        <w:ind w:left="154" w:right="1118" w:firstLine="290"/>
        <w:jc w:val="left"/>
      </w:pPr>
      <w:r>
        <w:rPr/>
        <w:t>公司第一大股东乾德精一持有公司</w:t>
      </w:r>
      <w:r>
        <w:rPr>
          <w:rFonts w:ascii="Times New Roman" w:hAnsi="Times New Roman" w:cs="Times New Roman" w:eastAsia="Times New Roman" w:hint="default"/>
        </w:rPr>
        <w:t>78,000,000</w:t>
      </w:r>
      <w:r>
        <w:rPr/>
        <w:t>股股份，占公司股份总额的比例为</w:t>
      </w:r>
      <w:r>
        <w:rPr>
          <w:rFonts w:ascii="Times New Roman" w:hAnsi="Times New Roman" w:cs="Times New Roman" w:eastAsia="Times New Roman" w:hint="default"/>
        </w:rPr>
        <w:t>19.84%</w:t>
      </w:r>
      <w:r>
        <w:rPr/>
        <w:t>；公司第二大股东香港键桥持有 </w:t>
      </w:r>
      <w:r>
        <w:rPr>
          <w:spacing w:val="-1"/>
        </w:rPr>
        <w:t>公司</w:t>
      </w:r>
      <w:r>
        <w:rPr>
          <w:rFonts w:ascii="Times New Roman" w:hAnsi="Times New Roman" w:cs="Times New Roman" w:eastAsia="Times New Roman" w:hint="default"/>
          <w:spacing w:val="-1"/>
        </w:rPr>
        <w:t>72,338,916</w:t>
      </w:r>
      <w:r>
        <w:rPr>
          <w:spacing w:val="-1"/>
        </w:rPr>
        <w:t>股股份，占公司股份总额的比例为</w:t>
      </w:r>
      <w:r>
        <w:rPr>
          <w:rFonts w:ascii="Times New Roman" w:hAnsi="Times New Roman" w:cs="Times New Roman" w:eastAsia="Times New Roman" w:hint="default"/>
          <w:spacing w:val="-1"/>
        </w:rPr>
        <w:t>18.40%</w:t>
      </w:r>
      <w:r>
        <w:rPr>
          <w:spacing w:val="-1"/>
        </w:rPr>
        <w:t>，由于公司第一大股东和第二大股东股权比例较为接近，公司无控</w:t>
      </w:r>
      <w:r>
        <w:rPr>
          <w:spacing w:val="-39"/>
        </w:rPr>
        <w:t> </w:t>
      </w:r>
      <w:r>
        <w:rPr>
          <w:spacing w:val="-39"/>
        </w:rPr>
      </w:r>
      <w:r>
        <w:rPr/>
        <w:t>股股东、实际控制人。</w:t>
      </w:r>
    </w:p>
    <w:p>
      <w:pPr>
        <w:pStyle w:val="BodyText"/>
        <w:spacing w:line="240" w:lineRule="auto" w:before="72"/>
        <w:ind w:left="154" w:right="1118"/>
        <w:jc w:val="left"/>
      </w:pPr>
      <w:r>
        <w:rPr/>
        <w:t>控股股东报告期内变更</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37"/>
        <w:gridCol w:w="5032"/>
      </w:tblGrid>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6"/>
              <w:jc w:val="left"/>
              <w:rPr>
                <w:rFonts w:ascii="Times New Roman" w:hAnsi="Times New Roman" w:cs="Times New Roman" w:eastAsia="Times New Roman" w:hint="default"/>
                <w:sz w:val="18"/>
                <w:szCs w:val="18"/>
              </w:rPr>
            </w:pPr>
            <w:hyperlink r:id="rId15">
              <w:r>
                <w:rPr>
                  <w:rFonts w:ascii="Times New Roman"/>
                  <w:spacing w:val="-1"/>
                  <w:sz w:val="18"/>
                </w:rPr>
                <w:t>http://www.cninfo.com.cn/cninfo-new/disclosure/szse_sme/bulletin_</w:t>
              </w:r>
            </w:hyperlink>
            <w:r>
              <w:rPr>
                <w:rFonts w:ascii="Times New Roman"/>
                <w:spacing w:val="-4"/>
                <w:sz w:val="18"/>
              </w:rPr>
              <w:t> </w:t>
            </w:r>
            <w:r>
              <w:rPr>
                <w:rFonts w:ascii="Times New Roman"/>
                <w:spacing w:val="-4"/>
                <w:sz w:val="18"/>
              </w:rPr>
            </w:r>
            <w:r>
              <w:rPr>
                <w:rFonts w:ascii="Times New Roman"/>
                <w:sz w:val="18"/>
              </w:rPr>
              <w:t>detail/true/1201036166?announceTime=2015-05-20</w:t>
            </w:r>
          </w:p>
        </w:tc>
      </w:tr>
      <w:tr>
        <w:trPr>
          <w:trHeight w:val="403"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052"/>
        <w:jc w:val="left"/>
      </w:pPr>
      <w:r>
        <w:rPr/>
        <w:t>实际控制人性质：无实际控制人 实际控制人类型：不存在 公司不存在实际控制人情况的说明</w:t>
      </w:r>
    </w:p>
    <w:p>
      <w:pPr>
        <w:pStyle w:val="BodyText"/>
        <w:spacing w:line="300" w:lineRule="auto" w:before="28"/>
        <w:ind w:left="154" w:right="1118" w:firstLine="290"/>
        <w:jc w:val="left"/>
      </w:pPr>
      <w:r>
        <w:rPr/>
        <w:t>公司第一大股东乾德精一持有公司</w:t>
      </w:r>
      <w:r>
        <w:rPr>
          <w:rFonts w:ascii="Times New Roman" w:hAnsi="Times New Roman" w:cs="Times New Roman" w:eastAsia="Times New Roman" w:hint="default"/>
        </w:rPr>
        <w:t>78,000,000</w:t>
      </w:r>
      <w:r>
        <w:rPr/>
        <w:t>股股份，占公司股份总额的比例为</w:t>
      </w:r>
      <w:r>
        <w:rPr>
          <w:rFonts w:ascii="Times New Roman" w:hAnsi="Times New Roman" w:cs="Times New Roman" w:eastAsia="Times New Roman" w:hint="default"/>
        </w:rPr>
        <w:t>19.84%</w:t>
      </w:r>
      <w:r>
        <w:rPr/>
        <w:t>；公司第二大股东香港键桥持有 </w:t>
      </w:r>
      <w:r>
        <w:rPr>
          <w:spacing w:val="-1"/>
        </w:rPr>
        <w:t>公司</w:t>
      </w:r>
      <w:r>
        <w:rPr>
          <w:rFonts w:ascii="Times New Roman" w:hAnsi="Times New Roman" w:cs="Times New Roman" w:eastAsia="Times New Roman" w:hint="default"/>
          <w:spacing w:val="-1"/>
        </w:rPr>
        <w:t>72,338,916</w:t>
      </w:r>
      <w:r>
        <w:rPr>
          <w:spacing w:val="-1"/>
        </w:rPr>
        <w:t>股股份，占公司股份总额的比例为</w:t>
      </w:r>
      <w:r>
        <w:rPr>
          <w:rFonts w:ascii="Times New Roman" w:hAnsi="Times New Roman" w:cs="Times New Roman" w:eastAsia="Times New Roman" w:hint="default"/>
          <w:spacing w:val="-1"/>
        </w:rPr>
        <w:t>18.40%</w:t>
      </w:r>
      <w:r>
        <w:rPr>
          <w:spacing w:val="-1"/>
        </w:rPr>
        <w:t>，由于公司第一大股东和第二大股东股权比例较为接近，公司无控</w:t>
      </w:r>
      <w:r>
        <w:rPr>
          <w:spacing w:val="-39"/>
        </w:rPr>
        <w:t> </w:t>
      </w:r>
      <w:r>
        <w:rPr>
          <w:spacing w:val="-39"/>
        </w:rPr>
      </w:r>
      <w:r>
        <w:rPr/>
        <w:t>股股东、实际控制人。</w:t>
      </w:r>
    </w:p>
    <w:p>
      <w:pPr>
        <w:pStyle w:val="BodyText"/>
        <w:spacing w:line="240" w:lineRule="auto" w:before="72"/>
        <w:ind w:left="154" w:right="1118"/>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40" w:lineRule="auto" w:before="102"/>
        <w:ind w:right="96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法人</w:t>
      </w:r>
    </w:p>
    <w:p>
      <w:pPr>
        <w:pStyle w:val="BodyText"/>
        <w:spacing w:line="240" w:lineRule="auto" w:before="40"/>
        <w:ind w:left="154" w:right="1118"/>
        <w:jc w:val="left"/>
      </w:pPr>
      <w:r>
        <w:rPr/>
        <w:t>最终控制层面持股情况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1973"/>
        <w:gridCol w:w="1700"/>
        <w:gridCol w:w="1419"/>
        <w:gridCol w:w="247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7"/>
        <w:gridCol w:w="1973"/>
        <w:gridCol w:w="1700"/>
        <w:gridCol w:w="1419"/>
        <w:gridCol w:w="2479"/>
      </w:tblGrid>
      <w:tr>
        <w:trPr>
          <w:trHeight w:val="133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2"/>
              <w:jc w:val="left"/>
              <w:rPr>
                <w:rFonts w:ascii="宋体" w:hAnsi="宋体" w:cs="宋体" w:eastAsia="宋体" w:hint="default"/>
                <w:sz w:val="18"/>
                <w:szCs w:val="18"/>
              </w:rPr>
            </w:pPr>
            <w:r>
              <w:rPr>
                <w:rFonts w:ascii="宋体" w:hAnsi="宋体" w:cs="宋体" w:eastAsia="宋体" w:hint="default"/>
                <w:sz w:val="18"/>
                <w:szCs w:val="18"/>
              </w:rPr>
              <w:t>嘉兴乾德精一投资合伙 企业（有限合伙）</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32997021-3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实业投资、投资管理、投资咨 </w:t>
            </w:r>
            <w:r>
              <w:rPr>
                <w:rFonts w:ascii="宋体" w:hAnsi="宋体" w:cs="宋体" w:eastAsia="宋体" w:hint="default"/>
                <w:spacing w:val="-7"/>
                <w:sz w:val="18"/>
                <w:szCs w:val="18"/>
              </w:rPr>
              <w:t>询。（依法需经批准的项目，需</w:t>
            </w:r>
            <w:r>
              <w:rPr>
                <w:rFonts w:ascii="宋体" w:hAnsi="宋体" w:cs="宋体" w:eastAsia="宋体" w:hint="default"/>
                <w:sz w:val="18"/>
                <w:szCs w:val="18"/>
              </w:rPr>
              <w:t> 经相关部门批准后方可开展经 营活动）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最终控制层面股东报告 期内控制的其他境内外 上市公司的股权情况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18"/>
        <w:jc w:val="left"/>
      </w:pPr>
      <w:r>
        <w:rPr/>
        <w:t>实际控制人报告期内变更</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6"/>
              <w:jc w:val="left"/>
              <w:rPr>
                <w:rFonts w:ascii="Times New Roman" w:hAnsi="Times New Roman" w:cs="Times New Roman" w:eastAsia="Times New Roman" w:hint="default"/>
                <w:sz w:val="18"/>
                <w:szCs w:val="18"/>
              </w:rPr>
            </w:pPr>
            <w:hyperlink r:id="rId16">
              <w:r>
                <w:rPr>
                  <w:rFonts w:ascii="Times New Roman"/>
                  <w:spacing w:val="-1"/>
                  <w:sz w:val="18"/>
                </w:rPr>
                <w:t>http://www.cninfo.com.cn/cninfo-new/disclosure/szse_sme/bullet</w:t>
              </w:r>
            </w:hyperlink>
            <w:r>
              <w:rPr>
                <w:rFonts w:ascii="Times New Roman"/>
                <w:spacing w:val="-5"/>
                <w:sz w:val="18"/>
              </w:rPr>
              <w:t> </w:t>
            </w:r>
            <w:r>
              <w:rPr>
                <w:rFonts w:ascii="Times New Roman"/>
                <w:spacing w:val="-5"/>
                <w:sz w:val="18"/>
              </w:rPr>
            </w:r>
            <w:r>
              <w:rPr>
                <w:rFonts w:ascii="Times New Roman"/>
                <w:sz w:val="18"/>
              </w:rPr>
              <w:t>in_detail/true/1201036166?announceTime=2015-05-20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1118"/>
        <w:jc w:val="left"/>
      </w:pPr>
      <w:r>
        <w:rPr/>
        <w:t>实际控制人通过信托或其他资产管理方式控制公司</w:t>
      </w:r>
    </w:p>
    <w:p>
      <w:pPr>
        <w:pStyle w:val="BodyText"/>
        <w:spacing w:line="240" w:lineRule="auto" w:before="116"/>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18"/>
        <w:jc w:val="left"/>
        <w:rPr>
          <w:b w:val="0"/>
          <w:bCs w:val="0"/>
        </w:rPr>
      </w:pPr>
      <w:bookmarkStart w:name="_TOC_250004"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18"/>
        <w:jc w:val="left"/>
        <w:rPr>
          <w:b w:val="0"/>
          <w:bCs w:val="0"/>
        </w:rPr>
      </w:pPr>
      <w:bookmarkStart w:name="_TOC_250003"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8"/>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3"/>
        <w:gridCol w:w="1046"/>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2" w:right="3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27" w:right="6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第一副董 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第二副董 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齐靠民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3"/>
        <w:gridCol w:w="1046"/>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554,000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026"/>
        <w:gridCol w:w="1634"/>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第二副董事长</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第一副董事长</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18"/>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公司现任董事、监事、高级管理人员专业背景、主要工作经历以及目前在公司的主要职责</w:t>
      </w:r>
    </w:p>
    <w:p>
      <w:pPr>
        <w:pStyle w:val="BodyText"/>
        <w:spacing w:line="240" w:lineRule="auto" w:before="115"/>
        <w:ind w:left="444" w:right="1118"/>
        <w:jc w:val="left"/>
      </w:pPr>
      <w:r>
        <w:rPr/>
        <w:t>（一）现任董事主要工作经历</w:t>
      </w:r>
    </w:p>
    <w:p>
      <w:pPr>
        <w:pStyle w:val="BodyText"/>
        <w:spacing w:line="300" w:lineRule="auto" w:before="77"/>
        <w:ind w:right="1136" w:firstLine="290"/>
        <w:jc w:val="both"/>
      </w:pPr>
      <w:r>
        <w:rPr>
          <w:rFonts w:ascii="Times New Roman" w:hAnsi="Times New Roman" w:cs="Times New Roman" w:eastAsia="Times New Roman" w:hint="default"/>
        </w:rPr>
        <w:t>1</w:t>
      </w:r>
      <w:r>
        <w:rPr/>
        <w:t>、王永彬先生，</w:t>
      </w:r>
      <w:r>
        <w:rPr>
          <w:rFonts w:ascii="Times New Roman" w:hAnsi="Times New Roman" w:cs="Times New Roman" w:eastAsia="Times New Roman" w:hint="default"/>
        </w:rPr>
        <w:t>1968</w:t>
      </w:r>
      <w:r>
        <w:rPr/>
        <w:t>年生，中国国籍，工学博士，高级工程师职称。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月至今任职于良运集团担任董事长、总 经理、党委书记。王永彬先生自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月起任本公司董事，于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月起任本公司董事长。</w:t>
      </w:r>
    </w:p>
    <w:p>
      <w:pPr>
        <w:pStyle w:val="BodyText"/>
        <w:spacing w:line="300" w:lineRule="auto" w:before="13"/>
        <w:ind w:right="1129" w:firstLine="290"/>
        <w:jc w:val="both"/>
      </w:pPr>
      <w:r>
        <w:rPr>
          <w:rFonts w:ascii="Times New Roman" w:hAnsi="Times New Roman" w:cs="Times New Roman" w:eastAsia="Times New Roman" w:hint="default"/>
        </w:rPr>
        <w:t>2</w:t>
      </w:r>
      <w:r>
        <w:rPr/>
        <w:t>、刘辉女士，</w:t>
      </w:r>
      <w:r>
        <w:rPr>
          <w:rFonts w:ascii="Times New Roman" w:hAnsi="Times New Roman" w:cs="Times New Roman" w:eastAsia="Times New Roman" w:hint="default"/>
        </w:rPr>
        <w:t>1970</w:t>
      </w:r>
      <w:r>
        <w:rPr/>
        <w:t>年生，中国国籍，东北财经大学金融学硕士。曾任人民银行大连分行职员、申银万国大连证券营业 部部门经理、大通证券股份有限公司经纪业务部高级经理、联合创业集团有限公司总经理。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月至今任大连旅顺国汇</w:t>
      </w:r>
      <w:r>
        <w:rPr>
          <w:spacing w:val="-82"/>
        </w:rPr>
        <w:t> </w:t>
      </w:r>
      <w:r>
        <w:rPr>
          <w:spacing w:val="-82"/>
        </w:rPr>
      </w:r>
      <w:r>
        <w:rPr/>
        <w:t>小额贷款股份有限公司总经理，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月至今任深圳精一投资管理有限公司董事长，目前兼任辽宁省创业投资与股权投资</w:t>
      </w:r>
      <w:r>
        <w:rPr>
          <w:spacing w:val="-82"/>
        </w:rPr>
        <w:t> </w:t>
      </w:r>
      <w:r>
        <w:rPr>
          <w:spacing w:val="-82"/>
        </w:rPr>
      </w:r>
      <w:r>
        <w:rPr/>
        <w:t>协会副会长。刘辉女士自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月起任本公司副董事长。</w:t>
      </w:r>
    </w:p>
    <w:p>
      <w:pPr>
        <w:pStyle w:val="BodyText"/>
        <w:spacing w:line="300" w:lineRule="auto" w:before="13"/>
        <w:ind w:left="154" w:right="1130" w:firstLine="290"/>
        <w:jc w:val="both"/>
      </w:pPr>
      <w:r>
        <w:rPr>
          <w:rFonts w:ascii="Times New Roman" w:hAnsi="Times New Roman" w:cs="Times New Roman" w:eastAsia="Times New Roman" w:hint="default"/>
        </w:rPr>
        <w:t>3</w:t>
      </w:r>
      <w:r>
        <w:rPr/>
        <w:t>、张振新先生，</w:t>
      </w:r>
      <w:r>
        <w:rPr>
          <w:rFonts w:ascii="Times New Roman" w:hAnsi="Times New Roman" w:cs="Times New Roman" w:eastAsia="Times New Roman" w:hint="default"/>
        </w:rPr>
        <w:t>1971</w:t>
      </w:r>
      <w:r>
        <w:rPr/>
        <w:t>年生，中国国籍，毕业于东北财经大学，经济学硕士。曾任申银万国证券股份有限公司大连营业 部总经理、联合创业担保集团有限公司董事长兼总经理。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月至今任中国先锋金融集团有限公司董事长，目前兼任网</w:t>
      </w:r>
      <w:r>
        <w:rPr>
          <w:spacing w:val="-82"/>
        </w:rPr>
        <w:t> </w:t>
      </w:r>
      <w:r>
        <w:rPr>
          <w:spacing w:val="-82"/>
        </w:rPr>
      </w:r>
      <w:r>
        <w:rPr/>
        <w:t>信集团有限公司董事长，具有</w:t>
      </w:r>
      <w:r>
        <w:rPr>
          <w:rFonts w:ascii="Times New Roman" w:hAnsi="Times New Roman" w:cs="Times New Roman" w:eastAsia="Times New Roman" w:hint="default"/>
        </w:rPr>
        <w:t>22</w:t>
      </w:r>
      <w:r>
        <w:rPr/>
        <w:t>年金融行业的管理经验。张振新先生自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月起任本公司董事。</w:t>
      </w:r>
    </w:p>
    <w:p>
      <w:pPr>
        <w:pStyle w:val="BodyText"/>
        <w:spacing w:line="300" w:lineRule="auto" w:before="13"/>
        <w:ind w:right="1132" w:firstLine="290"/>
        <w:jc w:val="both"/>
      </w:pPr>
      <w:r>
        <w:rPr>
          <w:rFonts w:ascii="Times New Roman" w:hAnsi="Times New Roman" w:cs="Times New Roman" w:eastAsia="Times New Roman" w:hint="default"/>
        </w:rPr>
        <w:t>4</w:t>
      </w:r>
      <w:r>
        <w:rPr/>
        <w:t>、孟令章先生，</w:t>
      </w:r>
      <w:r>
        <w:rPr>
          <w:rFonts w:ascii="Times New Roman" w:hAnsi="Times New Roman" w:cs="Times New Roman" w:eastAsia="Times New Roman" w:hint="default"/>
        </w:rPr>
        <w:t>1974</w:t>
      </w:r>
      <w:r>
        <w:rPr/>
        <w:t>年生，中国国籍，本科学历。曾先后就职于美的集团、深圳华为技术有限公司。</w:t>
      </w:r>
      <w:r>
        <w:rPr>
          <w:rFonts w:ascii="Times New Roman" w:hAnsi="Times New Roman" w:cs="Times New Roman" w:eastAsia="Times New Roman" w:hint="default"/>
        </w:rPr>
        <w:t>2005</w:t>
      </w:r>
      <w:r>
        <w:rPr/>
        <w:t>年加入本公</w:t>
      </w:r>
      <w:r>
        <w:rPr>
          <w:spacing w:val="1"/>
        </w:rPr>
        <w:t> </w:t>
      </w:r>
      <w:r>
        <w:rPr/>
        <w:t>司，现担任公司董事、总经理。</w:t>
      </w:r>
    </w:p>
    <w:p>
      <w:pPr>
        <w:pStyle w:val="BodyText"/>
        <w:spacing w:line="312" w:lineRule="auto" w:before="31"/>
        <w:ind w:right="1033" w:firstLine="290"/>
        <w:jc w:val="left"/>
      </w:pPr>
      <w:r>
        <w:rPr>
          <w:rFonts w:ascii="Times New Roman" w:hAnsi="Times New Roman" w:cs="Times New Roman" w:eastAsia="Times New Roman" w:hint="default"/>
        </w:rPr>
        <w:t>5</w:t>
      </w:r>
      <w:r>
        <w:rPr/>
        <w:t>、易欢欢先生，</w:t>
      </w:r>
      <w:r>
        <w:rPr>
          <w:rFonts w:ascii="Times New Roman" w:hAnsi="Times New Roman" w:cs="Times New Roman" w:eastAsia="Times New Roman" w:hint="default"/>
        </w:rPr>
        <w:t>1982</w:t>
      </w:r>
      <w:r>
        <w:rPr/>
        <w:t>年生，中国国籍，毕业于北京大学，通信与信息系统硕士，数学与经济学本科。曾先后任职甲骨 </w:t>
      </w:r>
      <w:r>
        <w:rPr>
          <w:spacing w:val="-4"/>
        </w:rPr>
        <w:t>文（中国）战略咨询部高级经理，国金证券研究部执行总经理、计算机与互联网行业首席分析师，申万宏源证券董事总经理、</w:t>
      </w:r>
      <w:r>
        <w:rPr>
          <w:spacing w:val="-44"/>
        </w:rPr>
        <w:t> </w:t>
      </w:r>
      <w:r>
        <w:rPr>
          <w:spacing w:val="-44"/>
        </w:rPr>
      </w:r>
      <w:r>
        <w:rPr>
          <w:spacing w:val="-2"/>
        </w:rPr>
        <w:t>研究所副所长。现任徐州淮海数据交换服务有限公司董事，兼任互联网金融千人会秘书长、北京大学全球金融校友会互联网</w:t>
      </w:r>
      <w:r>
        <w:rPr>
          <w:spacing w:val="-66"/>
        </w:rPr>
        <w:t> </w:t>
      </w:r>
      <w:r>
        <w:rPr>
          <w:spacing w:val="-66"/>
        </w:rPr>
      </w:r>
      <w:r>
        <w:rPr>
          <w:spacing w:val="-2"/>
        </w:rPr>
        <w:t>金融秘书长，中国人民银行金融研究所互联网金融中心副秘书长、中国保险行业协会互联网分会副秘书长，中国证券业协会</w:t>
      </w:r>
      <w:r>
        <w:rPr>
          <w:spacing w:val="-66"/>
        </w:rPr>
        <w:t> </w:t>
      </w:r>
      <w:r>
        <w:rPr>
          <w:spacing w:val="-66"/>
        </w:rPr>
      </w:r>
      <w:r>
        <w:rPr/>
        <w:t>互联网金融专家委员、中国青年企业家协会创新专家委员、中国互联网金融博物馆理事。易欢欢先生自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w:t>
      </w:r>
      <w:r>
        <w:rPr>
          <w:spacing w:val="-82"/>
        </w:rPr>
        <w:t> </w:t>
      </w:r>
      <w:r>
        <w:rPr/>
        <w:t>司董事。</w:t>
      </w:r>
    </w:p>
    <w:p>
      <w:pPr>
        <w:pStyle w:val="BodyText"/>
        <w:spacing w:line="300" w:lineRule="auto" w:before="22"/>
        <w:ind w:right="1033" w:firstLine="290"/>
        <w:jc w:val="left"/>
      </w:pPr>
      <w:r>
        <w:rPr>
          <w:rFonts w:ascii="Times New Roman" w:hAnsi="Times New Roman" w:cs="Times New Roman" w:eastAsia="Times New Roman" w:hint="default"/>
        </w:rPr>
        <w:t>6</w:t>
      </w:r>
      <w:r>
        <w:rPr/>
        <w:t>、齐靠民先生，</w:t>
      </w:r>
      <w:r>
        <w:rPr>
          <w:rFonts w:ascii="Times New Roman" w:hAnsi="Times New Roman" w:cs="Times New Roman" w:eastAsia="Times New Roman" w:hint="default"/>
        </w:rPr>
        <w:t>1971</w:t>
      </w:r>
      <w:r>
        <w:rPr/>
        <w:t>年生，中国国籍，东北财经大学管理学博士。曾先后就职于深圳市人民银行、蔚深证券有限责任 公司、汉唐证券有限公司，</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月于恒泰证券股份有限公司工作，曾担任恒泰证券总裁助理、副总裁职务。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月至今任恒泰资本投资有限责任公司执行董事，兼任新华基金管理公司董事。齐靠民先生自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月起任本公司董</w:t>
      </w:r>
      <w:r>
        <w:rPr>
          <w:spacing w:val="-54"/>
        </w:rPr>
        <w:t> </w:t>
      </w:r>
      <w:r>
        <w:rPr/>
        <w:t>事。</w:t>
      </w:r>
    </w:p>
    <w:p>
      <w:pPr>
        <w:pStyle w:val="BodyText"/>
        <w:spacing w:line="312" w:lineRule="auto" w:before="31"/>
        <w:ind w:right="1130" w:firstLine="290"/>
        <w:jc w:val="both"/>
      </w:pPr>
      <w:r>
        <w:rPr>
          <w:rFonts w:ascii="Times New Roman" w:hAnsi="Times New Roman" w:cs="Times New Roman" w:eastAsia="Times New Roman" w:hint="default"/>
        </w:rPr>
        <w:t>7</w:t>
      </w:r>
      <w:r>
        <w:rPr/>
        <w:t>、刘煜辉先生，</w:t>
      </w:r>
      <w:r>
        <w:rPr>
          <w:rFonts w:ascii="Times New Roman" w:hAnsi="Times New Roman" w:cs="Times New Roman" w:eastAsia="Times New Roman" w:hint="default"/>
        </w:rPr>
        <w:t>1970</w:t>
      </w:r>
      <w:r>
        <w:rPr/>
        <w:t>年生，中国国籍，博士研究生学历。曾先后就职于长沙市电信局、长沙西塔科技公司。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 </w:t>
      </w:r>
      <w:r>
        <w:rPr>
          <w:spacing w:val="-2"/>
        </w:rPr>
        <w:t>月起至今任职于中国社会科学院金融研究所，现兼任中国石油天然气集团公司年金投资理事会理事、紫金山鑫合金融家俱乐</w:t>
      </w:r>
      <w:r>
        <w:rPr>
          <w:spacing w:val="-64"/>
        </w:rPr>
        <w:t> </w:t>
      </w:r>
      <w:r>
        <w:rPr>
          <w:spacing w:val="-64"/>
        </w:rPr>
      </w:r>
      <w:r>
        <w:rPr>
          <w:spacing w:val="-2"/>
        </w:rPr>
        <w:t>部首席经济学家、中国首席经济学家论坛理事、广发证券首席经济学家，江苏银行、杭州银行、大地传媒独立董事。刘煜辉</w:t>
      </w:r>
      <w:r>
        <w:rPr>
          <w:spacing w:val="-67"/>
        </w:rPr>
        <w:t> </w:t>
      </w:r>
      <w:r>
        <w:rPr>
          <w:spacing w:val="-67"/>
        </w:rPr>
      </w:r>
      <w:r>
        <w:rPr/>
        <w:t>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月起任本公司独立董事。</w:t>
      </w:r>
    </w:p>
    <w:p>
      <w:pPr>
        <w:pStyle w:val="BodyText"/>
        <w:spacing w:line="312" w:lineRule="auto" w:before="3"/>
        <w:ind w:right="0" w:firstLine="290"/>
        <w:jc w:val="left"/>
      </w:pPr>
      <w:r>
        <w:rPr>
          <w:rFonts w:ascii="Times New Roman" w:hAnsi="Times New Roman" w:cs="Times New Roman" w:eastAsia="Times New Roman" w:hint="default"/>
        </w:rPr>
        <w:t>8</w:t>
      </w:r>
      <w:r>
        <w:rPr/>
        <w:t>、刘永泽先生，</w:t>
      </w:r>
      <w:r>
        <w:rPr>
          <w:rFonts w:ascii="Times New Roman" w:hAnsi="Times New Roman" w:cs="Times New Roman" w:eastAsia="Times New Roman" w:hint="default"/>
        </w:rPr>
        <w:t>1950</w:t>
      </w:r>
      <w:r>
        <w:rPr/>
        <w:t>年生，中国国籍，教授，博士生导师。曾任东北财经大学会计学院院长，大连港股份有限公司独 </w:t>
      </w:r>
      <w:r>
        <w:rPr>
          <w:spacing w:val="-4"/>
        </w:rPr>
        <w:t>立董事，辽宁聚龙金融设备股份有限公司独立董事，沈阳机床股份有限公司独立董事。现任东北财经大学教授，博士生导师，</w:t>
      </w:r>
      <w:r>
        <w:rPr>
          <w:spacing w:val="-45"/>
        </w:rPr>
        <w:t> </w:t>
      </w:r>
      <w:r>
        <w:rPr>
          <w:spacing w:val="-45"/>
        </w:rPr>
      </w:r>
      <w:r>
        <w:rPr>
          <w:spacing w:val="-2"/>
        </w:rPr>
        <w:t>中国内部控制研究中心主任，中国会计学会副会长，中国会计学会会计教育专业委员会主任，全国会计硕士教学指导委员会</w:t>
      </w:r>
      <w:r>
        <w:rPr>
          <w:spacing w:val="-66"/>
        </w:rPr>
        <w:t> </w:t>
      </w:r>
      <w:r>
        <w:rPr>
          <w:spacing w:val="-66"/>
        </w:rPr>
      </w:r>
      <w:r>
        <w:rPr/>
        <w:t>委员，大连热电、大连华锐重工、联美控股等上市公司的独立董事。刘永泽先生自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月起任本公司独立董事。</w:t>
      </w:r>
    </w:p>
    <w:p>
      <w:pPr>
        <w:pStyle w:val="BodyText"/>
        <w:spacing w:line="300" w:lineRule="auto" w:before="3"/>
        <w:ind w:right="1130" w:firstLine="290"/>
        <w:jc w:val="both"/>
      </w:pPr>
      <w:r>
        <w:rPr>
          <w:rFonts w:ascii="Times New Roman" w:hAnsi="Times New Roman" w:cs="Times New Roman" w:eastAsia="Times New Roman" w:hint="default"/>
        </w:rPr>
        <w:t>9</w:t>
      </w:r>
      <w:r>
        <w:rPr/>
        <w:t>、高岩先生，</w:t>
      </w:r>
      <w:r>
        <w:rPr>
          <w:rFonts w:ascii="Times New Roman" w:hAnsi="Times New Roman" w:cs="Times New Roman" w:eastAsia="Times New Roman" w:hint="default"/>
        </w:rPr>
        <w:t>1970</w:t>
      </w:r>
      <w:r>
        <w:rPr/>
        <w:t>年生，中国国籍，本科学历。曾先后就职于北京市昂道律师事务所、北京市观韬律师事务所，</w:t>
      </w:r>
      <w:r>
        <w:rPr>
          <w:rFonts w:ascii="Times New Roman" w:hAnsi="Times New Roman" w:cs="Times New Roman" w:eastAsia="Times New Roman" w:hint="default"/>
        </w:rPr>
        <w:t>2009 </w:t>
      </w:r>
      <w:r>
        <w:rPr>
          <w:spacing w:val="-2"/>
        </w:rPr>
        <w:t>年</w:t>
      </w:r>
      <w:r>
        <w:rPr>
          <w:rFonts w:ascii="Times New Roman" w:hAnsi="Times New Roman" w:cs="Times New Roman" w:eastAsia="Times New Roman" w:hint="default"/>
          <w:spacing w:val="-2"/>
        </w:rPr>
        <w:t>10</w:t>
      </w:r>
      <w:r>
        <w:rPr>
          <w:spacing w:val="-2"/>
        </w:rPr>
        <w:t>月至今任职于北京德恒律师事务所，</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月至今兼任大连仲裁委员会仲裁员。高岩先生自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月起任本公司独</w:t>
      </w:r>
      <w:r>
        <w:rPr>
          <w:spacing w:val="-50"/>
        </w:rPr>
        <w:t> </w:t>
      </w:r>
      <w:r>
        <w:rPr/>
        <w:t>立董事。</w:t>
      </w:r>
    </w:p>
    <w:p>
      <w:pPr>
        <w:spacing w:line="240" w:lineRule="auto" w:before="3"/>
        <w:rPr>
          <w:rFonts w:ascii="宋体" w:hAnsi="宋体" w:cs="宋体" w:eastAsia="宋体" w:hint="default"/>
          <w:sz w:val="26"/>
          <w:szCs w:val="26"/>
        </w:rPr>
      </w:pPr>
    </w:p>
    <w:p>
      <w:pPr>
        <w:pStyle w:val="BodyText"/>
        <w:spacing w:line="240" w:lineRule="auto"/>
        <w:ind w:left="444" w:right="1118"/>
        <w:jc w:val="left"/>
      </w:pPr>
      <w:r>
        <w:rPr/>
        <w:t>（二）现任监事主要工作经历</w:t>
      </w:r>
    </w:p>
    <w:p>
      <w:pPr>
        <w:pStyle w:val="BodyText"/>
        <w:spacing w:line="300" w:lineRule="auto" w:before="76"/>
        <w:ind w:right="1130" w:firstLine="290"/>
        <w:jc w:val="both"/>
      </w:pPr>
      <w:r>
        <w:rPr>
          <w:rFonts w:ascii="Times New Roman" w:hAnsi="Times New Roman" w:cs="Times New Roman" w:eastAsia="Times New Roman" w:hint="default"/>
          <w:spacing w:val="-1"/>
        </w:rPr>
        <w:t>1</w:t>
      </w:r>
      <w:r>
        <w:rPr>
          <w:spacing w:val="-1"/>
        </w:rPr>
        <w:t>、陶艳艳女士，</w:t>
      </w:r>
      <w:r>
        <w:rPr>
          <w:rFonts w:ascii="Times New Roman" w:hAnsi="Times New Roman" w:cs="Times New Roman" w:eastAsia="Times New Roman" w:hint="default"/>
          <w:spacing w:val="-1"/>
        </w:rPr>
        <w:t>1979</w:t>
      </w:r>
      <w:r>
        <w:rPr>
          <w:spacing w:val="-1"/>
        </w:rPr>
        <w:t>年生，中国国籍，硕士学历。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3</w:t>
      </w:r>
      <w:r>
        <w:rPr>
          <w:spacing w:val="-1"/>
        </w:rPr>
        <w:t>月，任职于北京明天控股有限公司；</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4</w:t>
      </w:r>
      <w:r>
        <w:rPr>
          <w:spacing w:val="-1"/>
        </w:rPr>
        <w:t>月</w:t>
      </w:r>
      <w:r>
        <w:rPr/>
        <w:t> </w:t>
      </w:r>
      <w:r>
        <w:rPr>
          <w:spacing w:val="-2"/>
        </w:rPr>
        <w:t>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月，任职于《银行家》杂志社；</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月，任杭州银行战略企划部副总经理；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月至今，任网</w:t>
      </w:r>
      <w:r>
        <w:rPr>
          <w:spacing w:val="-50"/>
        </w:rPr>
        <w:t> </w:t>
      </w:r>
      <w:r>
        <w:rPr>
          <w:spacing w:val="-50"/>
        </w:rPr>
      </w:r>
      <w:r>
        <w:rPr/>
        <w:t>信集团金融事务部总监。陶艳艳女士自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月起任本公司监事会主席。</w:t>
      </w:r>
    </w:p>
    <w:p>
      <w:pPr>
        <w:pStyle w:val="BodyText"/>
        <w:spacing w:line="300" w:lineRule="auto" w:before="13"/>
        <w:ind w:right="1133" w:firstLine="290"/>
        <w:jc w:val="both"/>
      </w:pPr>
      <w:r>
        <w:rPr>
          <w:rFonts w:ascii="Times New Roman" w:hAnsi="Times New Roman" w:cs="Times New Roman" w:eastAsia="Times New Roman" w:hint="default"/>
        </w:rPr>
        <w:t>2</w:t>
      </w:r>
      <w:r>
        <w:rPr/>
        <w:t>、袁训明先生，</w:t>
      </w:r>
      <w:r>
        <w:rPr>
          <w:rFonts w:ascii="Times New Roman" w:hAnsi="Times New Roman" w:cs="Times New Roman" w:eastAsia="Times New Roman" w:hint="default"/>
        </w:rPr>
        <w:t>1965</w:t>
      </w:r>
      <w:r>
        <w:rPr/>
        <w:t>年生，中国国籍，硕士，高级工程师。曾任职于信息产业部电子</w:t>
      </w:r>
      <w:r>
        <w:rPr>
          <w:rFonts w:ascii="Times New Roman" w:hAnsi="Times New Roman" w:cs="Times New Roman" w:eastAsia="Times New Roman" w:hint="default"/>
        </w:rPr>
        <w:t>54</w:t>
      </w:r>
      <w:r>
        <w:rPr/>
        <w:t>研究所、深圳市数字传输工程 技术研发中心，</w:t>
      </w:r>
      <w:r>
        <w:rPr>
          <w:rFonts w:ascii="Times New Roman" w:hAnsi="Times New Roman" w:cs="Times New Roman" w:eastAsia="Times New Roman" w:hint="default"/>
        </w:rPr>
        <w:t>1999</w:t>
      </w:r>
      <w:r>
        <w:rPr/>
        <w:t>年加入本公司，现任公司总工程师、监事。</w:t>
      </w:r>
    </w:p>
    <w:p>
      <w:pPr>
        <w:pStyle w:val="BodyText"/>
        <w:spacing w:line="240" w:lineRule="auto" w:before="13"/>
        <w:ind w:left="444" w:right="1118"/>
        <w:jc w:val="left"/>
      </w:pPr>
      <w:r>
        <w:rPr>
          <w:rFonts w:ascii="Times New Roman" w:hAnsi="Times New Roman" w:cs="Times New Roman" w:eastAsia="Times New Roman" w:hint="default"/>
        </w:rPr>
        <w:t>3</w:t>
      </w:r>
      <w:r>
        <w:rPr/>
        <w:t>、陈道军先生，</w:t>
      </w:r>
      <w:r>
        <w:rPr>
          <w:rFonts w:ascii="Times New Roman" w:hAnsi="Times New Roman" w:cs="Times New Roman" w:eastAsia="Times New Roman" w:hint="default"/>
        </w:rPr>
        <w:t>1974</w:t>
      </w:r>
      <w:r>
        <w:rPr/>
        <w:t>年生，中国国籍，本科学历，高级会计师。曾先后任美国康明斯（中国）投资有限公司昆明分公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司财务经理，海航集团有限公司金融板块审计经理，海航集团财务有限公司稽核法律部经理，金海重工股份有限公司副总裁。</w:t>
      </w:r>
      <w:r>
        <w:rPr>
          <w:spacing w:val="-44"/>
        </w:rPr>
        <w:t> </w:t>
      </w:r>
      <w:r>
        <w:rPr>
          <w:spacing w:val="-44"/>
        </w:rPr>
      </w:r>
      <w:r>
        <w:rPr/>
        <w:t>陈道军先生于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月起加入本公司，现任资金管理部经理、监事。</w:t>
      </w:r>
    </w:p>
    <w:p>
      <w:pPr>
        <w:spacing w:line="240" w:lineRule="auto" w:before="10"/>
        <w:rPr>
          <w:rFonts w:ascii="宋体" w:hAnsi="宋体" w:cs="宋体" w:eastAsia="宋体" w:hint="default"/>
          <w:sz w:val="23"/>
          <w:szCs w:val="23"/>
        </w:rPr>
      </w:pPr>
    </w:p>
    <w:p>
      <w:pPr>
        <w:pStyle w:val="BodyText"/>
        <w:spacing w:line="240" w:lineRule="auto"/>
        <w:ind w:left="444" w:right="1118"/>
        <w:jc w:val="left"/>
      </w:pPr>
      <w:r>
        <w:rPr/>
        <w:t>（三）现任高级管理人员主要工作经历</w:t>
      </w:r>
    </w:p>
    <w:p>
      <w:pPr>
        <w:pStyle w:val="BodyText"/>
        <w:spacing w:line="240" w:lineRule="auto" w:before="77"/>
        <w:ind w:left="444" w:right="1118"/>
        <w:jc w:val="left"/>
      </w:pPr>
      <w:r>
        <w:rPr>
          <w:rFonts w:ascii="Times New Roman" w:hAnsi="Times New Roman" w:cs="Times New Roman" w:eastAsia="Times New Roman" w:hint="default"/>
        </w:rPr>
        <w:t>1</w:t>
      </w:r>
      <w:r>
        <w:rPr/>
        <w:t>、孟令章先生，简历同（一）</w:t>
      </w:r>
    </w:p>
    <w:p>
      <w:pPr>
        <w:pStyle w:val="BodyText"/>
        <w:spacing w:line="300" w:lineRule="auto" w:before="63"/>
        <w:ind w:left="154" w:right="1118" w:firstLine="290"/>
        <w:jc w:val="left"/>
      </w:pPr>
      <w:r>
        <w:rPr>
          <w:rFonts w:ascii="Times New Roman" w:hAnsi="Times New Roman" w:cs="Times New Roman" w:eastAsia="Times New Roman" w:hint="default"/>
          <w:spacing w:val="-2"/>
        </w:rPr>
        <w:t>2</w:t>
      </w:r>
      <w:r>
        <w:rPr>
          <w:spacing w:val="-2"/>
        </w:rPr>
        <w:t>、程启北先生，</w:t>
      </w:r>
      <w:r>
        <w:rPr>
          <w:rFonts w:ascii="Times New Roman" w:hAnsi="Times New Roman" w:cs="Times New Roman" w:eastAsia="Times New Roman" w:hint="default"/>
          <w:spacing w:val="-2"/>
        </w:rPr>
        <w:t>1962</w:t>
      </w:r>
      <w:r>
        <w:rPr>
          <w:spacing w:val="-2"/>
        </w:rPr>
        <w:t>年生，中国国籍，本科学历，清华大学深圳研究生院</w:t>
      </w:r>
      <w:r>
        <w:rPr>
          <w:rFonts w:ascii="Times New Roman" w:hAnsi="Times New Roman" w:cs="Times New Roman" w:eastAsia="Times New Roman" w:hint="default"/>
          <w:spacing w:val="-2"/>
        </w:rPr>
        <w:t>MBA</w:t>
      </w:r>
      <w:r>
        <w:rPr>
          <w:spacing w:val="-2"/>
        </w:rPr>
        <w:t>结业。</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月起加入本公司，现任本</w:t>
      </w:r>
      <w:r>
        <w:rPr/>
        <w:t> 公司副总经理。</w:t>
      </w:r>
    </w:p>
    <w:p>
      <w:pPr>
        <w:pStyle w:val="BodyText"/>
        <w:spacing w:line="240" w:lineRule="auto" w:before="31"/>
        <w:ind w:left="444" w:right="0"/>
        <w:jc w:val="left"/>
      </w:pPr>
      <w:r>
        <w:rPr>
          <w:rFonts w:ascii="Times New Roman" w:hAnsi="Times New Roman" w:cs="Times New Roman" w:eastAsia="Times New Roman" w:hint="default"/>
        </w:rPr>
        <w:t>3</w:t>
      </w:r>
      <w:r>
        <w:rPr/>
        <w:t>、丛丰森先生，</w:t>
      </w:r>
      <w:r>
        <w:rPr>
          <w:rFonts w:ascii="Times New Roman" w:hAnsi="Times New Roman" w:cs="Times New Roman" w:eastAsia="Times New Roman" w:hint="default"/>
        </w:rPr>
        <w:t>1983</w:t>
      </w:r>
      <w:r>
        <w:rPr/>
        <w:t>年生，中国国籍，研究生学历。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月于大通证券资产管理部工作，</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月至</w:t>
      </w:r>
    </w:p>
    <w:p>
      <w:pPr>
        <w:pStyle w:val="BodyText"/>
        <w:spacing w:line="240" w:lineRule="auto" w:before="63"/>
        <w:ind w:right="111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月于广发证券投资银行部任准保荐代表人，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月起任本公司副总经理、董事会秘书。</w:t>
      </w:r>
    </w:p>
    <w:p>
      <w:pPr>
        <w:pStyle w:val="BodyText"/>
        <w:spacing w:line="300" w:lineRule="auto" w:before="63"/>
        <w:ind w:right="0" w:firstLine="290"/>
        <w:jc w:val="left"/>
      </w:pPr>
      <w:r>
        <w:rPr>
          <w:rFonts w:ascii="Times New Roman" w:hAnsi="Times New Roman" w:cs="Times New Roman" w:eastAsia="Times New Roman" w:hint="default"/>
        </w:rPr>
        <w:t>4</w:t>
      </w:r>
      <w:r>
        <w:rPr/>
        <w:t>、杜军女士，</w:t>
      </w:r>
      <w:r>
        <w:rPr>
          <w:rFonts w:ascii="Times New Roman" w:hAnsi="Times New Roman" w:cs="Times New Roman" w:eastAsia="Times New Roman" w:hint="default"/>
        </w:rPr>
        <w:t>1977</w:t>
      </w:r>
      <w:r>
        <w:rPr/>
        <w:t>年生，中国国籍，本科学历，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月于西岸奥美（北京）信息咨询服务有限公司工 </w:t>
      </w:r>
      <w:r>
        <w:rPr>
          <w:spacing w:val="-3"/>
        </w:rPr>
        <w:t>作，</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月于腾讯科技（北京）有限公司任集团市场与公关部助理总经理，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月起任本公司副总经理。</w:t>
      </w:r>
    </w:p>
    <w:p>
      <w:pPr>
        <w:pStyle w:val="BodyText"/>
        <w:spacing w:line="319" w:lineRule="auto" w:before="13"/>
        <w:ind w:right="1118" w:firstLine="290"/>
        <w:jc w:val="left"/>
      </w:pPr>
      <w:r>
        <w:rPr>
          <w:rFonts w:ascii="Times New Roman" w:hAnsi="Times New Roman" w:cs="Times New Roman" w:eastAsia="Times New Roman" w:hint="default"/>
        </w:rPr>
        <w:t>5</w:t>
      </w:r>
      <w:r>
        <w:rPr/>
        <w:t>、蒋华良先生，</w:t>
      </w:r>
      <w:r>
        <w:rPr>
          <w:rFonts w:ascii="Times New Roman" w:hAnsi="Times New Roman" w:cs="Times New Roman" w:eastAsia="Times New Roman" w:hint="default"/>
        </w:rPr>
        <w:t>1964</w:t>
      </w:r>
      <w:r>
        <w:rPr/>
        <w:t>年生，中国国籍，本科学历，会计师。曾先后就职于中国国际期货经纪有限公司、深圳天源迪科 信息技术股份有限公司、全球锁安防（国际）集团有限公司。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月起加入本公司，现任公司财务总监。 在股东单位任职情况</w:t>
      </w:r>
    </w:p>
    <w:p>
      <w:pPr>
        <w:pStyle w:val="BodyText"/>
        <w:spacing w:line="240" w:lineRule="auto" w:before="58"/>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刘辉女士同时任乾德精一执行事务合伙人深圳精一投资管理有限公司董事长、总经理</w:t>
            </w:r>
          </w:p>
        </w:tc>
      </w:tr>
    </w:tbl>
    <w:p>
      <w:pPr>
        <w:pStyle w:val="BodyText"/>
        <w:spacing w:line="240" w:lineRule="auto" w:before="51"/>
        <w:ind w:left="154" w:right="1118"/>
        <w:jc w:val="left"/>
      </w:pPr>
      <w:r>
        <w:rPr/>
        <w:t>在其他单位任职情况</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445"/>
        <w:gridCol w:w="1134"/>
        <w:gridCol w:w="1103"/>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7" w:right="85"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6"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大连旅顺国汇小额贷款股份有限公司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天津九盈科技发展有限公司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联合创业担保集团有限公司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中国先锋金融集团有限公司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先锋联合大众投资（香港）有限公司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网信集团有限公司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中国信贷控股有限公司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天津九盈科技发展有限公司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深圳市广汇兴通投资企业（有限合伙）</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齐靠民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恒泰资本投资有限责任公司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齐靠民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新华基金管理公司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北京德恒律师事务所</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445"/>
        <w:gridCol w:w="1134"/>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大连仲裁委员会</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中国社科院金融研究所</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研究员、博导</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江苏银行股份有限公司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杭州银行股份有限公司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中原大地传媒股份有限公司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郑州银行股份有限公司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首席经济学家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东北财经大学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联美控股股份有限公司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大连华锐重工集团股份有限公司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大连热电股份有限公司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陶艳艳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网信集团有限公司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金融事务部总监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键桥投资（香港）有限公司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7"/>
                <w:sz w:val="18"/>
                <w:szCs w:val="18"/>
              </w:rPr>
              <w:t>执行董事、总经理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深圳网信金融科技发展有限公司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7"/>
                <w:sz w:val="18"/>
                <w:szCs w:val="18"/>
              </w:rPr>
              <w:t>执行董事、总经理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18"/>
        <w:jc w:val="left"/>
      </w:pPr>
      <w:r>
        <w:rPr/>
        <w:t>公司现任及报告期内离任董事、监事和高级管理人员近三年证券监管机构处罚的情况</w:t>
      </w:r>
    </w:p>
    <w:p>
      <w:pPr>
        <w:pStyle w:val="BodyText"/>
        <w:spacing w:line="338" w:lineRule="auto" w:before="117"/>
        <w:ind w:left="444" w:right="1128" w:hanging="29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公司报告期内离任的董事殷建锋和叶炜，在</w:t>
      </w:r>
      <w:r>
        <w:rPr>
          <w:rFonts w:ascii="Times New Roman" w:hAnsi="Times New Roman" w:cs="Times New Roman" w:eastAsia="Times New Roman" w:hint="default"/>
          <w:spacing w:val="-4"/>
        </w:rPr>
        <w:t>2015</w:t>
      </w:r>
      <w:r>
        <w:rPr>
          <w:spacing w:val="-4"/>
        </w:rPr>
        <w:t>年受到中国证监会深圳监管局行政处罚，因《行政处罚决定书》（</w:t>
      </w:r>
      <w:r>
        <w:rPr>
          <w:rFonts w:ascii="Times New Roman" w:hAnsi="Times New Roman" w:cs="Times New Roman" w:eastAsia="Times New Roman" w:hint="default"/>
          <w:spacing w:val="-4"/>
        </w:rPr>
        <w:t>[2015]1</w:t>
      </w:r>
    </w:p>
    <w:p>
      <w:pPr>
        <w:pStyle w:val="BodyText"/>
        <w:spacing w:line="217" w:lineRule="exact"/>
        <w:ind w:right="0"/>
        <w:jc w:val="left"/>
      </w:pPr>
      <w:r>
        <w:rPr/>
        <w:t>号）所述违法违规事项，中国证监会深圳监管局做出对叶炜给予警告，并处以三万元罚款，对殷建锋给予警告的处罚决定。</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董事、监事、高级管理人员报酬的决策程序、确定依据、实际支付情况</w:t>
      </w:r>
    </w:p>
    <w:p>
      <w:pPr>
        <w:pStyle w:val="BodyText"/>
        <w:spacing w:line="300" w:lineRule="auto" w:before="116"/>
        <w:ind w:left="444" w:right="1118" w:hanging="1"/>
        <w:jc w:val="left"/>
      </w:pPr>
      <w:r>
        <w:rPr>
          <w:rFonts w:ascii="Times New Roman" w:hAnsi="Times New Roman" w:cs="Times New Roman" w:eastAsia="Times New Roman" w:hint="default"/>
        </w:rPr>
        <w:t>1</w:t>
      </w:r>
      <w:r>
        <w:rPr/>
        <w:t>、董事、监事、高级管理人员报酬的决策程序 </w:t>
      </w:r>
      <w:r>
        <w:rPr>
          <w:spacing w:val="-1"/>
        </w:rPr>
        <w:t>公司董事、监事薪酬需经薪酬与考核委员会初审后提请董事会审议、股东会批准；高级管理人员薪酬与考核需经薪酬委</w:t>
      </w:r>
    </w:p>
    <w:p>
      <w:pPr>
        <w:pStyle w:val="BodyText"/>
        <w:spacing w:line="309" w:lineRule="auto" w:before="31"/>
        <w:ind w:left="444" w:right="0" w:hanging="291"/>
        <w:jc w:val="left"/>
      </w:pPr>
      <w:r>
        <w:rPr>
          <w:spacing w:val="-4"/>
        </w:rPr>
        <w:t>员会初审后提请董事会批准。决策程序符合《公司法》、《公司章程》和《董事会薪酬与考核委员会工作细则》的相关规定。</w:t>
      </w:r>
      <w:r>
        <w:rPr>
          <w:spacing w:val="-46"/>
        </w:rPr>
        <w:t> </w:t>
      </w:r>
      <w:r>
        <w:rPr>
          <w:spacing w:val="-46"/>
        </w:rPr>
      </w:r>
      <w:r>
        <w:rPr>
          <w:rFonts w:ascii="Times New Roman" w:hAnsi="Times New Roman" w:cs="Times New Roman" w:eastAsia="Times New Roman" w:hint="default"/>
        </w:rPr>
        <w:t>2</w:t>
      </w:r>
      <w:r>
        <w:rPr/>
        <w:t>、董事、监事、高级管理人员报酬的确定依据 在公司任职的董事、监事、高级管理人员的年度薪酬参照行业平均薪酬水平，根据公司年度经营业绩及经营发展状况，</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18"/>
        <w:jc w:val="left"/>
      </w:pPr>
      <w:r>
        <w:rPr/>
        <w:t>考虑岗位职责及工作业绩等因素确定。</w:t>
      </w:r>
    </w:p>
    <w:p>
      <w:pPr>
        <w:pStyle w:val="BodyText"/>
        <w:spacing w:line="300" w:lineRule="auto" w:before="76"/>
        <w:ind w:left="513" w:right="1118" w:hanging="70"/>
        <w:jc w:val="left"/>
      </w:pPr>
      <w:r>
        <w:rPr>
          <w:rFonts w:ascii="Times New Roman" w:hAnsi="Times New Roman" w:cs="Times New Roman" w:eastAsia="Times New Roman" w:hint="default"/>
        </w:rPr>
        <w:t>3</w:t>
      </w:r>
      <w:r>
        <w:rPr/>
        <w:t>、董事、监事、高级管理人员报酬的实际支付 非在公司任职的董事津贴为</w:t>
      </w:r>
      <w:r>
        <w:rPr>
          <w:rFonts w:ascii="Times New Roman" w:hAnsi="Times New Roman" w:cs="Times New Roman" w:eastAsia="Times New Roman" w:hint="default"/>
        </w:rPr>
        <w:t>4,000</w:t>
      </w:r>
      <w:r>
        <w:rPr/>
        <w:t>元</w:t>
      </w:r>
      <w:r>
        <w:rPr>
          <w:rFonts w:ascii="Times New Roman" w:hAnsi="Times New Roman" w:cs="Times New Roman" w:eastAsia="Times New Roman" w:hint="default"/>
        </w:rPr>
        <w:t>/</w:t>
      </w:r>
      <w:r>
        <w:rPr/>
        <w:t>月；独立董事津贴为</w:t>
      </w:r>
      <w:r>
        <w:rPr>
          <w:rFonts w:ascii="Times New Roman" w:hAnsi="Times New Roman" w:cs="Times New Roman" w:eastAsia="Times New Roman" w:hint="default"/>
        </w:rPr>
        <w:t>8,000</w:t>
      </w:r>
      <w:r>
        <w:rPr/>
        <w:t>元</w:t>
      </w:r>
      <w:r>
        <w:rPr>
          <w:rFonts w:ascii="Times New Roman" w:hAnsi="Times New Roman" w:cs="Times New Roman" w:eastAsia="Times New Roman" w:hint="default"/>
        </w:rPr>
        <w:t>/</w:t>
      </w:r>
      <w:r>
        <w:rPr/>
        <w:t>月；公司高级管理人员的薪酬严格按照决策程序与确</w:t>
      </w:r>
    </w:p>
    <w:p>
      <w:pPr>
        <w:pStyle w:val="BodyText"/>
        <w:spacing w:line="360" w:lineRule="auto" w:before="13"/>
        <w:ind w:right="6793"/>
        <w:jc w:val="left"/>
      </w:pPr>
      <w:r>
        <w:rPr/>
        <w:t>定依据支付。 公司报告期内董事、监事和高级管理人员报酬情况</w:t>
      </w:r>
    </w:p>
    <w:p>
      <w:pPr>
        <w:pStyle w:val="BodyText"/>
        <w:spacing w:line="240" w:lineRule="auto" w:before="2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2033"/>
        <w:gridCol w:w="701"/>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殷建锋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第一副董事长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叶炜</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第二副董事长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郭建林</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齐靠民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张松孝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张爱华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庄严正</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赵秀玉</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杜军</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丛丰森</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杨建萍</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18"/>
        <w:jc w:val="left"/>
      </w:pPr>
      <w:r>
        <w:rPr/>
        <w:t>公司董事、监事、高级管理人员报告期内被授予的股权激励情况</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五、公司员工情况" w:id="123"/>
      <w:bookmarkEnd w:id="123"/>
      <w:r>
        <w:rPr>
          <w:b w:val="0"/>
          <w:bCs w:val="0"/>
        </w:rPr>
      </w:r>
      <w:r>
        <w:rPr/>
        <w:t>五、公司员工情况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360"/>
        <w:jc w:val="left"/>
      </w:pPr>
      <w:r>
        <w:rPr>
          <w:spacing w:val="-2"/>
        </w:rPr>
        <w:t>截止报告期末，公司共有员工</w:t>
      </w:r>
      <w:r>
        <w:rPr>
          <w:rFonts w:ascii="Times New Roman" w:hAnsi="Times New Roman" w:cs="Times New Roman" w:eastAsia="Times New Roman" w:hint="default"/>
          <w:spacing w:val="-2"/>
        </w:rPr>
        <w:t>227</w:t>
      </w:r>
      <w:r>
        <w:rPr>
          <w:spacing w:val="-2"/>
        </w:rPr>
        <w:t>人。公司严格实行劳动合同制，按照《中华人民共和国劳动合同法》和有关劳动法律、</w:t>
      </w:r>
      <w:r>
        <w:rPr/>
        <w:t> </w:t>
      </w:r>
      <w:r>
        <w:rPr>
          <w:spacing w:val="-2"/>
        </w:rPr>
        <w:t>法规的规定，与员工签订劳动合同，向员工提供稳定而具有竞争力的薪酬，并按规定缴纳各项职工保险，以充分调动员工的</w:t>
      </w:r>
      <w:r>
        <w:rPr>
          <w:spacing w:val="-66"/>
        </w:rPr>
        <w:t> </w:t>
      </w:r>
      <w:r>
        <w:rPr>
          <w:spacing w:val="-66"/>
        </w:rPr>
      </w:r>
      <w:r>
        <w:rPr/>
        <w:t>积极性和创造性。</w:t>
      </w:r>
    </w:p>
    <w:p>
      <w:pPr>
        <w:pStyle w:val="BodyText"/>
        <w:spacing w:line="316" w:lineRule="auto" w:before="24"/>
        <w:ind w:right="1131" w:firstLine="360"/>
        <w:jc w:val="both"/>
      </w:pPr>
      <w:r>
        <w:rPr>
          <w:spacing w:val="-2"/>
        </w:rPr>
        <w:t>公司也非常注重员工的培训工作，积极寻求各种培训资源和渠道，搭建完善的培训体系，包括新员工入职培训、在职人</w:t>
      </w:r>
      <w:r>
        <w:rPr/>
        <w:t> </w:t>
      </w:r>
      <w:r>
        <w:rPr>
          <w:spacing w:val="-2"/>
        </w:rPr>
        <w:t>员业务培训等。通过培训提高业务能力和管理水平，既能促进公司整体战略目标的实施，又能满足员工个人能力和职业发展</w:t>
      </w:r>
      <w:r>
        <w:rPr>
          <w:spacing w:val="-65"/>
        </w:rPr>
        <w:t> </w:t>
      </w:r>
      <w:r>
        <w:rPr>
          <w:spacing w:val="-65"/>
        </w:rPr>
      </w:r>
      <w:r>
        <w:rPr/>
        <w:t>的需求，实现企业和员工的双赢。</w:t>
      </w:r>
    </w:p>
    <w:tbl>
      <w:tblPr>
        <w:tblW w:w="0" w:type="auto"/>
        <w:jc w:val="left"/>
        <w:tblInd w:w="146" w:type="dxa"/>
        <w:tblLayout w:type="fixed"/>
        <w:tblCellMar>
          <w:top w:w="0" w:type="dxa"/>
          <w:left w:w="0" w:type="dxa"/>
          <w:bottom w:w="0" w:type="dxa"/>
          <w:right w:w="0" w:type="dxa"/>
        </w:tblCellMar>
        <w:tblLook w:val="01E0"/>
      </w:tblPr>
      <w:tblGrid>
        <w:gridCol w:w="4785"/>
        <w:gridCol w:w="4784"/>
      </w:tblGrid>
      <w:tr>
        <w:trPr>
          <w:trHeight w:val="422"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227</w:t>
            </w:r>
          </w:p>
        </w:tc>
      </w:tr>
      <w:tr>
        <w:trPr>
          <w:trHeight w:val="440"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784" w:type="dxa"/>
            <w:tcBorders>
              <w:top w:val="single" w:sz="6" w:space="0" w:color="000000"/>
              <w:left w:val="single" w:sz="7" w:space="0" w:color="000000"/>
              <w:bottom w:val="single" w:sz="10"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r>
      <w:tr>
        <w:trPr>
          <w:trHeight w:val="414" w:hRule="exact"/>
        </w:trPr>
        <w:tc>
          <w:tcPr>
            <w:tcW w:w="956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6"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1843"/>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42</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118</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19</w:t>
            </w:r>
          </w:p>
        </w:tc>
      </w:tr>
      <w:tr>
        <w:trPr>
          <w:trHeight w:val="440"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6" w:space="0" w:color="000000"/>
              <w:left w:val="single" w:sz="7" w:space="0" w:color="000000"/>
              <w:bottom w:val="single" w:sz="10"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48</w:t>
            </w:r>
          </w:p>
        </w:tc>
      </w:tr>
      <w:tr>
        <w:trPr>
          <w:trHeight w:val="414" w:hRule="exact"/>
        </w:trPr>
        <w:tc>
          <w:tcPr>
            <w:tcW w:w="956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6"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1843"/>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28"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21</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76</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121</w:t>
            </w:r>
          </w:p>
        </w:tc>
      </w:tr>
      <w:tr>
        <w:trPr>
          <w:trHeight w:val="427" w:hRule="exact"/>
        </w:trPr>
        <w:tc>
          <w:tcPr>
            <w:tcW w:w="47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395" w:lineRule="exact"/>
        <w:ind w:left="15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620260" cy="27908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620260" cy="2790825"/>
                    </a:xfrm>
                    <a:prstGeom prst="rect">
                      <a:avLst/>
                    </a:prstGeom>
                  </pic:spPr>
                </pic:pic>
              </a:graphicData>
            </a:graphic>
          </wp:inline>
        </w:drawing>
      </w:r>
      <w:r>
        <w:rPr>
          <w:rFonts w:ascii="宋体" w:hAnsi="宋体" w:cs="宋体" w:eastAsia="宋体" w:hint="default"/>
          <w:position w:val="-87"/>
          <w:sz w:val="20"/>
          <w:szCs w:val="20"/>
        </w:rPr>
      </w:r>
    </w:p>
    <w:p>
      <w:pPr>
        <w:spacing w:after="0" w:line="439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395" w:lineRule="exact"/>
        <w:ind w:left="15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620260" cy="27908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4620260" cy="2790825"/>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154" w:right="1118"/>
        <w:jc w:val="left"/>
      </w:pPr>
      <w:r>
        <w:rPr/>
        <w:t>企业薪酬成本情况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3,574.27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2" w:id="124"/>
      <w:bookmarkStart w:name="第九节 公司治理" w:id="125"/>
      <w:r>
        <w:rPr>
          <w:b w:val="0"/>
          <w:bCs w:val="0"/>
        </w:rPr>
      </w:r>
      <w:r>
        <w:rPr/>
        <w:t>第九节</w:t>
      </w:r>
      <w:r>
        <w:rPr>
          <w:spacing w:val="-5"/>
        </w:rPr>
        <w:t> </w:t>
      </w:r>
      <w:r>
        <w:rPr/>
        <w:t>公司治理</w:t>
      </w:r>
      <w:bookmarkEnd w:id="12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公司治理的基本状况" w:id="126"/>
      <w:bookmarkEnd w:id="12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报告期内，公司严格按照《公司法》、《证券法》、《上市公司治理准则》、《深圳证券交易所股票上市规则》和中国</w:t>
      </w:r>
      <w:r>
        <w:rPr/>
        <w:t> </w:t>
      </w:r>
      <w:r>
        <w:rPr>
          <w:spacing w:val="-2"/>
        </w:rPr>
        <w:t>证监会、深圳证券交易所有关法律法规等的要求，不断完善公司治理结构，建立健全内部管理和控制制度，持续深入开展公</w:t>
      </w:r>
      <w:r>
        <w:rPr>
          <w:spacing w:val="-66"/>
        </w:rPr>
        <w:t> </w:t>
      </w:r>
      <w:r>
        <w:rPr>
          <w:spacing w:val="-66"/>
        </w:rPr>
      </w:r>
      <w:r>
        <w:rPr>
          <w:spacing w:val="-2"/>
        </w:rPr>
        <w:t>司治理活动，规范运作，提高治理水平。截至报告期末，公司治理实际情况基本符合中国证监会发布的有关上市公司治理规</w:t>
      </w:r>
      <w:r>
        <w:rPr>
          <w:spacing w:val="-66"/>
        </w:rPr>
        <w:t> </w:t>
      </w:r>
      <w:r>
        <w:rPr>
          <w:spacing w:val="-66"/>
        </w:rPr>
      </w:r>
      <w:r>
        <w:rPr/>
        <w:t>范性文件的要求。</w:t>
      </w:r>
    </w:p>
    <w:p>
      <w:pPr>
        <w:pStyle w:val="BodyText"/>
        <w:spacing w:line="338" w:lineRule="auto" w:before="58"/>
        <w:ind w:left="514" w:right="1118"/>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公司严格按照《上市公司股东大会规则》、《公司章程》以及《股东大会议事规则》的规定和要求，规范股东大会的召</w:t>
      </w:r>
    </w:p>
    <w:p>
      <w:pPr>
        <w:pStyle w:val="BodyText"/>
        <w:spacing w:line="348" w:lineRule="auto" w:before="4"/>
        <w:ind w:left="513" w:right="1118" w:hanging="360"/>
        <w:jc w:val="left"/>
      </w:pPr>
      <w:r>
        <w:rPr/>
        <w:t>集、召开及议事程序，并由律师进行现场见证，能够确保全体股东特别是中小股东享有平等地位，充分行使自己的权力。 </w:t>
      </w:r>
      <w:r>
        <w:rPr>
          <w:rFonts w:ascii="Times New Roman" w:hAnsi="Times New Roman" w:cs="Times New Roman" w:eastAsia="Times New Roman" w:hint="default"/>
        </w:rPr>
        <w:t>2</w:t>
      </w:r>
      <w:r>
        <w:rPr/>
        <w:t>、关于公司与控股股东 </w:t>
      </w:r>
      <w:r>
        <w:rPr>
          <w:spacing w:val="-2"/>
        </w:rPr>
        <w:t>公司目前不存在控股股东。公司拥有独立完整的业务和自主经营能力，在业务、人员、资产、机构、财务上与上市公司</w:t>
      </w:r>
    </w:p>
    <w:p>
      <w:pPr>
        <w:pStyle w:val="BodyText"/>
        <w:spacing w:line="319" w:lineRule="auto"/>
        <w:ind w:left="154" w:right="1118"/>
        <w:jc w:val="left"/>
      </w:pPr>
      <w:r>
        <w:rPr>
          <w:spacing w:val="-2"/>
        </w:rPr>
        <w:t>第一大股东完全分开，公司董事会、监事会和内部机构独立运作。公司第一大股东能严格规范自己的行为，依法行使股东权</w:t>
      </w:r>
      <w:r>
        <w:rPr>
          <w:spacing w:val="-66"/>
        </w:rPr>
        <w:t> </w:t>
      </w:r>
      <w:r>
        <w:rPr>
          <w:spacing w:val="-66"/>
        </w:rPr>
      </w:r>
      <w:r>
        <w:rPr/>
        <w:t>利，没有超越公司股东大会直接或间接干预公司的决策和经营活动的行为。</w:t>
      </w:r>
    </w:p>
    <w:p>
      <w:pPr>
        <w:pStyle w:val="BodyText"/>
        <w:spacing w:line="338" w:lineRule="auto" w:before="56"/>
        <w:ind w:left="514" w:right="1118"/>
        <w:jc w:val="left"/>
      </w:pPr>
      <w:r>
        <w:rPr>
          <w:rFonts w:ascii="Times New Roman" w:hAnsi="Times New Roman" w:cs="Times New Roman" w:eastAsia="Times New Roman" w:hint="default"/>
        </w:rPr>
        <w:t>3</w:t>
      </w:r>
      <w:r>
        <w:rPr/>
        <w:t>、关于董事与董事会 </w:t>
      </w:r>
      <w:r>
        <w:rPr>
          <w:spacing w:val="-2"/>
        </w:rPr>
        <w:t>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人，董事会人数和人员构成符合法律、法规的要求。董事会按照《董事会议</w:t>
      </w:r>
    </w:p>
    <w:p>
      <w:pPr>
        <w:pStyle w:val="BodyText"/>
        <w:spacing w:line="217" w:lineRule="exact"/>
        <w:ind w:left="154" w:right="0"/>
        <w:jc w:val="left"/>
      </w:pPr>
      <w:r>
        <w:rPr>
          <w:spacing w:val="-4"/>
        </w:rPr>
        <w:t>事规则》召开会议，执行股东大会决议并依法行使职权；公司全体董事能够按照《董事会议事规则》、《独立董事工作制度》</w:t>
      </w:r>
    </w:p>
    <w:p>
      <w:pPr>
        <w:pStyle w:val="BodyText"/>
        <w:spacing w:line="309" w:lineRule="auto" w:before="76"/>
        <w:ind w:left="154" w:right="1130"/>
        <w:jc w:val="both"/>
      </w:pPr>
      <w:r>
        <w:rPr>
          <w:spacing w:val="-2"/>
        </w:rPr>
        <w:t>等的要求认真履行勤勉尽责的义务，行使《公司章程》赋予的职权，按时出席董事会和股东大会，熟悉有关法律法规；公司</w:t>
      </w:r>
      <w:r>
        <w:rPr>
          <w:spacing w:val="-67"/>
        </w:rPr>
        <w:t> </w:t>
      </w:r>
      <w:r>
        <w:rPr>
          <w:spacing w:val="-67"/>
        </w:rPr>
      </w:r>
      <w:r>
        <w:rPr/>
        <w:t>的</w:t>
      </w:r>
      <w:r>
        <w:rPr>
          <w:rFonts w:ascii="Times New Roman" w:hAnsi="Times New Roman" w:cs="Times New Roman" w:eastAsia="Times New Roman" w:hint="default"/>
        </w:rPr>
        <w:t>3</w:t>
      </w:r>
      <w:r>
        <w:rPr/>
        <w:t>位独立董事在工作中保持充分的独立性，积极参加董事会会议，认真审议各项议案，对有关的事项发表了独立意见，切 实维护公司和中小股东的利益。</w:t>
      </w:r>
    </w:p>
    <w:p>
      <w:pPr>
        <w:pStyle w:val="BodyText"/>
        <w:spacing w:line="338" w:lineRule="auto" w:before="65"/>
        <w:ind w:left="514" w:right="1122"/>
        <w:jc w:val="left"/>
      </w:pPr>
      <w:r>
        <w:rPr>
          <w:rFonts w:ascii="Times New Roman" w:hAnsi="Times New Roman" w:cs="Times New Roman" w:eastAsia="Times New Roman" w:hint="default"/>
        </w:rPr>
        <w:t>4</w:t>
      </w:r>
      <w:r>
        <w:rPr/>
        <w:t>、关于监事与监事会 公司监事会由</w:t>
      </w:r>
      <w:r>
        <w:rPr>
          <w:rFonts w:ascii="Times New Roman" w:hAnsi="Times New Roman" w:cs="Times New Roman" w:eastAsia="Times New Roman" w:hint="default"/>
        </w:rPr>
        <w:t>3</w:t>
      </w:r>
      <w:r>
        <w:rPr/>
        <w:t>名监事组成，其中股东代表监事</w:t>
      </w:r>
      <w:r>
        <w:rPr>
          <w:rFonts w:ascii="Times New Roman" w:hAnsi="Times New Roman" w:cs="Times New Roman" w:eastAsia="Times New Roman" w:hint="default"/>
        </w:rPr>
        <w:t>1</w:t>
      </w:r>
      <w:r>
        <w:rPr/>
        <w:t>人、职工代表监事</w:t>
      </w:r>
      <w:r>
        <w:rPr>
          <w:rFonts w:ascii="Times New Roman" w:hAnsi="Times New Roman" w:cs="Times New Roman" w:eastAsia="Times New Roman" w:hint="default"/>
        </w:rPr>
        <w:t>2</w:t>
      </w:r>
      <w:r>
        <w:rPr/>
        <w:t>人，监事人数和人员构成符合法律、法规的要求。</w:t>
      </w:r>
    </w:p>
    <w:p>
      <w:pPr>
        <w:pStyle w:val="BodyText"/>
        <w:spacing w:line="217" w:lineRule="exact"/>
        <w:ind w:right="0"/>
        <w:jc w:val="left"/>
      </w:pPr>
      <w:r>
        <w:rPr/>
        <w:t>公司监事会严格按照《公司章程》及《监事会议事规则》等相关规定召集召开监事会。各监事按时出席监事会，认真履行职</w:t>
      </w:r>
    </w:p>
    <w:p>
      <w:pPr>
        <w:pStyle w:val="BodyText"/>
        <w:spacing w:line="348" w:lineRule="auto" w:before="77"/>
        <w:ind w:left="513" w:right="1118" w:hanging="360"/>
        <w:jc w:val="left"/>
      </w:pPr>
      <w:r>
        <w:rPr/>
        <w:t>责，能够本着对股东负责的精神，对公司重大事项、财务状况等进行监督并发表意见，维护了公司及股东的合法权益。 </w:t>
      </w:r>
      <w:r>
        <w:rPr>
          <w:rFonts w:ascii="Times New Roman" w:hAnsi="Times New Roman" w:cs="Times New Roman" w:eastAsia="Times New Roman" w:hint="default"/>
        </w:rPr>
        <w:t>5</w:t>
      </w:r>
      <w:r>
        <w:rPr/>
        <w:t>、关于绩效评价和激励约束机制 </w:t>
      </w:r>
      <w:r>
        <w:rPr>
          <w:spacing w:val="-2"/>
        </w:rPr>
        <w:t>公司逐步建立并完善公正、透明的董事、监事、高级管理人员的绩效评价标准与激励约束机制；公司高级管理人员的聘</w:t>
      </w:r>
    </w:p>
    <w:p>
      <w:pPr>
        <w:pStyle w:val="BodyText"/>
        <w:spacing w:line="232" w:lineRule="exact"/>
        <w:ind w:right="1118"/>
        <w:jc w:val="left"/>
      </w:pPr>
      <w:r>
        <w:rPr/>
        <w:t>任公开、透明，符合法律法规的规定。</w:t>
      </w:r>
    </w:p>
    <w:p>
      <w:pPr>
        <w:pStyle w:val="BodyText"/>
        <w:spacing w:line="338" w:lineRule="auto" w:before="116"/>
        <w:ind w:left="514" w:right="1118"/>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4"/>
        <w:ind w:left="154" w:right="1118"/>
        <w:jc w:val="left"/>
      </w:pPr>
      <w:r>
        <w:rPr/>
        <w:t>的发展。</w:t>
      </w:r>
    </w:p>
    <w:p>
      <w:pPr>
        <w:pStyle w:val="BodyText"/>
        <w:spacing w:line="338" w:lineRule="auto" w:before="117"/>
        <w:ind w:left="514" w:right="1118"/>
        <w:jc w:val="left"/>
      </w:pPr>
      <w:r>
        <w:rPr>
          <w:rFonts w:ascii="Times New Roman" w:hAnsi="Times New Roman" w:cs="Times New Roman" w:eastAsia="Times New Roman" w:hint="default"/>
        </w:rPr>
        <w:t>7</w:t>
      </w:r>
      <w:r>
        <w:rPr/>
        <w:t>、关于信息披露与透明度 </w:t>
      </w:r>
      <w:r>
        <w:rPr>
          <w:spacing w:val="-2"/>
        </w:rPr>
        <w:t>公司指定董事会秘书为公司的投资者关系管理负责人，负责公司的信息披露与投资者关系的管理，接待机构、股东的来</w:t>
      </w:r>
    </w:p>
    <w:p>
      <w:pPr>
        <w:pStyle w:val="BodyText"/>
        <w:spacing w:line="309" w:lineRule="auto" w:before="2"/>
        <w:ind w:right="1033"/>
        <w:jc w:val="left"/>
      </w:pPr>
      <w:r>
        <w:rPr>
          <w:spacing w:val="-9"/>
          <w:w w:val="99"/>
        </w:rPr>
        <w:t>访和咨询；报告期内，指定《证券时报》、《中国证券报》、《上海证券报》、《证券日报》和巨潮资讯网（</w:t>
      </w:r>
      <w:hyperlink r:id="rId12">
        <w:r>
          <w:rPr>
            <w:rFonts w:ascii="Times New Roman" w:hAnsi="Times New Roman" w:cs="Times New Roman" w:eastAsia="Times New Roman" w:hint="default"/>
            <w:spacing w:val="-9"/>
            <w:w w:val="99"/>
          </w:rPr>
          <w:t>www.cninfo.com.cn</w:t>
        </w:r>
      </w:hyperlink>
      <w:r>
        <w:rPr>
          <w:spacing w:val="-9"/>
          <w:w w:val="99"/>
        </w:rPr>
        <w:t>）</w:t>
      </w:r>
      <w:r>
        <w:rPr>
          <w:spacing w:val="-59"/>
          <w:w w:val="99"/>
        </w:rPr>
        <w:t> </w:t>
      </w:r>
      <w:r>
        <w:rPr>
          <w:spacing w:val="-2"/>
        </w:rPr>
        <w:t>为公司信息披露的报纸和网站，严格按照有关法律法规的规定真实、准确、及时的披露信息，并确保所有股东有公平的机会</w:t>
      </w:r>
      <w:r>
        <w:rPr>
          <w:spacing w:val="-67"/>
        </w:rPr>
        <w:t> </w:t>
      </w:r>
      <w:r>
        <w:rPr>
          <w:spacing w:val="-67"/>
        </w:rPr>
      </w:r>
      <w:r>
        <w:rPr/>
        <w:t>获得信息。</w:t>
      </w:r>
    </w:p>
    <w:p>
      <w:pPr>
        <w:pStyle w:val="BodyText"/>
        <w:spacing w:line="240" w:lineRule="auto" w:before="64"/>
        <w:ind w:right="1118"/>
        <w:jc w:val="left"/>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二、公司相对于控股股东在业务、人员、资产、机构、财务等方面的独立情况" w:id="127"/>
      <w:bookmarkEnd w:id="12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4" w:firstLine="290"/>
        <w:jc w:val="both"/>
      </w:pPr>
      <w:r>
        <w:rPr>
          <w:spacing w:val="-1"/>
        </w:rPr>
        <w:t>公司目前不存在控股股东，与第一大股东在业务、人员、资产、机构、财务等方面完全分开，具有独立完整的业务及自</w:t>
      </w:r>
      <w:r>
        <w:rPr/>
        <w:t> 主经营能力。</w:t>
      </w:r>
    </w:p>
    <w:p>
      <w:pPr>
        <w:pStyle w:val="BodyText"/>
        <w:spacing w:line="316" w:lineRule="auto" w:before="19"/>
        <w:ind w:right="1122" w:firstLine="290"/>
        <w:jc w:val="both"/>
      </w:pPr>
      <w:r>
        <w:rPr/>
        <w:t>（一）在业务方面：公司不存在因部分改制、行业特性、国家政策或收购兼并等原因导致的同业竞争和关联交易问题。 </w:t>
      </w:r>
      <w:r>
        <w:rPr>
          <w:spacing w:val="-2"/>
        </w:rPr>
        <w:t>公司业务结构完整，拥有独立的采购、生产和销售体系，建立健全了各项管理制度，自主决策、自主组织和管理生产经营活</w:t>
      </w:r>
      <w:r>
        <w:rPr>
          <w:spacing w:val="-66"/>
        </w:rPr>
        <w:t> </w:t>
      </w:r>
      <w:r>
        <w:rPr>
          <w:spacing w:val="-66"/>
        </w:rPr>
      </w:r>
      <w:r>
        <w:rPr>
          <w:spacing w:val="-2"/>
        </w:rPr>
        <w:t>动，独立开展业务并承担责任和风险，不依赖于股东或其他任何关联方，与第一大股东及其控制的其他企业间不存在同业竞</w:t>
      </w:r>
      <w:r>
        <w:rPr>
          <w:spacing w:val="-65"/>
        </w:rPr>
        <w:t> </w:t>
      </w:r>
      <w:r>
        <w:rPr>
          <w:spacing w:val="-65"/>
        </w:rPr>
      </w:r>
      <w:r>
        <w:rPr/>
        <w:t>争或者显失公平的关联交易，也不存在第一大股东直接或间接干预公司经营运作的情形。</w:t>
      </w:r>
    </w:p>
    <w:p>
      <w:pPr>
        <w:pStyle w:val="BodyText"/>
        <w:spacing w:line="316" w:lineRule="auto" w:before="19"/>
        <w:ind w:right="1131" w:firstLine="290"/>
        <w:jc w:val="both"/>
      </w:pPr>
      <w:r>
        <w:rPr>
          <w:spacing w:val="-1"/>
        </w:rPr>
        <w:t>（二）在人员方面：公司的劳动、人事及工资管理完全独立于股东单位。公司总经理、副总经理、财务总监、董事会秘</w:t>
      </w:r>
      <w:r>
        <w:rPr/>
        <w:t> </w:t>
      </w:r>
      <w:r>
        <w:rPr>
          <w:spacing w:val="-2"/>
        </w:rPr>
        <w:t>书等高级管理人员均不存在在第一大股东及其控制的其他企业中担任除董事、监事以外的其他职务的情况，亦不存在在第一</w:t>
      </w:r>
      <w:r>
        <w:rPr>
          <w:spacing w:val="-64"/>
        </w:rPr>
        <w:t> </w:t>
      </w:r>
      <w:r>
        <w:rPr>
          <w:spacing w:val="-64"/>
        </w:rPr>
      </w:r>
      <w:r>
        <w:rPr>
          <w:spacing w:val="-2"/>
        </w:rPr>
        <w:t>大股东及其控制的其他企业领薪的情况。公司的董事会成员、监事会成员和高级管理人员均通过合法程序产生，股东未违规</w:t>
      </w:r>
      <w:r>
        <w:rPr>
          <w:spacing w:val="-66"/>
        </w:rPr>
        <w:t> </w:t>
      </w:r>
      <w:r>
        <w:rPr>
          <w:spacing w:val="-66"/>
        </w:rPr>
      </w:r>
      <w:r>
        <w:rPr>
          <w:spacing w:val="-2"/>
        </w:rPr>
        <w:t>干预公司董事会和股东大会作出的人事任免决定。公司拥有独立的生产、经营、管理人员，对员工实行聘任制。公司设有行</w:t>
      </w:r>
      <w:r>
        <w:rPr>
          <w:spacing w:val="-65"/>
        </w:rPr>
        <w:t> </w:t>
      </w:r>
      <w:r>
        <w:rPr>
          <w:spacing w:val="-65"/>
        </w:rPr>
      </w:r>
      <w:r>
        <w:rPr/>
        <w:t>政人力资源部统一负责公司的劳动、人事、薪酬以及社会保障管理工作。</w:t>
      </w:r>
    </w:p>
    <w:p>
      <w:pPr>
        <w:pStyle w:val="BodyText"/>
        <w:spacing w:line="316" w:lineRule="auto" w:before="19"/>
        <w:ind w:left="154" w:right="1131" w:firstLine="360"/>
        <w:jc w:val="both"/>
      </w:pPr>
      <w:r>
        <w:rPr>
          <w:spacing w:val="-2"/>
        </w:rPr>
        <w:t>（三）在资产方面：公司拥有与专网通讯产品研发和生产经营有关的研发系统、生产系统、销售系统和配套设施，合法</w:t>
      </w:r>
      <w:r>
        <w:rPr/>
        <w:t> </w:t>
      </w:r>
      <w:r>
        <w:rPr>
          <w:spacing w:val="-2"/>
        </w:rPr>
        <w:t>拥有或使用与生产经营有关的土地、厂房、机器设备以及商标、专利、非专利技术的所有权或者使用权，具有独立的原料采</w:t>
      </w:r>
      <w:r>
        <w:rPr>
          <w:spacing w:val="-65"/>
        </w:rPr>
        <w:t> </w:t>
      </w:r>
      <w:r>
        <w:rPr>
          <w:spacing w:val="-65"/>
        </w:rPr>
      </w:r>
      <w:r>
        <w:rPr>
          <w:spacing w:val="-2"/>
        </w:rPr>
        <w:t>购和产品销售系统，不存在与第一大股东共用的情形；公司未以资产、权益或信誉为第一大股东及其控制的其他企业的债务</w:t>
      </w:r>
      <w:r>
        <w:rPr>
          <w:spacing w:val="-66"/>
        </w:rPr>
        <w:t> </w:t>
      </w:r>
      <w:r>
        <w:rPr>
          <w:spacing w:val="-66"/>
        </w:rPr>
      </w:r>
      <w:r>
        <w:rPr>
          <w:spacing w:val="-2"/>
        </w:rPr>
        <w:t>提供担保，对所有资产拥有自主的控制和支配权，不存在资产、资金被第一大股东占用而损害发行人及其中小股东利益的情</w:t>
      </w:r>
      <w:r>
        <w:rPr>
          <w:spacing w:val="-65"/>
        </w:rPr>
        <w:t> </w:t>
      </w:r>
      <w:r>
        <w:rPr>
          <w:spacing w:val="-65"/>
        </w:rPr>
      </w:r>
      <w:r>
        <w:rPr/>
        <w:t>形。</w:t>
      </w:r>
    </w:p>
    <w:p>
      <w:pPr>
        <w:pStyle w:val="BodyText"/>
        <w:spacing w:line="316" w:lineRule="auto" w:before="19"/>
        <w:ind w:left="154" w:right="1130" w:firstLine="290"/>
        <w:jc w:val="both"/>
      </w:pPr>
      <w:r>
        <w:rPr>
          <w:spacing w:val="-1"/>
        </w:rPr>
        <w:t>（四）机构设置方面：公司建立了健全的内部经营管理机构，拥有独立的生产经营场所和办公机构，与第一大股东及其</w:t>
      </w:r>
      <w:r>
        <w:rPr/>
        <w:t> </w:t>
      </w:r>
      <w:r>
        <w:rPr>
          <w:spacing w:val="-2"/>
        </w:rPr>
        <w:t>控制的其他企业完全分开，不存在混合经营、合署办公的情形。公司已建立健全有效的股东大会、董事会、监事会等机构并</w:t>
      </w:r>
      <w:r>
        <w:rPr>
          <w:spacing w:val="-66"/>
        </w:rPr>
        <w:t> </w:t>
      </w:r>
      <w:r>
        <w:rPr>
          <w:spacing w:val="-66"/>
        </w:rPr>
      </w:r>
      <w:r>
        <w:rPr>
          <w:spacing w:val="-2"/>
        </w:rPr>
        <w:t>制定了相应的议事规则，各机构依照《公司法》及《公司章程》的规定在各自职责范围内独立决策。公司及各职能部门与第</w:t>
      </w:r>
      <w:r>
        <w:rPr>
          <w:spacing w:val="-68"/>
        </w:rPr>
        <w:t> </w:t>
      </w:r>
      <w:r>
        <w:rPr>
          <w:spacing w:val="-68"/>
        </w:rPr>
      </w:r>
      <w:r>
        <w:rPr/>
        <w:t>一大股东（包括其他关联方）及其职能部门完全分开，相互不存在隶属关系。</w:t>
      </w:r>
    </w:p>
    <w:p>
      <w:pPr>
        <w:pStyle w:val="BodyText"/>
        <w:spacing w:line="316" w:lineRule="auto" w:before="19"/>
        <w:ind w:right="1131" w:firstLine="290"/>
        <w:jc w:val="both"/>
      </w:pPr>
      <w:r>
        <w:rPr>
          <w:spacing w:val="-1"/>
        </w:rPr>
        <w:t>（五）在财务方面：公司已设立独立的财务部门，配备了专职的财务会计人员，并已建立了独立的财务核算体系，能够</w:t>
      </w:r>
      <w:r>
        <w:rPr/>
        <w:t> </w:t>
      </w:r>
      <w:r>
        <w:rPr>
          <w:spacing w:val="-2"/>
        </w:rPr>
        <w:t>独立作出财务决策，具有规范的财务会计制度。同时，公司拥有独立的银行账号，不存在与第一大股东或任何其他单位共用</w:t>
      </w:r>
      <w:r>
        <w:rPr>
          <w:spacing w:val="-66"/>
        </w:rPr>
        <w:t> </w:t>
      </w:r>
      <w:r>
        <w:rPr>
          <w:spacing w:val="-66"/>
        </w:rPr>
      </w:r>
      <w:r>
        <w:rPr/>
        <w:t>银行账户的情况，并且依法独立进行纳税申报和履行纳税义务。本公司独立对外签订合同。</w:t>
      </w:r>
    </w:p>
    <w:p>
      <w:pPr>
        <w:spacing w:line="240" w:lineRule="auto" w:before="10"/>
        <w:rPr>
          <w:rFonts w:ascii="宋体" w:hAnsi="宋体" w:cs="宋体" w:eastAsia="宋体" w:hint="default"/>
          <w:sz w:val="20"/>
          <w:szCs w:val="20"/>
        </w:rPr>
      </w:pPr>
    </w:p>
    <w:p>
      <w:pPr>
        <w:pStyle w:val="Heading2"/>
        <w:spacing w:line="240" w:lineRule="auto"/>
        <w:ind w:right="1118"/>
        <w:jc w:val="left"/>
        <w:rPr>
          <w:b w:val="0"/>
          <w:bCs w:val="0"/>
        </w:rPr>
      </w:pPr>
      <w:bookmarkStart w:name="三、同业竞争情况" w:id="128"/>
      <w:bookmarkEnd w:id="12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四、报告期内召开的年度股东大会和临时股东大会的有关情况" w:id="129"/>
      <w:bookmarkEnd w:id="12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本报告期股东大会情况" w:id="130"/>
      <w:bookmarkEnd w:id="13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142"/>
        <w:jc w:val="right"/>
      </w:pPr>
      <w:r>
        <w:rPr/>
        <w:pict>
          <v:shape style="position:absolute;margin-left:56.459999pt;margin-top:-52.118286pt;width:479.1pt;height:158.9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381"/>
                    <w:gridCol w:w="993"/>
                    <w:gridCol w:w="1134"/>
                    <w:gridCol w:w="1134"/>
                    <w:gridCol w:w="3329"/>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2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0" w:right="40"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42"/>
        <w:jc w:val="right"/>
      </w:pPr>
      <w:r>
        <w:rPr/>
        <w:t>：</w:t>
      </w:r>
    </w:p>
    <w:p>
      <w:pPr>
        <w:spacing w:after="0" w:line="240" w:lineRule="auto"/>
        <w:jc w:val="right"/>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before="44"/>
        <w:ind w:left="0" w:right="1142"/>
        <w:jc w:val="right"/>
      </w:pPr>
      <w:r>
        <w:rPr/>
        <w:pict>
          <v:shape style="position:absolute;margin-left:56.459999pt;margin-top:1.191743pt;width:479.1pt;height:290.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381"/>
                    <w:gridCol w:w="993"/>
                    <w:gridCol w:w="1134"/>
                    <w:gridCol w:w="1134"/>
                    <w:gridCol w:w="3329"/>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38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pacing w:val="-110"/>
                            <w:sz w:val="18"/>
                            <w:szCs w:val="18"/>
                          </w:rPr>
                          <w:t>、</w:t>
                        </w:r>
                        <w:r>
                          <w:rPr>
                            <w:rFonts w:ascii="宋体" w:hAnsi="宋体" w:cs="宋体" w:eastAsia="宋体" w:hint="default"/>
                            <w:sz w:val="18"/>
                            <w:szCs w:val="18"/>
                          </w:rPr>
                          <w:t>《证券日报</w:t>
                        </w:r>
                        <w:r>
                          <w:rPr>
                            <w:rFonts w:ascii="宋体" w:hAnsi="宋体" w:cs="宋体" w:eastAsia="宋体" w:hint="default"/>
                            <w:spacing w:val="-20"/>
                            <w:sz w:val="18"/>
                            <w:szCs w:val="18"/>
                          </w:rPr>
                          <w:t>》</w:t>
                        </w:r>
                        <w:r>
                          <w:rPr>
                            <w:rFonts w:ascii="宋体" w:hAnsi="宋体" w:cs="宋体" w:eastAsia="宋体" w:hint="default"/>
                            <w:sz w:val="18"/>
                            <w:szCs w:val="18"/>
                          </w:rPr>
                          <w:t>和巨潮资讯</w:t>
                        </w:r>
                        <w:r>
                          <w:rPr>
                            <w:rFonts w:ascii="宋体" w:hAnsi="宋体" w:cs="宋体" w:eastAsia="宋体" w:hint="default"/>
                            <w:spacing w:val="-20"/>
                            <w:sz w:val="18"/>
                            <w:szCs w:val="18"/>
                          </w:rPr>
                          <w:t>网</w:t>
                        </w:r>
                        <w:r>
                          <w:rPr>
                            <w:rFonts w:ascii="宋体" w:hAnsi="宋体" w:cs="宋体" w:eastAsia="宋体" w:hint="default"/>
                            <w:sz w:val="18"/>
                            <w:szCs w:val="18"/>
                          </w:rPr>
                          <w:t>（网址为</w:t>
                        </w:r>
                      </w:p>
                      <w:p>
                        <w:pPr>
                          <w:pStyle w:val="TableParagraph"/>
                          <w:spacing w:line="240" w:lineRule="auto" w:before="77"/>
                          <w:ind w:left="22"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pacing w:val="-18"/>
                            <w:sz w:val="18"/>
                            <w:szCs w:val="18"/>
                          </w:rPr>
                          <w:t>《证券时报》、《中国证券报》、《上海证券</w:t>
                        </w:r>
                        <w:r>
                          <w:rPr>
                            <w:rFonts w:ascii="宋体" w:hAnsi="宋体" w:cs="宋体" w:eastAsia="宋体" w:hint="default"/>
                            <w:sz w:val="18"/>
                            <w:szCs w:val="18"/>
                          </w:rPr>
                          <w:t> </w:t>
                        </w:r>
                        <w:r>
                          <w:rPr>
                            <w:rFonts w:ascii="宋体" w:hAnsi="宋体" w:cs="宋体" w:eastAsia="宋体" w:hint="default"/>
                            <w:spacing w:val="-13"/>
                            <w:sz w:val="18"/>
                            <w:szCs w:val="18"/>
                          </w:rPr>
                          <w:t>报》、《证券日报》和巨潮资讯网（网址为</w:t>
                        </w:r>
                        <w:r>
                          <w:rPr>
                            <w:rFonts w:ascii="宋体" w:hAnsi="宋体" w:cs="宋体" w:eastAsia="宋体" w:hint="default"/>
                            <w:spacing w:val="-83"/>
                            <w:sz w:val="18"/>
                            <w:szCs w:val="18"/>
                          </w:rPr>
                          <w:t> </w:t>
                        </w:r>
                        <w:r>
                          <w:rPr>
                            <w:rFonts w:ascii="宋体" w:hAnsi="宋体" w:cs="宋体" w:eastAsia="宋体" w:hint="default"/>
                            <w:spacing w:val="-83"/>
                            <w:sz w:val="18"/>
                            <w:szCs w:val="18"/>
                          </w:rPr>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left="154" w:right="1118"/>
        <w:jc w:val="left"/>
        <w:rPr>
          <w:b w:val="0"/>
          <w:bCs w:val="0"/>
        </w:rPr>
      </w:pPr>
      <w:bookmarkStart w:name="2、表决权恢复的优先股股东请求召开临时股东大会" w:id="131"/>
      <w:bookmarkEnd w:id="13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18"/>
        <w:jc w:val="left"/>
        <w:rPr>
          <w:b w:val="0"/>
          <w:bCs w:val="0"/>
        </w:rPr>
      </w:pPr>
      <w:bookmarkStart w:name="五、报告期内独立董事履行职责的情况" w:id="132"/>
      <w:bookmarkEnd w:id="13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独立董事出席董事会及股东大会的情况" w:id="133"/>
      <w:bookmarkEnd w:id="13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2、独立董事对公司有关事项提出异议的情况" w:id="134"/>
      <w:bookmarkEnd w:id="13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3、独立董事履行职责的其他说明" w:id="135"/>
      <w:bookmarkEnd w:id="13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9" w:lineRule="auto" w:before="39"/>
        <w:ind w:left="154" w:right="1132" w:firstLine="290"/>
        <w:jc w:val="both"/>
      </w:pPr>
      <w:r>
        <w:rPr>
          <w:spacing w:val="-1"/>
        </w:rPr>
        <w:t>公司独立董事在</w:t>
      </w:r>
      <w:r>
        <w:rPr>
          <w:rFonts w:ascii="Times New Roman" w:hAnsi="Times New Roman" w:cs="Times New Roman" w:eastAsia="Times New Roman" w:hint="default"/>
          <w:spacing w:val="-1"/>
        </w:rPr>
        <w:t>2015</w:t>
      </w:r>
      <w:r>
        <w:rPr>
          <w:spacing w:val="-1"/>
        </w:rPr>
        <w:t>年度勤勉尽责，忠实履行独立董事职务，对公司董事会各项议案，在详实听取相关人员汇报的基础</w:t>
      </w:r>
      <w:r>
        <w:rPr/>
        <w:t> </w:t>
      </w:r>
      <w:r>
        <w:rPr>
          <w:spacing w:val="-2"/>
        </w:rPr>
        <w:t>上，发表意见、行使职权，对公司各项决策的制定起到了积极的推动作用，并对信息披露等情况进行监督和核查，积极有效</w:t>
      </w:r>
      <w:r>
        <w:rPr>
          <w:spacing w:val="-66"/>
        </w:rPr>
        <w:t> </w:t>
      </w:r>
      <w:r>
        <w:rPr>
          <w:spacing w:val="-66"/>
        </w:rPr>
      </w:r>
      <w:r>
        <w:rPr/>
        <w:t>地履行了独立董事的职责，维护了公司和中小股东的合法权益。</w:t>
      </w:r>
    </w:p>
    <w:p>
      <w:pPr>
        <w:spacing w:line="240" w:lineRule="auto" w:before="2"/>
        <w:rPr>
          <w:rFonts w:ascii="宋体" w:hAnsi="宋体" w:cs="宋体" w:eastAsia="宋体" w:hint="default"/>
          <w:sz w:val="21"/>
          <w:szCs w:val="21"/>
        </w:rPr>
      </w:pPr>
    </w:p>
    <w:p>
      <w:pPr>
        <w:pStyle w:val="Heading2"/>
        <w:spacing w:line="240" w:lineRule="auto"/>
        <w:ind w:left="154" w:right="0"/>
        <w:jc w:val="both"/>
        <w:rPr>
          <w:b w:val="0"/>
          <w:bCs w:val="0"/>
        </w:rPr>
      </w:pPr>
      <w:bookmarkStart w:name="六、董事会下设专门委员会在报告期内履行职责情况" w:id="136"/>
      <w:bookmarkEnd w:id="13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44" w:right="1118" w:hanging="1"/>
        <w:jc w:val="left"/>
      </w:pPr>
      <w:r>
        <w:rPr>
          <w:rFonts w:ascii="Times New Roman" w:hAnsi="Times New Roman" w:cs="Times New Roman" w:eastAsia="Times New Roman" w:hint="default"/>
        </w:rPr>
        <w:t>1</w:t>
      </w:r>
      <w:r>
        <w:rPr/>
        <w:t>、董事会审计委员会的履职情况 </w:t>
      </w:r>
      <w:r>
        <w:rPr>
          <w:spacing w:val="-1"/>
        </w:rPr>
        <w:t>报告期内，董事会审计委员会每季度召开例行会议，审议有关内审报告等，对内审工作提出指导意见，了解公司经营情</w:t>
      </w:r>
    </w:p>
    <w:p>
      <w:pPr>
        <w:pStyle w:val="BodyText"/>
        <w:spacing w:line="307" w:lineRule="auto" w:before="31"/>
        <w:ind w:right="1131"/>
        <w:jc w:val="both"/>
      </w:pPr>
      <w:r>
        <w:rPr>
          <w:spacing w:val="-2"/>
        </w:rPr>
        <w:t>况及内控情况。按照相关工作制度做好年报审计工作的沟通、审查等相关工作，对审计机构的审计工作进行客观评价，并建</w:t>
      </w:r>
      <w:r>
        <w:rPr>
          <w:spacing w:val="-66"/>
        </w:rPr>
        <w:t> </w:t>
      </w:r>
      <w:r>
        <w:rPr>
          <w:spacing w:val="-66"/>
        </w:rPr>
      </w:r>
      <w:r>
        <w:rPr>
          <w:spacing w:val="-2"/>
        </w:rPr>
        <w:t>议续聘，提交董事会审议。在本次年度报告编制过程中，审计委员会成员根据中国证监会的有关规定认真履行相关职责。除</w:t>
      </w:r>
      <w:r>
        <w:rPr>
          <w:spacing w:val="-66"/>
        </w:rPr>
        <w:t> </w:t>
      </w:r>
      <w:r>
        <w:rPr>
          <w:spacing w:val="-66"/>
        </w:rPr>
      </w:r>
      <w:r>
        <w:rPr/>
        <w:t>听取公司高级管理人员对公司经营成果的汇报外，还与注册会计师进行了多次沟通，具体如下：（</w:t>
      </w:r>
      <w:r>
        <w:rPr>
          <w:rFonts w:ascii="Times New Roman" w:hAnsi="Times New Roman" w:cs="Times New Roman" w:eastAsia="Times New Roman" w:hint="default"/>
        </w:rPr>
        <w:t>1</w:t>
      </w:r>
      <w:r>
        <w:rPr/>
        <w:t>）审计委员会成员与公 司高级管理人员和会计师沟通，对公司编制的</w:t>
      </w:r>
      <w:r>
        <w:rPr>
          <w:rFonts w:ascii="Times New Roman" w:hAnsi="Times New Roman" w:cs="Times New Roman" w:eastAsia="Times New Roman" w:hint="default"/>
        </w:rPr>
        <w:t>2015</w:t>
      </w:r>
      <w:r>
        <w:rPr/>
        <w:t>年度财务会计报表和公司</w:t>
      </w:r>
      <w:r>
        <w:rPr>
          <w:rFonts w:ascii="Times New Roman" w:hAnsi="Times New Roman" w:cs="Times New Roman" w:eastAsia="Times New Roman" w:hint="default"/>
        </w:rPr>
        <w:t>2015</w:t>
      </w:r>
      <w:r>
        <w:rPr/>
        <w:t>年审计计划进行了审阅；（</w:t>
      </w:r>
      <w:r>
        <w:rPr>
          <w:rFonts w:ascii="Times New Roman" w:hAnsi="Times New Roman" w:cs="Times New Roman" w:eastAsia="Times New Roman" w:hint="default"/>
        </w:rPr>
        <w:t>2</w:t>
      </w:r>
      <w:r>
        <w:rPr/>
        <w:t>）在</w:t>
      </w:r>
      <w:r>
        <w:rPr>
          <w:rFonts w:ascii="Times New Roman" w:hAnsi="Times New Roman" w:cs="Times New Roman" w:eastAsia="Times New Roman" w:hint="default"/>
        </w:rPr>
        <w:t>2015</w:t>
      </w:r>
      <w:r>
        <w:rPr/>
        <w:t>年度 </w:t>
      </w:r>
      <w:r>
        <w:rPr>
          <w:spacing w:val="-2"/>
        </w:rPr>
        <w:t>报告审计过程中，审计委员会成员根据公司情况对会计师提出相关要求，以电话、现场会议的形式加强沟通与交流，及时向</w:t>
      </w:r>
      <w:r>
        <w:rPr>
          <w:spacing w:val="-66"/>
        </w:rPr>
        <w:t> </w:t>
      </w:r>
      <w:r>
        <w:rPr>
          <w:spacing w:val="-66"/>
        </w:rPr>
      </w:r>
      <w:r>
        <w:rPr/>
        <w:t>会计师了解审计工作进程，对审计完成情况进行督促；（</w:t>
      </w:r>
      <w:r>
        <w:rPr>
          <w:rFonts w:ascii="Times New Roman" w:hAnsi="Times New Roman" w:cs="Times New Roman" w:eastAsia="Times New Roman" w:hint="default"/>
        </w:rPr>
        <w:t>3</w:t>
      </w:r>
      <w:r>
        <w:rPr/>
        <w:t>）在年审注册会计师出具了</w:t>
      </w:r>
      <w:r>
        <w:rPr>
          <w:rFonts w:ascii="Times New Roman" w:hAnsi="Times New Roman" w:cs="Times New Roman" w:eastAsia="Times New Roman" w:hint="default"/>
        </w:rPr>
        <w:t>2015</w:t>
      </w:r>
      <w:r>
        <w:rPr/>
        <w:t>年度审计报告后，对该事务所从 事年度审计工作情况进行了总结；（</w:t>
      </w:r>
      <w:r>
        <w:rPr>
          <w:rFonts w:ascii="Times New Roman" w:hAnsi="Times New Roman" w:cs="Times New Roman" w:eastAsia="Times New Roman" w:hint="default"/>
        </w:rPr>
        <w:t>4</w:t>
      </w:r>
      <w:r>
        <w:rPr/>
        <w:t>）对会计师事务所的工作进行客观的评价并向董事会提出续聘议案。报告期内，审计 委员会完成了各项工作，切实履行了各项职责，对企业控制风险、完善内部监管机制起着有效的监督作用。</w:t>
      </w:r>
    </w:p>
    <w:p>
      <w:pPr>
        <w:pStyle w:val="BodyText"/>
        <w:spacing w:line="300" w:lineRule="auto" w:before="26"/>
        <w:ind w:left="444" w:right="1118" w:hanging="1"/>
        <w:jc w:val="left"/>
      </w:pPr>
      <w:r>
        <w:rPr>
          <w:rFonts w:ascii="Times New Roman" w:hAnsi="Times New Roman" w:cs="Times New Roman" w:eastAsia="Times New Roman" w:hint="default"/>
        </w:rPr>
        <w:t>2</w:t>
      </w:r>
      <w:r>
        <w:rPr/>
        <w:t>、薪酬与考核委员会的履职情况 </w:t>
      </w:r>
      <w:r>
        <w:rPr>
          <w:spacing w:val="-1"/>
        </w:rPr>
        <w:t>报告期内，董事会薪酬与考核委员会按照《公司章程》等相关规定行使职能，对公司董事、监事及高级管理人员进行考</w:t>
      </w:r>
    </w:p>
    <w:p>
      <w:pPr>
        <w:pStyle w:val="BodyText"/>
        <w:spacing w:line="240" w:lineRule="auto" w:before="31"/>
        <w:ind w:left="154" w:right="0"/>
        <w:jc w:val="both"/>
      </w:pPr>
      <w:r>
        <w:rPr/>
        <w:t>核，确认公司已建立了公正、有效的高级管理人员的薪酬评定标准并按执行该标准。</w:t>
      </w:r>
    </w:p>
    <w:p>
      <w:pPr>
        <w:pStyle w:val="BodyText"/>
        <w:spacing w:line="300" w:lineRule="auto" w:before="76"/>
        <w:ind w:left="444" w:right="1118" w:hanging="1"/>
        <w:jc w:val="left"/>
      </w:pPr>
      <w:r>
        <w:rPr>
          <w:rFonts w:ascii="Times New Roman" w:hAnsi="Times New Roman" w:cs="Times New Roman" w:eastAsia="Times New Roman" w:hint="default"/>
        </w:rPr>
        <w:t>3</w:t>
      </w:r>
      <w:r>
        <w:rPr/>
        <w:t>、提名委员会履职情况 </w:t>
      </w:r>
      <w:r>
        <w:rPr>
          <w:spacing w:val="-1"/>
        </w:rPr>
        <w:t>报告期内，董事会提名委员会按照《公司章程》等相关规定，对公司董事、高管的聘任提名事项进行讨论沟通，做到客</w:t>
      </w:r>
    </w:p>
    <w:p>
      <w:pPr>
        <w:pStyle w:val="BodyText"/>
        <w:spacing w:line="240" w:lineRule="auto" w:before="31"/>
        <w:ind w:left="154" w:right="0"/>
        <w:jc w:val="both"/>
      </w:pPr>
      <w:r>
        <w:rPr/>
        <w:t>观、公正，有效规范公司高级管理人员的产生，提高公司经营管理效率。</w:t>
      </w:r>
    </w:p>
    <w:p>
      <w:pPr>
        <w:pStyle w:val="BodyText"/>
        <w:spacing w:line="300" w:lineRule="auto" w:before="76"/>
        <w:ind w:left="444" w:right="1642" w:hanging="1"/>
        <w:jc w:val="left"/>
      </w:pPr>
      <w:r>
        <w:rPr>
          <w:rFonts w:ascii="Times New Roman" w:hAnsi="Times New Roman" w:cs="Times New Roman" w:eastAsia="Times New Roman" w:hint="default"/>
        </w:rPr>
        <w:t>4</w:t>
      </w:r>
      <w:r>
        <w:rPr/>
        <w:t>、战略委员会履职情况 报告期内，董事会战略委员会按照《公司章程》等相关规定，对公司对外投资等事项进行了研究并提出了建议。</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七、监事会工作情况" w:id="137"/>
      <w:bookmarkEnd w:id="13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38"/>
      <w:bookmarkEnd w:id="13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公司董事会决定公司高级管理人员的聘任，由董事会薪酬与考核委员会对公司高级管理人员薪资制订标准，并由公司董</w:t>
      </w:r>
      <w:r>
        <w:rPr/>
        <w:t> </w:t>
      </w:r>
      <w:r>
        <w:rPr>
          <w:spacing w:val="-4"/>
        </w:rPr>
        <w:t>事会审议通过。公司建立了公正、合理、有效的高级管理人员绩效考核评价体系，将公司年度经营目标分解落实，明确责任，</w:t>
      </w:r>
      <w:r>
        <w:rPr>
          <w:spacing w:val="-44"/>
        </w:rPr>
        <w:t> </w:t>
      </w:r>
      <w:r>
        <w:rPr>
          <w:spacing w:val="-44"/>
        </w:rPr>
      </w:r>
      <w:r>
        <w:rPr/>
        <w:t>量化考核，根据高级管理人员的绩效进行考核及实施对应的奖惩。</w:t>
      </w:r>
    </w:p>
    <w:p>
      <w:pPr>
        <w:spacing w:after="0" w:line="319"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九、内部控制评价报告" w:id="139"/>
      <w:bookmarkEnd w:id="13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报告期内发现的内部控制重大缺陷的具体情况" w:id="140"/>
      <w:bookmarkEnd w:id="14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内控自我评价报告" w:id="141"/>
      <w:bookmarkEnd w:id="14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line="312" w:lineRule="exact"/>
        <w:ind w:left="627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70.85pt;height:15.6pt;mso-position-horizontal-relative:char;mso-position-vertical-relative:line" coordorigin="0,0" coordsize="3417,312">
            <v:group style="position:absolute;left:0;top:0;width:3417;height:312" coordorigin="0,0" coordsize="3417,312">
              <v:shape style="position:absolute;left:0;top:0;width:3417;height:312" coordorigin="0,0" coordsize="3417,312" path="m0,312l3417,312,3417,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12" w:lineRule="exact"/>
        <w:ind w:left="627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70.85pt;height:15.6pt;mso-position-horizontal-relative:char;mso-position-vertical-relative:line" coordorigin="0,0" coordsize="3417,312">
            <v:group style="position:absolute;left:0;top:0;width:3417;height:312" coordorigin="0,0" coordsize="3417,312">
              <v:shape style="position:absolute;left:0;top:0;width:3417;height:312" coordorigin="0,0" coordsize="3417,312" path="m0,312l3417,312,3417,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240" w:lineRule="auto"/>
        <w:ind w:left="0" w:right="1139"/>
        <w:jc w:val="right"/>
      </w:pPr>
      <w:r>
        <w:rPr/>
        <w:pict>
          <v:shape style="position:absolute;margin-left:56.459999pt;margin-top:-357.668274pt;width:479.2pt;height:567.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3"/>
                    <w:gridCol w:w="630"/>
                    <w:gridCol w:w="2925"/>
                    <w:gridCol w:w="3461"/>
                  </w:tblGrid>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86"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日巨潮资讯网</w:t>
                        </w:r>
                        <w:r>
                          <w:rPr>
                            <w:rFonts w:ascii="宋体" w:hAnsi="宋体" w:cs="宋体" w:eastAsia="宋体" w:hint="default"/>
                            <w:spacing w:val="-47"/>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的《深圳键桥通讯技</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内</w:t>
                        </w:r>
                        <w:r>
                          <w:rPr>
                            <w:rFonts w:ascii="宋体" w:hAnsi="宋体" w:cs="宋体" w:eastAsia="宋体" w:hint="default"/>
                            <w:sz w:val="18"/>
                            <w:szCs w:val="18"/>
                          </w:rPr>
                          <w:t>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1" w:hRule="exact"/>
                    </w:trPr>
                    <w:tc>
                      <w:tcPr>
                        <w:tcW w:w="318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vMerge/>
                        <w:tcBorders>
                          <w:left w:val="single" w:sz="9" w:space="0" w:color="D2D2D2"/>
                          <w:right w:val="single" w:sz="4" w:space="0" w:color="000000"/>
                        </w:tcBorders>
                      </w:tcPr>
                      <w:p>
                        <w:pPr/>
                      </w:p>
                    </w:tc>
                  </w:tr>
                  <w:tr>
                    <w:trPr>
                      <w:trHeight w:val="161" w:hRule="exact"/>
                    </w:trPr>
                    <w:tc>
                      <w:tcPr>
                        <w:tcW w:w="31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86" w:type="dxa"/>
                        <w:gridSpan w:val="2"/>
                        <w:vMerge/>
                        <w:tcBorders>
                          <w:left w:val="single" w:sz="9" w:space="0" w:color="D2D2D2"/>
                          <w:bottom w:val="single" w:sz="4" w:space="0" w:color="000000"/>
                          <w:right w:val="single" w:sz="4" w:space="0" w:color="000000"/>
                        </w:tcBorders>
                      </w:tcPr>
                      <w:p>
                        <w:pP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r>
                  <w:tr>
                    <w:trPr>
                      <w:trHeight w:val="715"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0" w:hRule="exact"/>
                    </w:trPr>
                    <w:tc>
                      <w:tcPr>
                        <w:tcW w:w="2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5" w:type="dxa"/>
                        <w:gridSpan w:val="2"/>
                        <w:vMerge w:val="restart"/>
                        <w:tcBorders>
                          <w:top w:val="single" w:sz="4" w:space="0" w:color="000000"/>
                          <w:left w:val="single" w:sz="10"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9"/>
                          <w:ind w:left="15" w:right="-28"/>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）具有以下特征的认定为重大缺陷：董事、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监事、高级管理人员舞弊；注册会计师发现</w:t>
                        </w:r>
                        <w:r>
                          <w:rPr>
                            <w:rFonts w:ascii="宋体" w:hAnsi="宋体" w:cs="宋体" w:eastAsia="宋体" w:hint="default"/>
                            <w:sz w:val="18"/>
                            <w:szCs w:val="18"/>
                          </w:rPr>
                          <w:t> 当期财务报告存在重大错报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而内部控制在运 行过程中未能发现该错报；对已经公告的财 务报告出现的重大差错进行错报更正；公司 审计委员会和内部审计部对内部控制的监督 </w:t>
                        </w:r>
                        <w:r>
                          <w:rPr>
                            <w:rFonts w:ascii="宋体" w:hAnsi="宋体" w:cs="宋体" w:eastAsia="宋体" w:hint="default"/>
                            <w:spacing w:val="-7"/>
                            <w:sz w:val="18"/>
                            <w:szCs w:val="18"/>
                          </w:rPr>
                          <w:t>无效。（</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）具有以下特征的认定为重要缺陷：</w:t>
                        </w:r>
                        <w:r>
                          <w:rPr>
                            <w:rFonts w:ascii="宋体" w:hAnsi="宋体" w:cs="宋体" w:eastAsia="宋体" w:hint="default"/>
                            <w:spacing w:val="-35"/>
                            <w:sz w:val="18"/>
                            <w:szCs w:val="18"/>
                          </w:rPr>
                          <w:t> </w:t>
                        </w:r>
                        <w:r>
                          <w:rPr>
                            <w:rFonts w:ascii="宋体" w:hAnsi="宋体" w:cs="宋体" w:eastAsia="宋体" w:hint="default"/>
                            <w:sz w:val="18"/>
                            <w:szCs w:val="18"/>
                          </w:rPr>
                          <w:t>未依照公认会计准则选择和应用会计政策；</w:t>
                        </w:r>
                        <w:r>
                          <w:rPr>
                            <w:rFonts w:ascii="宋体" w:hAnsi="宋体" w:cs="宋体" w:eastAsia="宋体" w:hint="default"/>
                            <w:sz w:val="18"/>
                            <w:szCs w:val="18"/>
                          </w:rPr>
                          <w:t> 未建立反舞弊程序和控制措施；对于非常规 或特殊交易的账务处理没有建立相应的控制 机制或没有实施且没有相应的补偿性控制。</w:t>
                        </w:r>
                      </w:p>
                      <w:p>
                        <w:pPr>
                          <w:pStyle w:val="TableParagraph"/>
                          <w:spacing w:line="302" w:lineRule="auto" w:before="22"/>
                          <w:ind w:left="15" w:right="2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）一般缺陷：未构成重大缺陷、重要缺陷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标准的其他内部控制缺陷。</w:t>
                        </w:r>
                      </w:p>
                    </w:tc>
                    <w:tc>
                      <w:tcPr>
                        <w:tcW w:w="3461" w:type="dxa"/>
                        <w:vMerge w:val="restart"/>
                        <w:tcBorders>
                          <w:top w:val="single" w:sz="4" w:space="0" w:color="000000"/>
                          <w:left w:val="single" w:sz="9" w:space="0" w:color="FFFFFF"/>
                          <w:right w:val="single" w:sz="4" w:space="0" w:color="000000"/>
                        </w:tcBorders>
                      </w:tcPr>
                      <w:p>
                        <w:pPr>
                          <w:pStyle w:val="TableParagraph"/>
                          <w:spacing w:line="312" w:lineRule="auto" w:before="52"/>
                          <w:ind w:left="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）具有以下特征的认定为重大缺陷：决 策程序导致重大失误；严重违犯国家法律、 行政法规和规范性文件；重要业务缺乏制度 控制或制度控制体系失效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且缺乏有效的补 偿性控制；遭受证监会处罚或证券交易所警 告；中高级管理人员和高级技术人员流失严 重；内部控制重大或重要缺陷未得到整改。</w:t>
                        </w:r>
                      </w:p>
                      <w:p>
                        <w:pPr>
                          <w:pStyle w:val="TableParagraph"/>
                          <w:spacing w:line="312" w:lineRule="auto" w:before="22"/>
                          <w:ind w:left="4"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）具有以下特征的认定为重要缺陷：决 策程序导致出现一般性失误；重要业务制度 或制度控制体系有缺陷；关键岗位业务人员 流失严重；公司内部控制重要或一般缺陷未 得到整改；其他对公司产生较大负面影响的 </w:t>
                        </w:r>
                        <w:r>
                          <w:rPr>
                            <w:rFonts w:ascii="宋体" w:hAnsi="宋体" w:cs="宋体" w:eastAsia="宋体" w:hint="default"/>
                            <w:spacing w:val="-10"/>
                            <w:sz w:val="18"/>
                            <w:szCs w:val="18"/>
                          </w:rPr>
                          <w:t>情形。（</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）具有以下特征的认定为一般缺陷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未构成重大缺陷、重要缺陷标准的其他内部</w:t>
                        </w:r>
                        <w:r>
                          <w:rPr>
                            <w:rFonts w:ascii="宋体" w:hAnsi="宋体" w:cs="宋体" w:eastAsia="宋体" w:hint="default"/>
                            <w:sz w:val="18"/>
                            <w:szCs w:val="18"/>
                          </w:rPr>
                          <w:t> 控制缺陷。</w:t>
                        </w:r>
                      </w:p>
                    </w:tc>
                  </w:tr>
                  <w:tr>
                    <w:trPr>
                      <w:trHeight w:val="391" w:hRule="exact"/>
                    </w:trPr>
                    <w:tc>
                      <w:tcPr>
                        <w:tcW w:w="2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55" w:type="dxa"/>
                        <w:gridSpan w:val="2"/>
                        <w:vMerge/>
                        <w:tcBorders>
                          <w:left w:val="single" w:sz="10" w:space="0" w:color="D2D2D2"/>
                          <w:right w:val="single" w:sz="9" w:space="0" w:color="FFFFFF"/>
                        </w:tcBorders>
                      </w:tcPr>
                      <w:p>
                        <w:pPr/>
                      </w:p>
                    </w:tc>
                    <w:tc>
                      <w:tcPr>
                        <w:tcW w:w="3461" w:type="dxa"/>
                        <w:vMerge/>
                        <w:tcBorders>
                          <w:left w:val="single" w:sz="9" w:space="0" w:color="FFFFFF"/>
                          <w:right w:val="single" w:sz="4" w:space="0" w:color="000000"/>
                        </w:tcBorders>
                      </w:tcPr>
                      <w:p>
                        <w:pPr/>
                      </w:p>
                    </w:tc>
                  </w:tr>
                  <w:tr>
                    <w:trPr>
                      <w:trHeight w:val="2189" w:hRule="exact"/>
                    </w:trPr>
                    <w:tc>
                      <w:tcPr>
                        <w:tcW w:w="2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5" w:type="dxa"/>
                        <w:gridSpan w:val="2"/>
                        <w:vMerge/>
                        <w:tcBorders>
                          <w:left w:val="single" w:sz="10" w:space="0" w:color="D2D2D2"/>
                          <w:bottom w:val="single" w:sz="4" w:space="0" w:color="000000"/>
                          <w:right w:val="single" w:sz="9" w:space="0" w:color="FFFFFF"/>
                        </w:tcBorders>
                      </w:tcPr>
                      <w:p>
                        <w:pPr/>
                      </w:p>
                    </w:tc>
                    <w:tc>
                      <w:tcPr>
                        <w:tcW w:w="3461" w:type="dxa"/>
                        <w:vMerge/>
                        <w:tcBorders>
                          <w:left w:val="single" w:sz="9" w:space="0" w:color="FFFFFF"/>
                          <w:bottom w:val="single" w:sz="4" w:space="0" w:color="000000"/>
                          <w:right w:val="single" w:sz="4" w:space="0" w:color="000000"/>
                        </w:tcBorders>
                      </w:tcPr>
                      <w:p>
                        <w:pPr/>
                      </w:p>
                    </w:tc>
                  </w:tr>
                  <w:tr>
                    <w:trPr>
                      <w:trHeight w:val="1414" w:hRule="exact"/>
                    </w:trPr>
                    <w:tc>
                      <w:tcPr>
                        <w:tcW w:w="2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5" w:type="dxa"/>
                        <w:gridSpan w:val="2"/>
                        <w:vMerge w:val="restart"/>
                        <w:tcBorders>
                          <w:top w:val="single" w:sz="4" w:space="0" w:color="000000"/>
                          <w:left w:val="single" w:sz="10" w:space="0" w:color="D2D2D2"/>
                          <w:right w:val="single" w:sz="4" w:space="0" w:color="000000"/>
                        </w:tcBorders>
                      </w:tcPr>
                      <w:p>
                        <w:pPr>
                          <w:pStyle w:val="TableParagraph"/>
                          <w:spacing w:line="343" w:lineRule="auto" w:before="52"/>
                          <w:ind w:left="15" w:right="1876"/>
                          <w:jc w:val="left"/>
                          <w:rPr>
                            <w:rFonts w:ascii="宋体" w:hAnsi="宋体" w:cs="宋体" w:eastAsia="宋体" w:hint="default"/>
                            <w:sz w:val="18"/>
                            <w:szCs w:val="18"/>
                          </w:rPr>
                        </w:pPr>
                        <w:r>
                          <w:rPr>
                            <w:rFonts w:ascii="宋体" w:hAnsi="宋体" w:cs="宋体" w:eastAsia="宋体" w:hint="default"/>
                            <w:sz w:val="18"/>
                            <w:szCs w:val="18"/>
                          </w:rPr>
                          <w:t>重大缺陷： 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重要缺陷：</w:t>
                        </w:r>
                      </w:p>
                      <w:p>
                        <w:pPr>
                          <w:pStyle w:val="TableParagraph"/>
                          <w:spacing w:line="338" w:lineRule="auto" w:before="39"/>
                          <w:ind w:left="15" w:right="333"/>
                          <w:jc w:val="both"/>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w:t>
                        </w:r>
                      </w:p>
                    </w:tc>
                    <w:tc>
                      <w:tcPr>
                        <w:tcW w:w="34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48" w:lineRule="auto"/>
                          <w:ind w:left="11" w:right="1793"/>
                          <w:jc w:val="left"/>
                          <w:rPr>
                            <w:rFonts w:ascii="宋体" w:hAnsi="宋体" w:cs="宋体" w:eastAsia="宋体" w:hint="default"/>
                            <w:sz w:val="18"/>
                            <w:szCs w:val="18"/>
                          </w:rPr>
                        </w:pPr>
                        <w:r>
                          <w:rPr>
                            <w:rFonts w:ascii="宋体" w:hAnsi="宋体" w:cs="宋体" w:eastAsia="宋体" w:hint="default"/>
                            <w:sz w:val="18"/>
                            <w:szCs w:val="18"/>
                          </w:rPr>
                          <w:t>重大缺陷： 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重要缺陷：</w:t>
                        </w:r>
                      </w:p>
                      <w:p>
                        <w:pPr>
                          <w:pStyle w:val="TableParagraph"/>
                          <w:spacing w:line="338" w:lineRule="auto" w:before="35"/>
                          <w:ind w:left="11" w:right="114"/>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一般缺陷：</w:t>
                        </w:r>
                      </w:p>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1" w:hRule="exact"/>
                    </w:trPr>
                    <w:tc>
                      <w:tcPr>
                        <w:tcW w:w="25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55" w:type="dxa"/>
                        <w:gridSpan w:val="2"/>
                        <w:vMerge/>
                        <w:tcBorders>
                          <w:left w:val="single" w:sz="10" w:space="0" w:color="D2D2D2"/>
                          <w:right w:val="single" w:sz="4" w:space="0" w:color="000000"/>
                        </w:tcBorders>
                      </w:tcPr>
                      <w:p>
                        <w:pPr/>
                      </w:p>
                    </w:tc>
                    <w:tc>
                      <w:tcPr>
                        <w:tcW w:w="3461" w:type="dxa"/>
                        <w:vMerge/>
                        <w:tcBorders>
                          <w:left w:val="single" w:sz="4" w:space="0" w:color="000000"/>
                          <w:right w:val="single" w:sz="4" w:space="0" w:color="000000"/>
                        </w:tcBorders>
                      </w:tcPr>
                      <w:p>
                        <w:pPr/>
                      </w:p>
                    </w:tc>
                  </w:tr>
                  <w:tr>
                    <w:trPr>
                      <w:trHeight w:val="1414" w:hRule="exact"/>
                    </w:trPr>
                    <w:tc>
                      <w:tcPr>
                        <w:tcW w:w="2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5" w:type="dxa"/>
                        <w:gridSpan w:val="2"/>
                        <w:vMerge/>
                        <w:tcBorders>
                          <w:left w:val="single" w:sz="10" w:space="0" w:color="D2D2D2"/>
                          <w:bottom w:val="single" w:sz="4" w:space="0" w:color="000000"/>
                          <w:right w:val="single" w:sz="4" w:space="0" w:color="000000"/>
                        </w:tcBorders>
                      </w:tcPr>
                      <w:p>
                        <w:pPr/>
                      </w:p>
                    </w:tc>
                    <w:tc>
                      <w:tcPr>
                        <w:tcW w:w="346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3544"/>
        <w:gridCol w:w="3472"/>
      </w:tblGrid>
      <w:tr>
        <w:trPr>
          <w:trHeight w:val="106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1"/>
              <w:ind w:left="22" w:right="1784"/>
              <w:jc w:val="both"/>
              <w:rPr>
                <w:rFonts w:ascii="宋体" w:hAnsi="宋体" w:cs="宋体" w:eastAsia="宋体" w:hint="default"/>
                <w:sz w:val="18"/>
                <w:szCs w:val="18"/>
              </w:rPr>
            </w:pPr>
            <w:r>
              <w:rPr>
                <w:rFonts w:ascii="宋体" w:hAnsi="宋体" w:cs="宋体" w:eastAsia="宋体" w:hint="default"/>
                <w:sz w:val="18"/>
                <w:szCs w:val="18"/>
              </w:rPr>
              <w:t>错报＜利润总额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十、内部控制审计报告或鉴证报告" w:id="142"/>
      <w:bookmarkEnd w:id="14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1" w:id="143"/>
      <w:bookmarkStart w:name="第十节 财务报告" w:id="144"/>
      <w:r>
        <w:rPr>
          <w:b w:val="0"/>
          <w:bCs w:val="0"/>
        </w:rPr>
      </w:r>
      <w:r>
        <w:rPr/>
        <w:t>第十节</w:t>
      </w:r>
      <w:r>
        <w:rPr>
          <w:spacing w:val="-5"/>
        </w:rPr>
        <w:t> </w:t>
      </w:r>
      <w:r>
        <w:rPr/>
        <w:t>财务报告</w:t>
      </w:r>
      <w:bookmarkEnd w:id="14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审计报告" w:id="145"/>
      <w:bookmarkEnd w:id="14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[2016]48030003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饶世旗、陈松波</w:t>
            </w:r>
          </w:p>
        </w:tc>
      </w:tr>
    </w:tbl>
    <w:p>
      <w:pPr>
        <w:pStyle w:val="BodyText"/>
        <w:spacing w:line="240" w:lineRule="auto" w:before="51"/>
        <w:ind w:left="2424" w:right="3400"/>
        <w:jc w:val="center"/>
      </w:pPr>
      <w:r>
        <w:rPr/>
        <w:t>审计报告正文</w:t>
      </w:r>
    </w:p>
    <w:p>
      <w:pPr>
        <w:pStyle w:val="Heading4"/>
        <w:spacing w:line="240" w:lineRule="auto" w:before="115"/>
        <w:ind w:right="1118"/>
        <w:jc w:val="left"/>
        <w:rPr>
          <w:b w:val="0"/>
          <w:bCs w:val="0"/>
        </w:rPr>
      </w:pPr>
      <w:r>
        <w:rPr/>
        <w:t>深圳键桥通讯技术股份有限公司全体股东：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44"/>
        <w:ind w:right="1130" w:firstLine="360"/>
        <w:jc w:val="both"/>
      </w:pPr>
      <w:r>
        <w:rPr>
          <w:spacing w:val="-2"/>
        </w:rPr>
        <w:t>我们审计了后附的深圳键桥通讯技术股份有限公司（以下简称</w:t>
      </w:r>
      <w:r>
        <w:rPr>
          <w:rFonts w:ascii="Times New Roman" w:hAnsi="Times New Roman" w:cs="Times New Roman" w:eastAsia="Times New Roman" w:hint="default"/>
          <w:spacing w:val="-2"/>
        </w:rPr>
        <w:t>“</w:t>
      </w:r>
      <w:r>
        <w:rPr>
          <w:spacing w:val="-2"/>
        </w:rPr>
        <w:t>键桥通讯公司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w:t>
      </w:r>
      <w:r>
        <w:rPr>
          <w:spacing w:val="-2"/>
        </w:rPr>
        <w:t>及公司的资产负债表，</w:t>
      </w:r>
      <w:r>
        <w:rPr>
          <w:rFonts w:ascii="Times New Roman" w:hAnsi="Times New Roman" w:cs="Times New Roman" w:eastAsia="Times New Roman" w:hint="default"/>
          <w:spacing w:val="-2"/>
        </w:rPr>
        <w:t>2015</w:t>
      </w:r>
      <w:r>
        <w:rPr>
          <w:spacing w:val="-2"/>
        </w:rPr>
        <w:t>年度合并及公司的利润表、合并及公司的现金流量表和合并及公司的股东权益变动表以及财务报</w:t>
      </w:r>
      <w:r>
        <w:rPr>
          <w:spacing w:val="-60"/>
        </w:rPr>
        <w:t> </w:t>
      </w:r>
      <w:r>
        <w:rPr>
          <w:spacing w:val="-60"/>
        </w:rPr>
      </w:r>
      <w:r>
        <w:rPr/>
        <w:t>表附注。</w:t>
      </w:r>
    </w:p>
    <w:p>
      <w:pPr>
        <w:spacing w:line="316" w:lineRule="auto" w:before="31"/>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编制和公允列报财务报表是键桥通讯公司管理层的责任。这种责任包括：（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8" w:lineRule="exact"/>
        <w:ind w:right="1118"/>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16" w:lineRule="auto" w:before="63"/>
        <w:ind w:left="513" w:right="1118"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1118"/>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9"/>
        <w:ind w:left="513" w:right="1118"/>
        <w:jc w:val="left"/>
      </w:pPr>
      <w:r>
        <w:rPr/>
        <w:t>我们相信，我们获取的审计证据是充分、适当的，为发表审计意见提供了基础。</w:t>
      </w:r>
    </w:p>
    <w:p>
      <w:pPr>
        <w:pStyle w:val="BodyText"/>
        <w:spacing w:line="316" w:lineRule="auto" w:before="76"/>
        <w:ind w:left="513" w:right="1118" w:firstLine="1"/>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我们认为，上述财务报表在所有重大方面按照企业会计准则的规定编制，公允反映了键桥通讯公司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p>
    <w:p>
      <w:pPr>
        <w:pStyle w:val="BodyText"/>
        <w:spacing w:line="248" w:lineRule="exact"/>
        <w:ind w:right="1118"/>
        <w:jc w:val="left"/>
      </w:pPr>
      <w:r>
        <w:rPr/>
        <w:t>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tabs>
          <w:tab w:pos="6124" w:val="left" w:leader="none"/>
          <w:tab w:pos="6543" w:val="left" w:leader="none"/>
        </w:tabs>
        <w:spacing w:line="636" w:lineRule="auto"/>
        <w:ind w:left="1353" w:right="3539" w:hanging="720"/>
        <w:jc w:val="left"/>
      </w:pPr>
      <w:r>
        <w:rPr/>
        <w:t>瑞华会计师事务所（特殊普通合伙）</w:t>
        <w:tab/>
        <w:t>中国注册会计师 </w:t>
      </w:r>
      <w:r>
        <w:rPr>
          <w:spacing w:val="-1"/>
        </w:rPr>
        <w:t>中国</w:t>
      </w:r>
      <w:r>
        <w:rPr>
          <w:rFonts w:ascii="Times New Roman" w:hAnsi="Times New Roman" w:cs="Times New Roman" w:eastAsia="Times New Roman" w:hint="default"/>
          <w:spacing w:val="-1"/>
        </w:rPr>
        <w:t>·</w:t>
      </w:r>
      <w:r>
        <w:rPr>
          <w:spacing w:val="-1"/>
        </w:rPr>
        <w:t>北京</w:t>
        <w:tab/>
        <w:tab/>
      </w:r>
      <w:r>
        <w:rPr/>
        <w:t>陈松波</w:t>
      </w:r>
    </w:p>
    <w:p>
      <w:pPr>
        <w:pStyle w:val="BodyText"/>
        <w:tabs>
          <w:tab w:pos="6123" w:val="left" w:leader="none"/>
        </w:tabs>
        <w:spacing w:line="240" w:lineRule="auto" w:before="46"/>
        <w:ind w:left="903" w:right="1118"/>
        <w:jc w:val="left"/>
      </w:pPr>
      <w:r>
        <w:rPr/>
        <w:t>二〇一六年三月十六日</w:t>
        <w:tab/>
        <w:t>中国注册会计师</w:t>
      </w:r>
    </w:p>
    <w:p>
      <w:pPr>
        <w:spacing w:line="240" w:lineRule="auto" w:before="0"/>
        <w:rPr>
          <w:rFonts w:ascii="宋体" w:hAnsi="宋体" w:cs="宋体" w:eastAsia="宋体" w:hint="default"/>
          <w:sz w:val="18"/>
          <w:szCs w:val="18"/>
        </w:rPr>
      </w:pPr>
    </w:p>
    <w:p>
      <w:pPr>
        <w:pStyle w:val="BodyText"/>
        <w:spacing w:line="240" w:lineRule="auto" w:before="153"/>
        <w:ind w:left="5984" w:right="3401"/>
        <w:jc w:val="center"/>
      </w:pPr>
      <w:r>
        <w:rPr/>
        <w:t>饶世旗</w:t>
      </w:r>
    </w:p>
    <w:p>
      <w:pPr>
        <w:spacing w:after="0" w:line="240" w:lineRule="auto"/>
        <w:jc w:val="cente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8"/>
        <w:jc w:val="left"/>
        <w:rPr>
          <w:b w:val="0"/>
          <w:bCs w:val="0"/>
        </w:rPr>
      </w:pPr>
      <w:bookmarkStart w:name="二、财务报表" w:id="146"/>
      <w:bookmarkEnd w:id="14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编制单位：深圳键桥通讯技术股份有限公司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416,483,109.12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354,178,982.14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3,904,599.34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533,362,623.25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538,507,343.55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89,196,458.79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81,447,193.40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194,540,741.29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153,798,457.50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148,507,865.43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265,955,731.40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230,870.32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1,385,995,397.22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1,399,747,128.31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161,544,324.99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39,161,600.00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304,807,489.79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116,231,723.10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253,312,549.68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14,399,439.45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47,071,506.35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59,300,345.13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863,453.23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863,453.23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2,072,643.71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80,942.29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21,160,472.67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13,831,873.13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574,436,775.45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514,056,808.24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1,960,432,172.67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1,913,803,936.55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68,310,913.00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164,719,526.00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301,698,759.27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218,108,092.50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91,769,189.41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40,057,202.76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3,058,375.83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2,308,222.30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62,584,954.19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17,711,217.38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536,359.92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978,201.30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137,904,458.29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97,204,757.48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726,178.86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992,169,188.77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877,813,398.58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1,102,169,188.74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1,076,577,748.05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247,500,315.04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240,385,763.07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125,249.20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-1,034,708.47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31,825,824.06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27,472,390.20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184,989,113.53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170,134,013.71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857,560,501.83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830,077,458.51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702,482.10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7,148,729.99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858,262,983.93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837,226,188.50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1,960,432,172.67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1,913,803,936.55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303,716,739.39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309,113,386.17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3,305,599.34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342,572,836.07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384,701,967.23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70,518,467.42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54,181,879.16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168,700,572.17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132,014,232.40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94,664,341.81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237,338,352.63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230,870.32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983,478,556.20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1,123,009,237.91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497,638,317.49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283,651,446.58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93,567,791.11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196,526,348.41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47,071,506.35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51,338,471.32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2,072,643.71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80,942.29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7,325,893.48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10,357,994.18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837,759,807.61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577,608,929.54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1,821,238,363.81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1,700,618,167.45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178,015,075.00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161,190,000.00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132,477,189.52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105,729,656.41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37,330,471.15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27,152,286.70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1,153,581.37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928,035.42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55,018,576.13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13,615,809.16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418,989.09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978,201.30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326,069,397.73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63,347,285.00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726,178.86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856,459,458.85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693,667,452.85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966,459,458.82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892,431,802.32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247,544,164.02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240,554,762.78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31,825,824.06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27,472,390.20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182,288,916.91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147,039,212.15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854,778,904.99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808,186,365.13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1,821,238,363.81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1,700,618,167.45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848,498,014.51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517,561,460.54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848,498,014.51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517,561,460.54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840,536,458.36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532,765,980.67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682,796,720.16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396,899,546.12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20.819977pt;width:157.7pt;height:19.650pt;mso-position-horizontal-relative:page;mso-position-vertical-relative:page;z-index:-885784"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41.419983pt;width:157.7pt;height:19.650pt;mso-position-horizontal-relative:page;mso-position-vertical-relative:page;z-index:-885760" coordorigin="4242,10828" coordsize="3154,393">
            <v:shape style="position:absolute;left:4242;top:10828;width:3154;height:393" coordorigin="4242,10828" coordsize="3154,393" path="m4242,11221l7396,11221,7396,10828,4242,10828,4242,1122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9,268,512.60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5,151,598.88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38,721,169.69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39,333,767.73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62,353,281.07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59,193,983.87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36,901,241.41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33,263,542.48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10,495,533.43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-1,076,458.41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8,447,527.13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16,422,073.86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1,544,324.99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16,409,083.28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1,217,553.73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20,178,877.65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14,132,085.41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3,391,923.10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3,642,611.11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18,596,979.88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812,152.21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190,725.13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17,990,981.05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14,537,486.93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1,358,462.94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1,221,284.98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16,632,518.11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13,316,201.95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23,139,733.68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19,014,808.93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-6,507,215.57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-5,698,606.98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-1,034,708.47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1,159,957.67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-1,034,708.47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1,159,957.67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-1,034,708.47</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-1,034,708.47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17,792,475.78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12,281,493.48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24,299,691.35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17,980,100.46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-6,507,215.57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-5,698,606.98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母公司利润表" w:id="150"/>
      <w:bookmarkEnd w:id="15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545,088,735.39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367,069,443.11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408,148,349.11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272,219,214.59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3,709,199.19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2,102,886.39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7,524,728.53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12,933,968.70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43,755,732.94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43,015,340.07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28,854,407.55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32,721,836.94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498,237.06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-4,369,992.95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544,325.99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6,379,698.40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1,544,324.99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53,142,407.00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14,825,887.77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20,152,590.82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13,515,919.75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3,391,923.10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3,642,611.11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18,434,526.78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727,313.33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190,725.13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54,860,471.04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27,614,494.19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11,326,132.42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1,801,813.62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43,534,338.62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25,812,680.57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43,534,338.62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25,812,680.57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894,167,955.82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780,466,586.49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4,019,413.26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7,184,959.05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358,832,457.07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74,405,147.79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1,257,019,826.15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862,056,693.33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774,617,006.05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403,386,609.32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38,302,639.98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35,012,508.46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27,312,933.98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24,474,991.12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50,285,188.48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105,871,105.23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890,517,768.49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568,745,214.13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366,502,057.66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293,311,479.20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12,918,750.00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76,293,883.92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25,166.83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14,025,666.83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89,212,633.92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32,429,758.06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84,516,581.80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196,916,884.71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40,522,029.41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29,809,344.00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259,155,986.77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125,038,611.21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-245,130,319.94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-35,825,977.29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462,189,103.15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254,601,495.62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78,889,864.01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587,441,495.62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541,078,967.16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584,363,679.29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661,790,025.70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28,011,483.50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38,538,637.54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49,159,962.92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56,082,198.11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661,535,125.71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756,410,861.35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-74,093,630.09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-215,331,894.19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96,804.68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-1,046,785.54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47,374,912.31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41,106,822.18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298,096,784.03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256,989,961.85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345,471,696.34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298,096,784.03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主管会计工作负责人：蒋华良</w:t>
        <w:tab/>
        <w:t>会计机构负责人：彭艳梅</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609,512,198.18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581,588,284.27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2,689,809.00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6,575,893.39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437,177,364.34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32,164,193.63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1,049,379,371.52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620,328,371.29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484,170,202.88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206,285,009.62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19,954,860.11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18,596,219.53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23,785,467.69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17,333,380.57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28,012,969.96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97,335,763.03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555,923,500.64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339,550,372.75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493,455,870.88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280,777,998.54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17,024,667.37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12,918,750.00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79,332,419.54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109,275,836.91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15,345,747.83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44,181,502.86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404,093,992.50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61,612,500.00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422,439,740.33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105,794,002.86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-408,439,739.33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3,481,834.05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441,189,103.15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251,752,011.15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70,552,805.87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537,002,011.15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511,741,909.02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568,363,679.29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639,805,650.50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27,669,846.41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37,539,127.05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33,351,238.40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53,232,713.64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629,384,764.10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730,577,491.19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-92,382,752.95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-218,835,582.17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-7,366,621.40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65,424,250.42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255,880,672.53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190,456,422.11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248,514,051.13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255,880,672.53</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1118"/>
        <w:jc w:val="left"/>
      </w:pPr>
      <w:r>
        <w:rPr/>
        <w:t>法定代表人：王永彬</w:t>
        <w:tab/>
        <w:t>主管会计工作负责人：蒋华良</w:t>
        <w:tab/>
        <w:t>会计机构负责人：彭艳梅</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240,385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,763.07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27,472,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390.20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170,134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,013.71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7,148,7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29.99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837,226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,188.50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240,385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,763.07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27,472,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390.20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170,134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,013.71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7,148,7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29.99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837,226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,188.50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7,114,5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1,159,9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4,353,4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33.86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099.82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-6,446,2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47.89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21,036,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795.43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1,159,9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23,139,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733.68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-6,507,2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17,792,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475.78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7,114,5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7,175,5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19.65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7,114,5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7,175,5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19.65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4,353,4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33.86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-8,284,6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33.86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4,353,4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33.86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-4,353,4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33.86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247,500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,315.04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125,249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31,825,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184,989</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,113.53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702,482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858,262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,983.93</w:t>
            </w:r>
          </w:p>
        </w:tc>
      </w:tr>
    </w:tbl>
    <w:p>
      <w:pPr>
        <w:pStyle w:val="BodyText"/>
        <w:spacing w:line="240" w:lineRule="auto" w:before="51"/>
        <w:ind w:left="154" w:right="111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232,678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406.95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133,291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,036.12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1,910,9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37.09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783,623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,506.98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2,267,7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20,409,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436.72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22,677,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151.91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232,678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24,891,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122.14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153,700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,472.84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1,910,9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37.09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806,300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,658.89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7,707,6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16,433,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540.87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5,237,7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30,925,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529.61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19,014,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808.93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-5,698,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606.98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12,281,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493.48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7,448,5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399.88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18,384,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993.67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7,448,5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10,936,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399.88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18,384,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993.67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259,042</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259,042</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393,12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240,385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-1,034,7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27,472,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170,134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7,148,7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837,226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,763.07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08.47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390.20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,013.71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29.99</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,188.50</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left="154" w:right="1118"/>
        <w:jc w:val="left"/>
      </w:pPr>
      <w:r>
        <w:rPr/>
        <w:t>法定代表人：王永彬</w:t>
        <w:tab/>
        <w:t>主管会计工作负责人：蒋华良</w:t>
        <w:tab/>
        <w:t>会计机构负责人：彭艳梅</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240,554,7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62.78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27,472,39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147,039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,212.15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808,186,3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240,554,7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27,472,39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147,039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,212.15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808,186,3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65.13</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6,989,401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4,353,433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35,249,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704.76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46,592,53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9.86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43,534,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338.62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43,534,33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8.62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6,989,401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6,989,401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6,989,401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6,989,401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4,353,433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-8,284,6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33.86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4,353,433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-4,353,4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33.86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247,544,1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31,825,82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182,288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,916.91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854,778,9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04.99</w:t>
            </w:r>
          </w:p>
        </w:tc>
      </w:tr>
    </w:tbl>
    <w:p>
      <w:pPr>
        <w:pStyle w:val="BodyText"/>
        <w:spacing w:line="240" w:lineRule="auto" w:before="51"/>
        <w:ind w:left="154" w:right="111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233,106,1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26,410,10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137,478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,636.91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34" w:right="0"/>
              <w:jc w:val="left"/>
              <w:rPr>
                <w:rFonts w:ascii="Times New Roman" w:hAnsi="Times New Roman" w:cs="Times New Roman" w:eastAsia="Times New Roman" w:hint="default"/>
                <w:sz w:val="18"/>
                <w:szCs w:val="18"/>
              </w:rPr>
            </w:pPr>
            <w:r>
              <w:rPr>
                <w:rFonts w:ascii="Times New Roman"/>
                <w:sz w:val="18"/>
              </w:rPr>
              <w:t>790,114,9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09.96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-1,518,98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-13,670,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837.27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-15,189,8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233,106,1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68.99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24,891,12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123,807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,799.64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774,925,0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90.77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9"/>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23,231,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412.51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33,261,27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680.57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-2,581,2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7,448,593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240,554,7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27,472,39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147,039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808,186,3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65.13</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left="154" w:right="1118"/>
        <w:jc w:val="left"/>
      </w:pPr>
      <w:r>
        <w:rPr/>
        <w:t>法定代表人：王永彬</w:t>
        <w:tab/>
        <w:t>主管会计工作负责人：蒋华良</w:t>
        <w:tab/>
        <w:t>会计机构负责人：彭艳梅</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三、公司基本情况" w:id="155"/>
      <w:bookmarkEnd w:id="155"/>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6973"/>
        <w:jc w:val="left"/>
      </w:pPr>
      <w:r>
        <w:rPr/>
        <w:t>（一）公司概况 公司名称：深圳键桥通讯技术股份有限公司</w:t>
      </w:r>
    </w:p>
    <w:p>
      <w:pPr>
        <w:pStyle w:val="BodyText"/>
        <w:spacing w:line="300" w:lineRule="auto" w:before="19"/>
        <w:ind w:left="513" w:right="3929"/>
        <w:jc w:val="both"/>
      </w:pPr>
      <w:r>
        <w:rPr/>
        <w:t>注册地址：广东省深圳市南山区高新科技园后海大道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 办公地址：广东省深圳市南山区高新科技园后海大道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 注册资本：人民币</w:t>
      </w:r>
      <w:r>
        <w:rPr>
          <w:rFonts w:ascii="Times New Roman" w:hAnsi="Times New Roman" w:cs="Times New Roman" w:eastAsia="Times New Roman" w:hint="default"/>
        </w:rPr>
        <w:t>39,312</w:t>
      </w:r>
      <w:r>
        <w:rPr/>
        <w:t>万元</w:t>
      </w:r>
    </w:p>
    <w:p>
      <w:pPr>
        <w:pStyle w:val="BodyText"/>
        <w:spacing w:line="309" w:lineRule="auto" w:before="13"/>
        <w:ind w:left="513" w:right="7243"/>
        <w:jc w:val="left"/>
      </w:pPr>
      <w:r>
        <w:rPr/>
        <w:t>法人营业执照注册号：</w:t>
      </w:r>
      <w:r>
        <w:rPr>
          <w:rFonts w:ascii="Times New Roman" w:hAnsi="Times New Roman" w:cs="Times New Roman" w:eastAsia="Times New Roman" w:hint="default"/>
        </w:rPr>
        <w:t>440301501122077 </w:t>
      </w:r>
      <w:r>
        <w:rPr/>
        <w:t>法定代表人：王永彬 经营期限：永续经营</w:t>
      </w:r>
    </w:p>
    <w:p>
      <w:pPr>
        <w:pStyle w:val="BodyText"/>
        <w:spacing w:line="316" w:lineRule="auto" w:before="24"/>
        <w:ind w:left="513" w:right="1118"/>
        <w:jc w:val="left"/>
      </w:pPr>
      <w:r>
        <w:rPr/>
        <w:t>（二）经营范围及主营业务 </w:t>
      </w:r>
      <w:r>
        <w:rPr>
          <w:spacing w:val="-2"/>
        </w:rPr>
        <w:t>生产经营光通信设备、无线通信多媒体系统设备及终端、接入网通信系统设备、交通信息设备、机电设备、矿用通讯设</w:t>
      </w:r>
    </w:p>
    <w:p>
      <w:pPr>
        <w:pStyle w:val="BodyText"/>
        <w:spacing w:line="316" w:lineRule="auto" w:before="19"/>
        <w:ind w:right="1118"/>
        <w:jc w:val="left"/>
      </w:pPr>
      <w:r>
        <w:rPr>
          <w:spacing w:val="-2"/>
        </w:rPr>
        <w:t>备、射频识别系统及配套产品，从事信息和通信系统网络技术研究开发，计算机应用软件开发；货物及技术进出口（不含进</w:t>
      </w:r>
      <w:r>
        <w:rPr>
          <w:spacing w:val="-66"/>
        </w:rPr>
        <w:t> </w:t>
      </w:r>
      <w:r>
        <w:rPr>
          <w:spacing w:val="-66"/>
        </w:rPr>
      </w:r>
      <w:r>
        <w:rPr/>
        <w:t>口分销及国家专营专控商品）。</w:t>
      </w:r>
    </w:p>
    <w:p>
      <w:pPr>
        <w:pStyle w:val="BodyText"/>
        <w:spacing w:line="316" w:lineRule="auto" w:before="19"/>
        <w:ind w:right="1133" w:firstLine="360"/>
        <w:jc w:val="both"/>
      </w:pPr>
      <w:r>
        <w:rPr>
          <w:spacing w:val="-2"/>
        </w:rPr>
        <w:t>主营业务：公司作为专业从事专网信息通信技术解决方案业务的服务商，主要为能源、交通等行业提供信息通信技术解</w:t>
      </w:r>
      <w:r>
        <w:rPr/>
        <w:t> 决方案，包括相关软硬件产品的研发、制造与服务。</w:t>
      </w:r>
    </w:p>
    <w:p>
      <w:pPr>
        <w:pStyle w:val="BodyText"/>
        <w:spacing w:line="316" w:lineRule="auto" w:before="19"/>
        <w:ind w:left="514" w:right="1118"/>
        <w:jc w:val="left"/>
      </w:pPr>
      <w:r>
        <w:rPr/>
        <w:t>（三）公司历史沿革及设立情况 </w:t>
      </w:r>
      <w:r>
        <w:rPr>
          <w:spacing w:val="-1"/>
        </w:rPr>
        <w:t>公司原名为键桥通讯技术（深圳）有限公司，经深圳市人民政府外经贸粤深外资证字</w:t>
      </w:r>
      <w:r>
        <w:rPr>
          <w:rFonts w:ascii="Times New Roman" w:hAnsi="Times New Roman" w:cs="Times New Roman" w:eastAsia="Times New Roman" w:hint="default"/>
          <w:spacing w:val="-1"/>
        </w:rPr>
        <w:t>[1999]0020</w:t>
      </w:r>
      <w:r>
        <w:rPr>
          <w:spacing w:val="-1"/>
        </w:rPr>
        <w:t>号中华人民共和国台港</w:t>
      </w:r>
    </w:p>
    <w:p>
      <w:pPr>
        <w:pStyle w:val="BodyText"/>
        <w:spacing w:line="300" w:lineRule="auto"/>
        <w:ind w:left="154" w:right="1118"/>
        <w:jc w:val="left"/>
      </w:pPr>
      <w:r>
        <w:rPr>
          <w:spacing w:val="-1"/>
        </w:rPr>
        <w:t>澳侨投资企业批准证书及深圳市外商投资局深外资复</w:t>
      </w:r>
      <w:r>
        <w:rPr>
          <w:rFonts w:ascii="Times New Roman" w:hAnsi="Times New Roman" w:cs="Times New Roman" w:eastAsia="Times New Roman" w:hint="default"/>
          <w:spacing w:val="-1"/>
        </w:rPr>
        <w:t>[1999]0034</w:t>
      </w:r>
      <w:r>
        <w:rPr>
          <w:spacing w:val="-1"/>
        </w:rPr>
        <w:t>号文件批准成立。由键桥通讯技术有限公司出资组建，初始</w:t>
      </w:r>
      <w:r>
        <w:rPr>
          <w:spacing w:val="-54"/>
        </w:rPr>
        <w:t> </w:t>
      </w:r>
      <w:r>
        <w:rPr>
          <w:spacing w:val="-54"/>
        </w:rPr>
      </w:r>
      <w:r>
        <w:rPr/>
        <w:t>投资现金</w:t>
      </w:r>
      <w:r>
        <w:rPr>
          <w:rFonts w:ascii="Times New Roman" w:hAnsi="Times New Roman" w:cs="Times New Roman" w:eastAsia="Times New Roman" w:hint="default"/>
        </w:rPr>
        <w:t>40</w:t>
      </w:r>
      <w:r>
        <w:rPr/>
        <w:t>万美元，于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日取得深圳市工商行政管理局企独粤深总第</w:t>
      </w:r>
      <w:r>
        <w:rPr>
          <w:rFonts w:ascii="Times New Roman" w:hAnsi="Times New Roman" w:cs="Times New Roman" w:eastAsia="Times New Roman" w:hint="default"/>
        </w:rPr>
        <w:t>306270</w:t>
      </w:r>
      <w:r>
        <w:rPr/>
        <w:t>号企业法人营业执照。</w:t>
      </w:r>
    </w:p>
    <w:p>
      <w:pPr>
        <w:pStyle w:val="BodyText"/>
        <w:spacing w:line="240" w:lineRule="auto" w:before="13"/>
        <w:ind w:left="513" w:right="1118"/>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月公司名称变更为深圳键桥通讯技术有限公司，其后经过多次增资和股权转让。</w:t>
      </w:r>
    </w:p>
    <w:p>
      <w:pPr>
        <w:pStyle w:val="BodyText"/>
        <w:spacing w:line="307" w:lineRule="auto" w:before="63"/>
        <w:ind w:right="1130" w:firstLine="360"/>
        <w:jc w:val="both"/>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日，根据公司章程、中华人民共和国商务部商资批</w:t>
      </w:r>
      <w:r>
        <w:rPr>
          <w:rFonts w:ascii="Times New Roman" w:hAnsi="Times New Roman" w:cs="Times New Roman" w:eastAsia="Times New Roman" w:hint="default"/>
          <w:spacing w:val="-3"/>
        </w:rPr>
        <w:t>[2006]2476</w:t>
      </w:r>
      <w:r>
        <w:rPr>
          <w:spacing w:val="-3"/>
        </w:rPr>
        <w:t>号及深圳市贸易工业局深贸工资复</w:t>
      </w:r>
      <w:r>
        <w:rPr>
          <w:rFonts w:ascii="Times New Roman" w:hAnsi="Times New Roman" w:cs="Times New Roman" w:eastAsia="Times New Roman" w:hint="default"/>
          <w:spacing w:val="-3"/>
        </w:rPr>
        <w:t>[2006]2766</w:t>
      </w:r>
      <w:r>
        <w:rPr>
          <w:rFonts w:ascii="Times New Roman" w:hAnsi="Times New Roman" w:cs="Times New Roman" w:eastAsia="Times New Roman" w:hint="default"/>
        </w:rPr>
        <w:t> </w:t>
      </w:r>
      <w:r>
        <w:rPr>
          <w:spacing w:val="-2"/>
        </w:rPr>
        <w:t>号批复的规定，公司以变更设立的方式由原深圳键桥通讯技术有限公司变更为深圳键桥通讯技术股份有限公司，申请登记的</w:t>
      </w:r>
      <w:r>
        <w:rPr>
          <w:spacing w:val="-64"/>
        </w:rPr>
        <w:t> </w:t>
      </w:r>
      <w:r>
        <w:rPr>
          <w:spacing w:val="-64"/>
        </w:rPr>
      </w:r>
      <w:r>
        <w:rPr/>
        <w:t>注册资本为人民币</w:t>
      </w:r>
      <w:r>
        <w:rPr>
          <w:rFonts w:ascii="Times New Roman" w:hAnsi="Times New Roman" w:cs="Times New Roman" w:eastAsia="Times New Roman" w:hint="default"/>
        </w:rPr>
        <w:t>90,000,000.00</w:t>
      </w:r>
      <w:r>
        <w:rPr/>
        <w:t>元，以净资产出资</w:t>
      </w:r>
      <w:r>
        <w:rPr>
          <w:rFonts w:ascii="Times New Roman" w:hAnsi="Times New Roman" w:cs="Times New Roman" w:eastAsia="Times New Roman" w:hint="default"/>
        </w:rPr>
        <w:t>90,000,000.00</w:t>
      </w:r>
      <w:r>
        <w:rPr/>
        <w:t>元，并已于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日完成相关股本验证和工商信息变 更手续。</w:t>
      </w:r>
    </w:p>
    <w:p>
      <w:pPr>
        <w:pStyle w:val="BodyText"/>
        <w:spacing w:line="240" w:lineRule="auto" w:before="26"/>
        <w:ind w:left="514" w:right="1118"/>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日，公司企业法人营业执照注册号变更为</w:t>
      </w:r>
      <w:r>
        <w:rPr>
          <w:rFonts w:ascii="Times New Roman" w:hAnsi="Times New Roman" w:cs="Times New Roman" w:eastAsia="Times New Roman" w:hint="default"/>
        </w:rPr>
        <w:t>440301501122077</w:t>
      </w:r>
      <w:r>
        <w:rPr/>
        <w:t>，并已取得变更后的企业法人营业执照。</w:t>
      </w:r>
    </w:p>
    <w:p>
      <w:pPr>
        <w:pStyle w:val="BodyText"/>
        <w:spacing w:line="300" w:lineRule="auto" w:before="63"/>
        <w:ind w:right="1130"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日，中国证券监督管理委员会证监许可</w:t>
      </w:r>
      <w:r>
        <w:rPr>
          <w:rFonts w:ascii="Times New Roman" w:hAnsi="Times New Roman" w:cs="Times New Roman" w:eastAsia="Times New Roman" w:hint="default"/>
          <w:spacing w:val="-1"/>
        </w:rPr>
        <w:t>[2009]1176</w:t>
      </w:r>
      <w:r>
        <w:rPr>
          <w:spacing w:val="-1"/>
        </w:rPr>
        <w:t>号文《关于核准深圳键桥通讯技术股份有限公司首次公</w:t>
      </w:r>
      <w:r>
        <w:rPr/>
        <w:t> 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万股（每股面值</w:t>
      </w:r>
      <w:r>
        <w:rPr>
          <w:rFonts w:ascii="Times New Roman" w:hAnsi="Times New Roman" w:cs="Times New Roman" w:eastAsia="Times New Roman" w:hint="default"/>
        </w:rPr>
        <w:t>1</w:t>
      </w:r>
      <w:r>
        <w:rPr/>
        <w:t>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w:t>
      </w:r>
      <w:r>
        <w:rPr>
          <w:spacing w:val="-81"/>
        </w:rPr>
        <w:t> </w:t>
      </w:r>
      <w:r>
        <w:rPr>
          <w:spacing w:val="-1"/>
        </w:rPr>
        <w:t>深圳证券交易所定价发行，</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日挂牌交易，新股发行成功后公司股本为</w:t>
      </w:r>
      <w:r>
        <w:rPr>
          <w:rFonts w:ascii="Times New Roman" w:hAnsi="Times New Roman" w:cs="Times New Roman" w:eastAsia="Times New Roman" w:hint="default"/>
          <w:spacing w:val="-1"/>
        </w:rPr>
        <w:t>120,000,000.00</w:t>
      </w:r>
      <w:r>
        <w:rPr>
          <w:spacing w:val="-1"/>
        </w:rPr>
        <w:t>元，此次增资公司于</w:t>
      </w:r>
      <w:r>
        <w:rPr>
          <w:rFonts w:ascii="Times New Roman" w:hAnsi="Times New Roman" w:cs="Times New Roman" w:eastAsia="Times New Roman" w:hint="default"/>
          <w:spacing w:val="-1"/>
        </w:rPr>
        <w:t>2009</w:t>
      </w:r>
      <w:r>
        <w:rPr>
          <w:spacing w:val="-1"/>
        </w:rPr>
        <w:t>年</w:t>
      </w:r>
      <w:r>
        <w:rPr>
          <w:spacing w:val="-64"/>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日取得深圳市科技工贸和信息化委员会深科工贸信资字</w:t>
      </w:r>
      <w:r>
        <w:rPr>
          <w:rFonts w:ascii="Times New Roman" w:hAnsi="Times New Roman" w:cs="Times New Roman" w:eastAsia="Times New Roman" w:hint="default"/>
        </w:rPr>
        <w:t>[2009]1157</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日办理工商信息</w:t>
      </w:r>
      <w:r>
        <w:rPr>
          <w:spacing w:val="-33"/>
        </w:rPr>
        <w:t> </w:t>
      </w:r>
      <w:r>
        <w:rPr>
          <w:spacing w:val="-33"/>
        </w:rPr>
      </w:r>
      <w:r>
        <w:rPr/>
        <w:t>变更手续。</w:t>
      </w:r>
    </w:p>
    <w:p>
      <w:pPr>
        <w:pStyle w:val="BodyText"/>
        <w:spacing w:line="300" w:lineRule="auto" w:before="31"/>
        <w:ind w:right="1129"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日，根据公司股东大会通过的《关于公司</w:t>
      </w:r>
      <w:r>
        <w:rPr>
          <w:rFonts w:ascii="Times New Roman" w:hAnsi="Times New Roman" w:cs="Times New Roman" w:eastAsia="Times New Roman" w:hint="default"/>
        </w:rPr>
        <w:t>2009</w:t>
      </w:r>
      <w:r>
        <w:rPr/>
        <w:t>年度利润分配方案》以及修改后的章程规定，公司增加注册 </w:t>
      </w:r>
      <w:r>
        <w:rPr>
          <w:spacing w:val="-2"/>
        </w:rPr>
        <w:t>资本人民币</w:t>
      </w:r>
      <w:r>
        <w:rPr>
          <w:rFonts w:ascii="Times New Roman" w:hAnsi="Times New Roman" w:cs="Times New Roman" w:eastAsia="Times New Roman" w:hint="default"/>
          <w:spacing w:val="-2"/>
        </w:rPr>
        <w:t>36,000,000.00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股的比例，以资本公积向全体股东转增股份总额</w:t>
      </w:r>
      <w:r>
        <w:rPr>
          <w:rFonts w:ascii="Times New Roman" w:hAnsi="Times New Roman" w:cs="Times New Roman" w:eastAsia="Times New Roman" w:hint="default"/>
          <w:spacing w:val="-2"/>
        </w:rPr>
        <w:t>36,000,000.00</w:t>
      </w:r>
      <w:r>
        <w:rPr>
          <w:spacing w:val="-2"/>
        </w:rPr>
        <w:t>股，每股面值</w:t>
      </w:r>
      <w:r>
        <w:rPr>
          <w:spacing w:val="-39"/>
        </w:rPr>
        <w:t> </w:t>
      </w:r>
      <w:r>
        <w:rPr>
          <w:spacing w:val="-39"/>
        </w:rPr>
      </w:r>
      <w:r>
        <w:rPr>
          <w:rFonts w:ascii="Times New Roman" w:hAnsi="Times New Roman" w:cs="Times New Roman" w:eastAsia="Times New Roman" w:hint="default"/>
          <w:spacing w:val="-2"/>
        </w:rPr>
        <w:t>1</w:t>
      </w:r>
      <w:r>
        <w:rPr>
          <w:spacing w:val="-2"/>
        </w:rPr>
        <w:t>元，相应增加股本</w:t>
      </w:r>
      <w:r>
        <w:rPr>
          <w:rFonts w:ascii="Times New Roman" w:hAnsi="Times New Roman" w:cs="Times New Roman" w:eastAsia="Times New Roman" w:hint="default"/>
          <w:spacing w:val="-2"/>
        </w:rPr>
        <w:t>36,000,000.00</w:t>
      </w:r>
      <w:r>
        <w:rPr>
          <w:spacing w:val="-2"/>
        </w:rPr>
        <w:t>元，股权登记日期为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日，变更后注册资本为人民币</w:t>
      </w:r>
      <w:r>
        <w:rPr>
          <w:rFonts w:ascii="Times New Roman" w:hAnsi="Times New Roman" w:cs="Times New Roman" w:eastAsia="Times New Roman" w:hint="default"/>
          <w:spacing w:val="-2"/>
        </w:rPr>
        <w:t>156,000,000.00</w:t>
      </w:r>
      <w:r>
        <w:rPr>
          <w:spacing w:val="-2"/>
        </w:rPr>
        <w:t>元，此次增资</w:t>
      </w:r>
      <w:r>
        <w:rPr>
          <w:spacing w:val="-35"/>
        </w:rPr>
        <w:t> </w:t>
      </w:r>
      <w:r>
        <w:rPr>
          <w:spacing w:val="-35"/>
        </w:rPr>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日取得深圳市科技工贸和信息化委员会深科工贸信资字</w:t>
      </w:r>
      <w:r>
        <w:rPr>
          <w:rFonts w:ascii="Times New Roman" w:hAnsi="Times New Roman" w:cs="Times New Roman" w:eastAsia="Times New Roman" w:hint="default"/>
        </w:rPr>
        <w:t>[2010]2172</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日办</w:t>
      </w:r>
      <w:r>
        <w:rPr>
          <w:spacing w:val="-30"/>
        </w:rPr>
        <w:t> </w:t>
      </w:r>
      <w:r>
        <w:rPr/>
        <w:t>理工商信息变更手续。</w:t>
      </w:r>
    </w:p>
    <w:p>
      <w:pPr>
        <w:pStyle w:val="BodyText"/>
        <w:spacing w:line="300" w:lineRule="auto" w:before="31"/>
        <w:ind w:right="1033"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日，根据公司股东大会通过的《公司</w:t>
      </w:r>
      <w:r>
        <w:rPr>
          <w:rFonts w:ascii="Times New Roman" w:hAnsi="Times New Roman" w:cs="Times New Roman" w:eastAsia="Times New Roman" w:hint="default"/>
        </w:rPr>
        <w:t>2010</w:t>
      </w:r>
      <w:r>
        <w:rPr/>
        <w:t>年度利润分配及资本公积转增股本预案》以及修改后的章程规定， </w:t>
      </w:r>
      <w:r>
        <w:rPr>
          <w:spacing w:val="-2"/>
        </w:rPr>
        <w:t>公司增加注册资本人民币</w:t>
      </w:r>
      <w:r>
        <w:rPr>
          <w:rFonts w:ascii="Times New Roman" w:hAnsi="Times New Roman" w:cs="Times New Roman" w:eastAsia="Times New Roman" w:hint="default"/>
          <w:spacing w:val="-2"/>
        </w:rPr>
        <w:t>62,400,000.00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股的比例，以资本公积向全体股东转增股份总额</w:t>
      </w:r>
      <w:r>
        <w:rPr>
          <w:rFonts w:ascii="Times New Roman" w:hAnsi="Times New Roman" w:cs="Times New Roman" w:eastAsia="Times New Roman" w:hint="default"/>
          <w:spacing w:val="-2"/>
        </w:rPr>
        <w:t>62,400,000.00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62,400,000.00</w:t>
      </w:r>
      <w:r>
        <w:rPr/>
        <w:t>元，股权登记日期为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日，变更后注册资本为人民币</w:t>
      </w:r>
      <w:r>
        <w:rPr>
          <w:rFonts w:ascii="Times New Roman" w:hAnsi="Times New Roman" w:cs="Times New Roman" w:eastAsia="Times New Roman" w:hint="default"/>
        </w:rPr>
        <w:t>218,400,000.00</w:t>
      </w:r>
      <w:r>
        <w:rPr>
          <w:rFonts w:ascii="Times New Roman" w:hAnsi="Times New Roman" w:cs="Times New Roman" w:eastAsia="Times New Roman" w:hint="default"/>
          <w:spacing w:val="-40"/>
        </w:rPr>
        <w:t> </w:t>
      </w:r>
      <w:r>
        <w:rPr>
          <w:spacing w:val="-2"/>
        </w:rPr>
        <w:t>元，此次增资公司于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日取得深圳市科技工贸和信息化委员会深科工贸信资字</w:t>
      </w:r>
      <w:r>
        <w:rPr>
          <w:rFonts w:ascii="Times New Roman" w:hAnsi="Times New Roman" w:cs="Times New Roman" w:eastAsia="Times New Roman" w:hint="default"/>
          <w:spacing w:val="-2"/>
        </w:rPr>
        <w:t>[2011]1493</w:t>
      </w:r>
      <w:r>
        <w:rPr>
          <w:spacing w:val="-2"/>
        </w:rPr>
        <w:t>号文件批准，并已于</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日办理工商信息变更手续。</w:t>
      </w:r>
    </w:p>
    <w:p>
      <w:pPr>
        <w:pStyle w:val="BodyText"/>
        <w:spacing w:line="300" w:lineRule="auto" w:before="13"/>
        <w:ind w:right="1123"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日，根据公司股东大会通过的《公司</w:t>
      </w:r>
      <w:r>
        <w:rPr>
          <w:rFonts w:ascii="Times New Roman" w:hAnsi="Times New Roman" w:cs="Times New Roman" w:eastAsia="Times New Roman" w:hint="default"/>
        </w:rPr>
        <w:t>2011</w:t>
      </w:r>
      <w:r>
        <w:rPr/>
        <w:t>年度利润分配及资本公积金转增股本预案》以及修改后的章程规 定，公司增加注册资本人民币</w:t>
      </w:r>
      <w:r>
        <w:rPr>
          <w:rFonts w:ascii="Times New Roman" w:hAnsi="Times New Roman" w:cs="Times New Roman" w:eastAsia="Times New Roman" w:hint="default"/>
        </w:rPr>
        <w:t>109,200,000.00</w:t>
      </w:r>
      <w:r>
        <w:rPr/>
        <w:t>元：其中按每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股的比例，以资本公积向全体股东转增股份总额 </w:t>
      </w:r>
      <w:r>
        <w:rPr>
          <w:rFonts w:ascii="Times New Roman" w:hAnsi="Times New Roman" w:cs="Times New Roman" w:eastAsia="Times New Roman" w:hint="default"/>
        </w:rPr>
        <w:t>109,200,000.00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109,200,000.00</w:t>
      </w:r>
      <w:r>
        <w:rPr/>
        <w:t>元，股权登记日期为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日，变更后注册资本为人民</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257"/>
        <w:jc w:val="left"/>
      </w:pPr>
      <w:r>
        <w:rPr/>
        <w:t>币</w:t>
      </w:r>
      <w:r>
        <w:rPr>
          <w:rFonts w:ascii="Times New Roman" w:hAnsi="Times New Roman" w:cs="Times New Roman" w:eastAsia="Times New Roman" w:hint="default"/>
        </w:rPr>
        <w:t>327,600,000.00</w:t>
      </w:r>
      <w:r>
        <w:rPr/>
        <w:t>元，此次增资于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日取得深圳市经济贸易和信息化委员会深经贸信息资质</w:t>
      </w:r>
      <w:r>
        <w:rPr>
          <w:rFonts w:ascii="Times New Roman" w:hAnsi="Times New Roman" w:cs="Times New Roman" w:eastAsia="Times New Roman" w:hint="default"/>
        </w:rPr>
        <w:t>[2012]I900</w:t>
      </w:r>
      <w:r>
        <w:rPr/>
        <w:t>号文件批 准，并已于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日办理工商信息变更手续。</w:t>
      </w:r>
    </w:p>
    <w:p>
      <w:pPr>
        <w:pStyle w:val="BodyText"/>
        <w:spacing w:line="300" w:lineRule="auto" w:before="13"/>
        <w:ind w:right="1123"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日，根据公司股东大会通过的《公司</w:t>
      </w:r>
      <w:r>
        <w:rPr>
          <w:rFonts w:ascii="Times New Roman" w:hAnsi="Times New Roman" w:cs="Times New Roman" w:eastAsia="Times New Roman" w:hint="default"/>
        </w:rPr>
        <w:t>2012</w:t>
      </w:r>
      <w:r>
        <w:rPr/>
        <w:t>年度利润分配及资本公积金转增股本预案》以及修改后的章程规 定，公司增加注册资本人民币</w:t>
      </w:r>
      <w:r>
        <w:rPr>
          <w:rFonts w:ascii="Times New Roman" w:hAnsi="Times New Roman" w:cs="Times New Roman" w:eastAsia="Times New Roman" w:hint="default"/>
        </w:rPr>
        <w:t>65,520,000.00</w:t>
      </w:r>
      <w:r>
        <w:rPr/>
        <w:t>元：其中按每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股的比例，以资本公积向全体股东转增股份总额 </w:t>
      </w:r>
      <w:r>
        <w:rPr>
          <w:rFonts w:ascii="Times New Roman" w:hAnsi="Times New Roman" w:cs="Times New Roman" w:eastAsia="Times New Roman" w:hint="default"/>
        </w:rPr>
        <w:t>65,520,000.00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65,520,000.00</w:t>
      </w:r>
      <w:r>
        <w:rPr/>
        <w:t>元，股权登记日期为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日，变更后注册资本为人民币</w:t>
      </w:r>
    </w:p>
    <w:p>
      <w:pPr>
        <w:pStyle w:val="BodyText"/>
        <w:spacing w:line="300" w:lineRule="auto" w:before="13"/>
        <w:ind w:right="1138"/>
        <w:jc w:val="left"/>
      </w:pPr>
      <w:r>
        <w:rPr>
          <w:rFonts w:ascii="Times New Roman" w:hAnsi="Times New Roman" w:cs="Times New Roman" w:eastAsia="Times New Roman" w:hint="default"/>
        </w:rPr>
        <w:t>393,120,000.00</w:t>
      </w:r>
      <w:r>
        <w:rPr/>
        <w:t>元，此次增资于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日取得深圳市经济贸易和信息化委员会深经贸信息资质</w:t>
      </w:r>
      <w:r>
        <w:rPr>
          <w:rFonts w:ascii="Times New Roman" w:hAnsi="Times New Roman" w:cs="Times New Roman" w:eastAsia="Times New Roman" w:hint="default"/>
        </w:rPr>
        <w:t>[2013]1108</w:t>
      </w:r>
      <w:r>
        <w:rPr/>
        <w:t>号文件批准， 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日办理工商信息变更手续。</w:t>
      </w:r>
    </w:p>
    <w:p>
      <w:pPr>
        <w:pStyle w:val="BodyText"/>
        <w:spacing w:line="240" w:lineRule="auto" w:before="13"/>
        <w:ind w:left="514" w:right="1118"/>
        <w:jc w:val="left"/>
        <w:rPr>
          <w:rFonts w:ascii="Times New Roman" w:hAnsi="Times New Roman" w:cs="Times New Roman" w:eastAsia="Times New Roman" w:hint="default"/>
        </w:rPr>
      </w:pPr>
      <w:r>
        <w:rPr>
          <w:spacing w:val="-3"/>
        </w:rPr>
        <w:t>截至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日键桥通讯技术有限公司持有公司</w:t>
      </w:r>
      <w:r>
        <w:rPr>
          <w:rFonts w:ascii="Times New Roman" w:hAnsi="Times New Roman" w:cs="Times New Roman" w:eastAsia="Times New Roman" w:hint="default"/>
          <w:spacing w:val="-3"/>
        </w:rPr>
        <w:t>15033.89</w:t>
      </w:r>
      <w:r>
        <w:rPr>
          <w:spacing w:val="-3"/>
        </w:rPr>
        <w:t>万股，占键桥通讯股份总数的</w:t>
      </w:r>
      <w:r>
        <w:rPr>
          <w:rFonts w:ascii="Times New Roman" w:hAnsi="Times New Roman" w:cs="Times New Roman" w:eastAsia="Times New Roman" w:hint="default"/>
          <w:spacing w:val="-3"/>
        </w:rPr>
        <w:t>38.2425%</w:t>
      </w:r>
      <w:r>
        <w:rPr>
          <w:spacing w:val="-3"/>
        </w:rPr>
        <w:t>，叶琼、</w:t>
      </w:r>
      <w:r>
        <w:rPr>
          <w:rFonts w:ascii="Times New Roman" w:hAnsi="Times New Roman" w:cs="Times New Roman" w:eastAsia="Times New Roman" w:hint="default"/>
          <w:spacing w:val="-3"/>
        </w:rPr>
        <w:t>BrendaYap</w:t>
      </w:r>
    </w:p>
    <w:p>
      <w:pPr>
        <w:pStyle w:val="BodyText"/>
        <w:spacing w:line="300" w:lineRule="auto" w:before="63"/>
        <w:ind w:right="1118"/>
        <w:jc w:val="left"/>
      </w:pPr>
      <w:r>
        <w:rPr/>
        <w:t>（叶冰）和</w:t>
      </w:r>
      <w:r>
        <w:rPr>
          <w:rFonts w:ascii="Times New Roman" w:hAnsi="Times New Roman" w:cs="Times New Roman" w:eastAsia="Times New Roman" w:hint="default"/>
        </w:rPr>
        <w:t>DavidXunGe</w:t>
      </w:r>
      <w:r>
        <w:rPr/>
        <w:t>（葛迅）是键桥通讯技术有限公司实际控制人，因此叶琼、</w:t>
      </w:r>
      <w:r>
        <w:rPr>
          <w:rFonts w:ascii="Times New Roman" w:hAnsi="Times New Roman" w:cs="Times New Roman" w:eastAsia="Times New Roman" w:hint="default"/>
        </w:rPr>
        <w:t>BrendaYap</w:t>
      </w:r>
      <w:r>
        <w:rPr/>
        <w:t>（叶冰）和</w:t>
      </w:r>
      <w:r>
        <w:rPr>
          <w:rFonts w:ascii="Times New Roman" w:hAnsi="Times New Roman" w:cs="Times New Roman" w:eastAsia="Times New Roman" w:hint="default"/>
        </w:rPr>
        <w:t>DavidXunGe</w:t>
      </w:r>
      <w:r>
        <w:rPr/>
        <w:t>（葛</w:t>
      </w:r>
      <w:r>
        <w:rPr>
          <w:spacing w:val="-37"/>
        </w:rPr>
        <w:t> </w:t>
      </w:r>
      <w:r>
        <w:rPr/>
        <w:t>迅）为公司的实际控制人。</w:t>
      </w:r>
    </w:p>
    <w:p>
      <w:pPr>
        <w:pStyle w:val="BodyText"/>
        <w:spacing w:line="304" w:lineRule="auto" w:before="31"/>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日，键桥通讯技术有限公司（以下简称香港键桥）与嘉兴乾德精一投资合伙企业（有限合伙）（以下简称 </w:t>
      </w:r>
      <w:r>
        <w:rPr>
          <w:spacing w:val="-3"/>
        </w:rPr>
        <w:t>乾德精一）签署了《股份转让协议》，乾德精一协议受让香港键桥持有的键桥通讯无限售流通股</w:t>
      </w:r>
      <w:r>
        <w:rPr>
          <w:rFonts w:ascii="Times New Roman" w:hAnsi="Times New Roman" w:cs="Times New Roman" w:eastAsia="Times New Roman" w:hint="default"/>
          <w:spacing w:val="-3"/>
        </w:rPr>
        <w:t>7,800</w:t>
      </w:r>
      <w:r>
        <w:rPr>
          <w:spacing w:val="-3"/>
        </w:rPr>
        <w:t>万股。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19</w:t>
      </w:r>
      <w:r>
        <w:rPr>
          <w:spacing w:val="-3"/>
        </w:rPr>
        <w:t>日，</w:t>
      </w:r>
      <w:r>
        <w:rPr>
          <w:spacing w:val="-38"/>
        </w:rPr>
        <w:t> </w:t>
      </w:r>
      <w:r>
        <w:rPr>
          <w:spacing w:val="-2"/>
        </w:rPr>
        <w:t>中国证券登记结算有限责任公司深圳分公司出具了《过户登记确认书》，本次股份转让已完成过户登记手续。本次股份过户</w:t>
      </w:r>
      <w:r>
        <w:rPr>
          <w:spacing w:val="-66"/>
        </w:rPr>
        <w:t> </w:t>
      </w:r>
      <w:r>
        <w:rPr>
          <w:spacing w:val="-66"/>
        </w:rPr>
      </w:r>
      <w:r>
        <w:rPr/>
        <w:t>登记手续完成后，乾德精一持有键桥通讯股份</w:t>
      </w:r>
      <w:r>
        <w:rPr>
          <w:rFonts w:ascii="Times New Roman" w:hAnsi="Times New Roman" w:cs="Times New Roman" w:eastAsia="Times New Roman" w:hint="default"/>
        </w:rPr>
        <w:t>7,800</w:t>
      </w:r>
      <w:r>
        <w:rPr/>
        <w:t>万股，占键桥通讯股份总数的</w:t>
      </w:r>
      <w:r>
        <w:rPr>
          <w:rFonts w:ascii="Times New Roman" w:hAnsi="Times New Roman" w:cs="Times New Roman" w:eastAsia="Times New Roman" w:hint="default"/>
        </w:rPr>
        <w:t>19.84%</w:t>
      </w:r>
      <w:r>
        <w:rPr/>
        <w:t>，成为公司第一大股东；香港键桥</w:t>
      </w:r>
      <w:r>
        <w:rPr>
          <w:spacing w:val="-57"/>
        </w:rPr>
        <w:t> </w:t>
      </w:r>
      <w:r>
        <w:rPr>
          <w:spacing w:val="-57"/>
        </w:rPr>
      </w:r>
      <w:r>
        <w:rPr/>
        <w:t>持有键桥通讯股份</w:t>
      </w:r>
      <w:r>
        <w:rPr>
          <w:rFonts w:ascii="Times New Roman" w:hAnsi="Times New Roman" w:cs="Times New Roman" w:eastAsia="Times New Roman" w:hint="default"/>
        </w:rPr>
        <w:t>7,233.89</w:t>
      </w:r>
      <w:r>
        <w:rPr/>
        <w:t>万股，占键桥通讯股份总数的</w:t>
      </w:r>
      <w:r>
        <w:rPr>
          <w:rFonts w:ascii="Times New Roman" w:hAnsi="Times New Roman" w:cs="Times New Roman" w:eastAsia="Times New Roman" w:hint="default"/>
        </w:rPr>
        <w:t>18.40%</w:t>
      </w:r>
      <w:r>
        <w:rPr/>
        <w:t>，为键桥通讯第二大股东。</w:t>
      </w:r>
    </w:p>
    <w:p>
      <w:pPr>
        <w:pStyle w:val="BodyText"/>
        <w:spacing w:line="316" w:lineRule="auto" w:before="9"/>
        <w:ind w:left="514" w:right="1118"/>
        <w:jc w:val="left"/>
      </w:pPr>
      <w:r>
        <w:rPr/>
        <w:t>（四）公司的基本组织架构 </w:t>
      </w:r>
      <w:r>
        <w:rPr>
          <w:spacing w:val="-2"/>
        </w:rPr>
        <w:t>本公司依法建立了股东大会、董事会、监事会，制定了《股东大会议事规则》、《董事会议事规则》、《监事会议事规</w:t>
      </w:r>
    </w:p>
    <w:p>
      <w:pPr>
        <w:pStyle w:val="BodyText"/>
        <w:spacing w:line="316" w:lineRule="auto" w:before="19"/>
        <w:ind w:left="154" w:right="1032"/>
        <w:jc w:val="left"/>
      </w:pPr>
      <w:r>
        <w:rPr>
          <w:spacing w:val="-2"/>
        </w:rPr>
        <w:t>则》、《总经理工作细则》和《独立董事工作制度》等。公司董事会聘任了总经理、副总经理、财务总监及董事会秘书，并</w:t>
      </w:r>
      <w:r>
        <w:rPr>
          <w:spacing w:val="-70"/>
        </w:rPr>
        <w:t> </w:t>
      </w:r>
      <w:r>
        <w:rPr>
          <w:spacing w:val="-70"/>
        </w:rPr>
      </w:r>
      <w:r>
        <w:rPr/>
        <w:t>根据生产经营需要分别设置了研发中心、资质管理部、市场部、交付管理部、财务部、人力资源部、总裁办、品牌公关部、 董事会秘书处、内部审计部等职能管理部门中心。</w:t>
      </w:r>
    </w:p>
    <w:p>
      <w:pPr>
        <w:pStyle w:val="BodyText"/>
        <w:spacing w:line="316" w:lineRule="auto" w:before="19"/>
        <w:ind w:left="514" w:right="1118"/>
        <w:jc w:val="left"/>
      </w:pPr>
      <w:r>
        <w:rPr/>
        <w:t>（五）公司的实际控制人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日，乾德精一持有键桥通讯股份</w:t>
      </w:r>
      <w:r>
        <w:rPr>
          <w:rFonts w:ascii="Times New Roman" w:hAnsi="Times New Roman" w:cs="Times New Roman" w:eastAsia="Times New Roman" w:hint="default"/>
        </w:rPr>
        <w:t>7,800</w:t>
      </w:r>
      <w:r>
        <w:rPr/>
        <w:t>万股，占键桥通讯股份总数的</w:t>
      </w:r>
      <w:r>
        <w:rPr>
          <w:rFonts w:ascii="Times New Roman" w:hAnsi="Times New Roman" w:cs="Times New Roman" w:eastAsia="Times New Roman" w:hint="default"/>
        </w:rPr>
        <w:t>19.84%</w:t>
      </w:r>
      <w:r>
        <w:rPr/>
        <w:t>，为公司第一大股东；香</w:t>
      </w:r>
    </w:p>
    <w:p>
      <w:pPr>
        <w:pStyle w:val="BodyText"/>
        <w:spacing w:line="300" w:lineRule="auto"/>
        <w:ind w:right="1118"/>
        <w:jc w:val="left"/>
      </w:pPr>
      <w:r>
        <w:rPr>
          <w:spacing w:val="-1"/>
        </w:rPr>
        <w:t>港键桥持有键桥通讯股份</w:t>
      </w:r>
      <w:r>
        <w:rPr>
          <w:rFonts w:ascii="Times New Roman" w:hAnsi="Times New Roman" w:cs="Times New Roman" w:eastAsia="Times New Roman" w:hint="default"/>
          <w:spacing w:val="-1"/>
        </w:rPr>
        <w:t>7,233.89</w:t>
      </w:r>
      <w:r>
        <w:rPr>
          <w:spacing w:val="-1"/>
        </w:rPr>
        <w:t>万股，占键桥通讯股份总数的</w:t>
      </w:r>
      <w:r>
        <w:rPr>
          <w:rFonts w:ascii="Times New Roman" w:hAnsi="Times New Roman" w:cs="Times New Roman" w:eastAsia="Times New Roman" w:hint="default"/>
          <w:spacing w:val="-1"/>
        </w:rPr>
        <w:t>18.40%</w:t>
      </w:r>
      <w:r>
        <w:rPr>
          <w:spacing w:val="-1"/>
        </w:rPr>
        <w:t>，为键桥通讯第二大股东。由于第一大股东和第二大</w:t>
      </w:r>
      <w:r>
        <w:rPr>
          <w:spacing w:val="-41"/>
        </w:rPr>
        <w:t> </w:t>
      </w:r>
      <w:r>
        <w:rPr>
          <w:spacing w:val="-41"/>
        </w:rPr>
      </w:r>
      <w:r>
        <w:rPr/>
        <w:t>股东股权比例较为接近，所以公司无实际控制人。</w:t>
      </w:r>
    </w:p>
    <w:p>
      <w:pPr>
        <w:pStyle w:val="BodyText"/>
        <w:spacing w:line="240" w:lineRule="auto" w:before="72"/>
        <w:ind w:left="444" w:right="1118"/>
        <w:jc w:val="left"/>
      </w:pPr>
      <w:r>
        <w:rPr/>
        <w:t>（六）本财务报表业经本公司董事会于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日决议批准报出。</w:t>
      </w:r>
    </w:p>
    <w:p>
      <w:pPr>
        <w:pStyle w:val="BodyText"/>
        <w:spacing w:line="300" w:lineRule="auto" w:before="102"/>
        <w:ind w:right="0" w:firstLine="270"/>
        <w:jc w:val="left"/>
      </w:pPr>
      <w:r>
        <w:rPr/>
        <w:t>（七）本公司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12</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 </w:t>
      </w:r>
      <w:r>
        <w:rPr>
          <w:spacing w:val="-2"/>
        </w:rPr>
        <w:t>上年度增加</w:t>
      </w:r>
      <w:r>
        <w:rPr>
          <w:rFonts w:ascii="Times New Roman" w:hAnsi="Times New Roman" w:cs="Times New Roman" w:eastAsia="Times New Roman" w:hint="default"/>
          <w:spacing w:val="-2"/>
        </w:rPr>
        <w:t>7</w:t>
      </w:r>
      <w:r>
        <w:rPr>
          <w:spacing w:val="-2"/>
        </w:rPr>
        <w:t>户（其中：新设子公司</w:t>
      </w:r>
      <w:r>
        <w:rPr>
          <w:rFonts w:ascii="Times New Roman" w:hAnsi="Times New Roman" w:cs="Times New Roman" w:eastAsia="Times New Roman" w:hint="default"/>
          <w:spacing w:val="-2"/>
        </w:rPr>
        <w:t>5</w:t>
      </w:r>
      <w:r>
        <w:rPr>
          <w:spacing w:val="-2"/>
        </w:rPr>
        <w:t>户、入伙合伙企业</w:t>
      </w:r>
      <w:r>
        <w:rPr>
          <w:rFonts w:ascii="Times New Roman" w:hAnsi="Times New Roman" w:cs="Times New Roman" w:eastAsia="Times New Roman" w:hint="default"/>
          <w:spacing w:val="-2"/>
        </w:rPr>
        <w:t>1</w:t>
      </w:r>
      <w:r>
        <w:rPr>
          <w:spacing w:val="-2"/>
        </w:rPr>
        <w:t>户、收购子公司</w:t>
      </w:r>
      <w:r>
        <w:rPr>
          <w:rFonts w:ascii="Times New Roman" w:hAnsi="Times New Roman" w:cs="Times New Roman" w:eastAsia="Times New Roman" w:hint="default"/>
          <w:spacing w:val="-2"/>
        </w:rPr>
        <w:t>1</w:t>
      </w:r>
      <w:r>
        <w:rPr>
          <w:spacing w:val="-2"/>
        </w:rPr>
        <w:t>户），减少</w:t>
      </w:r>
      <w:r>
        <w:rPr>
          <w:rFonts w:ascii="Times New Roman" w:hAnsi="Times New Roman" w:cs="Times New Roman" w:eastAsia="Times New Roman" w:hint="default"/>
          <w:spacing w:val="-2"/>
        </w:rPr>
        <w:t>3</w:t>
      </w:r>
      <w:r>
        <w:rPr>
          <w:spacing w:val="-2"/>
        </w:rPr>
        <w:t>户，详见本附注七</w:t>
      </w:r>
      <w:r>
        <w:rPr>
          <w:rFonts w:ascii="Times New Roman" w:hAnsi="Times New Roman" w:cs="Times New Roman" w:eastAsia="Times New Roman" w:hint="default"/>
          <w:spacing w:val="-2"/>
        </w:rPr>
        <w:t>“</w:t>
      </w:r>
      <w:r>
        <w:rPr>
          <w:spacing w:val="-2"/>
        </w:rPr>
        <w:t>合并范围的变更</w:t>
      </w:r>
      <w:r>
        <w:rPr>
          <w:rFonts w:ascii="Times New Roman" w:hAnsi="Times New Roman" w:cs="Times New Roman" w:eastAsia="Times New Roman" w:hint="default"/>
          <w:spacing w:val="-2"/>
        </w:rPr>
        <w:t>”</w:t>
      </w:r>
      <w:r>
        <w:rPr>
          <w:spacing w:val="-2"/>
        </w:rPr>
        <w:t>。</w:t>
      </w:r>
    </w:p>
    <w:p>
      <w:pPr>
        <w:spacing w:line="240" w:lineRule="auto" w:before="4"/>
        <w:rPr>
          <w:rFonts w:ascii="宋体" w:hAnsi="宋体" w:cs="宋体" w:eastAsia="宋体" w:hint="default"/>
          <w:sz w:val="20"/>
          <w:szCs w:val="20"/>
        </w:rPr>
      </w:pPr>
    </w:p>
    <w:p>
      <w:pPr>
        <w:pStyle w:val="Heading2"/>
        <w:spacing w:line="240" w:lineRule="auto"/>
        <w:ind w:left="154" w:right="1118"/>
        <w:jc w:val="left"/>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53"/>
        <w:ind w:right="1118"/>
        <w:jc w:val="left"/>
      </w:pPr>
      <w:r>
        <w:rPr>
          <w:spacing w:val="-2"/>
        </w:rPr>
        <w:t>根据企业会计准则的相关规定，本公司会计核算以权责发生制为基础。除某些金融工具外，本财务报表均以历史成本为计量</w:t>
      </w:r>
      <w:r>
        <w:rPr>
          <w:spacing w:val="-66"/>
        </w:rPr>
        <w:t> </w:t>
      </w:r>
      <w:r>
        <w:rPr>
          <w:spacing w:val="-66"/>
        </w:rPr>
      </w:r>
      <w:r>
        <w:rPr/>
        <w:t>基础。资产如果发生减值，则按照相关规定计提相应的减值准备。</w:t>
      </w:r>
    </w:p>
    <w:p>
      <w:pPr>
        <w:spacing w:line="240" w:lineRule="auto" w:before="4"/>
        <w:rPr>
          <w:rFonts w:ascii="宋体" w:hAnsi="宋体" w:cs="宋体" w:eastAsia="宋体" w:hint="default"/>
          <w:sz w:val="22"/>
          <w:szCs w:val="22"/>
        </w:rPr>
      </w:pPr>
    </w:p>
    <w:p>
      <w:pPr>
        <w:pStyle w:val="Heading3"/>
        <w:spacing w:line="240" w:lineRule="auto"/>
        <w:ind w:right="1118"/>
        <w:jc w:val="left"/>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8"/>
        <w:jc w:val="left"/>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18" w:hanging="360"/>
        <w:jc w:val="left"/>
      </w:pPr>
      <w:r>
        <w:rPr/>
        <w:t>具体会计政策和会计估计提示： </w:t>
      </w:r>
      <w:r>
        <w:rPr>
          <w:spacing w:val="-2"/>
        </w:rPr>
        <w:t>本公司及主要子公司从事专网信息通信技术业务，主要为能源、交通等行业提供信息通信技术解决方案，包括相关软硬</w:t>
      </w:r>
    </w:p>
    <w:p>
      <w:pPr>
        <w:pStyle w:val="BodyText"/>
        <w:spacing w:line="224" w:lineRule="exact"/>
        <w:ind w:right="0"/>
        <w:jc w:val="left"/>
      </w:pPr>
      <w:r>
        <w:rPr/>
        <w:t>件产品的研发、制造与服务。本公司及各子公司根据实际生产经营特点，依据相关企业会计准则的规定，对收入确认、建造</w:t>
      </w:r>
    </w:p>
    <w:p>
      <w:pPr>
        <w:pStyle w:val="BodyText"/>
        <w:spacing w:line="300" w:lineRule="auto" w:before="76"/>
        <w:ind w:right="1118"/>
        <w:jc w:val="left"/>
      </w:pPr>
      <w:r>
        <w:rPr>
          <w:spacing w:val="-2"/>
        </w:rPr>
        <w:t>合同完工百分比确定等交易和事项制定了若干项具体会计政策和会计估计，详见本附注四、</w:t>
      </w:r>
      <w:r>
        <w:rPr>
          <w:rFonts w:ascii="Times New Roman" w:hAnsi="Times New Roman" w:cs="Times New Roman" w:eastAsia="Times New Roman" w:hint="default"/>
          <w:spacing w:val="-2"/>
        </w:rPr>
        <w:t>23“</w:t>
      </w:r>
      <w:r>
        <w:rPr>
          <w:spacing w:val="-2"/>
        </w:rPr>
        <w:t>收入</w:t>
      </w:r>
      <w:r>
        <w:rPr>
          <w:rFonts w:ascii="Times New Roman" w:hAnsi="Times New Roman" w:cs="Times New Roman" w:eastAsia="Times New Roman" w:hint="default"/>
          <w:spacing w:val="-2"/>
        </w:rPr>
        <w:t>”</w:t>
      </w:r>
      <w:r>
        <w:rPr>
          <w:spacing w:val="-2"/>
        </w:rPr>
        <w:t>各项描述。关于管理层</w:t>
      </w:r>
      <w:r>
        <w:rPr>
          <w:spacing w:val="-42"/>
        </w:rPr>
        <w:t> </w:t>
      </w:r>
      <w:r>
        <w:rPr>
          <w:spacing w:val="-42"/>
        </w:rPr>
      </w:r>
      <w:r>
        <w:rPr/>
        <w:t>所作出的重大会计判断和估计的说明，请参阅附注四、</w:t>
      </w:r>
      <w:r>
        <w:rPr>
          <w:rFonts w:ascii="Times New Roman" w:hAnsi="Times New Roman" w:cs="Times New Roman" w:eastAsia="Times New Roman" w:hint="default"/>
        </w:rPr>
        <w:t>27“</w:t>
      </w:r>
      <w:r>
        <w:rPr/>
        <w:t>重大会计判断和估计</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1、遵循企业会计准则的声明" w:id="160"/>
      <w:bookmarkEnd w:id="16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2、会计期间" w:id="161"/>
      <w:bookmarkEnd w:id="16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50"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1118"/>
        <w:jc w:val="left"/>
        <w:rPr>
          <w:b w:val="0"/>
          <w:bCs w:val="0"/>
        </w:rPr>
      </w:pPr>
      <w:bookmarkStart w:name="3、营业周期" w:id="162"/>
      <w:bookmarkEnd w:id="16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1118"/>
        <w:jc w:val="left"/>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之境外子公司根据其经营所处的主要经济环境中的货币确定美元为其记账本位币。本公司编制本财务报表时所采用的货币为</w:t>
      </w:r>
      <w:r>
        <w:rPr>
          <w:spacing w:val="-64"/>
        </w:rPr>
        <w:t> </w:t>
      </w:r>
      <w:r>
        <w:rPr>
          <w:spacing w:val="-64"/>
        </w:rPr>
      </w:r>
      <w:r>
        <w:rPr/>
        <w:t>人民币。</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5、同一控制下和非同一控制下企业合并的会计处理方法" w:id="164"/>
      <w:bookmarkEnd w:id="16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1118"/>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1118"/>
        <w:jc w:val="left"/>
      </w:pPr>
      <w:r>
        <w:rPr/>
        <w:t>合并方为进行企业合并发生的各项直接费用，于发生时计入当期损益。</w:t>
      </w:r>
    </w:p>
    <w:p>
      <w:pPr>
        <w:pStyle w:val="BodyText"/>
        <w:spacing w:line="300" w:lineRule="auto" w:before="76"/>
        <w:ind w:left="514" w:right="1118"/>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1118"/>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9" w:lineRule="auto" w:before="59"/>
        <w:ind w:right="1131"/>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4"/>
        <w:rPr>
          <w:rFonts w:ascii="宋体" w:hAnsi="宋体" w:cs="宋体" w:eastAsia="宋体" w:hint="default"/>
          <w:sz w:val="22"/>
          <w:szCs w:val="22"/>
        </w:rPr>
      </w:pPr>
    </w:p>
    <w:p>
      <w:pPr>
        <w:pStyle w:val="Heading3"/>
        <w:spacing w:line="240" w:lineRule="auto"/>
        <w:ind w:right="1118"/>
        <w:jc w:val="left"/>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8"/>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118"/>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1118"/>
        <w:jc w:val="left"/>
      </w:pPr>
      <w:r>
        <w:rPr/>
        <w:t>一旦相关事实和情况的变化导致上述控制定义涉及的相关要素发生了变化，本公司将进行重新评估。</w:t>
      </w:r>
    </w:p>
    <w:p>
      <w:pPr>
        <w:pStyle w:val="BodyText"/>
        <w:spacing w:line="300" w:lineRule="auto" w:before="76"/>
        <w:ind w:left="514" w:right="1118"/>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240" w:lineRule="auto" w:before="19"/>
        <w:ind w:left="513" w:right="1118"/>
        <w:jc w:val="left"/>
      </w:pPr>
      <w:r>
        <w:rPr/>
        <w:t>公司内所有重大往来余额、交易及未实现利润在合并财务报表编制时予以抵销。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firstLine="360"/>
        <w:jc w:val="both"/>
      </w:pPr>
      <w:r>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26"/>
        <w:ind w:right="113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44"/>
        <w:ind w:right="1033"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1118"/>
        <w:jc w:val="left"/>
        <w:rPr>
          <w:b w:val="0"/>
          <w:bCs w:val="0"/>
        </w:rPr>
      </w:pPr>
      <w:bookmarkStart w:name="7、合营安排分类及共同经营会计处理方法" w:id="166"/>
      <w:bookmarkEnd w:id="16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58"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0"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3"/>
        </w:rPr>
        <w:t> </w:t>
      </w:r>
      <w:r>
        <w:rPr>
          <w:spacing w:val="-63"/>
        </w:rPr>
      </w:r>
      <w:r>
        <w:rPr/>
        <w:t>生的收入；确认本公司单独所发生的费用，以及按本公司份额确认共同经营发生的费用。</w:t>
      </w:r>
    </w:p>
    <w:p>
      <w:pPr>
        <w:pStyle w:val="BodyText"/>
        <w:spacing w:line="312" w:lineRule="auto" w:before="19"/>
        <w:ind w:right="1133"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1118"/>
        <w:jc w:val="left"/>
        <w:rPr>
          <w:b w:val="0"/>
          <w:bCs w:val="0"/>
        </w:rPr>
      </w:pPr>
      <w:bookmarkStart w:name="8、现金及现金等价物的确定标准" w:id="167"/>
      <w:bookmarkEnd w:id="16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9、外币业务和外币报表折算" w:id="168"/>
      <w:bookmarkEnd w:id="16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18"/>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本公司发生的外币交易在初始确认时，按交易日的即期汇率（通常指中国人民银行公布的当日外汇牌价的中间价）折算</w:t>
      </w:r>
    </w:p>
    <w:p>
      <w:pPr>
        <w:pStyle w:val="BodyText"/>
        <w:spacing w:line="240" w:lineRule="auto" w:before="32"/>
        <w:ind w:left="154" w:right="0"/>
        <w:jc w:val="left"/>
      </w:pPr>
      <w:r>
        <w:rPr/>
        <w:t>为记账本位币金额，但公司发生的外币兑换业务或涉及外币兑换的交易事项，按照实际采用的汇率折算为记账本位币金额。</w:t>
      </w:r>
    </w:p>
    <w:p>
      <w:pPr>
        <w:pStyle w:val="BodyText"/>
        <w:spacing w:line="300" w:lineRule="auto" w:before="76"/>
        <w:ind w:left="514" w:right="1118"/>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1131"/>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316" w:lineRule="auto" w:before="19"/>
        <w:ind w:right="113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left="154"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1118"/>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1118"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032"/>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目计算列示；折算后资产类项目与负债类项目和所有者权益类项目合计数的差额，作为外币报表折算差额，确认为其他综合</w:t>
      </w:r>
      <w:r>
        <w:rPr>
          <w:spacing w:val="-66"/>
        </w:rPr>
        <w:t> </w:t>
      </w:r>
      <w:r>
        <w:rPr>
          <w:spacing w:val="-66"/>
        </w:rPr>
      </w:r>
      <w:r>
        <w:rPr/>
        <w:t>收益。处置境外经营并丧失控制权时，将资产负债表中所有者权益项目下列示的、与该境外经营相关的外币报表折算差额， 全部或按处置该境外经营的比例转入处置当期损益。</w:t>
      </w:r>
    </w:p>
    <w:p>
      <w:pPr>
        <w:pStyle w:val="BodyText"/>
        <w:spacing w:line="316" w:lineRule="auto" w:before="20"/>
        <w:ind w:left="154" w:right="113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4" w:right="1118"/>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4" w:right="1026" w:hanging="360"/>
        <w:jc w:val="left"/>
      </w:pPr>
      <w:r>
        <w:rPr/>
        <w:t>表中所有者权益项目下列示的</w:t>
      </w:r>
      <w:r>
        <w:rPr>
          <w:spacing w:val="-87"/>
        </w:rPr>
        <w:t>、</w:t>
      </w:r>
      <w:r>
        <w:rPr/>
        <w:t>与该境外经营相关的归属于母公司所有者权益的外币报表折算差额</w:t>
      </w:r>
      <w:r>
        <w:rPr>
          <w:spacing w:val="-87"/>
        </w:rPr>
        <w:t>，</w:t>
      </w:r>
      <w:r>
        <w:rPr/>
        <w:t>全部转入处置当期损益。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6" w:lineRule="auto" w:before="19"/>
        <w:ind w:left="154" w:right="1032"/>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left="154" w:right="1118"/>
        <w:jc w:val="left"/>
        <w:rPr>
          <w:b w:val="0"/>
          <w:bCs w:val="0"/>
        </w:rPr>
      </w:pPr>
      <w:bookmarkStart w:name="10、金融工具" w:id="169"/>
      <w:bookmarkEnd w:id="16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1118"/>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2"/>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3"/>
        </w:rPr>
        <w:t> </w:t>
      </w:r>
      <w:r>
        <w:rPr>
          <w:spacing w:val="-63"/>
        </w:rPr>
      </w:r>
      <w:r>
        <w:rPr/>
        <w:t>照实质上相同的其他金融工具当前的公允价值、现金流量折现法和期权定价模型等。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1118"/>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1118"/>
        <w:jc w:val="left"/>
      </w:pPr>
      <w:r>
        <w:rPr/>
        <w:t>计入当期损益的金融资产、持有至到期投资、贷款和应收款项以及可供出售金融资产。</w:t>
      </w:r>
    </w:p>
    <w:p>
      <w:pPr>
        <w:pStyle w:val="BodyText"/>
        <w:spacing w:line="319" w:lineRule="auto" w:before="76"/>
        <w:ind w:left="513" w:right="1118"/>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8"/>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1118"/>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1118"/>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1118"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4" w:right="1118"/>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1118"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left="154"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left="154" w:right="1130"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3"/>
        </w:rPr>
        <w:t> </w:t>
      </w:r>
      <w:r>
        <w:rPr>
          <w:spacing w:val="-63"/>
        </w:rPr>
      </w:r>
      <w:r>
        <w:rPr/>
        <w:t>生金融资产，按照成本进行后续计量。</w:t>
      </w:r>
    </w:p>
    <w:p>
      <w:pPr>
        <w:pStyle w:val="BodyText"/>
        <w:spacing w:line="316" w:lineRule="auto" w:before="19"/>
        <w:ind w:left="513" w:right="1118"/>
        <w:jc w:val="left"/>
      </w:pPr>
      <w:r>
        <w:rPr/>
        <w:t>可供出售金融资产持有期间取得的利息及被投资单位宣告发放的现金股利，计入投资收益。 </w:t>
      </w:r>
      <w:r>
        <w:rPr>
          <w:spacing w:val="-2"/>
        </w:rPr>
        <w:t>因持有意图或能力发生改变，或公允价值不再能够可靠计量，或根据《企业会计准则第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w:t>
      </w:r>
    </w:p>
    <w:p>
      <w:pPr>
        <w:pStyle w:val="BodyText"/>
        <w:spacing w:line="316" w:lineRule="auto"/>
        <w:ind w:right="1131"/>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118" w:hanging="360"/>
        <w:jc w:val="left"/>
      </w:pPr>
      <w:r>
        <w:rPr/>
        <w:t>价值或账面价值。 </w:t>
      </w:r>
      <w:r>
        <w:rPr>
          <w:spacing w:val="-2"/>
        </w:rPr>
        <w:t>该金融资产有固定到期日的，与该金融资产相关、原计入其他综合收益的利得或损失，在该金融资产的剩余期限内，采</w:t>
      </w:r>
    </w:p>
    <w:p>
      <w:pPr>
        <w:pStyle w:val="BodyText"/>
        <w:spacing w:line="319" w:lineRule="auto" w:before="19"/>
        <w:ind w:right="1131"/>
        <w:jc w:val="both"/>
      </w:pPr>
      <w:r>
        <w:rPr>
          <w:spacing w:val="-2"/>
        </w:rPr>
        <w:t>用实际利率法摊销，计入当期损益；该金融资产的摊余成本与到期日金额之间的差额，在该金融资产的剩余期限内，采用实</w:t>
      </w:r>
      <w:r>
        <w:rPr>
          <w:spacing w:val="-66"/>
        </w:rPr>
        <w:t> </w:t>
      </w:r>
      <w:r>
        <w:rPr>
          <w:spacing w:val="-66"/>
        </w:rPr>
      </w:r>
      <w:r>
        <w:rPr>
          <w:spacing w:val="-2"/>
        </w:rPr>
        <w:t>际利率法摊销，计入当期损益。该金融资产没有固定到期日的，原计入其他综合收益的利得或损失仍保留在股东权益中，在</w:t>
      </w:r>
      <w:r>
        <w:rPr>
          <w:spacing w:val="-66"/>
        </w:rPr>
        <w:t> </w:t>
      </w:r>
      <w:r>
        <w:rPr>
          <w:spacing w:val="-66"/>
        </w:rPr>
      </w:r>
      <w:r>
        <w:rPr/>
        <w:t>该金融资产被处置时转出，计入当期损益。</w:t>
      </w:r>
    </w:p>
    <w:p>
      <w:pPr>
        <w:pStyle w:val="BodyText"/>
        <w:spacing w:line="300" w:lineRule="auto" w:before="17"/>
        <w:ind w:left="514" w:right="1118"/>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1118"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1118"/>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left="154"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1118"/>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0" w:lineRule="auto" w:before="19"/>
        <w:ind w:left="154" w:right="0"/>
        <w:jc w:val="both"/>
      </w:pPr>
      <w:r>
        <w:rPr/>
        <w:t>减值。</w:t>
      </w:r>
    </w:p>
    <w:p>
      <w:pPr>
        <w:pStyle w:val="BodyText"/>
        <w:spacing w:line="316" w:lineRule="auto" w:before="76"/>
        <w:ind w:left="154" w:right="1049"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54"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1118"/>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13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19"/>
        <w:ind w:left="154"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240" w:lineRule="auto" w:before="17"/>
        <w:ind w:left="513" w:right="1118"/>
        <w:jc w:val="left"/>
      </w:pPr>
      <w:r>
        <w:rPr/>
        <w:t>（</w:t>
      </w:r>
      <w:r>
        <w:rPr>
          <w:rFonts w:ascii="Times New Roman" w:hAnsi="Times New Roman" w:cs="Times New Roman" w:eastAsia="Times New Roman" w:hint="default"/>
        </w:rPr>
        <w:t>5</w:t>
      </w:r>
      <w:r>
        <w:rPr/>
        <w:t>）金融负债的分类和计量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firstLine="360"/>
        <w:jc w:val="left"/>
      </w:pPr>
      <w:r>
        <w:rPr/>
        <w:t>金融负债在初始确认时划分为以公允价值计量且其变动计入当期损益的金融负债和其他金融负债。初始确认金融负债， </w:t>
      </w: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9" w:lineRule="auto" w:before="19"/>
        <w:ind w:left="513" w:right="1213"/>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7"/>
        <w:ind w:left="513" w:right="1118"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1118"/>
        <w:jc w:val="left"/>
      </w:pPr>
      <w:r>
        <w:rPr/>
        <w:t>与该等金融负债相关的股利和利息支出计入当期损益。</w:t>
      </w:r>
    </w:p>
    <w:p>
      <w:pPr>
        <w:pStyle w:val="BodyText"/>
        <w:spacing w:line="316" w:lineRule="auto" w:before="76"/>
        <w:ind w:left="513" w:right="1118"/>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left="154"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3" w:right="3913"/>
        <w:jc w:val="left"/>
      </w:pPr>
      <w:r>
        <w:rPr/>
        <w:t>③财务担保合同 不属于指定为以公允价值计量且其变动计入当期损益的金融负债的财务担保合同，</w:t>
      </w:r>
    </w:p>
    <w:p>
      <w:pPr>
        <w:pStyle w:val="BodyText"/>
        <w:spacing w:line="240" w:lineRule="auto" w:before="19"/>
        <w:ind w:left="513" w:right="0"/>
        <w:jc w:val="left"/>
      </w:pPr>
      <w:r>
        <w:rPr/>
        <w:t>以公允价值进行初始确认，在初始确认后按照《企业会计准则第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或有事项》确定的金额和初始确认金额扣除按照</w:t>
      </w:r>
    </w:p>
    <w:p>
      <w:pPr>
        <w:pStyle w:val="BodyText"/>
        <w:spacing w:line="240" w:lineRule="auto" w:before="63"/>
        <w:ind w:left="154" w:right="1118"/>
        <w:jc w:val="left"/>
      </w:pPr>
      <w:r>
        <w:rPr/>
        <w:t>《企业会计准则第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300" w:lineRule="auto" w:before="63"/>
        <w:ind w:left="514" w:right="1118"/>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1118"/>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1118"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1118"/>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left="154" w:right="1118"/>
        <w:jc w:val="left"/>
      </w:pPr>
      <w:r>
        <w:rPr>
          <w:spacing w:val="-2"/>
        </w:rPr>
        <w:t>的衍生工具，其公允价值变动形成的利得或损失将根据套期关系的性质按照套期会计的要求确定计入损益的期间外，其余衍</w:t>
      </w:r>
      <w:r>
        <w:rPr>
          <w:spacing w:val="-63"/>
        </w:rPr>
        <w:t> </w:t>
      </w:r>
      <w:r>
        <w:rPr>
          <w:spacing w:val="-63"/>
        </w:rPr>
      </w:r>
      <w:r>
        <w:rPr/>
        <w:t>生工具的公允价值变动计入当期损益。</w:t>
      </w:r>
    </w:p>
    <w:p>
      <w:pPr>
        <w:pStyle w:val="BodyText"/>
        <w:spacing w:line="316" w:lineRule="auto" w:before="19"/>
        <w:ind w:left="15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3" w:right="1118"/>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1118"/>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left="154" w:right="1118"/>
        <w:jc w:val="left"/>
        <w:rPr>
          <w:b w:val="0"/>
          <w:bCs w:val="0"/>
        </w:rPr>
      </w:pPr>
      <w:bookmarkStart w:name="11、应收款项" w:id="170"/>
      <w:bookmarkEnd w:id="17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1118"/>
        <w:jc w:val="left"/>
      </w:pPr>
      <w:r>
        <w:rPr/>
        <w:t>组合中，采用账龄分析法计提坏账准备的：</w:t>
      </w:r>
    </w:p>
    <w:p>
      <w:pPr>
        <w:pStyle w:val="BodyText"/>
        <w:spacing w:line="240" w:lineRule="auto" w:before="117"/>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240" w:lineRule="auto" w:before="51"/>
        <w:ind w:left="154" w:right="1118"/>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单项金额不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有客观证明表明其未来现金流量现值低于其账面价值的单笔 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本公司对于单项金额虽不重大但有客观证明表明其未来现金 流量现值低于其账面价值的单笔金额为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万元以下的应收 款项，单独进行减值测试，有客观证据表明其发生了减</w:t>
            </w:r>
            <w:r>
              <w:rPr>
                <w:rFonts w:ascii="宋体" w:hAnsi="宋体" w:cs="宋体" w:eastAsia="宋体" w:hint="default"/>
                <w:spacing w:val="-39"/>
                <w:sz w:val="18"/>
                <w:szCs w:val="18"/>
              </w:rPr>
              <w:t> </w:t>
            </w:r>
            <w:r>
              <w:rPr>
                <w:rFonts w:ascii="宋体" w:hAnsi="宋体" w:cs="宋体" w:eastAsia="宋体" w:hint="default"/>
                <w:sz w:val="18"/>
                <w:szCs w:val="18"/>
              </w:rPr>
              <w:t>值损</w:t>
            </w:r>
            <w:r>
              <w:rPr>
                <w:rFonts w:ascii="宋体" w:hAnsi="宋体" w:cs="宋体" w:eastAsia="宋体" w:hint="default"/>
                <w:sz w:val="18"/>
                <w:szCs w:val="18"/>
              </w:rPr>
              <w:t> 失，计提坏帐准备。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12、存货" w:id="174"/>
      <w:bookmarkEnd w:id="17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4" w:right="2652"/>
        <w:jc w:val="left"/>
      </w:pPr>
      <w:r>
        <w:rPr/>
        <w:t>（</w:t>
      </w:r>
      <w:r>
        <w:rPr>
          <w:rFonts w:ascii="Times New Roman" w:hAnsi="Times New Roman" w:cs="Times New Roman" w:eastAsia="Times New Roman" w:hint="default"/>
        </w:rPr>
        <w:t>1</w:t>
      </w:r>
      <w:r>
        <w:rPr/>
        <w:t>）存货的分类 存货主要包括库存商品、原材料、委托加工商品、在产品、工程施工、发出商品、低值易耗品等。</w:t>
      </w:r>
    </w:p>
    <w:p>
      <w:pPr>
        <w:pStyle w:val="BodyText"/>
        <w:spacing w:line="240" w:lineRule="auto" w:before="30"/>
        <w:ind w:left="513" w:right="1118"/>
        <w:jc w:val="left"/>
      </w:pPr>
      <w:r>
        <w:rPr/>
        <w:t>（</w:t>
      </w:r>
      <w:r>
        <w:rPr>
          <w:rFonts w:ascii="Times New Roman" w:hAnsi="Times New Roman" w:cs="Times New Roman" w:eastAsia="Times New Roman" w:hint="default"/>
        </w:rPr>
        <w:t>2</w:t>
      </w:r>
      <w:r>
        <w:rPr/>
        <w:t>）存货取得和发出的计价方法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18"/>
        <w:jc w:val="left"/>
      </w:pPr>
      <w:r>
        <w:rPr/>
        <w:t>存货在取得时按实际成本计价，存货成本包括采购成本、加工成本和其他成本。领用和发出时按加权平均法计价</w:t>
      </w:r>
    </w:p>
    <w:p>
      <w:pPr>
        <w:pStyle w:val="BodyText"/>
        <w:spacing w:line="300" w:lineRule="auto" w:before="76"/>
        <w:ind w:left="514" w:right="1118"/>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9"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7"/>
        <w:ind w:left="514" w:right="1118" w:hanging="360"/>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left="154" w:right="1118"/>
        <w:jc w:val="left"/>
      </w:pPr>
      <w:r>
        <w:rPr/>
        <w:t>计提的存货跌价准备金额内予以转回，转回的金额计入当期损益。</w:t>
      </w:r>
    </w:p>
    <w:p>
      <w:pPr>
        <w:pStyle w:val="BodyText"/>
        <w:spacing w:line="240" w:lineRule="auto" w:before="76"/>
        <w:ind w:left="514" w:right="1118"/>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3" w:right="7153"/>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6"/>
        <w:rPr>
          <w:rFonts w:ascii="宋体" w:hAnsi="宋体" w:cs="宋体" w:eastAsia="宋体" w:hint="default"/>
          <w:sz w:val="23"/>
          <w:szCs w:val="23"/>
        </w:rPr>
      </w:pPr>
    </w:p>
    <w:p>
      <w:pPr>
        <w:pStyle w:val="Heading3"/>
        <w:spacing w:line="240" w:lineRule="auto"/>
        <w:ind w:right="1118"/>
        <w:jc w:val="left"/>
        <w:rPr>
          <w:b w:val="0"/>
          <w:bCs w:val="0"/>
        </w:rPr>
      </w:pPr>
      <w:bookmarkStart w:name="13、划分为持有待售资产" w:id="175"/>
      <w:bookmarkEnd w:id="17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 </w:t>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6" w:lineRule="auto" w:before="20"/>
        <w:ind w:right="113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09" w:lineRule="auto" w:before="60"/>
        <w:ind w:right="1130" w:firstLine="290"/>
        <w:jc w:val="both"/>
      </w:pPr>
      <w:r>
        <w:rPr>
          <w:spacing w:val="-1"/>
        </w:rPr>
        <w:t>某项资产或处置组被划归为持有待售，但后来不再满足持有待售的非流动资产的确认条件，本公司停止将其划归为持有</w:t>
      </w:r>
      <w:r>
        <w:rPr/>
        <w:t> 待售，并按照下列两项金额中较低者进行计量：（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w:t>
      </w:r>
      <w:r>
        <w:rPr>
          <w:spacing w:val="-82"/>
        </w:rPr>
        <w:t> </w:t>
      </w:r>
      <w:r>
        <w:rPr>
          <w:spacing w:val="-82"/>
        </w:rPr>
      </w:r>
      <w:r>
        <w:rPr/>
        <w:t>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5"/>
        <w:rPr>
          <w:rFonts w:ascii="宋体" w:hAnsi="宋体" w:cs="宋体" w:eastAsia="宋体" w:hint="default"/>
          <w:sz w:val="21"/>
          <w:szCs w:val="21"/>
        </w:rPr>
      </w:pPr>
    </w:p>
    <w:p>
      <w:pPr>
        <w:pStyle w:val="Heading3"/>
        <w:spacing w:line="240" w:lineRule="auto"/>
        <w:ind w:right="1118"/>
        <w:jc w:val="left"/>
        <w:rPr>
          <w:b w:val="0"/>
          <w:bCs w:val="0"/>
        </w:rPr>
      </w:pPr>
      <w:bookmarkStart w:name="14、长期股权投资" w:id="176"/>
      <w:bookmarkEnd w:id="17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left="15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4" w:right="1118"/>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2" w:lineRule="auto" w:before="31"/>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价值之和的差额，调整资本公积；资本公积不足冲减的，调整留存收益。合并日之前持有的股权投资因采用权益法核算或为</w:t>
      </w:r>
      <w:r>
        <w:rPr>
          <w:spacing w:val="-65"/>
        </w:rPr>
        <w:t> </w:t>
      </w:r>
      <w:r>
        <w:rPr>
          <w:spacing w:val="-65"/>
        </w:rPr>
      </w:r>
      <w:r>
        <w:rPr/>
        <w:t>可供出售金融资产而确认的其他综合收益，暂不进行会计处理。</w:t>
      </w:r>
    </w:p>
    <w:p>
      <w:pPr>
        <w:pStyle w:val="BodyText"/>
        <w:spacing w:line="312" w:lineRule="auto" w:before="19"/>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left="154"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1118"/>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1118"/>
        <w:jc w:val="left"/>
      </w:pPr>
      <w:r>
        <w:rPr/>
        <w:t>表采用成本法核算能够对被投资单位实施控制的长期股权投资。</w:t>
      </w:r>
    </w:p>
    <w:p>
      <w:pPr>
        <w:pStyle w:val="BodyText"/>
        <w:spacing w:line="316" w:lineRule="auto" w:before="76"/>
        <w:ind w:left="514" w:right="1118"/>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left="154" w:right="1118"/>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1118"/>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1118"/>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3"/>
        </w:rPr>
        <w:t> </w:t>
      </w:r>
      <w:r>
        <w:rPr>
          <w:spacing w:val="-43"/>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118"/>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1118"/>
        <w:jc w:val="left"/>
      </w:pPr>
      <w:r>
        <w:rPr/>
        <w:t>日）开始持续计算的净资产份额之间的差额，调整资本公积，资本公积不足冲减的，调整留存收益。</w:t>
      </w:r>
    </w:p>
    <w:p>
      <w:pPr>
        <w:pStyle w:val="BodyText"/>
        <w:spacing w:line="319" w:lineRule="auto" w:before="76"/>
        <w:ind w:left="513" w:right="1118"/>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7"/>
        <w:ind w:right="1118"/>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1118"/>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1118"/>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left="154" w:right="1130"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3"/>
        </w:rPr>
        <w:t> </w:t>
      </w:r>
      <w:r>
        <w:rPr>
          <w:spacing w:val="-63"/>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left="15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30"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3"/>
        </w:rPr>
        <w:t> </w:t>
      </w:r>
      <w:r>
        <w:rPr>
          <w:spacing w:val="-63"/>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15、投资性房地产" w:id="177"/>
      <w:bookmarkEnd w:id="17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9" w:lineRule="auto" w:before="25"/>
        <w:ind w:left="154"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8"/>
        </w:rPr>
        <w:t> </w:t>
      </w:r>
      <w:r>
        <w:rPr>
          <w:spacing w:val="-68"/>
        </w:rPr>
      </w:r>
      <w:r>
        <w:rPr/>
        <w:t>书面决议，明确表示将其用于经营出租且持有意图短期内不再发生变化的，也作为投资性房地产列报。</w:t>
      </w:r>
    </w:p>
    <w:p>
      <w:pPr>
        <w:pStyle w:val="BodyText"/>
        <w:spacing w:line="316" w:lineRule="auto" w:before="17"/>
        <w:ind w:right="1131"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240" w:lineRule="auto" w:before="19"/>
        <w:ind w:left="513" w:right="1118"/>
        <w:jc w:val="left"/>
      </w:pPr>
      <w:r>
        <w:rPr/>
        <w:t>本公司采用成本模式对投资性房地产进行后续计量，并按照与房屋建筑物或土地使用权一致的政策进行折旧或摊销。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1118"/>
        <w:jc w:val="left"/>
      </w:pPr>
      <w:r>
        <w:rPr/>
        <w:t>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31"/>
        <w:ind w:right="1118"/>
        <w:jc w:val="left"/>
      </w:pPr>
      <w:r>
        <w:rPr/>
        <w:t>值。</w:t>
      </w:r>
    </w:p>
    <w:p>
      <w:pPr>
        <w:pStyle w:val="BodyText"/>
        <w:spacing w:line="319" w:lineRule="auto" w:before="76"/>
        <w:ind w:left="154" w:right="1132"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5"/>
        <w:rPr>
          <w:rFonts w:ascii="宋体" w:hAnsi="宋体" w:cs="宋体" w:eastAsia="宋体" w:hint="default"/>
          <w:sz w:val="22"/>
          <w:szCs w:val="22"/>
        </w:rPr>
      </w:pPr>
    </w:p>
    <w:p>
      <w:pPr>
        <w:pStyle w:val="Heading3"/>
        <w:spacing w:line="240" w:lineRule="auto"/>
        <w:ind w:right="1118"/>
        <w:jc w:val="left"/>
        <w:rPr>
          <w:b w:val="0"/>
          <w:bCs w:val="0"/>
        </w:rPr>
      </w:pPr>
      <w:bookmarkStart w:name="16、固定资产" w:id="178"/>
      <w:bookmarkEnd w:id="17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left="154" w:right="1118"/>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r>
    </w:tbl>
    <w:p>
      <w:pPr>
        <w:pStyle w:val="BodyText"/>
        <w:spacing w:line="316" w:lineRule="auto" w:before="11"/>
        <w:ind w:left="154" w:right="1131"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300" w:lineRule="auto" w:before="19"/>
        <w:ind w:left="513" w:right="1118"/>
        <w:jc w:val="left"/>
      </w:pPr>
      <w:r>
        <w:rPr/>
        <w:t>固定资产的减值测试方法和减值准备计提方法详见附注四、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与固定资产有关的后续支出，如果与该固定资产有关的经济利益很可能流入且其成本能可靠地计量，则计入固定资产成</w:t>
      </w:r>
    </w:p>
    <w:p>
      <w:pPr>
        <w:pStyle w:val="BodyText"/>
        <w:spacing w:line="316" w:lineRule="auto" w:before="31"/>
        <w:ind w:left="513" w:right="1118" w:hanging="360"/>
        <w:jc w:val="left"/>
      </w:pPr>
      <w:r>
        <w:rPr/>
        <w:t>本，并终止确认被替换部分的账面价值。除此以外的其他后续支出，在发生时计入当期损益。 </w:t>
      </w:r>
      <w:r>
        <w:rPr>
          <w:spacing w:val="-2"/>
        </w:rPr>
        <w:t>当固定资产处于处置状态或预期通过使用或处置不能产生经济利益时，终止确认该固定资产。固定资产出售、转让、报</w:t>
      </w:r>
    </w:p>
    <w:p>
      <w:pPr>
        <w:pStyle w:val="BodyText"/>
        <w:spacing w:line="240" w:lineRule="auto" w:before="19"/>
        <w:ind w:right="1118"/>
        <w:jc w:val="left"/>
      </w:pPr>
      <w:r>
        <w:rPr/>
        <w:t>废或毁损的处置收入扣除其账面价值和相关税费后的差额计入当期损益。</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54" w:right="1118"/>
        <w:jc w:val="left"/>
        <w:rPr>
          <w:b w:val="0"/>
          <w:bCs w:val="0"/>
        </w:rPr>
      </w:pPr>
      <w:bookmarkStart w:name="17、在建工程" w:id="182"/>
      <w:bookmarkEnd w:id="18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7"/>
        <w:ind w:left="513" w:right="1118"/>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18、借款费用" w:id="183"/>
      <w:bookmarkEnd w:id="18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left="15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1118"/>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3" w:right="1123"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1118"/>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19、无形资产" w:id="184"/>
      <w:bookmarkEnd w:id="18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4452"/>
        <w:jc w:val="left"/>
      </w:pPr>
      <w:r>
        <w:rPr/>
        <w:t>①计价方法、使用寿命 无形资产是指本公司拥有或者控制的没有实物形态的可辨认非货币性资产。</w:t>
      </w:r>
    </w:p>
    <w:p>
      <w:pPr>
        <w:pStyle w:val="BodyText"/>
        <w:spacing w:line="319" w:lineRule="auto" w:before="19"/>
        <w:ind w:right="1043"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316" w:lineRule="auto" w:before="17"/>
        <w:ind w:right="113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left="154" w:right="113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316" w:lineRule="auto" w:before="19"/>
        <w:ind w:left="514" w:right="4112"/>
        <w:jc w:val="left"/>
      </w:pPr>
      <w:r>
        <w:rPr/>
        <w:t>②无形资产的减值测试方法及减值准备计提方法 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3"/>
        <w:spacing w:line="240" w:lineRule="auto"/>
        <w:ind w:right="1118"/>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1118"/>
        <w:jc w:val="left"/>
      </w:pPr>
      <w:r>
        <w:rPr/>
        <w:t>①完成该无形资产以使其能够使用或出售在技术上具有可行性；</w:t>
      </w:r>
    </w:p>
    <w:p>
      <w:pPr>
        <w:pStyle w:val="BodyText"/>
        <w:spacing w:line="240" w:lineRule="auto" w:before="77"/>
        <w:ind w:left="514" w:right="1118"/>
        <w:jc w:val="left"/>
      </w:pPr>
      <w:r>
        <w:rPr/>
        <w:t>②具有完成该无形资产并使用或出售的意图；</w:t>
      </w:r>
    </w:p>
    <w:p>
      <w:pPr>
        <w:pStyle w:val="BodyText"/>
        <w:spacing w:line="316" w:lineRule="auto" w:before="76"/>
        <w:ind w:left="154" w:right="1132"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4" w:right="1118"/>
        <w:jc w:val="left"/>
      </w:pPr>
      <w:r>
        <w:rPr/>
        <w:t>④有足够的技术、财务资源和其他资源支持，以完成该无形资产的开发，并有能力使用或出售该无形资产；</w:t>
      </w:r>
    </w:p>
    <w:p>
      <w:pPr>
        <w:pStyle w:val="BodyText"/>
        <w:spacing w:line="240" w:lineRule="auto" w:before="76"/>
        <w:ind w:left="513" w:right="1118"/>
        <w:jc w:val="left"/>
      </w:pPr>
      <w:r>
        <w:rPr/>
        <w:t>⑤归属于该无形资产开发阶段的支出能够可靠地计量。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18"/>
        <w:jc w:val="left"/>
      </w:pPr>
      <w:r>
        <w:rPr/>
        <w:t>无法区分研究阶段支出和开发阶段支出的，将发生的研发支出全部计入当期损益。</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0、长期资产减值" w:id="187"/>
      <w:bookmarkEnd w:id="18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9"/>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3"/>
        </w:rPr>
        <w:t> </w:t>
      </w:r>
      <w:r>
        <w:rPr>
          <w:spacing w:val="-63"/>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1118"/>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1、长期待摊费用" w:id="188"/>
      <w:bookmarkEnd w:id="188"/>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长期待摊费用为已经发生但应由报告期和以后各期负担的分摊期限在一年以上的各项费用。本公司的长期待摊费用主要</w:t>
      </w:r>
      <w:r>
        <w:rPr/>
        <w:t> 包括装修费等。长期待摊费用在预计受益期间按直线法摊销。</w:t>
      </w:r>
    </w:p>
    <w:p>
      <w:pPr>
        <w:spacing w:line="240" w:lineRule="auto" w:before="7"/>
        <w:rPr>
          <w:rFonts w:ascii="宋体" w:hAnsi="宋体" w:cs="宋体" w:eastAsia="宋体" w:hint="default"/>
          <w:sz w:val="22"/>
          <w:szCs w:val="22"/>
        </w:rPr>
      </w:pPr>
    </w:p>
    <w:p>
      <w:pPr>
        <w:pStyle w:val="Heading3"/>
        <w:spacing w:line="240" w:lineRule="auto"/>
        <w:ind w:left="154" w:right="1118"/>
        <w:jc w:val="left"/>
        <w:rPr>
          <w:b w:val="0"/>
          <w:bCs w:val="0"/>
        </w:rPr>
      </w:pPr>
      <w:bookmarkStart w:name="22、职工薪酬" w:id="189"/>
      <w:bookmarkEnd w:id="189"/>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118"/>
        <w:jc w:val="left"/>
      </w:pPr>
      <w:r>
        <w:rPr/>
        <w:t>本公司职工薪酬主要包括短期职工薪酬、离职后福利、辞退福利以及其他长期职工福利。其中： </w:t>
      </w:r>
      <w:r>
        <w:rPr>
          <w:spacing w:val="-2"/>
        </w:rPr>
        <w:t>短期薪酬主要包括工资、奖金、津贴和补贴、职工福利费、医疗保险费、生育保险费、工伤保险费、住房公积金、工会</w:t>
      </w:r>
    </w:p>
    <w:p>
      <w:pPr>
        <w:pStyle w:val="BodyText"/>
        <w:spacing w:line="316" w:lineRule="auto" w:before="19"/>
        <w:ind w:right="0"/>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pStyle w:val="BodyText"/>
        <w:spacing w:line="316" w:lineRule="auto" w:before="19"/>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3、预计负债" w:id="194"/>
      <w:bookmarkEnd w:id="194"/>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18"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1118"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4" w:right="1118"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513"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513"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316" w:lineRule="auto" w:before="31"/>
        <w:ind w:right="1118"/>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4、收入" w:id="195"/>
      <w:bookmarkEnd w:id="195"/>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18"/>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4" w:right="1118"/>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00" w:lineRule="auto" w:before="19"/>
        <w:ind w:left="514" w:right="1118"/>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4" w:right="1032" w:hanging="360"/>
        <w:jc w:val="left"/>
      </w:pPr>
      <w:r>
        <w:rPr/>
        <w:t>工进度按已完工作的测量比例确定。 提供劳务交易的结果能够可靠估计是指同时满足：①收入的金额能够可靠地计量；②相关的经济利益很可能流入企业；</w:t>
      </w:r>
    </w:p>
    <w:p>
      <w:pPr>
        <w:pStyle w:val="BodyText"/>
        <w:spacing w:line="316" w:lineRule="auto" w:before="19"/>
        <w:ind w:left="513" w:right="1118"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9" w:lineRule="auto" w:before="19"/>
        <w:ind w:left="513" w:right="1118"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7"/>
        <w:ind w:right="1118"/>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514" w:right="1118"/>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按实际测定的完工进度确定。 </w:t>
      </w:r>
      <w:r>
        <w:rPr>
          <w:spacing w:val="-4"/>
        </w:rPr>
        <w:t>建造合同的结果能够可靠估计是指同时满足：①合同总收入能够可靠地计量；②与合同相关的经济利益很可能流入企业；</w:t>
      </w:r>
    </w:p>
    <w:p>
      <w:pPr>
        <w:pStyle w:val="BodyText"/>
        <w:spacing w:line="316" w:lineRule="auto" w:before="19"/>
        <w:ind w:left="513" w:right="1118" w:hanging="360"/>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316" w:lineRule="auto" w:before="19"/>
        <w:ind w:right="1118"/>
        <w:jc w:val="left"/>
      </w:pPr>
      <w:r>
        <w:rPr>
          <w:spacing w:val="-2"/>
        </w:rPr>
        <w:t>本在其发生的当期确认为合同费用；合同成本不可能收回的，在发生时立即确认为合同费用，不确认合同收入。使建造合同</w:t>
      </w:r>
      <w:r>
        <w:rPr>
          <w:spacing w:val="-66"/>
        </w:rPr>
        <w:t> </w:t>
      </w:r>
      <w:r>
        <w:rPr>
          <w:spacing w:val="-66"/>
        </w:rPr>
      </w:r>
      <w:r>
        <w:rPr/>
        <w:t>的结果不能可靠估计的不确定因素不复存在的，按照完工百分比法确定与建造合同有关的收入和费用。</w:t>
      </w:r>
    </w:p>
    <w:p>
      <w:pPr>
        <w:pStyle w:val="BodyText"/>
        <w:spacing w:line="240" w:lineRule="auto" w:before="19"/>
        <w:ind w:left="513" w:right="1118"/>
        <w:jc w:val="left"/>
      </w:pPr>
      <w:r>
        <w:rPr/>
        <w:t>合同预计总成本超过合同总收入的，将预计损失确认为当期费用。</w:t>
      </w:r>
    </w:p>
    <w:p>
      <w:pPr>
        <w:pStyle w:val="BodyText"/>
        <w:spacing w:line="300" w:lineRule="auto" w:before="76"/>
        <w:ind w:left="514" w:right="661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left="513" w:right="571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left="154" w:right="1118"/>
        <w:jc w:val="left"/>
        <w:rPr>
          <w:b w:val="0"/>
          <w:bCs w:val="0"/>
        </w:rPr>
      </w:pPr>
      <w:bookmarkStart w:name="25、政府补助" w:id="196"/>
      <w:bookmarkEnd w:id="196"/>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与资产相关的政府补助判断依据及会计处理方法" w:id="197"/>
      <w:bookmarkEnd w:id="19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 </w:t>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2）与收益相关的政府补助判断依据及会计处理方法" w:id="198"/>
      <w:bookmarkEnd w:id="19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8" w:firstLine="360"/>
        <w:jc w:val="left"/>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16" w:lineRule="auto" w:before="19"/>
        <w:ind w:right="0" w:firstLine="360"/>
        <w:jc w:val="left"/>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04" w:lineRule="auto" w:before="19"/>
        <w:ind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2"/>
        </w:rPr>
        <w:t> </w:t>
      </w:r>
      <w:r>
        <w:rPr>
          <w:spacing w:val="-62"/>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6"/>
        </w:rPr>
        <w:t> </w:t>
      </w:r>
      <w:r>
        <w:rPr>
          <w:spacing w:val="-66"/>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pStyle w:val="BodyText"/>
        <w:spacing w:line="316" w:lineRule="auto" w:before="9"/>
        <w:ind w:right="0"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6"/>
        </w:rPr>
        <w:t> </w:t>
      </w:r>
      <w:r>
        <w:rPr>
          <w:spacing w:val="-66"/>
        </w:rPr>
      </w:r>
      <w:r>
        <w:rPr/>
        <w:t>关费用和损失的，直接计入当期损益。</w:t>
      </w:r>
    </w:p>
    <w:p>
      <w:pPr>
        <w:pStyle w:val="BodyText"/>
        <w:spacing w:line="316" w:lineRule="auto" w:before="19"/>
        <w:ind w:right="1118"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6、递延所得税资产/递延所得税负债" w:id="199"/>
      <w:bookmarkEnd w:id="199"/>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240" w:lineRule="auto" w:before="31"/>
        <w:ind w:left="154" w:right="0"/>
        <w:jc w:val="left"/>
      </w:pPr>
      <w:r>
        <w:rPr/>
        <w:t>的所得税金额计量</w:t>
      </w:r>
      <w:r>
        <w:rPr>
          <w:spacing w:val="-82"/>
        </w:rPr>
        <w:t>。</w:t>
      </w:r>
      <w:r>
        <w:rPr/>
        <w:t>计算当期所得税费用所依据的应纳税所得额系根据有关税法规定对本年度税前会计利润作相应调整后计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18"/>
        <w:jc w:val="left"/>
      </w:pPr>
      <w:r>
        <w:rPr/>
        <w:t>算得出。</w:t>
      </w:r>
    </w:p>
    <w:p>
      <w:pPr>
        <w:pStyle w:val="BodyText"/>
        <w:spacing w:line="300" w:lineRule="auto" w:before="76"/>
        <w:ind w:left="513" w:right="1118"/>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9" w:lineRule="auto" w:before="31"/>
        <w:ind w:right="1118"/>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7"/>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54"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left="154"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left="15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left="154"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29"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1118"/>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38" w:lineRule="auto" w:before="31"/>
        <w:ind w:left="154" w:right="1118"/>
        <w:jc w:val="left"/>
      </w:pPr>
      <w:r>
        <w:rPr/>
        <w:t>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p>
    <w:p>
      <w:pPr>
        <w:pStyle w:val="BodyText"/>
        <w:spacing w:line="319" w:lineRule="auto" w:before="2"/>
        <w:ind w:left="154" w:right="1118"/>
        <w:jc w:val="left"/>
      </w:pP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4"/>
        <w:rPr>
          <w:rFonts w:ascii="宋体" w:hAnsi="宋体" w:cs="宋体" w:eastAsia="宋体" w:hint="default"/>
          <w:sz w:val="22"/>
          <w:szCs w:val="22"/>
        </w:rPr>
      </w:pPr>
    </w:p>
    <w:p>
      <w:pPr>
        <w:pStyle w:val="Heading3"/>
        <w:spacing w:line="240" w:lineRule="auto"/>
        <w:ind w:left="154" w:right="1118"/>
        <w:jc w:val="left"/>
        <w:rPr>
          <w:b w:val="0"/>
          <w:bCs w:val="0"/>
        </w:rPr>
      </w:pPr>
      <w:bookmarkStart w:name="27、租赁" w:id="200"/>
      <w:bookmarkEnd w:id="200"/>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融资租赁的会计处理方法" w:id="201"/>
      <w:bookmarkEnd w:id="201"/>
      <w:r>
        <w:rPr>
          <w:b w:val="0"/>
          <w:bCs w:val="0"/>
        </w:rPr>
      </w:r>
      <w:r>
        <w:rPr/>
        <w:t>（</w:t>
      </w:r>
      <w:r>
        <w:rPr>
          <w:rFonts w:ascii="Times New Roman" w:hAnsi="Times New Roman" w:cs="Times New Roman" w:eastAsia="Times New Roman" w:hint="default"/>
        </w:rPr>
        <w:t>1</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513" w:right="1118"/>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1118"/>
        <w:jc w:val="left"/>
      </w:pPr>
      <w:r>
        <w:rPr/>
        <w:t>租金于实际发生时计入当期损益。</w:t>
      </w:r>
    </w:p>
    <w:p>
      <w:pPr>
        <w:pStyle w:val="BodyText"/>
        <w:spacing w:line="300" w:lineRule="auto" w:before="76"/>
        <w:ind w:left="513" w:right="1213"/>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pStyle w:val="BodyText"/>
        <w:spacing w:line="300" w:lineRule="auto" w:before="19"/>
        <w:ind w:left="513" w:right="1118"/>
        <w:jc w:val="left"/>
      </w:pPr>
      <w:r>
        <w:rPr/>
        <w:t>（</w:t>
      </w:r>
      <w:r>
        <w:rPr>
          <w:rFonts w:ascii="Times New Roman" w:hAnsi="Times New Roman" w:cs="Times New Roman" w:eastAsia="Times New Roman" w:hint="default"/>
        </w:rPr>
        <w:t>2</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2"/>
        <w:ind w:right="0"/>
        <w:jc w:val="left"/>
      </w:pPr>
      <w:r>
        <w:rPr>
          <w:spacing w:val="-4"/>
        </w:rPr>
        <w:t>最低租赁付款额作为长期应付款的入账价值，其差额作为未确认融资费用。此外，在租赁谈判和签订租赁合同过程中发生的，</w:t>
      </w:r>
      <w:r>
        <w:rPr>
          <w:spacing w:val="-43"/>
        </w:rPr>
        <w:t> </w:t>
      </w:r>
      <w:r>
        <w:rPr>
          <w:spacing w:val="-43"/>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1118"/>
        <w:jc w:val="left"/>
      </w:pPr>
      <w:r>
        <w:rPr/>
        <w:t>未确认融资费用在租赁期内采用实际利率法计算确认当期的融资费用。或有租金于实际发生时计入当期损益。</w:t>
      </w:r>
    </w:p>
    <w:p>
      <w:pPr>
        <w:pStyle w:val="BodyText"/>
        <w:spacing w:line="300" w:lineRule="auto" w:before="76"/>
        <w:ind w:left="513" w:right="1118"/>
        <w:jc w:val="left"/>
      </w:pPr>
      <w:r>
        <w:rPr/>
        <w:t>（</w:t>
      </w:r>
      <w:r>
        <w:rPr>
          <w:rFonts w:ascii="Times New Roman" w:hAnsi="Times New Roman" w:cs="Times New Roman" w:eastAsia="Times New Roman" w:hint="default"/>
        </w:rPr>
        <w:t>3</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right="1118"/>
        <w:jc w:val="left"/>
      </w:pPr>
      <w:r>
        <w:rPr>
          <w:spacing w:val="-2"/>
        </w:rPr>
        <w:t>余值；将最低租赁收款额、初始直接费用及未担保余值之和与其现值之和的差额确认为未实现融资收益。应收融资租赁款扣</w:t>
      </w:r>
      <w:r>
        <w:rPr>
          <w:spacing w:val="-65"/>
        </w:rPr>
        <w:t> </w:t>
      </w:r>
      <w:r>
        <w:rPr>
          <w:spacing w:val="-65"/>
        </w:rPr>
      </w:r>
      <w:r>
        <w:rPr/>
        <w:t>除未实现融资收益后的余额分别长期债权和一年内到期的长期债权列示。</w:t>
      </w:r>
    </w:p>
    <w:p>
      <w:pPr>
        <w:pStyle w:val="BodyText"/>
        <w:spacing w:line="240" w:lineRule="auto" w:before="19"/>
        <w:ind w:left="513" w:right="1118"/>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8、重要会计政策和会计估计变更" w:id="202"/>
      <w:bookmarkEnd w:id="202"/>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重要会计政策变更" w:id="203"/>
      <w:bookmarkEnd w:id="20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重要会计估计变更" w:id="204"/>
      <w:bookmarkEnd w:id="20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9、其他" w:id="205"/>
      <w:bookmarkEnd w:id="205"/>
      <w:r>
        <w:rPr>
          <w:b w:val="0"/>
          <w:bCs w:val="0"/>
        </w:rPr>
      </w:r>
      <w:r>
        <w:rPr>
          <w:rFonts w:ascii="Times New Roman" w:hAnsi="Times New Roman" w:cs="Times New Roman" w:eastAsia="Times New Roman" w:hint="default"/>
        </w:rPr>
        <w:t>29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left="154" w:right="1118"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1118"/>
        <w:jc w:val="left"/>
      </w:pPr>
      <w:r>
        <w:rPr/>
        <w:t>于资产负债表日，本公司需对财务报表项目金额进行判断、估计和假设的重要领域如下：</w:t>
      </w:r>
    </w:p>
    <w:p>
      <w:pPr>
        <w:pStyle w:val="BodyText"/>
        <w:spacing w:line="300" w:lineRule="auto" w:before="76"/>
        <w:ind w:left="514" w:right="1118"/>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2"/>
        </w:rPr>
        <w:t>在建造合同结果可以可靠估计时，本公司采用完工百分比法在资产负债表日确认合同收入。合同的完工百分比是依照本</w:t>
      </w:r>
    </w:p>
    <w:p>
      <w:pPr>
        <w:pStyle w:val="BodyText"/>
        <w:spacing w:line="300" w:lineRule="auto" w:before="31"/>
        <w:ind w:left="514" w:right="1118" w:hanging="360"/>
        <w:jc w:val="left"/>
      </w:pPr>
      <w:r>
        <w:rPr/>
        <w:t>附注四、</w:t>
      </w:r>
      <w:r>
        <w:rPr>
          <w:rFonts w:ascii="Times New Roman" w:hAnsi="Times New Roman" w:cs="Times New Roman" w:eastAsia="Times New Roman" w:hint="default"/>
        </w:rPr>
        <w:t>23</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w:t>
      </w:r>
    </w:p>
    <w:p>
      <w:pPr>
        <w:pStyle w:val="BodyText"/>
        <w:spacing w:line="316" w:lineRule="auto" w:before="31"/>
        <w:ind w:left="154" w:right="1118"/>
        <w:jc w:val="left"/>
      </w:pPr>
      <w:r>
        <w:rPr>
          <w:spacing w:val="-2"/>
        </w:rPr>
        <w:t>理层主要依靠过去的经验和工作作出判断。预计合同总收入和总成本，以及合同执行结果的估计变更都可能对变更当期或以</w:t>
      </w:r>
      <w:r>
        <w:rPr>
          <w:spacing w:val="-64"/>
        </w:rPr>
        <w:t> </w:t>
      </w:r>
      <w:r>
        <w:rPr>
          <w:spacing w:val="-64"/>
        </w:rPr>
      </w:r>
      <w:r>
        <w:rPr/>
        <w:t>后期间的营业收入、营业成本，以及期间损益产生影响，且可能构成重大影响。</w:t>
      </w:r>
    </w:p>
    <w:p>
      <w:pPr>
        <w:pStyle w:val="BodyText"/>
        <w:spacing w:line="300" w:lineRule="auto" w:before="19"/>
        <w:ind w:left="514" w:right="1118"/>
        <w:jc w:val="left"/>
      </w:pPr>
      <w:r>
        <w:rPr/>
        <w:t>（</w:t>
      </w:r>
      <w:r>
        <w:rPr>
          <w:rFonts w:ascii="Times New Roman" w:hAnsi="Times New Roman" w:cs="Times New Roman" w:eastAsia="Times New Roman" w:hint="default"/>
        </w:rPr>
        <w:t>2</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316" w:lineRule="auto" w:before="13"/>
        <w:ind w:right="1118"/>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240" w:lineRule="auto" w:before="19"/>
        <w:ind w:left="513" w:right="1118"/>
        <w:jc w:val="left"/>
      </w:pPr>
      <w:r>
        <w:rPr/>
        <w:t>（</w:t>
      </w:r>
      <w:r>
        <w:rPr>
          <w:rFonts w:ascii="Times New Roman" w:hAnsi="Times New Roman" w:cs="Times New Roman" w:eastAsia="Times New Roman" w:hint="default"/>
        </w:rPr>
        <w:t>3</w:t>
      </w:r>
      <w:r>
        <w:rPr/>
        <w:t>）坏账准备计提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本公司根据应收款项的会计政策，采用备抵法核算坏账损失。应收账款减值是基于评估应收账款的可收回性。鉴定应收</w:t>
      </w:r>
      <w:r>
        <w:rPr/>
        <w:t> </w:t>
      </w: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4" w:right="1118"/>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left="154" w:right="113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4" w:right="1118"/>
        <w:jc w:val="left"/>
      </w:pPr>
      <w:r>
        <w:rPr/>
        <w:t>（</w:t>
      </w:r>
      <w:r>
        <w:rPr>
          <w:rFonts w:ascii="Times New Roman" w:hAnsi="Times New Roman" w:cs="Times New Roman" w:eastAsia="Times New Roman" w:hint="default"/>
        </w:rPr>
        <w:t>5</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31"/>
        <w:ind w:left="154" w:right="1133"/>
        <w:jc w:val="both"/>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300" w:lineRule="auto" w:before="19"/>
        <w:ind w:left="514" w:right="1118"/>
        <w:jc w:val="left"/>
      </w:pPr>
      <w:r>
        <w:rPr/>
        <w:t>（</w:t>
      </w:r>
      <w:r>
        <w:rPr>
          <w:rFonts w:ascii="Times New Roman" w:hAnsi="Times New Roman" w:cs="Times New Roman" w:eastAsia="Times New Roman" w:hint="default"/>
        </w:rPr>
        <w:t>6</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31"/>
        <w:ind w:left="154" w:right="1133"/>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300" w:lineRule="auto" w:before="19"/>
        <w:ind w:left="513" w:right="1118"/>
        <w:jc w:val="left"/>
      </w:pPr>
      <w:r>
        <w:rPr/>
        <w:t>（</w:t>
      </w:r>
      <w:r>
        <w:rPr>
          <w:rFonts w:ascii="Times New Roman" w:hAnsi="Times New Roman" w:cs="Times New Roman" w:eastAsia="Times New Roman" w:hint="default"/>
        </w:rPr>
        <w:t>7</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133"/>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right="1139" w:firstLine="360"/>
        <w:jc w:val="both"/>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1130" w:firstLine="360"/>
        <w:jc w:val="both"/>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133" w:firstLine="36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9"/>
        <w:ind w:left="514" w:right="1118"/>
        <w:jc w:val="left"/>
      </w:pPr>
      <w:r>
        <w:rPr/>
        <w:t>（</w:t>
      </w:r>
      <w:r>
        <w:rPr>
          <w:rFonts w:ascii="Times New Roman" w:hAnsi="Times New Roman" w:cs="Times New Roman" w:eastAsia="Times New Roman" w:hint="default"/>
        </w:rPr>
        <w:t>8</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left="154"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4" w:right="1118"/>
        <w:jc w:val="left"/>
      </w:pPr>
      <w:r>
        <w:rPr/>
        <w:t>（</w:t>
      </w:r>
      <w:r>
        <w:rPr>
          <w:rFonts w:ascii="Times New Roman" w:hAnsi="Times New Roman" w:cs="Times New Roman" w:eastAsia="Times New Roman" w:hint="default"/>
        </w:rPr>
        <w:t>9</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left="154" w:right="1131"/>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513" w:right="1118"/>
        <w:jc w:val="left"/>
      </w:pPr>
      <w:r>
        <w:rPr/>
        <w:t>（</w:t>
      </w:r>
      <w:r>
        <w:rPr>
          <w:rFonts w:ascii="Times New Roman" w:hAnsi="Times New Roman" w:cs="Times New Roman" w:eastAsia="Times New Roman" w:hint="default"/>
        </w:rPr>
        <w:t>10</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2"/>
        <w:ind w:right="1132"/>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00" w:lineRule="auto" w:before="19"/>
        <w:ind w:left="513" w:right="0"/>
        <w:jc w:val="left"/>
      </w:pPr>
      <w:r>
        <w:rPr/>
        <w:t>（</w:t>
      </w:r>
      <w:r>
        <w:rPr>
          <w:rFonts w:ascii="Times New Roman" w:hAnsi="Times New Roman" w:cs="Times New Roman" w:eastAsia="Times New Roman" w:hint="default"/>
        </w:rPr>
        <w:t>11</w:t>
      </w:r>
      <w:r>
        <w:rPr/>
        <w:t>）预计负债 </w:t>
      </w:r>
      <w:r>
        <w:rPr>
          <w:spacing w:val="-4"/>
        </w:rPr>
        <w:t>本公司根据合约条款、现有知识及历史经验，对产品质量保证、预计合同亏损、延迟交货违约金等估计并计提相应准备。</w:t>
      </w:r>
    </w:p>
    <w:p>
      <w:pPr>
        <w:spacing w:after="0" w:line="300" w:lineRule="auto"/>
        <w:jc w:val="left"/>
        <w:sectPr>
          <w:footerReference w:type="default" r:id="rId19"/>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pStyle w:val="BodyText"/>
        <w:spacing w:line="319" w:lineRule="auto" w:before="19"/>
        <w:ind w:right="1133"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66"/>
        </w:rPr>
        <w:t> </w:t>
      </w:r>
      <w:r>
        <w:rPr>
          <w:spacing w:val="-66"/>
        </w:rPr>
      </w:r>
      <w:r>
        <w:rPr/>
        <w:t>益。</w:t>
      </w:r>
    </w:p>
    <w:p>
      <w:pPr>
        <w:spacing w:line="240" w:lineRule="auto" w:before="8"/>
        <w:rPr>
          <w:rFonts w:ascii="宋体" w:hAnsi="宋体" w:cs="宋体" w:eastAsia="宋体" w:hint="default"/>
          <w:sz w:val="20"/>
          <w:szCs w:val="20"/>
        </w:rPr>
      </w:pPr>
    </w:p>
    <w:p>
      <w:pPr>
        <w:pStyle w:val="Heading2"/>
        <w:spacing w:line="240" w:lineRule="auto"/>
        <w:ind w:left="154" w:right="0"/>
        <w:jc w:val="both"/>
        <w:rPr>
          <w:b w:val="0"/>
          <w:bCs w:val="0"/>
        </w:rPr>
      </w:pPr>
      <w:bookmarkStart w:name="六、税项" w:id="206"/>
      <w:bookmarkEnd w:id="20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主要税种及税率" w:id="207"/>
      <w:bookmarkEnd w:id="20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应纳增值税、应纳营业税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2、税收优惠" w:id="208"/>
      <w:bookmarkEnd w:id="20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1183"/>
        <w:jc w:val="left"/>
      </w:pPr>
      <w:r>
        <w:rPr/>
        <w:t>（</w:t>
      </w:r>
      <w:r>
        <w:rPr>
          <w:rFonts w:ascii="Times New Roman" w:hAnsi="Times New Roman" w:cs="Times New Roman" w:eastAsia="Times New Roman" w:hint="default"/>
        </w:rPr>
        <w:t>1</w:t>
      </w:r>
      <w:r>
        <w:rPr/>
        <w:t>）增值税 根据财政部、国家税务总局财税</w:t>
      </w:r>
      <w:r>
        <w:rPr>
          <w:rFonts w:ascii="Times New Roman" w:hAnsi="Times New Roman" w:cs="Times New Roman" w:eastAsia="Times New Roman" w:hint="default"/>
        </w:rPr>
        <w:t>[2011]100</w:t>
      </w:r>
      <w:r>
        <w:rPr/>
        <w:t>号《关于软件产品增值税政策的通知》的规定，增值税一般纳税人销售其自</w:t>
      </w:r>
    </w:p>
    <w:p>
      <w:pPr>
        <w:pStyle w:val="BodyText"/>
        <w:spacing w:line="300" w:lineRule="auto" w:before="13"/>
        <w:ind w:right="1118"/>
        <w:jc w:val="left"/>
      </w:pPr>
      <w:r>
        <w:rPr/>
        <w:t>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的部分实行即征即退政策。本公司自</w:t>
      </w:r>
      <w:r>
        <w:rPr>
          <w:rFonts w:ascii="Times New Roman" w:hAnsi="Times New Roman" w:cs="Times New Roman" w:eastAsia="Times New Roman" w:hint="default"/>
        </w:rPr>
        <w:t>2004 </w:t>
      </w:r>
      <w:r>
        <w:rPr>
          <w:spacing w:val="-2"/>
        </w:rPr>
        <w:t>年</w:t>
      </w:r>
      <w:r>
        <w:rPr>
          <w:rFonts w:ascii="Times New Roman" w:hAnsi="Times New Roman" w:cs="Times New Roman" w:eastAsia="Times New Roman" w:hint="default"/>
          <w:spacing w:val="-2"/>
        </w:rPr>
        <w:t>1</w:t>
      </w:r>
      <w:r>
        <w:rPr>
          <w:spacing w:val="-2"/>
        </w:rPr>
        <w:t>月起享受上述增值税即征即退的优惠政策；子公司深圳市德威普软件技术有限公司自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月起享受上述增值税即征即</w:t>
      </w:r>
      <w:r>
        <w:rPr>
          <w:spacing w:val="-58"/>
        </w:rPr>
        <w:t> </w:t>
      </w:r>
      <w:r>
        <w:rPr/>
        <w:t>退的优惠政策。</w:t>
      </w:r>
    </w:p>
    <w:p>
      <w:pPr>
        <w:pStyle w:val="BodyText"/>
        <w:spacing w:line="240" w:lineRule="auto" w:before="31"/>
        <w:ind w:left="513" w:right="1118"/>
        <w:jc w:val="left"/>
      </w:pPr>
      <w:r>
        <w:rPr/>
        <w:t>（</w:t>
      </w:r>
      <w:r>
        <w:rPr>
          <w:rFonts w:ascii="Times New Roman" w:hAnsi="Times New Roman" w:cs="Times New Roman" w:eastAsia="Times New Roman" w:hint="default"/>
        </w:rPr>
        <w:t>2</w:t>
      </w:r>
      <w:r>
        <w:rPr/>
        <w:t>）企业所得税</w:t>
      </w:r>
    </w:p>
    <w:p>
      <w:pPr>
        <w:pStyle w:val="BodyText"/>
        <w:spacing w:line="300" w:lineRule="auto" w:before="63"/>
        <w:ind w:right="1130" w:firstLine="360"/>
        <w:jc w:val="both"/>
      </w:pPr>
      <w:r>
        <w:rPr>
          <w:rFonts w:ascii="Times New Roman" w:hAnsi="Times New Roman" w:cs="Times New Roman" w:eastAsia="Times New Roman" w:hint="default"/>
          <w:spacing w:val="-2"/>
        </w:rPr>
        <w:t>2008</w:t>
      </w:r>
      <w:r>
        <w:rPr>
          <w:spacing w:val="-2"/>
        </w:rPr>
        <w:t>年起企业执行《中华人民共和国企业所得税法》，根据其第二十八条规定，国家需要重点扶持的高新技术企业，减</w:t>
      </w:r>
      <w:r>
        <w:rPr/>
        <w:t> </w:t>
      </w:r>
      <w:r>
        <w:rPr>
          <w:spacing w:val="-1"/>
        </w:rPr>
        <w:t>按</w:t>
      </w:r>
      <w:r>
        <w:rPr>
          <w:rFonts w:ascii="Times New Roman" w:hAnsi="Times New Roman" w:cs="Times New Roman" w:eastAsia="Times New Roman" w:hint="default"/>
          <w:spacing w:val="-1"/>
        </w:rPr>
        <w:t>15%</w:t>
      </w:r>
      <w:r>
        <w:rPr>
          <w:spacing w:val="-1"/>
        </w:rPr>
        <w:t>的税率征收企业所得税。经深圳市科技创新委员会、深圳市财政委员会、深圳市国家税务局、深圳市地方税务局联合</w:t>
      </w:r>
      <w:r>
        <w:rPr/>
        <w:t> </w:t>
      </w:r>
      <w:r>
        <w:rPr>
          <w:spacing w:val="-4"/>
        </w:rPr>
        <w:t>批准，本公司于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30</w:t>
      </w:r>
      <w:r>
        <w:rPr>
          <w:spacing w:val="-4"/>
        </w:rPr>
        <w:t>日取得国家级高新技术企业证书（证书编号</w:t>
      </w:r>
      <w:r>
        <w:rPr>
          <w:rFonts w:ascii="Times New Roman" w:hAnsi="Times New Roman" w:cs="Times New Roman" w:eastAsia="Times New Roman" w:hint="default"/>
          <w:spacing w:val="-4"/>
        </w:rPr>
        <w:t>GR201444201262</w:t>
      </w:r>
      <w:r>
        <w:rPr>
          <w:spacing w:val="-4"/>
        </w:rPr>
        <w:t>），有效期三年，因此，本公司</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20"/>
        </w:rPr>
        <w:t> </w:t>
      </w:r>
      <w:r>
        <w:rPr/>
        <w:t>年至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税率征收企业所得税。</w:t>
      </w:r>
    </w:p>
    <w:p>
      <w:pPr>
        <w:spacing w:line="240" w:lineRule="auto" w:before="4"/>
        <w:rPr>
          <w:rFonts w:ascii="宋体" w:hAnsi="宋体" w:cs="宋体" w:eastAsia="宋体" w:hint="default"/>
          <w:sz w:val="20"/>
          <w:szCs w:val="20"/>
        </w:rPr>
      </w:pPr>
    </w:p>
    <w:p>
      <w:pPr>
        <w:pStyle w:val="Heading2"/>
        <w:spacing w:line="240" w:lineRule="auto"/>
        <w:ind w:right="1118"/>
        <w:jc w:val="left"/>
        <w:rPr>
          <w:b w:val="0"/>
          <w:bCs w:val="0"/>
        </w:rPr>
      </w:pPr>
      <w:bookmarkStart w:name="七、合并财务报表项目注释" w:id="209"/>
      <w:bookmarkEnd w:id="20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货币资金" w:id="210"/>
      <w:bookmarkEnd w:id="21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1,714,072.37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773,270.93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255,430,389.55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267,453,830.07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159,338,647.20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85,951,881.14</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416,483,109.12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354,178,982.14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3,479,976.14</w:t>
            </w:r>
          </w:p>
        </w:tc>
      </w:tr>
    </w:tbl>
    <w:p>
      <w:pPr>
        <w:pStyle w:val="BodyText"/>
        <w:spacing w:line="240" w:lineRule="auto" w:before="51"/>
        <w:ind w:left="154" w:right="1118"/>
        <w:jc w:val="left"/>
      </w:pPr>
      <w:r>
        <w:rPr/>
        <w:t>其他说明</w:t>
      </w:r>
    </w:p>
    <w:p>
      <w:pPr>
        <w:pStyle w:val="BodyText"/>
        <w:spacing w:line="316" w:lineRule="auto" w:before="116"/>
        <w:ind w:left="513" w:right="2293"/>
        <w:jc w:val="left"/>
      </w:pPr>
      <w:r>
        <w:rPr/>
        <w:t>年末其他货币资金包括银行承兑汇票保证金存款、保函保证金存款、信用证保证金存款及外埠存款等。 货币资金受限情况详见附注七、</w:t>
      </w:r>
      <w:r>
        <w:rPr>
          <w:rFonts w:ascii="Times New Roman" w:hAnsi="Times New Roman" w:cs="Times New Roman" w:eastAsia="Times New Roman" w:hint="default"/>
        </w:rPr>
        <w:t>46</w:t>
      </w:r>
      <w:r>
        <w:rPr/>
        <w:t>。</w:t>
      </w:r>
    </w:p>
    <w:p>
      <w:pPr>
        <w:spacing w:line="240" w:lineRule="auto" w:before="13"/>
        <w:rPr>
          <w:rFonts w:ascii="宋体" w:hAnsi="宋体" w:cs="宋体" w:eastAsia="宋体" w:hint="default"/>
          <w:sz w:val="20"/>
          <w:szCs w:val="20"/>
        </w:rPr>
      </w:pPr>
    </w:p>
    <w:p>
      <w:pPr>
        <w:pStyle w:val="Heading3"/>
        <w:spacing w:line="240" w:lineRule="auto"/>
        <w:ind w:right="1118"/>
        <w:jc w:val="left"/>
        <w:rPr>
          <w:b w:val="0"/>
          <w:bCs w:val="0"/>
        </w:rPr>
      </w:pPr>
      <w:bookmarkStart w:name="2、衍生金融资产" w:id="211"/>
      <w:bookmarkEnd w:id="211"/>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应收票据" w:id="212"/>
      <w:bookmarkEnd w:id="21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应收票据分类列示" w:id="213"/>
      <w:bookmarkEnd w:id="21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705,599.34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3,904,599.34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期末公司已背书或贴现且在资产负债表日尚未到期的应收票据" w:id="214"/>
      <w:bookmarkEnd w:id="214"/>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163,330,000.00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应收账款" w:id="215"/>
      <w:bookmarkEnd w:id="215"/>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应收账款分类披露" w:id="216"/>
      <w:bookmarkEnd w:id="21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40,928,1</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6.92%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40,928,1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41,115,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271.61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6.85%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41,115,27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550,638,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961.88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93.08%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17,276,3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38.63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533,362,6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556,071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,042.99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17,563,69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538,507,34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3.55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3,259,0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3,259,083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591,567,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130.09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58,204,5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533,362,6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600,445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,398.57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61,938,05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538,507,34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559"/>
        <w:gridCol w:w="1276"/>
        <w:gridCol w:w="1134"/>
        <w:gridCol w:w="3050"/>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0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3,727,888.92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四川美达机电有限责任公司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深圳市星鸣贸易有限公司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7,739,473.49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兖矿集团有限公司信息中心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4,269,469.20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浙江省电力公司台州电业局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2,597,008.60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2,597,008.60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2,245,428.00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40,928,168.21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40,928,168.21</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349,868,547.83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61,139,501.66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1,222,790.04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118,726,338.81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11,872,633.88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20,904,573.58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4,180,914.71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550,638,961.88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17,276,338.63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w:t>
            </w:r>
          </w:p>
        </w:tc>
      </w:tr>
    </w:tbl>
    <w:p>
      <w:pPr>
        <w:pStyle w:val="BodyText"/>
        <w:spacing w:line="338" w:lineRule="auto" w:before="51"/>
        <w:ind w:left="154" w:right="1118"/>
        <w:jc w:val="left"/>
      </w:pPr>
      <w:r>
        <w:rPr/>
        <w:t>确定该组合依据的说明： </w:t>
      </w:r>
      <w:r>
        <w:rPr>
          <w:spacing w:val="-2"/>
        </w:rPr>
        <w:t>注：已单独计提减值准备的应收账款除外，本公司根据以前年度与之相同或相类似的、按账龄段划分的具有类似信用风险特</w:t>
      </w:r>
      <w:r>
        <w:rPr>
          <w:spacing w:val="-66"/>
        </w:rPr>
        <w:t> </w:t>
      </w:r>
      <w:r>
        <w:rPr>
          <w:spacing w:val="-66"/>
        </w:rPr>
      </w:r>
      <w:r>
        <w:rPr/>
        <w:t>征的应收账款组合作为账龄组合</w:t>
      </w:r>
    </w:p>
    <w:p>
      <w:pPr>
        <w:pStyle w:val="BodyText"/>
        <w:spacing w:line="240" w:lineRule="auto" w:before="43"/>
        <w:ind w:left="154" w:right="1118"/>
        <w:jc w:val="left"/>
      </w:pPr>
      <w:r>
        <w:rPr/>
        <w:t>组合中，采用余额百分比法计提坏账准备的应收账款：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2）本期计提、收回或转回的坏账准备情况" w:id="217"/>
      <w:bookmarkEnd w:id="2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t>本期计提坏账准备金额</w:t>
      </w:r>
      <w:r>
        <w:rPr>
          <w:spacing w:val="-49"/>
        </w:rPr>
        <w:t> </w:t>
      </w:r>
      <w:r>
        <w:rPr>
          <w:rFonts w:ascii="Times New Roman" w:hAnsi="Times New Roman" w:cs="Times New Roman" w:eastAsia="Times New Roman" w:hint="default"/>
        </w:rPr>
        <w:t>11,878,846.94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按欠款方归集的期末余额前五名的应收账款情况" w:id="218"/>
      <w:bookmarkEnd w:id="21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firstLine="360"/>
        <w:jc w:val="left"/>
      </w:pPr>
      <w:r>
        <w:rPr/>
        <w:t>本公司本年按欠款方归集的年末余额前五名应收账款汇总金额为</w:t>
      </w:r>
      <w:r>
        <w:rPr>
          <w:rFonts w:ascii="Times New Roman" w:hAnsi="Times New Roman" w:cs="Times New Roman" w:eastAsia="Times New Roman" w:hint="default"/>
        </w:rPr>
        <w:t>192,118,063.51</w:t>
      </w:r>
      <w:r>
        <w:rPr/>
        <w:t>元，占应收账款年末余额合计数的比例 为</w:t>
      </w:r>
      <w:r>
        <w:rPr>
          <w:rFonts w:ascii="Times New Roman" w:hAnsi="Times New Roman" w:cs="Times New Roman" w:eastAsia="Times New Roman" w:hint="default"/>
        </w:rPr>
        <w:t>32.48%</w:t>
      </w:r>
      <w:r>
        <w:rPr/>
        <w:t>，相应计提的坏账准备年末余额汇总金额为</w:t>
      </w:r>
      <w:r>
        <w:rPr>
          <w:rFonts w:ascii="Times New Roman" w:hAnsi="Times New Roman" w:cs="Times New Roman" w:eastAsia="Times New Roman" w:hint="default"/>
        </w:rPr>
        <w:t>7,950,569.67</w:t>
      </w:r>
      <w:r>
        <w:rPr/>
        <w:t>元。</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4）因金融资产转移而终止确认的应收账款" w:id="219"/>
      <w:bookmarkEnd w:id="219"/>
      <w:r>
        <w:rPr>
          <w:b w:val="0"/>
          <w:bCs w:val="0"/>
        </w:rPr>
      </w: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250"/>
        <w:gridCol w:w="3249"/>
        <w:gridCol w:w="3250"/>
      </w:tblGrid>
      <w:tr>
        <w:trPr>
          <w:trHeight w:val="347" w:hRule="exact"/>
        </w:trPr>
        <w:tc>
          <w:tcPr>
            <w:tcW w:w="325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金融资产转移方式</w:t>
            </w:r>
          </w:p>
        </w:tc>
        <w:tc>
          <w:tcPr>
            <w:tcW w:w="3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26"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250" w:type="dxa"/>
            <w:tcBorders>
              <w:top w:val="single" w:sz="6" w:space="0" w:color="000000"/>
              <w:left w:val="single" w:sz="6" w:space="0" w:color="000000"/>
              <w:bottom w:val="single" w:sz="6" w:space="0" w:color="000000"/>
              <w:right w:val="nil" w:sz="6" w:space="0" w:color="auto"/>
            </w:tcBorders>
            <w:shd w:val="clear" w:color="auto" w:fill="D9D9D9"/>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与终止确认相关的利得</w:t>
            </w:r>
          </w:p>
        </w:tc>
      </w:tr>
      <w:tr>
        <w:trPr>
          <w:trHeight w:val="347" w:hRule="exact"/>
        </w:trPr>
        <w:tc>
          <w:tcPr>
            <w:tcW w:w="3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应收账款转让</w:t>
            </w:r>
          </w:p>
        </w:tc>
        <w:tc>
          <w:tcPr>
            <w:tcW w:w="3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107,114,656.90</w:t>
            </w:r>
          </w:p>
        </w:tc>
        <w:tc>
          <w:tcPr>
            <w:tcW w:w="3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9,040,794.13</w:t>
            </w:r>
          </w:p>
        </w:tc>
      </w:tr>
      <w:tr>
        <w:trPr>
          <w:trHeight w:val="348" w:hRule="exact"/>
        </w:trPr>
        <w:tc>
          <w:tcPr>
            <w:tcW w:w="3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107,114,656.90</w:t>
            </w:r>
          </w:p>
        </w:tc>
        <w:tc>
          <w:tcPr>
            <w:tcW w:w="3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9,040,794.13</w:t>
            </w:r>
          </w:p>
        </w:tc>
      </w:tr>
    </w:tbl>
    <w:p>
      <w:pPr>
        <w:spacing w:line="240" w:lineRule="auto" w:before="3"/>
        <w:rPr>
          <w:rFonts w:ascii="宋体" w:hAnsi="宋体" w:cs="宋体" w:eastAsia="宋体" w:hint="default"/>
          <w:sz w:val="21"/>
          <w:szCs w:val="21"/>
        </w:rPr>
      </w:pPr>
    </w:p>
    <w:p>
      <w:pPr>
        <w:pStyle w:val="BodyText"/>
        <w:spacing w:line="304" w:lineRule="auto" w:before="44"/>
        <w:ind w:right="1129"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日公司召开的第三届董事会第四十五次会议和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日召开的审议通过了《关于出售资产暨关联交</w:t>
      </w:r>
      <w:r>
        <w:rPr/>
        <w:t> </w:t>
      </w:r>
      <w:r>
        <w:rPr>
          <w:spacing w:val="-2"/>
        </w:rPr>
        <w:t>易的议案》，公司及公司全资子公司德威普、德威普全资子公司湖南键桥与公司第二大股东实际控制人叶琼控制的公司浩瀚</w:t>
      </w:r>
      <w:r>
        <w:rPr>
          <w:spacing w:val="-66"/>
        </w:rPr>
        <w:t> </w:t>
      </w:r>
      <w:r>
        <w:rPr>
          <w:spacing w:val="-66"/>
        </w:rPr>
      </w:r>
      <w:r>
        <w:rPr>
          <w:spacing w:val="-2"/>
        </w:rPr>
        <w:t>天成签署了《资产转让协议》。公司及公司全资子公司德威普、德威普全资子公司湖南键桥向浩瀚天成以不附追索权的方式</w:t>
      </w:r>
      <w:r>
        <w:rPr>
          <w:spacing w:val="-66"/>
        </w:rPr>
        <w:t> </w:t>
      </w:r>
      <w:r>
        <w:rPr>
          <w:spacing w:val="-66"/>
        </w:rPr>
      </w:r>
      <w:r>
        <w:rPr/>
        <w:t>转让了应收账款净值</w:t>
      </w:r>
      <w:r>
        <w:rPr>
          <w:rFonts w:ascii="Times New Roman" w:hAnsi="Times New Roman" w:cs="Times New Roman" w:eastAsia="Times New Roman" w:hint="default"/>
        </w:rPr>
        <w:t>107,114,656.90</w:t>
      </w:r>
      <w:r>
        <w:rPr/>
        <w:t>元（其中：公司应收账款原值</w:t>
      </w:r>
      <w:r>
        <w:rPr>
          <w:rFonts w:ascii="Times New Roman" w:hAnsi="Times New Roman" w:cs="Times New Roman" w:eastAsia="Times New Roman" w:hint="default"/>
        </w:rPr>
        <w:t>112,020,869.13</w:t>
      </w:r>
      <w:r>
        <w:rPr/>
        <w:t>元、坏账准备</w:t>
      </w:r>
      <w:r>
        <w:rPr>
          <w:rFonts w:ascii="Times New Roman" w:hAnsi="Times New Roman" w:cs="Times New Roman" w:eastAsia="Times New Roman" w:hint="default"/>
        </w:rPr>
        <w:t>13,959,139.64</w:t>
      </w:r>
      <w:r>
        <w:rPr/>
        <w:t>元；德威普应收</w:t>
      </w:r>
      <w:r>
        <w:rPr>
          <w:spacing w:val="-51"/>
        </w:rPr>
        <w:t> </w:t>
      </w:r>
      <w:r>
        <w:rPr>
          <w:spacing w:val="-51"/>
        </w:rPr>
      </w:r>
      <w:r>
        <w:rPr/>
        <w:t>账款原值</w:t>
      </w:r>
      <w:r>
        <w:rPr>
          <w:rFonts w:ascii="Times New Roman" w:hAnsi="Times New Roman" w:cs="Times New Roman" w:eastAsia="Times New Roman" w:hint="default"/>
        </w:rPr>
        <w:t>6,512,536.54</w:t>
      </w:r>
      <w:r>
        <w:rPr/>
        <w:t>元、坏账准备</w:t>
      </w:r>
      <w:r>
        <w:rPr>
          <w:rFonts w:ascii="Times New Roman" w:hAnsi="Times New Roman" w:cs="Times New Roman" w:eastAsia="Times New Roman" w:hint="default"/>
        </w:rPr>
        <w:t>440,150.73</w:t>
      </w:r>
      <w:r>
        <w:rPr/>
        <w:t>元；湖南键桥应收账款原值</w:t>
      </w:r>
      <w:r>
        <w:rPr>
          <w:rFonts w:ascii="Times New Roman" w:hAnsi="Times New Roman" w:cs="Times New Roman" w:eastAsia="Times New Roman" w:hint="default"/>
        </w:rPr>
        <w:t>3,386,877.00</w:t>
      </w:r>
      <w:r>
        <w:rPr/>
        <w:t>元、坏账准备元</w:t>
      </w:r>
      <w:r>
        <w:rPr>
          <w:rFonts w:ascii="Times New Roman" w:hAnsi="Times New Roman" w:cs="Times New Roman" w:eastAsia="Times New Roman" w:hint="default"/>
        </w:rPr>
        <w:t>406,335.40</w:t>
      </w:r>
      <w:r>
        <w:rPr/>
        <w:t>元）、预付 </w:t>
      </w:r>
      <w:r>
        <w:rPr>
          <w:spacing w:val="-6"/>
        </w:rPr>
        <w:t>账款</w:t>
      </w:r>
      <w:r>
        <w:rPr>
          <w:rFonts w:ascii="Times New Roman" w:hAnsi="Times New Roman" w:cs="Times New Roman" w:eastAsia="Times New Roman" w:hint="default"/>
          <w:spacing w:val="-6"/>
        </w:rPr>
        <w:t>14,756,448.41</w:t>
      </w:r>
      <w:r>
        <w:rPr>
          <w:spacing w:val="-6"/>
        </w:rPr>
        <w:t>元（其中：公司</w:t>
      </w:r>
      <w:r>
        <w:rPr>
          <w:rFonts w:ascii="Times New Roman" w:hAnsi="Times New Roman" w:cs="Times New Roman" w:eastAsia="Times New Roman" w:hint="default"/>
          <w:spacing w:val="-6"/>
        </w:rPr>
        <w:t>14,756,448.41</w:t>
      </w:r>
      <w:r>
        <w:rPr>
          <w:spacing w:val="-6"/>
        </w:rPr>
        <w:t>元）、其他应收款净值</w:t>
      </w:r>
      <w:r>
        <w:rPr>
          <w:rFonts w:ascii="Times New Roman" w:hAnsi="Times New Roman" w:cs="Times New Roman" w:eastAsia="Times New Roman" w:hint="default"/>
          <w:spacing w:val="-6"/>
        </w:rPr>
        <w:t>33,918,174.00</w:t>
      </w:r>
      <w:r>
        <w:rPr>
          <w:spacing w:val="-6"/>
        </w:rPr>
        <w:t>元（其中：公司其他应收款原值</w:t>
      </w:r>
      <w:r>
        <w:rPr>
          <w:rFonts w:ascii="Times New Roman" w:hAnsi="Times New Roman" w:cs="Times New Roman" w:eastAsia="Times New Roman" w:hint="default"/>
          <w:spacing w:val="-6"/>
        </w:rPr>
        <w:t>26,511,969.07</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元、坏账准备</w:t>
      </w:r>
      <w:r>
        <w:rPr>
          <w:rFonts w:ascii="Times New Roman" w:hAnsi="Times New Roman" w:cs="Times New Roman" w:eastAsia="Times New Roman" w:hint="default"/>
        </w:rPr>
        <w:t>4,078,893.47</w:t>
      </w:r>
      <w:r>
        <w:rPr/>
        <w:t>元；湖南键桥应收账款原值</w:t>
      </w:r>
      <w:r>
        <w:rPr>
          <w:rFonts w:ascii="Times New Roman" w:hAnsi="Times New Roman" w:cs="Times New Roman" w:eastAsia="Times New Roman" w:hint="default"/>
        </w:rPr>
        <w:t>14,356,373.00</w:t>
      </w:r>
      <w:r>
        <w:rPr/>
        <w:t>元、坏账准备</w:t>
      </w:r>
      <w:r>
        <w:rPr>
          <w:rFonts w:ascii="Times New Roman" w:hAnsi="Times New Roman" w:cs="Times New Roman" w:eastAsia="Times New Roman" w:hint="default"/>
        </w:rPr>
        <w:t>2,871,274.60</w:t>
      </w:r>
      <w:r>
        <w:rPr/>
        <w:t>元），相关的利得</w:t>
      </w:r>
      <w:r>
        <w:rPr>
          <w:rFonts w:ascii="Times New Roman" w:hAnsi="Times New Roman" w:cs="Times New Roman" w:eastAsia="Times New Roman" w:hint="default"/>
        </w:rPr>
        <w:t>6,467,563.60</w:t>
      </w:r>
      <w:r>
        <w:rPr>
          <w:rFonts w:ascii="Times New Roman" w:hAnsi="Times New Roman" w:cs="Times New Roman" w:eastAsia="Times New Roman" w:hint="default"/>
          <w:spacing w:val="-41"/>
        </w:rPr>
        <w:t> </w:t>
      </w:r>
      <w:r>
        <w:rPr/>
        <w:t>元已全部转入资本公积。</w:t>
      </w:r>
    </w:p>
    <w:p>
      <w:pPr>
        <w:spacing w:line="240" w:lineRule="auto" w:before="3"/>
        <w:rPr>
          <w:rFonts w:ascii="宋体" w:hAnsi="宋体" w:cs="宋体" w:eastAsia="宋体" w:hint="default"/>
          <w:sz w:val="23"/>
          <w:szCs w:val="23"/>
        </w:rPr>
      </w:pPr>
    </w:p>
    <w:p>
      <w:pPr>
        <w:pStyle w:val="Heading3"/>
        <w:spacing w:line="240" w:lineRule="auto"/>
        <w:ind w:left="154" w:right="1118"/>
        <w:jc w:val="left"/>
        <w:rPr>
          <w:b w:val="0"/>
          <w:bCs w:val="0"/>
        </w:rPr>
      </w:pPr>
      <w:bookmarkStart w:name="（5）转移应收账款且继续涉入形成的资产、负债金额" w:id="220"/>
      <w:bookmarkEnd w:id="220"/>
      <w:r>
        <w:rPr>
          <w:b w:val="0"/>
          <w:bCs w:val="0"/>
        </w:rPr>
      </w: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t>其他说明：</w:t>
      </w:r>
    </w:p>
    <w:p>
      <w:pPr>
        <w:pStyle w:val="BodyText"/>
        <w:spacing w:line="240" w:lineRule="auto" w:before="115"/>
        <w:ind w:left="0" w:right="1134"/>
        <w:jc w:val="right"/>
      </w:pPr>
      <w:r>
        <w:rPr>
          <w:spacing w:val="3"/>
        </w:rPr>
        <w:t>本公司应收账款</w:t>
      </w:r>
      <w:r>
        <w:rPr>
          <w:rFonts w:ascii="Times New Roman" w:hAnsi="Times New Roman" w:cs="Times New Roman" w:eastAsia="Times New Roman" w:hint="default"/>
          <w:spacing w:val="3"/>
        </w:rPr>
        <w:t>—</w:t>
      </w:r>
      <w:r>
        <w:rPr>
          <w:spacing w:val="3"/>
        </w:rPr>
        <w:t>苏州市轨道交通集团有限公司</w:t>
      </w:r>
      <w:r>
        <w:rPr>
          <w:rFonts w:ascii="Times New Roman" w:hAnsi="Times New Roman" w:cs="Times New Roman" w:eastAsia="Times New Roman" w:hint="default"/>
          <w:spacing w:val="3"/>
        </w:rPr>
        <w:t>8,120,000.00</w:t>
      </w:r>
      <w:r>
        <w:rPr>
          <w:spacing w:val="3"/>
        </w:rPr>
        <w:t>元已保理给上海中锋商业保理有限公司，保理融资金额</w:t>
      </w:r>
    </w:p>
    <w:p>
      <w:pPr>
        <w:pStyle w:val="BodyText"/>
        <w:spacing w:line="240" w:lineRule="auto" w:before="63"/>
        <w:ind w:left="154" w:right="1118"/>
        <w:jc w:val="left"/>
      </w:pPr>
      <w:r>
        <w:rPr>
          <w:rFonts w:ascii="Times New Roman" w:hAnsi="Times New Roman" w:cs="Times New Roman" w:eastAsia="Times New Roman" w:hint="default"/>
        </w:rPr>
        <w:t>5,000,000.00</w:t>
      </w:r>
      <w:r>
        <w:rPr/>
        <w:t>元。</w:t>
      </w:r>
    </w:p>
    <w:p>
      <w:pPr>
        <w:spacing w:line="240" w:lineRule="auto" w:before="11"/>
        <w:rPr>
          <w:rFonts w:ascii="宋体" w:hAnsi="宋体" w:cs="宋体" w:eastAsia="宋体" w:hint="default"/>
          <w:sz w:val="25"/>
          <w:szCs w:val="25"/>
        </w:rPr>
      </w:pPr>
    </w:p>
    <w:p>
      <w:pPr>
        <w:pStyle w:val="Heading3"/>
        <w:spacing w:line="240" w:lineRule="auto"/>
        <w:ind w:left="154" w:right="1118"/>
        <w:jc w:val="left"/>
        <w:rPr>
          <w:b w:val="0"/>
          <w:bCs w:val="0"/>
        </w:rPr>
      </w:pPr>
      <w:bookmarkStart w:name="5、预付款项" w:id="221"/>
      <w:bookmarkEnd w:id="22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预付款项按账龄列示" w:id="222"/>
      <w:bookmarkEnd w:id="22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86,439,469.39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75,930,575.55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2,330,015.00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3,250,514.14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2,252,279.31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13,824.40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89,196,458.79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81,447,193.40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514" w:right="1122" w:hanging="36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本公司账龄在</w:t>
      </w:r>
      <w:r>
        <w:rPr>
          <w:rFonts w:ascii="Times New Roman" w:hAnsi="Times New Roman" w:cs="Times New Roman" w:eastAsia="Times New Roman" w:hint="default"/>
        </w:rPr>
        <w:t>1</w:t>
      </w:r>
      <w:r>
        <w:rPr/>
        <w:t>年以上的预付款项主要原因：（</w:t>
      </w:r>
      <w:r>
        <w:rPr>
          <w:rFonts w:ascii="Times New Roman" w:hAnsi="Times New Roman" w:cs="Times New Roman" w:eastAsia="Times New Roman" w:hint="default"/>
        </w:rPr>
        <w:t>1</w:t>
      </w:r>
      <w:r>
        <w:rPr/>
        <w:t>）公司为了取得价格优惠采取预付货款，分批到货；（</w:t>
      </w:r>
      <w:r>
        <w:rPr>
          <w:rFonts w:ascii="Times New Roman" w:hAnsi="Times New Roman" w:cs="Times New Roman" w:eastAsia="Times New Roman" w:hint="default"/>
        </w:rPr>
        <w:t>2</w:t>
      </w:r>
      <w:r>
        <w:rPr/>
        <w:t>）部分预付款</w:t>
      </w:r>
    </w:p>
    <w:p>
      <w:pPr>
        <w:pStyle w:val="BodyText"/>
        <w:spacing w:line="217" w:lineRule="exact"/>
        <w:ind w:right="1118"/>
        <w:jc w:val="left"/>
      </w:pPr>
      <w:r>
        <w:rPr/>
        <w:t>项为未与供应商款结算的采购货物尾款。</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按预付对象归集的期末余额前五名的预付款情况" w:id="223"/>
      <w:bookmarkEnd w:id="22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18"/>
        <w:jc w:val="left"/>
      </w:pPr>
      <w:r>
        <w:rPr/>
        <w:t>本公司按预付对象归集的年末余额前五名预付账款汇总金额为</w:t>
      </w:r>
      <w:r>
        <w:rPr>
          <w:rFonts w:ascii="Times New Roman" w:hAnsi="Times New Roman" w:cs="Times New Roman" w:eastAsia="Times New Roman" w:hint="default"/>
        </w:rPr>
        <w:t>59,408,602.21</w:t>
      </w:r>
      <w:r>
        <w:rPr/>
        <w:t>元，占预付账款年末余额合计数的比例为</w:t>
      </w:r>
    </w:p>
    <w:p>
      <w:pPr>
        <w:pStyle w:val="BodyText"/>
        <w:spacing w:line="240" w:lineRule="auto" w:before="63"/>
        <w:ind w:right="1118"/>
        <w:jc w:val="left"/>
      </w:pPr>
      <w:r>
        <w:rPr>
          <w:rFonts w:ascii="Times New Roman" w:hAnsi="Times New Roman" w:cs="Times New Roman" w:eastAsia="Times New Roman" w:hint="default"/>
        </w:rPr>
        <w:t>66.60%</w:t>
      </w:r>
      <w:r>
        <w:rPr/>
        <w:t>。</w:t>
      </w:r>
    </w:p>
    <w:p>
      <w:pPr>
        <w:pStyle w:val="BodyText"/>
        <w:spacing w:line="240" w:lineRule="auto" w:before="103"/>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因金融资产转移而终止确认的应收账款" w:id="224"/>
      <w:bookmarkEnd w:id="224"/>
      <w:r>
        <w:rPr>
          <w:b w:val="0"/>
          <w:bCs w:val="0"/>
        </w:rPr>
      </w:r>
      <w:r>
        <w:rPr/>
        <w:t>（</w:t>
      </w:r>
      <w:r>
        <w:rPr>
          <w:rFonts w:ascii="Times New Roman" w:hAnsi="Times New Roman" w:cs="Times New Roman" w:eastAsia="Times New Roman" w:hint="default"/>
        </w:rPr>
        <w:t>3</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50"/>
        <w:gridCol w:w="3249"/>
        <w:gridCol w:w="3250"/>
      </w:tblGrid>
      <w:tr>
        <w:trPr>
          <w:trHeight w:val="344" w:hRule="exact"/>
        </w:trPr>
        <w:tc>
          <w:tcPr>
            <w:tcW w:w="3250" w:type="dxa"/>
            <w:tcBorders>
              <w:top w:val="single" w:sz="4" w:space="0" w:color="000000"/>
              <w:left w:val="nil" w:sz="6" w:space="0" w:color="auto"/>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金融资产转移方式</w:t>
            </w:r>
          </w:p>
        </w:tc>
        <w:tc>
          <w:tcPr>
            <w:tcW w:w="3249"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26"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250" w:type="dxa"/>
            <w:tcBorders>
              <w:top w:val="single" w:sz="4" w:space="0" w:color="000000"/>
              <w:left w:val="single" w:sz="6" w:space="0" w:color="000000"/>
              <w:bottom w:val="single" w:sz="6" w:space="0" w:color="000000"/>
              <w:right w:val="nil" w:sz="6" w:space="0" w:color="auto"/>
            </w:tcBorders>
            <w:shd w:val="clear" w:color="auto" w:fill="D9D9D9"/>
          </w:tcPr>
          <w:p>
            <w:pPr>
              <w:pStyle w:val="TableParagraph"/>
              <w:spacing w:line="240" w:lineRule="auto" w:before="20"/>
              <w:ind w:left="716" w:right="0"/>
              <w:jc w:val="left"/>
              <w:rPr>
                <w:rFonts w:ascii="宋体" w:hAnsi="宋体" w:cs="宋体" w:eastAsia="宋体" w:hint="default"/>
                <w:sz w:val="18"/>
                <w:szCs w:val="18"/>
              </w:rPr>
            </w:pPr>
            <w:r>
              <w:rPr>
                <w:rFonts w:ascii="宋体" w:hAnsi="宋体" w:cs="宋体" w:eastAsia="宋体" w:hint="default"/>
                <w:sz w:val="18"/>
                <w:szCs w:val="18"/>
              </w:rPr>
              <w:t>与终止确认相关的损失</w:t>
            </w:r>
          </w:p>
        </w:tc>
      </w:tr>
      <w:tr>
        <w:trPr>
          <w:trHeight w:val="347" w:hRule="exact"/>
        </w:trPr>
        <w:tc>
          <w:tcPr>
            <w:tcW w:w="3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应收账款转让</w:t>
            </w:r>
          </w:p>
        </w:tc>
        <w:tc>
          <w:tcPr>
            <w:tcW w:w="3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14,756,448.41</w:t>
            </w:r>
          </w:p>
        </w:tc>
        <w:tc>
          <w:tcPr>
            <w:tcW w:w="3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715,508.64</w:t>
            </w:r>
          </w:p>
        </w:tc>
      </w:tr>
      <w:tr>
        <w:trPr>
          <w:trHeight w:val="344" w:hRule="exact"/>
        </w:trPr>
        <w:tc>
          <w:tcPr>
            <w:tcW w:w="3250"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14,756,448.41</w:t>
            </w:r>
          </w:p>
        </w:tc>
        <w:tc>
          <w:tcPr>
            <w:tcW w:w="3250"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715,508.64</w:t>
            </w:r>
          </w:p>
        </w:tc>
      </w:tr>
    </w:tbl>
    <w:p>
      <w:pPr>
        <w:pStyle w:val="BodyText"/>
        <w:spacing w:line="240" w:lineRule="auto" w:before="10"/>
        <w:ind w:left="514" w:right="1118"/>
        <w:jc w:val="left"/>
      </w:pPr>
      <w:r>
        <w:rPr/>
        <w:t>详见附注六、</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w:t>
      </w:r>
    </w:p>
    <w:p>
      <w:pPr>
        <w:spacing w:line="240" w:lineRule="auto" w:before="12"/>
        <w:rPr>
          <w:rFonts w:ascii="宋体" w:hAnsi="宋体" w:cs="宋体" w:eastAsia="宋体" w:hint="default"/>
          <w:sz w:val="25"/>
          <w:szCs w:val="25"/>
        </w:rPr>
      </w:pPr>
    </w:p>
    <w:p>
      <w:pPr>
        <w:pStyle w:val="Heading3"/>
        <w:spacing w:line="240" w:lineRule="auto"/>
        <w:ind w:left="154" w:right="1118"/>
        <w:jc w:val="left"/>
        <w:rPr>
          <w:b w:val="0"/>
          <w:bCs w:val="0"/>
        </w:rPr>
      </w:pPr>
      <w:bookmarkStart w:name="6、应收利息" w:id="225"/>
      <w:bookmarkEnd w:id="225"/>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应收利息分类" w:id="226"/>
      <w:bookmarkEnd w:id="22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2,098,550.00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7、其他应收款" w:id="227"/>
      <w:bookmarkEnd w:id="227"/>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其他应收款分类披露" w:id="228"/>
      <w:bookmarkEnd w:id="22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35"/>
        <w:gridCol w:w="752"/>
        <w:gridCol w:w="762"/>
        <w:gridCol w:w="762"/>
        <w:gridCol w:w="751"/>
        <w:gridCol w:w="800"/>
        <w:gridCol w:w="655"/>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197,170,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99.21%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2,629,38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1.33%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194,540,7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163,523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99.40%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9,724,628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153,798,45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122.04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0.75</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41.29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,085.50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7.50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1,571,73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1,571,73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985,398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985,398.7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198,741,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858.74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4,201,11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194,540,7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164,508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,484.20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10,710,02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153,798,45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174,828,640.78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6,954,914.77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138,206.77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5,861,393.24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586,139.32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9,525,173.25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1,905,034.66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197,170,122.04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2,629,380.75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18"/>
        <w:jc w:val="left"/>
      </w:pPr>
      <w:r>
        <w:rPr/>
        <w:t>本期计提坏账准备金额</w:t>
      </w:r>
      <w:r>
        <w:rPr>
          <w:spacing w:val="-46"/>
        </w:rPr>
        <w:t> </w:t>
      </w:r>
      <w:r>
        <w:rPr>
          <w:rFonts w:ascii="Times New Roman" w:hAnsi="Times New Roman" w:cs="Times New Roman" w:eastAsia="Times New Roman" w:hint="default"/>
        </w:rPr>
        <w:t>441,258.82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其他应收款按款项性质分类情况" w:id="230"/>
      <w:bookmarkEnd w:id="23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债务转让款等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111,015,438.53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11,848,696.13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43,092,866.72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67,994,188.80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1,345,816.92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44,633,553.49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83,319,782.35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198,741,858.74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164,508,484.20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4）按欠款方归集的期末余额前五名的其他应收款情况" w:id="231"/>
      <w:bookmarkEnd w:id="23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深圳浩瀚天成投资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债务转让款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111,015,438.54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45"/>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1"/>
                <w:sz w:val="18"/>
              </w:rPr>
              <w:t> </w:t>
            </w:r>
            <w:r>
              <w:rPr>
                <w:rFonts w:ascii="Times New Roman"/>
                <w:sz w:val="18"/>
              </w:rPr>
              <w:t>Finance</w:t>
            </w:r>
            <w:r>
              <w:rPr>
                <w:rFonts w:ascii="Times New Roman"/>
                <w:w w:val="99"/>
                <w:sz w:val="18"/>
              </w:rPr>
              <w:t> </w:t>
            </w:r>
            <w:r>
              <w:rPr>
                <w:rFonts w:ascii="Times New Roman"/>
                <w:sz w:val="18"/>
              </w:rPr>
              <w:t>Group Holdings</w:t>
            </w:r>
            <w:r>
              <w:rPr>
                <w:rFonts w:ascii="Times New Roman"/>
                <w:w w:val="99"/>
                <w:sz w:val="18"/>
              </w:rPr>
              <w:t> </w:t>
            </w:r>
            <w:r>
              <w:rPr>
                <w:rFonts w:ascii="Times New Roman"/>
                <w:sz w:val="18"/>
              </w:rPr>
              <w:t>Company</w:t>
            </w:r>
            <w:r>
              <w:rPr>
                <w:rFonts w:ascii="Times New Roman"/>
                <w:spacing w:val="-3"/>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股权收购按金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贵州贵安置业投资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深圳广大信息技术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3,401,272.00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133,430,310.54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67.62%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因金融资产转移而终止确认的其他应收款" w:id="232"/>
      <w:bookmarkEnd w:id="232"/>
      <w:r>
        <w:rPr>
          <w:b w:val="0"/>
          <w:bCs w:val="0"/>
        </w:rPr>
      </w:r>
      <w:r>
        <w:rPr/>
        <w:t>（</w:t>
      </w:r>
      <w:r>
        <w:rPr>
          <w:rFonts w:ascii="Times New Roman" w:hAnsi="Times New Roman" w:cs="Times New Roman" w:eastAsia="Times New Roman" w:hint="default"/>
        </w:rPr>
        <w:t>5</w:t>
      </w:r>
      <w:r>
        <w:rPr/>
        <w:t>）因金融资产转移而终止确认的其他应收款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250"/>
        <w:gridCol w:w="3249"/>
        <w:gridCol w:w="3250"/>
      </w:tblGrid>
      <w:tr>
        <w:trPr>
          <w:trHeight w:val="347" w:hRule="exact"/>
        </w:trPr>
        <w:tc>
          <w:tcPr>
            <w:tcW w:w="3250"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21"/>
              <w:ind w:left="904"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3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36" w:right="0"/>
              <w:jc w:val="left"/>
              <w:rPr>
                <w:rFonts w:ascii="宋体" w:hAnsi="宋体" w:cs="宋体" w:eastAsia="宋体" w:hint="default"/>
                <w:sz w:val="18"/>
                <w:szCs w:val="18"/>
              </w:rPr>
            </w:pPr>
            <w:r>
              <w:rPr>
                <w:rFonts w:ascii="宋体" w:hAnsi="宋体" w:cs="宋体" w:eastAsia="宋体" w:hint="default"/>
                <w:sz w:val="18"/>
                <w:szCs w:val="18"/>
              </w:rPr>
              <w:t>终止确认的其他应收款金额</w:t>
            </w:r>
          </w:p>
        </w:tc>
        <w:tc>
          <w:tcPr>
            <w:tcW w:w="3250" w:type="dxa"/>
            <w:tcBorders>
              <w:top w:val="single" w:sz="6" w:space="0" w:color="000000"/>
              <w:left w:val="single" w:sz="6" w:space="0" w:color="000000"/>
              <w:bottom w:val="single" w:sz="6" w:space="0" w:color="000000"/>
              <w:right w:val="nil" w:sz="6" w:space="0" w:color="auto"/>
            </w:tcBorders>
            <w:shd w:val="clear" w:color="auto" w:fill="D9D9D9"/>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与终止确认相关的损失</w:t>
            </w:r>
          </w:p>
        </w:tc>
      </w:tr>
      <w:tr>
        <w:trPr>
          <w:trHeight w:val="347" w:hRule="exact"/>
        </w:trPr>
        <w:tc>
          <w:tcPr>
            <w:tcW w:w="3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910" w:right="0"/>
              <w:jc w:val="left"/>
              <w:rPr>
                <w:rFonts w:ascii="宋体" w:hAnsi="宋体" w:cs="宋体" w:eastAsia="宋体" w:hint="default"/>
                <w:sz w:val="18"/>
                <w:szCs w:val="18"/>
              </w:rPr>
            </w:pPr>
            <w:r>
              <w:rPr>
                <w:rFonts w:ascii="宋体" w:hAnsi="宋体" w:cs="宋体" w:eastAsia="宋体" w:hint="default"/>
                <w:sz w:val="18"/>
                <w:szCs w:val="18"/>
              </w:rPr>
              <w:t>其他应收款转让</w:t>
            </w:r>
          </w:p>
        </w:tc>
        <w:tc>
          <w:tcPr>
            <w:tcW w:w="3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33,918,174.00</w:t>
            </w:r>
          </w:p>
        </w:tc>
        <w:tc>
          <w:tcPr>
            <w:tcW w:w="3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1,857,721.86</w:t>
            </w:r>
          </w:p>
        </w:tc>
      </w:tr>
      <w:tr>
        <w:trPr>
          <w:trHeight w:val="348" w:hRule="exact"/>
        </w:trPr>
        <w:tc>
          <w:tcPr>
            <w:tcW w:w="32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33,918,174.00</w:t>
            </w:r>
          </w:p>
        </w:tc>
        <w:tc>
          <w:tcPr>
            <w:tcW w:w="3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1,857,721.86</w:t>
            </w:r>
          </w:p>
        </w:tc>
      </w:tr>
    </w:tbl>
    <w:p>
      <w:pPr>
        <w:pStyle w:val="BodyText"/>
        <w:spacing w:line="240" w:lineRule="auto" w:before="10"/>
        <w:ind w:left="634" w:right="1118"/>
        <w:jc w:val="left"/>
      </w:pPr>
      <w:r>
        <w:rPr/>
        <w:t>详见附注六、</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25"/>
          <w:szCs w:val="25"/>
        </w:rPr>
      </w:pPr>
    </w:p>
    <w:p>
      <w:pPr>
        <w:pStyle w:val="Heading3"/>
        <w:spacing w:line="240" w:lineRule="auto"/>
        <w:ind w:left="154" w:right="1118"/>
        <w:jc w:val="left"/>
        <w:rPr>
          <w:b w:val="0"/>
          <w:bCs w:val="0"/>
        </w:rPr>
      </w:pPr>
      <w:bookmarkStart w:name="8、存货" w:id="233"/>
      <w:bookmarkEnd w:id="233"/>
      <w:r>
        <w:rPr>
          <w:b w:val="0"/>
          <w:bCs w:val="0"/>
        </w:rPr>
      </w: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存货分类" w:id="234"/>
      <w:bookmarkEnd w:id="23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11,523,709.91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51,753.93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11,471,955.98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142,041,061.27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3,340,557.47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138,700,503.80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7,317,064.03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382,040.70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6,935,023.33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14,467,412.63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2,445,352.73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12,369,684.90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130,100,886.12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130,100,886.12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107,537,050.76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107,189,425.76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7,696,116.94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7,696,116.94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148,941,660.06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433,794.63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148,507,865.43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271,741,641.60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5,785,910.20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265,955,731.40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存货跌价准备" w:id="235"/>
      <w:bookmarkEnd w:id="23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3,340,557.47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3,288,803.54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51,753.93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2,445,352.73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25,292.04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2,088,604.07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382,040.70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5,785,910.20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25,292.04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5,377,407.61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433,794.63</w:t>
            </w:r>
          </w:p>
        </w:tc>
      </w:tr>
    </w:tbl>
    <w:p>
      <w:pPr>
        <w:spacing w:line="240" w:lineRule="auto" w:before="3"/>
        <w:rPr>
          <w:rFonts w:ascii="宋体" w:hAnsi="宋体" w:cs="宋体" w:eastAsia="宋体" w:hint="default"/>
          <w:sz w:val="21"/>
          <w:szCs w:val="21"/>
        </w:rPr>
      </w:pPr>
    </w:p>
    <w:p>
      <w:pPr>
        <w:pStyle w:val="BodyText"/>
        <w:spacing w:line="240" w:lineRule="auto" w:before="44"/>
        <w:ind w:left="154" w:right="1118"/>
        <w:jc w:val="left"/>
      </w:pPr>
      <w:r>
        <w:rPr/>
        <w:t>存货跌价准备计提依据及本年转回或转销原因</w:t>
      </w:r>
    </w:p>
    <w:p>
      <w:pPr>
        <w:spacing w:line="240" w:lineRule="auto" w:before="0"/>
        <w:rPr>
          <w:rFonts w:ascii="宋体" w:hAnsi="宋体" w:cs="宋体" w:eastAsia="宋体" w:hint="default"/>
          <w:sz w:val="5"/>
          <w:szCs w:val="5"/>
        </w:rPr>
      </w:pPr>
    </w:p>
    <w:tbl>
      <w:tblPr>
        <w:tblW w:w="0" w:type="auto"/>
        <w:jc w:val="left"/>
        <w:tblInd w:w="271" w:type="dxa"/>
        <w:tblLayout w:type="fixed"/>
        <w:tblCellMar>
          <w:top w:w="0" w:type="dxa"/>
          <w:left w:w="0" w:type="dxa"/>
          <w:bottom w:w="0" w:type="dxa"/>
          <w:right w:w="0" w:type="dxa"/>
        </w:tblCellMar>
        <w:tblLook w:val="01E0"/>
      </w:tblPr>
      <w:tblGrid>
        <w:gridCol w:w="1846"/>
        <w:gridCol w:w="4078"/>
        <w:gridCol w:w="3470"/>
      </w:tblGrid>
      <w:tr>
        <w:trPr>
          <w:trHeight w:val="341" w:hRule="exact"/>
        </w:trPr>
        <w:tc>
          <w:tcPr>
            <w:tcW w:w="1846"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347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r>
      <w:tr>
        <w:trPr>
          <w:trHeight w:val="343"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按可变现净值减去账面价的差额计提存货跌价准备</w:t>
            </w:r>
          </w:p>
        </w:tc>
        <w:tc>
          <w:tcPr>
            <w:tcW w:w="3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计提销存货跌价准备之存货已销售</w:t>
            </w:r>
          </w:p>
        </w:tc>
      </w:tr>
      <w:tr>
        <w:trPr>
          <w:trHeight w:val="342" w:hRule="exact"/>
        </w:trPr>
        <w:tc>
          <w:tcPr>
            <w:tcW w:w="18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按可变现净值减去账面价的差额计提存货跌价准备</w:t>
            </w:r>
          </w:p>
        </w:tc>
        <w:tc>
          <w:tcPr>
            <w:tcW w:w="3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计提销存货跌价准备之存货已销售</w:t>
            </w:r>
          </w:p>
        </w:tc>
      </w:tr>
    </w:tbl>
    <w:p>
      <w:pPr>
        <w:pStyle w:val="BodyText"/>
        <w:spacing w:line="300" w:lineRule="auto" w:before="10"/>
        <w:ind w:right="1130" w:firstLine="360"/>
        <w:jc w:val="both"/>
      </w:pPr>
      <w:r>
        <w:rPr>
          <w:spacing w:val="-2"/>
        </w:rPr>
        <w:t>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日公司召开的第三届董事会第三十八次会议和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日召开的公司</w:t>
      </w:r>
      <w:r>
        <w:rPr>
          <w:rFonts w:ascii="Times New Roman" w:hAnsi="Times New Roman" w:cs="Times New Roman" w:eastAsia="Times New Roman" w:hint="default"/>
          <w:spacing w:val="-2"/>
        </w:rPr>
        <w:t>2015</w:t>
      </w:r>
      <w:r>
        <w:rPr>
          <w:spacing w:val="-2"/>
        </w:rPr>
        <w:t>年第三次临时股东大会审</w:t>
      </w:r>
      <w:r>
        <w:rPr/>
        <w:t> </w:t>
      </w:r>
      <w:r>
        <w:rPr>
          <w:spacing w:val="-1"/>
        </w:rPr>
        <w:t>议通过了《关于出售资产暨关联交易的议案》，公司将全资子公司键桥资产管理</w:t>
      </w:r>
      <w:r>
        <w:rPr>
          <w:rFonts w:ascii="Times New Roman" w:hAnsi="Times New Roman" w:cs="Times New Roman" w:eastAsia="Times New Roman" w:hint="default"/>
          <w:spacing w:val="-1"/>
        </w:rPr>
        <w:t>100%</w:t>
      </w:r>
      <w:r>
        <w:rPr>
          <w:spacing w:val="-1"/>
        </w:rPr>
        <w:t>股权【含键桥国际键桥国际</w:t>
      </w:r>
      <w:r>
        <w:rPr>
          <w:rFonts w:ascii="Times New Roman" w:hAnsi="Times New Roman" w:cs="Times New Roman" w:eastAsia="Times New Roman" w:hint="default"/>
          <w:spacing w:val="-1"/>
        </w:rPr>
        <w:t>100%</w:t>
      </w:r>
      <w:r>
        <w:rPr>
          <w:spacing w:val="-1"/>
        </w:rPr>
        <w:t>股权</w:t>
      </w:r>
      <w:r>
        <w:rPr>
          <w:spacing w:val="-56"/>
        </w:rPr>
        <w:t> </w:t>
      </w:r>
      <w:r>
        <w:rPr>
          <w:spacing w:val="-1"/>
        </w:rPr>
        <w:t>与南京键桥南京键桥</w:t>
      </w:r>
      <w:r>
        <w:rPr>
          <w:rFonts w:ascii="Times New Roman" w:hAnsi="Times New Roman" w:cs="Times New Roman" w:eastAsia="Times New Roman" w:hint="default"/>
          <w:spacing w:val="-1"/>
        </w:rPr>
        <w:t>100%</w:t>
      </w:r>
      <w:r>
        <w:rPr>
          <w:spacing w:val="-1"/>
        </w:rPr>
        <w:t>股权】以</w:t>
      </w:r>
      <w:r>
        <w:rPr>
          <w:rFonts w:ascii="Times New Roman" w:hAnsi="Times New Roman" w:cs="Times New Roman" w:eastAsia="Times New Roman" w:hint="default"/>
          <w:spacing w:val="-1"/>
        </w:rPr>
        <w:t>1</w:t>
      </w:r>
      <w:r>
        <w:rPr>
          <w:spacing w:val="-1"/>
        </w:rPr>
        <w:t>元价格转让给浩瀚天成，并拟将部分存货以（含税价值）</w:t>
      </w:r>
      <w:r>
        <w:rPr>
          <w:rFonts w:ascii="Times New Roman" w:hAnsi="Times New Roman" w:cs="Times New Roman" w:eastAsia="Times New Roman" w:hint="default"/>
          <w:spacing w:val="-1"/>
        </w:rPr>
        <w:t>67,173,299.55</w:t>
      </w:r>
      <w:r>
        <w:rPr>
          <w:spacing w:val="-1"/>
        </w:rPr>
        <w:t>元（账面存货原</w:t>
      </w:r>
      <w:r>
        <w:rPr>
          <w:spacing w:val="-40"/>
        </w:rPr>
        <w:t> </w:t>
      </w:r>
      <w:r>
        <w:rPr>
          <w:spacing w:val="-40"/>
        </w:rPr>
      </w:r>
      <w:r>
        <w:rPr/>
        <w:t>值</w:t>
      </w:r>
      <w:r>
        <w:rPr>
          <w:rFonts w:ascii="Times New Roman" w:hAnsi="Times New Roman" w:cs="Times New Roman" w:eastAsia="Times New Roman" w:hint="default"/>
        </w:rPr>
        <w:t>60,293,631.30</w:t>
      </w:r>
      <w:r>
        <w:rPr/>
        <w:t>元、存货跌价准</w:t>
      </w:r>
      <w:r>
        <w:rPr>
          <w:rFonts w:ascii="Times New Roman" w:hAnsi="Times New Roman" w:cs="Times New Roman" w:eastAsia="Times New Roman" w:hint="default"/>
        </w:rPr>
        <w:t>3,527,543.24</w:t>
      </w:r>
      <w:r>
        <w:rPr/>
        <w:t>元、存货账面净值</w:t>
      </w:r>
      <w:r>
        <w:rPr>
          <w:rFonts w:ascii="Times New Roman" w:hAnsi="Times New Roman" w:cs="Times New Roman" w:eastAsia="Times New Roman" w:hint="default"/>
        </w:rPr>
        <w:t>56,766,088.06</w:t>
      </w:r>
      <w:r>
        <w:rPr>
          <w:rFonts w:ascii="Times New Roman" w:hAnsi="Times New Roman" w:cs="Times New Roman" w:eastAsia="Times New Roman" w:hint="default"/>
          <w:spacing w:val="17"/>
        </w:rPr>
        <w:t> </w:t>
      </w:r>
      <w:r>
        <w:rPr/>
        <w:t>元）价格销售给浩瀚天成。</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9、其他流动资产" w:id="236"/>
      <w:bookmarkEnd w:id="236"/>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预付银行借款利息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230,870.32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230,870.32</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10、可供出售金融资产" w:id="237"/>
      <w:bookmarkEnd w:id="237"/>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可供出售金融资产情况" w:id="238"/>
      <w:bookmarkEnd w:id="23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36,916,884.71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16,874,882.23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期末按成本计量的可供出售金融资产" w:id="239"/>
      <w:bookmarkEnd w:id="239"/>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
              <w:jc w:val="left"/>
              <w:rPr>
                <w:rFonts w:ascii="Times New Roman" w:hAnsi="Times New Roman" w:cs="Times New Roman" w:eastAsia="Times New Roman" w:hint="default"/>
                <w:sz w:val="18"/>
                <w:szCs w:val="18"/>
              </w:rPr>
            </w:pPr>
            <w:r>
              <w:rPr>
                <w:rFonts w:ascii="Times New Roman"/>
                <w:sz w:val="18"/>
              </w:rPr>
              <w:t>PureWave</w:t>
            </w:r>
            <w:r>
              <w:rPr>
                <w:rFonts w:ascii="Times New Roman"/>
                <w:w w:val="99"/>
                <w:sz w:val="18"/>
              </w:rPr>
              <w:t> </w:t>
            </w:r>
            <w:r>
              <w:rPr>
                <w:rFonts w:ascii="Times New Roman"/>
                <w:sz w:val="18"/>
              </w:rPr>
              <w:t>Networks.I</w:t>
            </w:r>
            <w:r>
              <w:rPr>
                <w:rFonts w:ascii="Times New Roman"/>
                <w:w w:val="99"/>
                <w:sz w:val="18"/>
              </w:rPr>
              <w:t> </w:t>
            </w:r>
            <w:r>
              <w:rPr>
                <w:rFonts w:ascii="Times New Roman"/>
                <w:sz w:val="18"/>
              </w:rPr>
              <w:t>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九次方财 富资讯</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（北京） 有限责任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Palantir</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6,916,884.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36,916,884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16,874,882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36,916,884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18"/>
        <w:jc w:val="left"/>
      </w:pPr>
      <w:r>
        <w:rPr/>
        <w:t>其他说明</w:t>
      </w:r>
    </w:p>
    <w:p>
      <w:pPr>
        <w:pStyle w:val="BodyText"/>
        <w:spacing w:line="300" w:lineRule="auto" w:before="116"/>
        <w:ind w:right="1042" w:firstLine="360"/>
        <w:jc w:val="both"/>
      </w:pPr>
      <w:r>
        <w:rPr>
          <w:spacing w:val="-2"/>
        </w:rPr>
        <w:t>注：</w:t>
      </w:r>
      <w:r>
        <w:rPr>
          <w:rFonts w:ascii="Times New Roman" w:hAnsi="Times New Roman" w:cs="Times New Roman" w:eastAsia="Times New Roman" w:hint="default"/>
          <w:spacing w:val="-2"/>
        </w:rPr>
        <w:t>1</w:t>
      </w:r>
      <w:r>
        <w:rPr>
          <w:spacing w:val="-2"/>
        </w:rPr>
        <w:t>、本年减少</w:t>
      </w:r>
      <w:r>
        <w:rPr>
          <w:rFonts w:ascii="Times New Roman" w:hAnsi="Times New Roman" w:cs="Times New Roman" w:eastAsia="Times New Roman" w:hint="default"/>
          <w:spacing w:val="-2"/>
        </w:rPr>
        <w:t>16,874,882.23</w:t>
      </w:r>
      <w:r>
        <w:rPr>
          <w:spacing w:val="-2"/>
        </w:rPr>
        <w:t>元，系</w:t>
      </w:r>
      <w:r>
        <w:rPr>
          <w:rFonts w:ascii="Times New Roman" w:hAnsi="Times New Roman" w:cs="Times New Roman" w:eastAsia="Times New Roman" w:hint="default"/>
          <w:spacing w:val="-2"/>
        </w:rPr>
        <w:t>PureWave</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1"/>
        </w:rPr>
        <w:t>Networks.Inc.</w:t>
      </w:r>
      <w:r>
        <w:rPr>
          <w:spacing w:val="-1"/>
        </w:rPr>
        <w:t>公司已解散，根据广东信达律师事务所出具的法律意见书，</w:t>
      </w:r>
      <w:r>
        <w:rPr/>
        <w:t> 公司将该项投资全部确认为损失。</w:t>
      </w:r>
    </w:p>
    <w:p>
      <w:pPr>
        <w:pStyle w:val="BodyText"/>
        <w:spacing w:line="300" w:lineRule="auto" w:before="31"/>
        <w:ind w:right="1132" w:firstLine="360"/>
        <w:jc w:val="both"/>
      </w:pPr>
      <w:r>
        <w:rPr>
          <w:rFonts w:ascii="Times New Roman" w:hAnsi="Times New Roman" w:cs="Times New Roman" w:eastAsia="Times New Roman" w:hint="default"/>
          <w:spacing w:val="-1"/>
        </w:rPr>
        <w:t>2</w:t>
      </w:r>
      <w:r>
        <w:rPr>
          <w:spacing w:val="-1"/>
        </w:rPr>
        <w:t>、本年增加可供出售金融资产</w:t>
      </w:r>
      <w:r>
        <w:rPr>
          <w:rFonts w:ascii="Times New Roman" w:hAnsi="Times New Roman" w:cs="Times New Roman" w:eastAsia="Times New Roman" w:hint="default"/>
          <w:spacing w:val="-1"/>
        </w:rPr>
        <w:t>36,916,884.71</w:t>
      </w:r>
      <w:r>
        <w:rPr>
          <w:spacing w:val="-1"/>
        </w:rPr>
        <w:t>元，其中：（</w:t>
      </w:r>
      <w:r>
        <w:rPr>
          <w:rFonts w:ascii="Times New Roman" w:hAnsi="Times New Roman" w:cs="Times New Roman" w:eastAsia="Times New Roman" w:hint="default"/>
          <w:spacing w:val="-1"/>
        </w:rPr>
        <w:t>1</w:t>
      </w:r>
      <w:r>
        <w:rPr>
          <w:spacing w:val="-1"/>
        </w:rPr>
        <w:t>）公司投资九次方财富资讯（北京）有限责任公司（以下简</w:t>
      </w:r>
      <w:r>
        <w:rPr/>
        <w:t> 称</w:t>
      </w:r>
      <w:r>
        <w:rPr>
          <w:rFonts w:ascii="Times New Roman" w:hAnsi="Times New Roman" w:cs="Times New Roman" w:eastAsia="Times New Roman" w:hint="default"/>
        </w:rPr>
        <w:t>“</w:t>
      </w:r>
      <w:r>
        <w:rPr/>
        <w:t>九次方公司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30,000,000.00</w:t>
      </w:r>
      <w:r>
        <w:rPr/>
        <w:t>元，占九次方公司股权比例</w:t>
      </w:r>
      <w:r>
        <w:rPr>
          <w:rFonts w:ascii="Times New Roman" w:hAnsi="Times New Roman" w:cs="Times New Roman" w:eastAsia="Times New Roman" w:hint="default"/>
        </w:rPr>
        <w:t>0.968%</w:t>
      </w:r>
      <w:r>
        <w:rPr/>
        <w:t>；（</w:t>
      </w:r>
      <w:r>
        <w:rPr>
          <w:rFonts w:ascii="Times New Roman" w:hAnsi="Times New Roman" w:cs="Times New Roman" w:eastAsia="Times New Roman" w:hint="default"/>
        </w:rPr>
        <w:t>2</w:t>
      </w:r>
      <w:r>
        <w:rPr/>
        <w:t>）公司通过</w:t>
      </w:r>
      <w:r>
        <w:rPr>
          <w:rFonts w:ascii="Times New Roman" w:hAnsi="Times New Roman" w:cs="Times New Roman" w:eastAsia="Times New Roman" w:hint="default"/>
        </w:rPr>
        <w:t>DTS</w:t>
      </w:r>
      <w:r>
        <w:rPr>
          <w:rFonts w:ascii="Times New Roman" w:hAnsi="Times New Roman" w:cs="Times New Roman" w:eastAsia="Times New Roman" w:hint="default"/>
          <w:spacing w:val="24"/>
        </w:rPr>
        <w:t> </w:t>
      </w:r>
      <w:r>
        <w:rPr>
          <w:rFonts w:ascii="Times New Roman" w:hAnsi="Times New Roman" w:cs="Times New Roman" w:eastAsia="Times New Roman" w:hint="default"/>
        </w:rPr>
        <w:t>LLC</w:t>
      </w:r>
      <w:r>
        <w:rPr/>
        <w:t>基金认购标的公司</w:t>
      </w:r>
      <w:r>
        <w:rPr>
          <w:rFonts w:ascii="Times New Roman" w:hAnsi="Times New Roman" w:cs="Times New Roman" w:eastAsia="Times New Roman" w:hint="default"/>
        </w:rPr>
        <w:t>Palantir</w:t>
      </w:r>
      <w:r>
        <w:rPr/>
        <w:t>普通 股</w:t>
      </w:r>
      <w:r>
        <w:rPr>
          <w:rFonts w:ascii="Times New Roman" w:hAnsi="Times New Roman" w:cs="Times New Roman" w:eastAsia="Times New Roman" w:hint="default"/>
        </w:rPr>
        <w:t>111,112</w:t>
      </w:r>
      <w:r>
        <w:rPr/>
        <w:t>股，每股价格</w:t>
      </w:r>
      <w:r>
        <w:rPr>
          <w:rFonts w:ascii="Times New Roman" w:hAnsi="Times New Roman" w:cs="Times New Roman" w:eastAsia="Times New Roman" w:hint="default"/>
        </w:rPr>
        <w:t>9</w:t>
      </w:r>
      <w:r>
        <w:rPr/>
        <w:t>美元。本次投资及相关费用总额合计</w:t>
      </w:r>
      <w:r>
        <w:rPr>
          <w:rFonts w:ascii="Times New Roman" w:hAnsi="Times New Roman" w:cs="Times New Roman" w:eastAsia="Times New Roman" w:hint="default"/>
        </w:rPr>
        <w:t>1,100,008</w:t>
      </w:r>
      <w:r>
        <w:rPr/>
        <w:t>美元，折合人民币</w:t>
      </w:r>
      <w:r>
        <w:rPr>
          <w:rFonts w:ascii="Times New Roman" w:hAnsi="Times New Roman" w:cs="Times New Roman" w:eastAsia="Times New Roman" w:hint="default"/>
        </w:rPr>
        <w:t>6,916,884.71</w:t>
      </w:r>
      <w:r>
        <w:rPr/>
        <w:t>元。</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11、长期股权投资" w:id="240"/>
      <w:bookmarkEnd w:id="240"/>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3,012,090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153,012,0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90.75</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天津九盈 科技发展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-1,467,76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6,532,234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r>
      <w:tr>
        <w:trPr>
          <w:trHeight w:val="134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1,544,324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161,544,3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24.99</w:t>
            </w: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0"/>
              <w:jc w:val="left"/>
              <w:rPr>
                <w:rFonts w:ascii="Times New Roman" w:hAnsi="Times New Roman" w:cs="Times New Roman" w:eastAsia="Times New Roman" w:hint="default"/>
                <w:sz w:val="18"/>
                <w:szCs w:val="18"/>
              </w:rPr>
            </w:pPr>
            <w:r>
              <w:rPr>
                <w:rFonts w:ascii="Times New Roman"/>
                <w:sz w:val="18"/>
              </w:rPr>
              <w:t>Star Digital Muds</w:t>
            </w:r>
            <w:r>
              <w:rPr>
                <w:rFonts w:ascii="Times New Roman"/>
                <w:spacing w:val="-5"/>
                <w:sz w:val="18"/>
              </w:rPr>
              <w:t> </w:t>
            </w:r>
            <w:r>
              <w:rPr>
                <w:rFonts w:ascii="Times New Roman"/>
                <w:sz w:val="18"/>
              </w:rPr>
              <w:t>TV</w:t>
            </w:r>
            <w:r>
              <w:rPr>
                <w:rFonts w:ascii="Times New Roman"/>
                <w:w w:val="99"/>
                <w:sz w:val="18"/>
              </w:rPr>
              <w:t> </w:t>
            </w:r>
            <w:r>
              <w:rPr>
                <w:rFonts w:ascii="Times New Roman"/>
                <w:sz w:val="18"/>
              </w:rPr>
              <w:t>Limited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39,161,60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1,544,324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161,544,3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24.99</w:t>
            </w:r>
          </w:p>
        </w:tc>
      </w:tr>
    </w:tbl>
    <w:p>
      <w:pPr>
        <w:pStyle w:val="BodyText"/>
        <w:spacing w:line="240" w:lineRule="auto" w:before="51"/>
        <w:ind w:left="154" w:right="1118"/>
        <w:jc w:val="left"/>
      </w:pPr>
      <w:r>
        <w:rPr/>
        <w:t>其他说明</w:t>
      </w:r>
    </w:p>
    <w:p>
      <w:pPr>
        <w:pStyle w:val="BodyText"/>
        <w:spacing w:line="300" w:lineRule="auto" w:before="116"/>
        <w:ind w:right="1117" w:firstLine="360"/>
        <w:jc w:val="left"/>
      </w:pPr>
      <w:r>
        <w:rPr>
          <w:spacing w:val="-1"/>
        </w:rPr>
        <w:t>注：</w:t>
      </w:r>
      <w:r>
        <w:rPr>
          <w:rFonts w:ascii="Times New Roman" w:hAnsi="Times New Roman" w:cs="Times New Roman" w:eastAsia="Times New Roman" w:hint="default"/>
          <w:spacing w:val="-1"/>
        </w:rPr>
        <w:t>1</w:t>
      </w:r>
      <w:r>
        <w:rPr>
          <w:spacing w:val="-1"/>
        </w:rPr>
        <w:t>、本年新设合营企业</w:t>
      </w:r>
      <w:r>
        <w:rPr>
          <w:rFonts w:ascii="Times New Roman" w:hAnsi="Times New Roman" w:cs="Times New Roman" w:eastAsia="Times New Roman" w:hint="default"/>
          <w:spacing w:val="-1"/>
        </w:rPr>
        <w:t>3</w:t>
      </w:r>
      <w:r>
        <w:rPr>
          <w:spacing w:val="-1"/>
        </w:rPr>
        <w:t>家，即深圳盈华小额贷款有限公司（持股比例为</w:t>
      </w:r>
      <w:r>
        <w:rPr>
          <w:rFonts w:ascii="Times New Roman" w:hAnsi="Times New Roman" w:cs="Times New Roman" w:eastAsia="Times New Roman" w:hint="default"/>
          <w:spacing w:val="-1"/>
        </w:rPr>
        <w:t>50%</w:t>
      </w:r>
      <w:r>
        <w:rPr>
          <w:spacing w:val="-1"/>
        </w:rPr>
        <w:t>）、天津九盈科技发展有限公司（持股</w:t>
      </w:r>
      <w:r>
        <w:rPr/>
        <w:t> 比例为</w:t>
      </w:r>
      <w:r>
        <w:rPr>
          <w:rFonts w:ascii="Times New Roman" w:hAnsi="Times New Roman" w:cs="Times New Roman" w:eastAsia="Times New Roman" w:hint="default"/>
        </w:rPr>
        <w:t>40%</w:t>
      </w:r>
      <w:r>
        <w:rPr/>
        <w:t>）及徐州淮海数据交换服务有限公司（持股比例为</w:t>
      </w:r>
      <w:r>
        <w:rPr>
          <w:rFonts w:ascii="Times New Roman" w:hAnsi="Times New Roman" w:cs="Times New Roman" w:eastAsia="Times New Roman" w:hint="default"/>
        </w:rPr>
        <w:t>20%</w:t>
      </w:r>
      <w:r>
        <w:rPr/>
        <w:t>）；</w:t>
      </w:r>
    </w:p>
    <w:p>
      <w:pPr>
        <w:pStyle w:val="BodyText"/>
        <w:spacing w:line="240" w:lineRule="auto" w:before="13"/>
        <w:ind w:left="513" w:right="0"/>
        <w:jc w:val="left"/>
      </w:pPr>
      <w:r>
        <w:rPr>
          <w:rFonts w:ascii="Times New Roman" w:hAnsi="Times New Roman" w:cs="Times New Roman" w:eastAsia="Times New Roman" w:hint="default"/>
        </w:rPr>
        <w:t>2</w:t>
      </w:r>
      <w:r>
        <w:rPr/>
        <w:t>、本年转让联营公司</w:t>
      </w:r>
      <w:r>
        <w:rPr>
          <w:rFonts w:ascii="Times New Roman" w:hAnsi="Times New Roman" w:cs="Times New Roman" w:eastAsia="Times New Roman" w:hint="default"/>
        </w:rPr>
        <w:t>1</w:t>
      </w:r>
      <w:r>
        <w:rPr/>
        <w:t>家，即</w:t>
      </w:r>
      <w:r>
        <w:rPr>
          <w:rFonts w:ascii="Times New Roman" w:hAnsi="Times New Roman" w:cs="Times New Roman" w:eastAsia="Times New Roman" w:hint="default"/>
        </w:rPr>
        <w:t>Star Digital Muds TV</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日，公司将全资子公司键桥资产管理</w:t>
      </w:r>
      <w:r>
        <w:rPr>
          <w:rFonts w:ascii="Times New Roman" w:hAnsi="Times New Roman" w:cs="Times New Roman" w:eastAsia="Times New Roman" w:hint="default"/>
        </w:rPr>
        <w:t>100%</w:t>
      </w:r>
      <w:r>
        <w:rPr/>
        <w:t>股权</w:t>
      </w:r>
    </w:p>
    <w:p>
      <w:pPr>
        <w:pStyle w:val="BodyText"/>
        <w:spacing w:line="300" w:lineRule="auto" w:before="63"/>
        <w:ind w:right="1118"/>
        <w:jc w:val="left"/>
      </w:pPr>
      <w:r>
        <w:rPr/>
        <w:t>【含键桥国际</w:t>
      </w:r>
      <w:r>
        <w:rPr>
          <w:rFonts w:ascii="Times New Roman" w:hAnsi="Times New Roman" w:cs="Times New Roman" w:eastAsia="Times New Roman" w:hint="default"/>
        </w:rPr>
        <w:t>100%</w:t>
      </w:r>
      <w:r>
        <w:rPr/>
        <w:t>股权与南京键桥</w:t>
      </w:r>
      <w:r>
        <w:rPr>
          <w:rFonts w:ascii="Times New Roman" w:hAnsi="Times New Roman" w:cs="Times New Roman" w:eastAsia="Times New Roman" w:hint="default"/>
        </w:rPr>
        <w:t>100%</w:t>
      </w:r>
      <w:r>
        <w:rPr/>
        <w:t>股权】以</w:t>
      </w:r>
      <w:r>
        <w:rPr>
          <w:rFonts w:ascii="Times New Roman" w:hAnsi="Times New Roman" w:cs="Times New Roman" w:eastAsia="Times New Roman" w:hint="default"/>
        </w:rPr>
        <w:t>1</w:t>
      </w:r>
      <w:r>
        <w:rPr/>
        <w:t>元价格转让给</w:t>
      </w:r>
      <w:r>
        <w:rPr>
          <w:rFonts w:ascii="Times New Roman" w:hAnsi="Times New Roman" w:cs="Times New Roman" w:eastAsia="Times New Roman" w:hint="default"/>
        </w:rPr>
        <w:t>“</w:t>
      </w:r>
      <w:r>
        <w:rPr/>
        <w:t>浩瀚天成，</w:t>
      </w:r>
      <w:r>
        <w:rPr>
          <w:rFonts w:ascii="Times New Roman" w:hAnsi="Times New Roman" w:cs="Times New Roman" w:eastAsia="Times New Roman" w:hint="default"/>
        </w:rPr>
        <w:t>Star</w:t>
      </w:r>
      <w:r>
        <w:rPr>
          <w:rFonts w:ascii="Times New Roman" w:hAnsi="Times New Roman" w:cs="Times New Roman" w:eastAsia="Times New Roman" w:hint="default"/>
          <w:spacing w:val="-11"/>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12"/>
        </w:rPr>
        <w:t> </w:t>
      </w:r>
      <w:r>
        <w:rPr>
          <w:rFonts w:ascii="Times New Roman" w:hAnsi="Times New Roman" w:cs="Times New Roman" w:eastAsia="Times New Roman" w:hint="default"/>
        </w:rPr>
        <w:t>Muds</w:t>
      </w:r>
      <w:r>
        <w:rPr>
          <w:rFonts w:ascii="Times New Roman" w:hAnsi="Times New Roman" w:cs="Times New Roman" w:eastAsia="Times New Roman" w:hint="default"/>
          <w:spacing w:val="-11"/>
        </w:rPr>
        <w:t> </w:t>
      </w:r>
      <w:r>
        <w:rPr>
          <w:rFonts w:ascii="Times New Roman" w:hAnsi="Times New Roman" w:cs="Times New Roman" w:eastAsia="Times New Roman" w:hint="default"/>
        </w:rPr>
        <w:t>TV</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系全资子公司键桥 国际之联营公司。</w:t>
      </w:r>
    </w:p>
    <w:p>
      <w:pPr>
        <w:spacing w:line="240" w:lineRule="auto" w:before="6"/>
        <w:rPr>
          <w:rFonts w:ascii="宋体" w:hAnsi="宋体" w:cs="宋体" w:eastAsia="宋体" w:hint="default"/>
          <w:sz w:val="23"/>
          <w:szCs w:val="23"/>
        </w:rPr>
      </w:pPr>
    </w:p>
    <w:p>
      <w:pPr>
        <w:pStyle w:val="Heading3"/>
        <w:spacing w:line="240" w:lineRule="auto"/>
        <w:ind w:right="1118"/>
        <w:jc w:val="left"/>
        <w:rPr>
          <w:b w:val="0"/>
          <w:bCs w:val="0"/>
        </w:rPr>
      </w:pPr>
      <w:bookmarkStart w:name="12、投资性房地产" w:id="241"/>
      <w:bookmarkEnd w:id="241"/>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采用成本计量模式的投资性房地产" w:id="242"/>
      <w:bookmarkEnd w:id="24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采用公允价值计量模式的投资性房地产" w:id="243"/>
      <w:bookmarkEnd w:id="24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13、固定资产" w:id="244"/>
      <w:bookmarkEnd w:id="244"/>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固定资产情况" w:id="245"/>
      <w:bookmarkEnd w:id="24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129,094,159.68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18,949,032.43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622,810.10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5,538,584.88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2,113,599.61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156,318,186.70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207,793,733.25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806,163.17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208,807,556.42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806,163.17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1,013,823.17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207,793,733.25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13,007,751.58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1,035,535.59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344,989.22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14,388,276.39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13,007,751.58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1,035,535.59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344,989.22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14,388,276.39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323,880,141.35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18,719,660.01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822,810.10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5,193,595.66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2,121,259.61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350,737,466.73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21,584,538.79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12,612,311.73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555,620.76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3,496,017.92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1,837,974.40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40,086,463.60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6,143,051.04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2,521,433.83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593,889.67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9,323,875.00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6,143,051.04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2,521,433.83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593,889.67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9,323,875.00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2,564,994.40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851,169.44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51,674.77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3,467,838.61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2,564,994.40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851,169.44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51,674.77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3,467,838.61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25,150,072.38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14,282,576.12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568,003.32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4,038,232.82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1,891,092.30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45,929,976.94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298,730,068.97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4,437,083.89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254,806.78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1,155,362.84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230,167.31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304,807,489.79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107,509,620.89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6,336,720.70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67,189.34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2,042,566.96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275,625.21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116,231,723.10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18"/>
        <w:jc w:val="left"/>
        <w:rPr>
          <w:b w:val="0"/>
          <w:bCs w:val="0"/>
        </w:rPr>
      </w:pPr>
      <w:bookmarkStart w:name="（2）未办妥产权证书的固定资产情况" w:id="246"/>
      <w:bookmarkEnd w:id="24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2128"/>
        <w:gridCol w:w="517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光明软件园</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207,014,506.75</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本年新竣工转入房产，已到房管部门备案，房产证正在办理之中</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西安办公楼</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1,338,259.63</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房产证正在办理之中</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208,352,766.38</w:t>
            </w:r>
          </w:p>
        </w:tc>
        <w:tc>
          <w:tcPr>
            <w:tcW w:w="51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118"/>
        <w:jc w:val="left"/>
        <w:rPr>
          <w:b w:val="0"/>
          <w:bCs w:val="0"/>
        </w:rPr>
      </w:pPr>
      <w:bookmarkStart w:name="14、在建工程" w:id="247"/>
      <w:bookmarkEnd w:id="247"/>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键桥软件园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196,526,348.41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196,526,348.41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南京键桥专网通 信系统研发项目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55,104,118.95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55,104,118.95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基站项目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1,682,082.32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1,682,082.32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253,312,549.68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253,312,549.68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键桥软 件园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196,526,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348.41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14,606,8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211,133,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212.53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85.82%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17,211,8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南京键 桥专网 通信系 统研发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55,104,1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12,415,6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01.27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67,519,7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20.22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27.01%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在建中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500,000,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251,630,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27,022,4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211,133,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67,519,7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17,211,8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427,406.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467.36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65.39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212.53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z w:val="18"/>
              </w:rPr>
              <w:t>20.22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85.52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1118"/>
        <w:jc w:val="left"/>
      </w:pPr>
      <w:r>
        <w:rPr/>
        <w:t>其他说明</w:t>
      </w:r>
    </w:p>
    <w:p>
      <w:pPr>
        <w:pStyle w:val="BodyText"/>
        <w:spacing w:line="240" w:lineRule="auto" w:before="116"/>
        <w:ind w:left="514" w:right="1118"/>
        <w:jc w:val="left"/>
      </w:pPr>
      <w:r>
        <w:rPr/>
        <w:t>注：（</w:t>
      </w:r>
      <w:r>
        <w:rPr>
          <w:rFonts w:ascii="Times New Roman" w:hAnsi="Times New Roman" w:cs="Times New Roman" w:eastAsia="Times New Roman" w:hint="default"/>
        </w:rPr>
        <w:t>1</w:t>
      </w:r>
      <w:r>
        <w:rPr/>
        <w:t>）键桥软件园已达到可使用状态，已转入固定资产科目核算。</w:t>
      </w:r>
    </w:p>
    <w:p>
      <w:pPr>
        <w:pStyle w:val="BodyText"/>
        <w:spacing w:line="300" w:lineRule="auto" w:before="63"/>
        <w:ind w:right="1132" w:firstLine="360"/>
        <w:jc w:val="both"/>
      </w:pPr>
      <w:r>
        <w:rPr/>
        <w:t>（</w:t>
      </w:r>
      <w:r>
        <w:rPr>
          <w:rFonts w:ascii="Times New Roman" w:hAnsi="Times New Roman" w:cs="Times New Roman" w:eastAsia="Times New Roman" w:hint="default"/>
        </w:rPr>
        <w:t>2</w:t>
      </w:r>
      <w:r>
        <w:rPr/>
        <w:t>）南京键桥专网通信系统研发项目系南京键桥在建工程项目、基站项目系键桥国际控股子公司</w:t>
      </w:r>
      <w:r>
        <w:rPr>
          <w:rFonts w:ascii="Times New Roman" w:hAnsi="Times New Roman" w:cs="Times New Roman" w:eastAsia="Times New Roman" w:hint="default"/>
        </w:rPr>
        <w:t>EMAXX</w:t>
      </w:r>
      <w:r>
        <w:rPr>
          <w:rFonts w:ascii="Times New Roman" w:hAnsi="Times New Roman" w:cs="Times New Roman" w:eastAsia="Times New Roman" w:hint="default"/>
          <w:spacing w:val="15"/>
        </w:rPr>
        <w:t> </w:t>
      </w:r>
      <w:r>
        <w:rPr>
          <w:rFonts w:ascii="Times New Roman" w:hAnsi="Times New Roman" w:cs="Times New Roman" w:eastAsia="Times New Roman" w:hint="default"/>
        </w:rPr>
        <w:t>TELECOM</w:t>
      </w:r>
      <w:r>
        <w:rPr>
          <w:rFonts w:ascii="Times New Roman" w:hAnsi="Times New Roman" w:cs="Times New Roman" w:eastAsia="Times New Roman" w:hint="default"/>
          <w:w w:val="99"/>
        </w:rPr>
        <w:t> </w:t>
      </w:r>
      <w:r>
        <w:rPr>
          <w:rFonts w:ascii="Times New Roman" w:hAnsi="Times New Roman" w:cs="Times New Roman" w:eastAsia="Times New Roman" w:hint="default"/>
        </w:rPr>
        <w:t>CO LTD</w:t>
      </w:r>
      <w:r>
        <w:rPr/>
        <w:t>在建工程项目。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日，南京键桥和键桥国际</w:t>
      </w:r>
      <w:r>
        <w:rPr>
          <w:rFonts w:ascii="Times New Roman" w:hAnsi="Times New Roman" w:cs="Times New Roman" w:eastAsia="Times New Roman" w:hint="default"/>
        </w:rPr>
        <w:t>100%</w:t>
      </w:r>
      <w:r>
        <w:rPr/>
        <w:t>的股权已随键桥资产管理</w:t>
      </w:r>
      <w:r>
        <w:rPr>
          <w:rFonts w:ascii="Times New Roman" w:hAnsi="Times New Roman" w:cs="Times New Roman" w:eastAsia="Times New Roman" w:hint="default"/>
        </w:rPr>
        <w:t>100%</w:t>
      </w:r>
      <w:r>
        <w:rPr/>
        <w:t>的股权一并已转让给浩瀚</w:t>
      </w:r>
      <w:r>
        <w:rPr>
          <w:spacing w:val="-89"/>
        </w:rPr>
        <w:t> </w:t>
      </w:r>
      <w:r>
        <w:rPr>
          <w:spacing w:val="-89"/>
        </w:rPr>
      </w:r>
      <w:r>
        <w:rPr/>
        <w:t>天成。</w:t>
      </w:r>
    </w:p>
    <w:p>
      <w:pPr>
        <w:spacing w:line="240" w:lineRule="auto" w:before="6"/>
        <w:rPr>
          <w:rFonts w:ascii="宋体" w:hAnsi="宋体" w:cs="宋体" w:eastAsia="宋体" w:hint="default"/>
          <w:sz w:val="23"/>
          <w:szCs w:val="23"/>
        </w:rPr>
      </w:pPr>
    </w:p>
    <w:p>
      <w:pPr>
        <w:pStyle w:val="Heading3"/>
        <w:spacing w:line="240" w:lineRule="auto"/>
        <w:ind w:right="1118"/>
        <w:jc w:val="left"/>
        <w:rPr>
          <w:b w:val="0"/>
          <w:bCs w:val="0"/>
        </w:rPr>
      </w:pPr>
      <w:bookmarkStart w:name="15、工程物资" w:id="250"/>
      <w:bookmarkEnd w:id="250"/>
      <w:r>
        <w:rPr>
          <w:b w:val="0"/>
          <w:bCs w:val="0"/>
        </w:rPr>
      </w:r>
      <w:r>
        <w:rPr>
          <w:rFonts w:ascii="Times New Roman" w:hAnsi="Times New Roman" w:cs="Times New Roman" w:eastAsia="Times New Roman" w:hint="default"/>
        </w:rPr>
        <w:t>15</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14,399,439.45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14,399,439.45</w:t>
            </w:r>
          </w:p>
        </w:tc>
      </w:tr>
    </w:tbl>
    <w:p>
      <w:pPr>
        <w:pStyle w:val="BodyText"/>
        <w:spacing w:line="240" w:lineRule="auto" w:before="51"/>
        <w:ind w:left="154" w:right="1118"/>
        <w:jc w:val="left"/>
      </w:pPr>
      <w:r>
        <w:rPr/>
        <w:t>其他说明：</w:t>
      </w:r>
    </w:p>
    <w:p>
      <w:pPr>
        <w:pStyle w:val="BodyText"/>
        <w:spacing w:line="300" w:lineRule="auto" w:before="116"/>
        <w:ind w:right="1118" w:firstLine="360"/>
        <w:jc w:val="left"/>
      </w:pPr>
      <w:r>
        <w:rPr/>
        <w:t>注：年初工程物资 </w:t>
      </w:r>
      <w:r>
        <w:rPr>
          <w:rFonts w:ascii="Times New Roman" w:hAnsi="Times New Roman" w:cs="Times New Roman" w:eastAsia="Times New Roman" w:hint="default"/>
        </w:rPr>
        <w:t>14,399,439.45</w:t>
      </w:r>
      <w:r>
        <w:rPr/>
        <w:t>元全部为</w:t>
      </w:r>
      <w:r>
        <w:rPr>
          <w:rFonts w:ascii="Times New Roman" w:hAnsi="Times New Roman" w:cs="Times New Roman" w:eastAsia="Times New Roman" w:hint="default"/>
        </w:rPr>
        <w:t>EMAXX TELECOM CO</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t>基站项目所备的设备。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日，键桥国 际</w:t>
      </w:r>
      <w:r>
        <w:rPr>
          <w:rFonts w:ascii="Times New Roman" w:hAnsi="Times New Roman" w:cs="Times New Roman" w:eastAsia="Times New Roman" w:hint="default"/>
        </w:rPr>
        <w:t>100%</w:t>
      </w:r>
      <w:r>
        <w:rPr/>
        <w:t>的股权已随键桥资产管理</w:t>
      </w:r>
      <w:r>
        <w:rPr>
          <w:rFonts w:ascii="Times New Roman" w:hAnsi="Times New Roman" w:cs="Times New Roman" w:eastAsia="Times New Roman" w:hint="default"/>
        </w:rPr>
        <w:t>100%</w:t>
      </w:r>
      <w:r>
        <w:rPr/>
        <w:t>的股权一并已转让给浩瀚天成。</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16、生产性生物资产" w:id="251"/>
      <w:bookmarkEnd w:id="251"/>
      <w:r>
        <w:rPr>
          <w:b w:val="0"/>
          <w:bCs w:val="0"/>
        </w:rPr>
      </w:r>
      <w:r>
        <w:rPr>
          <w:rFonts w:ascii="Times New Roman" w:hAnsi="Times New Roman" w:cs="Times New Roman" w:eastAsia="Times New Roman" w:hint="default"/>
        </w:rPr>
        <w:t>16</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采用成本计量模式的生产性生物资产" w:id="252"/>
      <w:bookmarkEnd w:id="25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采用公允价值计量模式的生产性生物资产" w:id="253"/>
      <w:bookmarkEnd w:id="25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17、油气资产" w:id="254"/>
      <w:bookmarkEnd w:id="254"/>
      <w:r>
        <w:rPr>
          <w:b w:val="0"/>
          <w:bCs w:val="0"/>
        </w:rPr>
      </w:r>
      <w:r>
        <w:rPr>
          <w:rFonts w:ascii="Times New Roman" w:hAnsi="Times New Roman" w:cs="Times New Roman" w:eastAsia="Times New Roman" w:hint="default"/>
        </w:rPr>
        <w:t>17</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18、无形资产" w:id="255"/>
      <w:bookmarkEnd w:id="255"/>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无形资产情况" w:id="256"/>
      <w:bookmarkEnd w:id="25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39,355,148.80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36,905,800.68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1,769,671.78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78,030,621.26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219,248.00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97,875.20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317,123.20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219,248.00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97,875.20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317,123.20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8,440,148.80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97,875.20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8,538,024.00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8,440,148.80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97,875.20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8,538,024.00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31,134,248.00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36,905,800.68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1,769,671.78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69,809,720.46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3,518,249.99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14,658,140.84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553,885.30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18,730,276.13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717,133.78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3,702,380.16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165,167.40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4,570,614.43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717,133.78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3,702,380.16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4,570,614.43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576,743.36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576,743.36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576,743.36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576,743.36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3,658,640.41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18,360,521.00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719,052.70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22,738,214.11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27,475,607.59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18,545,279.68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1,050,619.08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47,071,506.35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35,836,898.81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22,247,659.84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1,215,786.48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59,300,345.13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18"/>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未办妥产权证书的土地使用权情况" w:id="257"/>
      <w:bookmarkEnd w:id="25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其他说明：</w:t>
      </w:r>
    </w:p>
    <w:p>
      <w:pPr>
        <w:pStyle w:val="BodyText"/>
        <w:spacing w:line="240" w:lineRule="auto" w:before="116"/>
        <w:ind w:left="0" w:right="1136"/>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spacing w:val="-72"/>
        </w:rPr>
        <w:t>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月</w:t>
      </w:r>
      <w:r>
        <w:rPr>
          <w:spacing w:val="-72"/>
        </w:rPr>
        <w:t> </w:t>
      </w:r>
      <w:r>
        <w:rPr>
          <w:rFonts w:ascii="Times New Roman" w:hAnsi="Times New Roman" w:cs="Times New Roman" w:eastAsia="Times New Roman" w:hint="default"/>
          <w:spacing w:val="13"/>
        </w:rPr>
        <w:t>31</w:t>
      </w:r>
      <w:r>
        <w:rPr>
          <w:spacing w:val="13"/>
        </w:rPr>
        <w:t>日公司账面价值人民币</w:t>
      </w:r>
      <w:r>
        <w:rPr>
          <w:spacing w:val="-70"/>
        </w:rPr>
        <w:t> </w:t>
      </w:r>
      <w:r>
        <w:rPr>
          <w:rFonts w:ascii="Times New Roman" w:hAnsi="Times New Roman" w:cs="Times New Roman" w:eastAsia="Times New Roman" w:hint="default"/>
        </w:rPr>
        <w:t>27,256,359.59</w:t>
      </w:r>
      <w:r>
        <w:rPr>
          <w:rFonts w:ascii="Times New Roman" w:hAnsi="Times New Roman" w:cs="Times New Roman" w:eastAsia="Times New Roman" w:hint="default"/>
          <w:spacing w:val="-26"/>
        </w:rPr>
        <w:t> </w:t>
      </w:r>
      <w:r>
        <w:rPr>
          <w:spacing w:val="14"/>
        </w:rPr>
        <w:t>元无形资产所有权受到限制，</w:t>
      </w:r>
      <w:r>
        <w:rPr>
          <w:spacing w:val="-72"/>
        </w:rPr>
        <w:t> </w:t>
      </w:r>
      <w:r>
        <w:rPr>
          <w:spacing w:val="14"/>
        </w:rPr>
        <w:t>系本公司以账面价值为人民币</w:t>
      </w:r>
    </w:p>
    <w:p>
      <w:pPr>
        <w:pStyle w:val="BodyText"/>
        <w:spacing w:line="240" w:lineRule="auto" w:before="63"/>
        <w:ind w:left="154" w:right="1118"/>
        <w:jc w:val="left"/>
      </w:pPr>
      <w:r>
        <w:rPr>
          <w:rFonts w:ascii="Times New Roman" w:hAnsi="Times New Roman" w:cs="Times New Roman" w:eastAsia="Times New Roman" w:hint="default"/>
        </w:rPr>
        <w:t>27,256,359.59</w:t>
      </w:r>
      <w:r>
        <w:rPr/>
        <w:t>元的土地使用权为抵押，取得银行借款人民币</w:t>
      </w:r>
      <w:r>
        <w:rPr>
          <w:rFonts w:ascii="Times New Roman" w:hAnsi="Times New Roman" w:cs="Times New Roman" w:eastAsia="Times New Roman" w:hint="default"/>
        </w:rPr>
        <w:t>109,999,999.97</w:t>
      </w:r>
      <w:r>
        <w:rPr>
          <w:rFonts w:ascii="Times New Roman" w:hAnsi="Times New Roman" w:cs="Times New Roman" w:eastAsia="Times New Roman" w:hint="default"/>
          <w:spacing w:val="20"/>
        </w:rPr>
        <w:t> </w:t>
      </w:r>
      <w:r>
        <w:rPr/>
        <w:t>元（详见附注十一、</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19、商誉" w:id="258"/>
      <w:bookmarkEnd w:id="258"/>
      <w:r>
        <w:rPr>
          <w:b w:val="0"/>
          <w:bCs w:val="0"/>
        </w:rPr>
      </w:r>
      <w:r>
        <w:rPr>
          <w:rFonts w:ascii="Times New Roman" w:hAnsi="Times New Roman" w:cs="Times New Roman" w:eastAsia="Times New Roman" w:hint="default"/>
        </w:rPr>
        <w:t>19</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商誉账面原值" w:id="259"/>
      <w:bookmarkEnd w:id="25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5"/>
        <w:gridCol w:w="1277"/>
        <w:gridCol w:w="1022"/>
        <w:gridCol w:w="1022"/>
        <w:gridCol w:w="1024"/>
        <w:gridCol w:w="1022"/>
        <w:gridCol w:w="1367"/>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日公司收购全资子公 司深圳市德威普软件技术有限公司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股权所形成的商誉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2"/>
              <w:ind w:left="2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日公司收购全资子 公司南京凌云科技发展有限公司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股权所形成的商誉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863,453.23</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863,453.23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商誉减值准备" w:id="260"/>
      <w:bookmarkEnd w:id="26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6072" w:hanging="360"/>
        <w:jc w:val="left"/>
      </w:pPr>
      <w:r>
        <w:rPr/>
        <w:t>说明商誉减值测试过程、参数及商誉减值损失的确认方法： 商誉减值测试方法详见附注四、</w:t>
      </w:r>
      <w:r>
        <w:rPr>
          <w:rFonts w:ascii="Times New Roman" w:hAnsi="Times New Roman" w:cs="Times New Roman" w:eastAsia="Times New Roman" w:hint="default"/>
        </w:rPr>
        <w:t>20</w:t>
      </w:r>
      <w:r>
        <w:rPr/>
        <w:t>。</w:t>
      </w:r>
    </w:p>
    <w:p>
      <w:pPr>
        <w:spacing w:line="240" w:lineRule="auto" w:before="5"/>
        <w:rPr>
          <w:rFonts w:ascii="宋体" w:hAnsi="宋体" w:cs="宋体" w:eastAsia="宋体" w:hint="default"/>
          <w:sz w:val="18"/>
          <w:szCs w:val="18"/>
        </w:rPr>
      </w:pPr>
    </w:p>
    <w:p>
      <w:pPr>
        <w:pStyle w:val="Heading3"/>
        <w:spacing w:line="240" w:lineRule="auto"/>
        <w:ind w:right="1118"/>
        <w:jc w:val="left"/>
        <w:rPr>
          <w:b w:val="0"/>
          <w:bCs w:val="0"/>
        </w:rPr>
      </w:pPr>
      <w:bookmarkStart w:name="20、长期待摊费用" w:id="261"/>
      <w:bookmarkEnd w:id="261"/>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80,942.29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2,374,393.91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382,692.49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2,072,643.71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80,942.29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2,374,393.91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382,692.49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2,072,643.71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1、递延所得税资产/递延所得税负债" w:id="262"/>
      <w:bookmarkEnd w:id="262"/>
      <w:r>
        <w:rPr>
          <w:b w:val="0"/>
          <w:bCs w:val="0"/>
        </w:rPr>
      </w:r>
      <w:r>
        <w:rPr>
          <w:rFonts w:ascii="Times New Roman" w:hAnsi="Times New Roman" w:cs="Times New Roman" w:eastAsia="Times New Roman" w:hint="default"/>
        </w:rPr>
        <w:t>21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未经抵销的递延所得税资产" w:id="263"/>
      <w:bookmarkEnd w:id="26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62,839,418.92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10,825,925.75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77,841,338.17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12,555,005.09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41,338,187.70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10,334,546.92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4,940,269.64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1,235,067.41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41,800.63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104,177,606.62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21,160,472.67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82,941,710.30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13,831,873.13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以抵销后净额列示的递延所得税资产或负债" w:id="264"/>
      <w:bookmarkEnd w:id="264"/>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21,160,472.67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13,831,873.13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未确认递延所得税资产明细" w:id="265"/>
      <w:bookmarkEnd w:id="265"/>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2,531,232.33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148,163.44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1,424,541.81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1,566,301.47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3,955,774.14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1,714,464.91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未确认递延所得税资产的可抵扣亏损将于以下年度到期" w:id="266"/>
      <w:bookmarkEnd w:id="266"/>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1,566,301.47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1,424,541.80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1,424,541.80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1,566,301.47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2、短期借款" w:id="267"/>
      <w:bookmarkEnd w:id="267"/>
      <w:r>
        <w:rPr>
          <w:b w:val="0"/>
          <w:bCs w:val="0"/>
        </w:rPr>
      </w:r>
      <w:r>
        <w:rPr>
          <w:rFonts w:ascii="Times New Roman" w:hAnsi="Times New Roman" w:cs="Times New Roman" w:eastAsia="Times New Roman" w:hint="default"/>
        </w:rPr>
        <w:t>22</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短期借款分类" w:id="268"/>
      <w:bookmarkEnd w:id="26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应收账款保理融资</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325,580,000.00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336,000,000.00</w:t>
            </w:r>
          </w:p>
        </w:tc>
      </w:tr>
    </w:tbl>
    <w:p>
      <w:pPr>
        <w:pStyle w:val="BodyText"/>
        <w:spacing w:line="357" w:lineRule="auto" w:before="51"/>
        <w:ind w:left="514" w:right="7962" w:hanging="360"/>
        <w:jc w:val="left"/>
      </w:pPr>
      <w:r>
        <w:rPr/>
        <w:t>短期借款分类的说明： 注：（</w:t>
      </w:r>
      <w:r>
        <w:rPr>
          <w:rFonts w:ascii="Times New Roman" w:hAnsi="Times New Roman" w:cs="Times New Roman" w:eastAsia="Times New Roman" w:hint="default"/>
        </w:rPr>
        <w:t>1</w:t>
      </w:r>
      <w:r>
        <w:rPr/>
        <w:t>）短期借款分类情况：</w:t>
      </w:r>
    </w:p>
    <w:p>
      <w:pPr>
        <w:pStyle w:val="BodyText"/>
        <w:spacing w:line="214" w:lineRule="exact"/>
        <w:ind w:left="514" w:right="1118"/>
        <w:jc w:val="left"/>
      </w:pPr>
      <w:r>
        <w:rPr/>
        <w:t>①保证借款的抵押资产类别以及金额，参见附注十一、</w:t>
      </w:r>
      <w:r>
        <w:rPr>
          <w:rFonts w:ascii="Times New Roman" w:hAnsi="Times New Roman" w:cs="Times New Roman" w:eastAsia="Times New Roman" w:hint="default"/>
        </w:rPr>
        <w:t>5</w:t>
      </w:r>
      <w:r>
        <w:rPr/>
        <w:t>。</w:t>
      </w:r>
    </w:p>
    <w:p>
      <w:pPr>
        <w:pStyle w:val="BodyText"/>
        <w:spacing w:line="300" w:lineRule="auto" w:before="63"/>
        <w:ind w:right="1129" w:firstLine="360"/>
        <w:jc w:val="both"/>
      </w:pPr>
      <w:r>
        <w:rPr/>
        <w:t>②质押贷款</w:t>
      </w:r>
      <w:r>
        <w:rPr>
          <w:rFonts w:ascii="Times New Roman" w:hAnsi="Times New Roman" w:cs="Times New Roman" w:eastAsia="Times New Roman" w:hint="default"/>
        </w:rPr>
        <w:t>177,580,000.00</w:t>
      </w:r>
      <w:r>
        <w:rPr/>
        <w:t>元，其中：银行承兑汇票贴现</w:t>
      </w:r>
      <w:r>
        <w:rPr>
          <w:rFonts w:ascii="Times New Roman" w:hAnsi="Times New Roman" w:cs="Times New Roman" w:eastAsia="Times New Roman" w:hint="default"/>
        </w:rPr>
        <w:t>133,330,000.00</w:t>
      </w:r>
      <w:r>
        <w:rPr/>
        <w:t>元；用商业承兑汇票</w:t>
      </w:r>
      <w:r>
        <w:rPr>
          <w:rFonts w:ascii="Times New Roman" w:hAnsi="Times New Roman" w:cs="Times New Roman" w:eastAsia="Times New Roman" w:hint="default"/>
        </w:rPr>
        <w:t>40,000,000.00</w:t>
      </w:r>
      <w:r>
        <w:rPr/>
        <w:t>元作质押取得</w:t>
      </w:r>
      <w:r>
        <w:rPr>
          <w:spacing w:val="1"/>
        </w:rPr>
        <w:t> </w:t>
      </w:r>
      <w:r>
        <w:rPr/>
        <w:t>的借款</w:t>
      </w:r>
      <w:r>
        <w:rPr>
          <w:rFonts w:ascii="Times New Roman" w:hAnsi="Times New Roman" w:cs="Times New Roman" w:eastAsia="Times New Roman" w:hint="default"/>
        </w:rPr>
        <w:t>30,000,000.00</w:t>
      </w:r>
      <w:r>
        <w:rPr/>
        <w:t>元；存保证金</w:t>
      </w:r>
      <w:r>
        <w:rPr>
          <w:rFonts w:ascii="Times New Roman" w:hAnsi="Times New Roman" w:cs="Times New Roman" w:eastAsia="Times New Roman" w:hint="default"/>
        </w:rPr>
        <w:t>14,250,000.00</w:t>
      </w:r>
      <w:r>
        <w:rPr/>
        <w:t>元取得贷款</w:t>
      </w:r>
      <w:r>
        <w:rPr>
          <w:rFonts w:ascii="Times New Roman" w:hAnsi="Times New Roman" w:cs="Times New Roman" w:eastAsia="Times New Roman" w:hint="default"/>
        </w:rPr>
        <w:t>14,250,000.00</w:t>
      </w:r>
      <w:r>
        <w:rPr/>
        <w:t>元。</w:t>
      </w:r>
    </w:p>
    <w:p>
      <w:pPr>
        <w:pStyle w:val="BodyText"/>
        <w:spacing w:line="300" w:lineRule="auto" w:before="13"/>
        <w:ind w:right="1130" w:firstLine="360"/>
        <w:jc w:val="both"/>
      </w:pPr>
      <w:r>
        <w:rPr/>
        <w:t>③应收账款保理融资</w:t>
      </w:r>
      <w:r>
        <w:rPr>
          <w:rFonts w:ascii="Times New Roman" w:hAnsi="Times New Roman" w:cs="Times New Roman" w:eastAsia="Times New Roman" w:hint="default"/>
        </w:rPr>
        <w:t>5,000,000.00</w:t>
      </w:r>
      <w:r>
        <w:rPr/>
        <w:t>元，系根据本公司与上海中锋商业保理有限公司签订的《商业保理业务合同》，由本 公司应收账款</w:t>
      </w:r>
      <w:r>
        <w:rPr>
          <w:rFonts w:ascii="Times New Roman" w:hAnsi="Times New Roman" w:cs="Times New Roman" w:eastAsia="Times New Roman" w:hint="default"/>
        </w:rPr>
        <w:t>---</w:t>
      </w:r>
      <w:r>
        <w:rPr/>
        <w:t>苏州市轨道交通集团有限公司</w:t>
      </w:r>
      <w:r>
        <w:rPr>
          <w:rFonts w:ascii="Times New Roman" w:hAnsi="Times New Roman" w:cs="Times New Roman" w:eastAsia="Times New Roman" w:hint="default"/>
        </w:rPr>
        <w:t>8,120,000.00</w:t>
      </w:r>
      <w:r>
        <w:rPr/>
        <w:t>元保理给上海中锋商业保理有限公司，保理融资金额</w:t>
      </w:r>
      <w:r>
        <w:rPr>
          <w:rFonts w:ascii="Times New Roman" w:hAnsi="Times New Roman" w:cs="Times New Roman" w:eastAsia="Times New Roman" w:hint="default"/>
        </w:rPr>
        <w:t>5,000,000.00</w:t>
      </w:r>
      <w:r>
        <w:rPr>
          <w:rFonts w:ascii="Times New Roman" w:hAnsi="Times New Roman" w:cs="Times New Roman" w:eastAsia="Times New Roman" w:hint="default"/>
          <w:spacing w:val="-40"/>
        </w:rPr>
        <w:t> </w:t>
      </w:r>
      <w:r>
        <w:rPr/>
        <w:t>元。</w:t>
      </w:r>
    </w:p>
    <w:p>
      <w:pPr>
        <w:spacing w:line="240" w:lineRule="auto" w:before="6"/>
        <w:rPr>
          <w:rFonts w:ascii="宋体" w:hAnsi="宋体" w:cs="宋体" w:eastAsia="宋体" w:hint="default"/>
          <w:sz w:val="23"/>
          <w:szCs w:val="23"/>
        </w:rPr>
      </w:pPr>
    </w:p>
    <w:p>
      <w:pPr>
        <w:spacing w:line="544" w:lineRule="auto" w:before="0"/>
        <w:ind w:left="154" w:right="6929" w:firstLine="0"/>
        <w:jc w:val="left"/>
        <w:rPr>
          <w:rFonts w:ascii="宋体" w:hAnsi="宋体" w:cs="宋体" w:eastAsia="宋体" w:hint="default"/>
          <w:sz w:val="21"/>
          <w:szCs w:val="21"/>
        </w:rPr>
      </w:pPr>
      <w:bookmarkStart w:name="（2）已逾期未偿还的短期借款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3、衍生金融负债" w:id="270"/>
      <w:bookmarkEnd w:id="270"/>
      <w:r>
        <w:rPr>
          <w:rFonts w:ascii="宋体" w:hAnsi="宋体" w:cs="宋体" w:eastAsia="宋体" w:hint="default"/>
          <w:sz w:val="18"/>
          <w:szCs w:val="18"/>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53"/>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4、应付票据" w:id="271"/>
      <w:bookmarkEnd w:id="271"/>
      <w:r>
        <w:rPr>
          <w:b w:val="0"/>
          <w:bCs w:val="0"/>
        </w:rPr>
      </w:r>
      <w:r>
        <w:rPr>
          <w:rFonts w:ascii="Times New Roman" w:hAnsi="Times New Roman" w:cs="Times New Roman" w:eastAsia="Times New Roman" w:hint="default"/>
        </w:rPr>
        <w:t>24</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141,190,000.00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19,480,913.00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23,529,526.00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68,310,913.00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164,719,526.00</w:t>
            </w:r>
          </w:p>
        </w:tc>
      </w:tr>
    </w:tbl>
    <w:p>
      <w:pPr>
        <w:pStyle w:val="BodyText"/>
        <w:spacing w:line="240" w:lineRule="auto" w:before="51"/>
        <w:ind w:left="154" w:right="1118"/>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1118"/>
        <w:jc w:val="left"/>
        <w:rPr>
          <w:b w:val="0"/>
          <w:bCs w:val="0"/>
        </w:rPr>
      </w:pPr>
      <w:bookmarkStart w:name="25、应付账款" w:id="272"/>
      <w:bookmarkEnd w:id="272"/>
      <w:r>
        <w:rPr>
          <w:b w:val="0"/>
          <w:bCs w:val="0"/>
        </w:rPr>
      </w:r>
      <w:r>
        <w:rPr>
          <w:rFonts w:ascii="Times New Roman" w:hAnsi="Times New Roman" w:cs="Times New Roman" w:eastAsia="Times New Roman" w:hint="default"/>
        </w:rPr>
        <w:t>25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应付账款列示" w:id="273"/>
      <w:bookmarkEnd w:id="27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201,685,730.10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107,022,863.77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23,696,841.98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91,287,718.47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58,372,492.59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15,331,255.17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17,943,694.60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4,466,255.09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301,698,759.27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218,108,092.50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账龄超过1年的重要应付账款" w:id="274"/>
      <w:bookmarkEnd w:id="27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上海三思电子工程有限公司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8,094,848.00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江苏声迅电子有限公司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5,437,682.99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吴江大树交通设施有限公司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5,383,843.67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广西维西智能科技有限公司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2,457,064.75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深圳国人通信股份有限公司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2,324,803.38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北京智讯天成技术有限公司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1,840,212.86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呼和浩特市兴荣信息技术有限公司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1,453,381.30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工程项目验收延迟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26,991,836.95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6、预收款项" w:id="275"/>
      <w:bookmarkEnd w:id="275"/>
      <w:r>
        <w:rPr>
          <w:b w:val="0"/>
          <w:bCs w:val="0"/>
        </w:rPr>
      </w:r>
      <w:r>
        <w:rPr>
          <w:rFonts w:ascii="Times New Roman" w:hAnsi="Times New Roman" w:cs="Times New Roman" w:eastAsia="Times New Roman" w:hint="default"/>
        </w:rPr>
        <w:t>26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预收款项列示" w:id="276"/>
      <w:bookmarkEnd w:id="27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83,720,321.58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37,135,200.91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7,159,587.87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1,985,350.15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813,670.81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936,651.70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75,609.15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91,769,189.41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40,057,202.76</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7、应付职工薪酬" w:id="277"/>
      <w:bookmarkEnd w:id="277"/>
      <w:r>
        <w:rPr>
          <w:b w:val="0"/>
          <w:bCs w:val="0"/>
        </w:rPr>
      </w:r>
      <w:r>
        <w:rPr>
          <w:rFonts w:ascii="Times New Roman" w:hAnsi="Times New Roman" w:cs="Times New Roman" w:eastAsia="Times New Roman" w:hint="default"/>
        </w:rPr>
        <w:t>27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应付职工薪酬列示" w:id="278"/>
      <w:bookmarkEnd w:id="27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2,305,456.26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35,218,754.94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34,465,835.37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3,058,375.83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3,053,546.70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3,056,312.74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2,308,222.30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38,362,301.64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37,612,148.11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3,058,375.83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短期薪酬列示" w:id="279"/>
      <w:bookmarkEnd w:id="27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2,302,034.88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32,526,739.34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31,770,398.39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3,058,375.83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557,815.05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557,815.05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711.38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939,791.86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940,503.24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711.38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756,136.44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756,847.82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91,764.63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91,890.79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91,890.79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1,174,677.69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1,177,387.69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19,731.00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2,305,456.26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35,218,754.94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34,465,835.37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3,058,375.83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设定提存计划列示" w:id="280"/>
      <w:bookmarkEnd w:id="28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2,896,338.27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2,898,954.27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101,843.80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101,993.84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34,076.94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、补充养老保险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21,287.69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3,053,546.70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3,056,312.74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18"/>
        <w:jc w:val="left"/>
      </w:pPr>
      <w:r>
        <w:rPr/>
        <w:t>其他说明：</w:t>
      </w:r>
    </w:p>
    <w:p>
      <w:pPr>
        <w:pStyle w:val="BodyText"/>
        <w:spacing w:line="309" w:lineRule="auto" w:before="116"/>
        <w:ind w:left="154" w:right="1132" w:firstLine="360"/>
        <w:jc w:val="both"/>
      </w:pPr>
      <w:r>
        <w:rPr>
          <w:spacing w:val="-5"/>
        </w:rPr>
        <w:t>本公司按规定参加由政府机构设立的养老保险、失业保险计划，根据该等计划，本公司分别按员工基本工资的</w:t>
      </w:r>
      <w:r>
        <w:rPr>
          <w:rFonts w:ascii="Times New Roman" w:hAnsi="Times New Roman" w:cs="Times New Roman" w:eastAsia="Times New Roman" w:hint="default"/>
          <w:spacing w:val="-5"/>
        </w:rPr>
        <w:t>11%</w:t>
      </w:r>
      <w:r>
        <w:rPr>
          <w:spacing w:val="-5"/>
        </w:rPr>
        <w:t>、</w:t>
      </w:r>
      <w:r>
        <w:rPr>
          <w:rFonts w:ascii="Times New Roman" w:hAnsi="Times New Roman" w:cs="Times New Roman" w:eastAsia="Times New Roman" w:hint="default"/>
          <w:spacing w:val="-5"/>
        </w:rPr>
        <w:t>18.08</w:t>
      </w:r>
      <w:r>
        <w:rPr>
          <w:rFonts w:ascii="Times New Roman" w:hAnsi="Times New Roman" w:cs="Times New Roman" w:eastAsia="Times New Roman" w:hint="default"/>
        </w:rPr>
        <w:t> </w:t>
      </w:r>
      <w:r>
        <w:rPr>
          <w:spacing w:val="-2"/>
        </w:rPr>
        <w:t>元每月向该等计划缴存费用。除上述每月缴存费用外，本公司不再承担进一步支付义务。相应的支出于发生时计入当期损益</w:t>
      </w:r>
      <w:r>
        <w:rPr>
          <w:spacing w:val="-66"/>
        </w:rPr>
        <w:t> </w:t>
      </w:r>
      <w:r>
        <w:rPr>
          <w:spacing w:val="-66"/>
        </w:rPr>
      </w:r>
      <w:r>
        <w:rPr/>
        <w:t>或相关资产的成本。</w:t>
      </w:r>
    </w:p>
    <w:p>
      <w:pPr>
        <w:spacing w:line="240" w:lineRule="auto" w:before="12"/>
        <w:rPr>
          <w:rFonts w:ascii="宋体" w:hAnsi="宋体" w:cs="宋体" w:eastAsia="宋体" w:hint="default"/>
          <w:sz w:val="22"/>
          <w:szCs w:val="22"/>
        </w:rPr>
      </w:pPr>
    </w:p>
    <w:p>
      <w:pPr>
        <w:pStyle w:val="Heading3"/>
        <w:spacing w:line="240" w:lineRule="auto"/>
        <w:ind w:left="154" w:right="1118"/>
        <w:jc w:val="left"/>
        <w:rPr>
          <w:b w:val="0"/>
          <w:bCs w:val="0"/>
        </w:rPr>
      </w:pPr>
      <w:bookmarkStart w:name="28、应交税费" w:id="281"/>
      <w:bookmarkEnd w:id="281"/>
      <w:r>
        <w:rPr>
          <w:b w:val="0"/>
          <w:bCs w:val="0"/>
        </w:rPr>
      </w:r>
      <w:r>
        <w:rPr>
          <w:rFonts w:ascii="Times New Roman" w:hAnsi="Times New Roman" w:cs="Times New Roman" w:eastAsia="Times New Roman" w:hint="default"/>
        </w:rPr>
        <w:t>28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40,220,828.15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5,749,521.49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9,913,794.17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7,471,276.09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9,173,038.68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3,104,331.28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196,131.24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86,394.77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1,496,446.57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668,304.07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99,826.76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56,977.97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752,550.34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263,317.35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328,723.09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226,876.19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403,615.19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84,218.17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62,584,954.19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17,711,217.38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9、应付利息" w:id="282"/>
      <w:bookmarkEnd w:id="282"/>
      <w:r>
        <w:rPr>
          <w:b w:val="0"/>
          <w:bCs w:val="0"/>
        </w:rPr>
      </w:r>
      <w:r>
        <w:rPr>
          <w:rFonts w:ascii="Times New Roman" w:hAnsi="Times New Roman" w:cs="Times New Roman" w:eastAsia="Times New Roman" w:hint="default"/>
        </w:rPr>
        <w:t>29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193,051.60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379,867.96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343,308.32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598,333.34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536,359.92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978,201.30</w:t>
            </w:r>
          </w:p>
        </w:tc>
      </w:tr>
    </w:tbl>
    <w:p>
      <w:pPr>
        <w:pStyle w:val="BodyText"/>
        <w:spacing w:line="240" w:lineRule="auto" w:before="51"/>
        <w:ind w:left="154" w:right="1118"/>
        <w:jc w:val="left"/>
      </w:pPr>
      <w:r>
        <w:rPr/>
        <w:t>其他说明：</w:t>
      </w:r>
    </w:p>
    <w:p>
      <w:pPr>
        <w:pStyle w:val="BodyText"/>
        <w:spacing w:line="240" w:lineRule="auto" w:before="116"/>
        <w:ind w:left="514" w:right="1118"/>
        <w:jc w:val="left"/>
      </w:pPr>
      <w:r>
        <w:rPr/>
        <w:t>期末无重要的已逾期未支付的利息。</w:t>
      </w:r>
    </w:p>
    <w:p>
      <w:pPr>
        <w:spacing w:line="240" w:lineRule="auto" w:before="12"/>
        <w:rPr>
          <w:rFonts w:ascii="宋体" w:hAnsi="宋体" w:cs="宋体" w:eastAsia="宋体" w:hint="default"/>
          <w:sz w:val="26"/>
          <w:szCs w:val="26"/>
        </w:rPr>
      </w:pPr>
    </w:p>
    <w:p>
      <w:pPr>
        <w:pStyle w:val="Heading3"/>
        <w:spacing w:line="240" w:lineRule="auto"/>
        <w:ind w:left="154" w:right="1118"/>
        <w:jc w:val="left"/>
        <w:rPr>
          <w:b w:val="0"/>
          <w:bCs w:val="0"/>
        </w:rPr>
      </w:pPr>
      <w:bookmarkStart w:name="30、其他应付款" w:id="283"/>
      <w:bookmarkEnd w:id="283"/>
      <w:r>
        <w:rPr>
          <w:b w:val="0"/>
          <w:bCs w:val="0"/>
        </w:rPr>
      </w:r>
      <w:r>
        <w:rPr>
          <w:rFonts w:ascii="Times New Roman" w:hAnsi="Times New Roman" w:cs="Times New Roman" w:eastAsia="Times New Roman" w:hint="default"/>
        </w:rPr>
        <w:t>30</w:t>
      </w:r>
      <w:r>
        <w:rPr/>
        <w:t>、其他应付款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18"/>
        <w:jc w:val="left"/>
        <w:rPr>
          <w:b w:val="0"/>
          <w:bCs w:val="0"/>
        </w:rPr>
      </w:pPr>
      <w:bookmarkStart w:name="（1）按款项性质列示其他应付款" w:id="284"/>
      <w:bookmarkEnd w:id="28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137,904,458.29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97,204,757.48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137,904,458.29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97,204,757.48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账龄超过1年的重要其他应付款" w:id="285"/>
      <w:bookmarkEnd w:id="28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北京瑞华赢科技发展有限公司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工程合同款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1、其他流动负债" w:id="286"/>
      <w:bookmarkEnd w:id="286"/>
      <w:r>
        <w:rPr>
          <w:b w:val="0"/>
          <w:bCs w:val="0"/>
        </w:rPr>
      </w:r>
      <w:r>
        <w:rPr>
          <w:rFonts w:ascii="Times New Roman" w:hAnsi="Times New Roman" w:cs="Times New Roman" w:eastAsia="Times New Roman" w:hint="default"/>
        </w:rPr>
        <w:t>31</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726,178.86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726,178.86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726,178.86</w:t>
            </w:r>
          </w:p>
        </w:tc>
      </w:tr>
    </w:tbl>
    <w:p>
      <w:pPr>
        <w:pStyle w:val="BodyText"/>
        <w:spacing w:line="240" w:lineRule="auto" w:before="51"/>
        <w:ind w:left="154" w:right="1118"/>
        <w:jc w:val="left"/>
      </w:pPr>
      <w:r>
        <w:rPr/>
        <w:t>短期应付债券的增减变动：无</w:t>
      </w:r>
    </w:p>
    <w:p>
      <w:pPr>
        <w:spacing w:line="240" w:lineRule="auto" w:before="11"/>
        <w:rPr>
          <w:rFonts w:ascii="宋体" w:hAnsi="宋体" w:cs="宋体" w:eastAsia="宋体" w:hint="default"/>
          <w:sz w:val="26"/>
          <w:szCs w:val="26"/>
        </w:rPr>
      </w:pPr>
    </w:p>
    <w:p>
      <w:pPr>
        <w:pStyle w:val="Heading3"/>
        <w:spacing w:line="240" w:lineRule="auto"/>
        <w:ind w:left="154" w:right="1118"/>
        <w:jc w:val="left"/>
        <w:rPr>
          <w:b w:val="0"/>
          <w:bCs w:val="0"/>
        </w:rPr>
      </w:pPr>
      <w:bookmarkStart w:name="32、长期借款" w:id="287"/>
      <w:bookmarkEnd w:id="287"/>
      <w:r>
        <w:rPr>
          <w:b w:val="0"/>
          <w:bCs w:val="0"/>
        </w:rPr>
      </w:r>
      <w:r>
        <w:rPr>
          <w:rFonts w:ascii="Times New Roman" w:hAnsi="Times New Roman" w:cs="Times New Roman" w:eastAsia="Times New Roman" w:hint="default"/>
        </w:rPr>
        <w:t>32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18"/>
        <w:jc w:val="left"/>
        <w:rPr>
          <w:b w:val="0"/>
          <w:bCs w:val="0"/>
        </w:rPr>
      </w:pPr>
      <w:bookmarkStart w:name="（1）长期借款分类" w:id="288"/>
      <w:bookmarkEnd w:id="28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198,764,349.47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109,999,999.97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198,764,349.47</w:t>
            </w:r>
          </w:p>
        </w:tc>
      </w:tr>
    </w:tbl>
    <w:p>
      <w:pPr>
        <w:pStyle w:val="BodyText"/>
        <w:spacing w:line="357" w:lineRule="auto" w:before="51"/>
        <w:ind w:left="332" w:right="5804" w:hanging="179"/>
        <w:jc w:val="left"/>
      </w:pPr>
      <w:r>
        <w:rPr/>
        <w:t>长期借款分类的说明： 注：保证借款的保证资产类别以及金额，参见附注十一、</w:t>
      </w:r>
      <w:r>
        <w:rPr>
          <w:rFonts w:ascii="Times New Roman" w:hAnsi="Times New Roman" w:cs="Times New Roman" w:eastAsia="Times New Roman" w:hint="default"/>
        </w:rPr>
        <w:t>5</w:t>
      </w:r>
      <w:r>
        <w:rPr/>
        <w:t>。</w:t>
      </w:r>
    </w:p>
    <w:p>
      <w:pPr>
        <w:spacing w:line="240" w:lineRule="auto" w:before="5"/>
        <w:rPr>
          <w:rFonts w:ascii="宋体" w:hAnsi="宋体" w:cs="宋体" w:eastAsia="宋体" w:hint="default"/>
          <w:sz w:val="18"/>
          <w:szCs w:val="18"/>
        </w:rPr>
      </w:pPr>
    </w:p>
    <w:p>
      <w:pPr>
        <w:pStyle w:val="Heading3"/>
        <w:spacing w:line="240" w:lineRule="auto"/>
        <w:ind w:left="154" w:right="1118"/>
        <w:jc w:val="left"/>
        <w:rPr>
          <w:b w:val="0"/>
          <w:bCs w:val="0"/>
        </w:rPr>
      </w:pPr>
      <w:bookmarkStart w:name="33、股本" w:id="289"/>
      <w:bookmarkEnd w:id="289"/>
      <w:r>
        <w:rPr>
          <w:b w:val="0"/>
          <w:bCs w:val="0"/>
        </w:rPr>
      </w:r>
      <w:r>
        <w:rPr>
          <w:rFonts w:ascii="Times New Roman" w:hAnsi="Times New Roman" w:cs="Times New Roman" w:eastAsia="Times New Roman" w:hint="default"/>
        </w:rPr>
        <w:t>33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393,120,000.00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393,120,000.00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4、资本公积" w:id="290"/>
      <w:bookmarkEnd w:id="290"/>
      <w:r>
        <w:rPr>
          <w:b w:val="0"/>
          <w:bCs w:val="0"/>
        </w:rPr>
      </w:r>
      <w:r>
        <w:rPr>
          <w:rFonts w:ascii="Times New Roman" w:hAnsi="Times New Roman" w:cs="Times New Roman" w:eastAsia="Times New Roman" w:hint="default"/>
        </w:rPr>
        <w:t>34</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232,937,169.28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232,937,169.28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7,448,593.79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7,114,551.97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14,563,145.76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240,385,763.07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7,114,551.97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247,500,315.04</w:t>
            </w:r>
          </w:p>
        </w:tc>
      </w:tr>
    </w:tbl>
    <w:p>
      <w:pPr>
        <w:pStyle w:val="BodyText"/>
        <w:spacing w:line="357" w:lineRule="auto" w:before="51"/>
        <w:ind w:left="514" w:right="1118" w:hanging="360"/>
        <w:jc w:val="left"/>
      </w:pPr>
      <w:r>
        <w:rPr/>
        <w:t>其他说明，包括本期增减变动情况、变动原因说明： </w:t>
      </w:r>
      <w:r>
        <w:rPr>
          <w:spacing w:val="-1"/>
        </w:rPr>
        <w:t>注：本年增加</w:t>
      </w:r>
      <w:r>
        <w:rPr>
          <w:rFonts w:ascii="Times New Roman" w:hAnsi="Times New Roman" w:cs="Times New Roman" w:eastAsia="Times New Roman" w:hint="default"/>
          <w:spacing w:val="-1"/>
        </w:rPr>
        <w:t>7,114,551.97</w:t>
      </w:r>
      <w:r>
        <w:rPr>
          <w:spacing w:val="-1"/>
        </w:rPr>
        <w:t>元，其中：（</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日，本公司与公司第二大股东实际控制人叶琼控制的公司浩瀚天</w:t>
      </w:r>
    </w:p>
    <w:p>
      <w:pPr>
        <w:pStyle w:val="BodyText"/>
        <w:spacing w:line="214" w:lineRule="exact"/>
        <w:ind w:right="0"/>
        <w:jc w:val="left"/>
      </w:pPr>
      <w:r>
        <w:rPr/>
        <w:t>成签署了《销售合同》。根据北京天健兴业资产评估有限公司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日出具的天兴评报字（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0789</w:t>
      </w:r>
      <w:r>
        <w:rPr/>
        <w:t>号评估报告，</w:t>
      </w:r>
    </w:p>
    <w:p>
      <w:pPr>
        <w:pStyle w:val="BodyText"/>
        <w:spacing w:line="300" w:lineRule="auto" w:before="63"/>
        <w:ind w:right="1118"/>
        <w:jc w:val="left"/>
      </w:pPr>
      <w:r>
        <w:rPr/>
        <w:t>截至到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日，出售的原材料账面价值（不含税净值）为</w:t>
      </w:r>
      <w:r>
        <w:rPr>
          <w:rFonts w:ascii="Times New Roman" w:hAnsi="Times New Roman" w:cs="Times New Roman" w:eastAsia="Times New Roman" w:hint="default"/>
        </w:rPr>
        <w:t>56,766,088.17</w:t>
      </w:r>
      <w:r>
        <w:rPr/>
        <w:t>元，评估价值（含税价值）为</w:t>
      </w:r>
      <w:r>
        <w:rPr>
          <w:rFonts w:ascii="Times New Roman" w:hAnsi="Times New Roman" w:cs="Times New Roman" w:eastAsia="Times New Roman" w:hint="default"/>
        </w:rPr>
        <w:t>67,173,299.55</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元，不含税评估净值为</w:t>
      </w:r>
      <w:r>
        <w:rPr>
          <w:rFonts w:ascii="Times New Roman" w:hAnsi="Times New Roman" w:cs="Times New Roman" w:eastAsia="Times New Roman" w:hint="default"/>
        </w:rPr>
        <w:t>57,413,076.54</w:t>
      </w:r>
      <w:r>
        <w:rPr/>
        <w:t>元，增值</w:t>
      </w:r>
      <w:r>
        <w:rPr>
          <w:rFonts w:ascii="Times New Roman" w:hAnsi="Times New Roman" w:cs="Times New Roman" w:eastAsia="Times New Roman" w:hint="default"/>
        </w:rPr>
        <w:t>646,988.37</w:t>
      </w:r>
      <w:r>
        <w:rPr/>
        <w:t>元；</w:t>
      </w:r>
    </w:p>
    <w:p>
      <w:pPr>
        <w:pStyle w:val="BodyText"/>
        <w:spacing w:line="309" w:lineRule="auto" w:before="13"/>
        <w:ind w:left="154" w:right="113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日，公司及公司全资子公司德威普、德威普全资子公司湖南键桥与公司第二大股东实际控制人控制 </w:t>
      </w:r>
      <w:r>
        <w:rPr>
          <w:spacing w:val="-2"/>
        </w:rPr>
        <w:t>的浩瀚天成签署了《资产转让协议》。公司及公司全资子公司德威普、德威普全资子公司湖南键桥向浩瀚天成以不附追索权</w:t>
      </w:r>
      <w:r>
        <w:rPr>
          <w:spacing w:val="-66"/>
        </w:rPr>
        <w:t> </w:t>
      </w:r>
      <w:r>
        <w:rPr>
          <w:spacing w:val="-66"/>
        </w:rPr>
      </w:r>
      <w:r>
        <w:rPr/>
        <w:t>的方式转让了应收账款</w:t>
      </w:r>
      <w:r>
        <w:rPr>
          <w:rFonts w:ascii="Times New Roman" w:hAnsi="Times New Roman" w:cs="Times New Roman" w:eastAsia="Times New Roman" w:hint="default"/>
        </w:rPr>
        <w:t>107,114,656.90</w:t>
      </w:r>
      <w:r>
        <w:rPr/>
        <w:t>元、预付账款</w:t>
      </w:r>
      <w:r>
        <w:rPr>
          <w:rFonts w:ascii="Times New Roman" w:hAnsi="Times New Roman" w:cs="Times New Roman" w:eastAsia="Times New Roman" w:hint="default"/>
        </w:rPr>
        <w:t>14,756,448.41</w:t>
      </w:r>
      <w:r>
        <w:rPr/>
        <w:t>元、其他应收款</w:t>
      </w:r>
      <w:r>
        <w:rPr>
          <w:rFonts w:ascii="Times New Roman" w:hAnsi="Times New Roman" w:cs="Times New Roman" w:eastAsia="Times New Roman" w:hint="default"/>
        </w:rPr>
        <w:t>33,918,174.00</w:t>
      </w:r>
      <w:r>
        <w:rPr/>
        <w:t>元，增值</w:t>
      </w:r>
      <w:r>
        <w:rPr>
          <w:rFonts w:ascii="Times New Roman" w:hAnsi="Times New Roman" w:cs="Times New Roman" w:eastAsia="Times New Roman" w:hint="default"/>
        </w:rPr>
        <w:t>6,467,563.60</w:t>
      </w:r>
      <w:r>
        <w:rPr/>
        <w:t>元。</w:t>
      </w:r>
    </w:p>
    <w:p>
      <w:pPr>
        <w:spacing w:line="240" w:lineRule="auto" w:before="6"/>
        <w:rPr>
          <w:rFonts w:ascii="宋体" w:hAnsi="宋体" w:cs="宋体" w:eastAsia="宋体" w:hint="default"/>
          <w:sz w:val="21"/>
          <w:szCs w:val="21"/>
        </w:rPr>
      </w:pPr>
    </w:p>
    <w:p>
      <w:pPr>
        <w:pStyle w:val="Heading3"/>
        <w:spacing w:line="240" w:lineRule="auto"/>
        <w:ind w:left="154" w:right="1118"/>
        <w:jc w:val="left"/>
        <w:rPr>
          <w:b w:val="0"/>
          <w:bCs w:val="0"/>
        </w:rPr>
      </w:pPr>
      <w:bookmarkStart w:name="35、其他综合收益" w:id="291"/>
      <w:bookmarkEnd w:id="291"/>
      <w:r>
        <w:rPr>
          <w:b w:val="0"/>
          <w:bCs w:val="0"/>
        </w:rPr>
      </w:r>
      <w:r>
        <w:rPr>
          <w:rFonts w:ascii="Times New Roman" w:hAnsi="Times New Roman" w:cs="Times New Roman" w:eastAsia="Times New Roman" w:hint="default"/>
        </w:rPr>
        <w:t>35</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-1,034,708.47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-1,034,708.47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-1,034,708.47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6、盈余公积" w:id="292"/>
      <w:bookmarkEnd w:id="292"/>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27,472,390.20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4,353,433.86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31,825,824.06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27,472,390.20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4,353,433.86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31,825,824.06</w:t>
            </w:r>
          </w:p>
        </w:tc>
      </w:tr>
    </w:tbl>
    <w:p>
      <w:pPr>
        <w:pStyle w:val="BodyText"/>
        <w:spacing w:line="357" w:lineRule="auto" w:before="51"/>
        <w:ind w:left="514" w:right="4302" w:hanging="360"/>
        <w:jc w:val="left"/>
      </w:pPr>
      <w:r>
        <w:rPr/>
        <w:t>盈余公积说明，包括本期增减变动情况、变动原因说明： 注：根据公司法、章程的规定，本公司按净利润的</w:t>
      </w:r>
      <w:r>
        <w:rPr>
          <w:rFonts w:ascii="Times New Roman" w:hAnsi="Times New Roman" w:cs="Times New Roman" w:eastAsia="Times New Roman" w:hint="default"/>
        </w:rPr>
        <w:t>10%</w:t>
      </w:r>
      <w:r>
        <w:rPr/>
        <w:t>提取法定盈余公积金。</w:t>
      </w:r>
    </w:p>
    <w:p>
      <w:pPr>
        <w:spacing w:line="240" w:lineRule="auto" w:before="6"/>
        <w:rPr>
          <w:rFonts w:ascii="宋体" w:hAnsi="宋体" w:cs="宋体" w:eastAsia="宋体" w:hint="default"/>
          <w:sz w:val="18"/>
          <w:szCs w:val="18"/>
        </w:rPr>
      </w:pPr>
    </w:p>
    <w:p>
      <w:pPr>
        <w:pStyle w:val="Heading3"/>
        <w:spacing w:line="240" w:lineRule="auto"/>
        <w:ind w:right="1118"/>
        <w:jc w:val="left"/>
        <w:rPr>
          <w:b w:val="0"/>
          <w:bCs w:val="0"/>
        </w:rPr>
      </w:pPr>
      <w:bookmarkStart w:name="37、未分配利润" w:id="293"/>
      <w:bookmarkEnd w:id="293"/>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170,134,013.71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133,291,036.12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20,409,436.72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170,134,013.71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153,700,472.84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23,139,733.68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19,014,808.93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4,353,433.86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2,581,268.06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184,989,113.53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170,134,013.71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8、营业收入和营业成本" w:id="294"/>
      <w:bookmarkEnd w:id="294"/>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7" w:right="0"/>
              <w:jc w:val="left"/>
              <w:rPr>
                <w:rFonts w:ascii="Times New Roman" w:hAnsi="Times New Roman" w:cs="Times New Roman" w:eastAsia="Times New Roman" w:hint="default"/>
                <w:sz w:val="18"/>
                <w:szCs w:val="18"/>
              </w:rPr>
            </w:pPr>
            <w:r>
              <w:rPr>
                <w:rFonts w:ascii="Times New Roman"/>
                <w:sz w:val="18"/>
              </w:rPr>
              <w:t>846,217,770.43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682,669,026.50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517,561,460.54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396,899,546.12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2,280,244.08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127,693.66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848,498,014.51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682,796,720.16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517,561,460.54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396,899,546.12</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9、营业税金及附加" w:id="295"/>
      <w:bookmarkEnd w:id="295"/>
      <w:r>
        <w:rPr>
          <w:b w:val="0"/>
          <w:bCs w:val="0"/>
        </w:rPr>
      </w:r>
      <w:r>
        <w:rPr>
          <w:rFonts w:ascii="Times New Roman" w:hAnsi="Times New Roman" w:cs="Times New Roman" w:eastAsia="Times New Roman" w:hint="default"/>
        </w:rPr>
        <w:t>39</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5,503,850.22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2,907,493.40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2,168,286.05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1,302,886.44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1,051,868.39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532,839.25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544,507.94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408,379.79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9,268,512.60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5,151,598.88</w:t>
            </w:r>
          </w:p>
        </w:tc>
      </w:tr>
    </w:tbl>
    <w:p>
      <w:pPr>
        <w:pStyle w:val="BodyText"/>
        <w:spacing w:line="240" w:lineRule="auto" w:before="51"/>
        <w:ind w:left="154" w:right="1118"/>
        <w:jc w:val="left"/>
      </w:pPr>
      <w:r>
        <w:rPr/>
        <w:t>其他说明：</w:t>
      </w:r>
    </w:p>
    <w:p>
      <w:pPr>
        <w:pStyle w:val="BodyText"/>
        <w:spacing w:line="240" w:lineRule="auto" w:before="116"/>
        <w:ind w:left="506" w:right="1118"/>
        <w:jc w:val="left"/>
      </w:pPr>
      <w:r>
        <w:rPr/>
        <w:t>注：各项营业税金及附加的计缴标准详见附注五、税项。</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40、销售费用" w:id="296"/>
      <w:bookmarkEnd w:id="296"/>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13,538,526.18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14,580,607.93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3,573,084.98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6,470,145.68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6,628,435.92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6,187,307.62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2,245,431.09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2,543,192.12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1,730,880.25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1,492,577.87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2,433,555.24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845,258.00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8,571,256.03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7,214,678.51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38,721,169.69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39,333,767.73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1、管理费用" w:id="297"/>
      <w:bookmarkEnd w:id="297"/>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22,204,179.93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15,068,309.17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2,271,428.25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3,732,385.65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2,806,732.15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2,206,273.14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5,311,107.73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4,990,865.62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12,290,080.75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17,086,742.54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4,239,905.15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4,427,293.20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1,247,425.61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13,229,847.11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10,434,688.94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62,353,281.07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59,193,983.87</w:t>
            </w:r>
          </w:p>
        </w:tc>
      </w:tr>
    </w:tbl>
    <w:p>
      <w:pPr>
        <w:pStyle w:val="BodyText"/>
        <w:spacing w:line="240" w:lineRule="auto" w:before="10"/>
        <w:ind w:left="514" w:right="1118"/>
        <w:jc w:val="left"/>
      </w:pPr>
      <w:r>
        <w:rPr/>
        <w:t>注：（</w:t>
      </w:r>
      <w:r>
        <w:rPr>
          <w:rFonts w:ascii="Times New Roman" w:hAnsi="Times New Roman" w:cs="Times New Roman" w:eastAsia="Times New Roman" w:hint="default"/>
        </w:rPr>
        <w:t>1</w:t>
      </w:r>
      <w:r>
        <w:rPr/>
        <w:t>）工资社保福利费 比上年增加</w:t>
      </w:r>
      <w:r>
        <w:rPr>
          <w:rFonts w:ascii="Times New Roman" w:hAnsi="Times New Roman" w:cs="Times New Roman" w:eastAsia="Times New Roman" w:hint="default"/>
        </w:rPr>
        <w:t>7,135,870.76</w:t>
      </w:r>
      <w:r>
        <w:rPr>
          <w:rFonts w:ascii="Times New Roman" w:hAnsi="Times New Roman" w:cs="Times New Roman" w:eastAsia="Times New Roman" w:hint="default"/>
          <w:spacing w:val="7"/>
        </w:rPr>
        <w:t> </w:t>
      </w:r>
      <w:r>
        <w:rPr/>
        <w:t>元，主要是对员工进行了加薪及引进了高端人才；</w:t>
      </w:r>
    </w:p>
    <w:p>
      <w:pPr>
        <w:pStyle w:val="BodyText"/>
        <w:spacing w:line="240" w:lineRule="auto" w:before="63"/>
        <w:ind w:left="513" w:right="1118"/>
        <w:jc w:val="left"/>
      </w:pPr>
      <w:r>
        <w:rPr/>
        <w:t>（</w:t>
      </w:r>
      <w:r>
        <w:rPr>
          <w:rFonts w:ascii="Times New Roman" w:hAnsi="Times New Roman" w:cs="Times New Roman" w:eastAsia="Times New Roman" w:hint="default"/>
        </w:rPr>
        <w:t>2</w:t>
      </w:r>
      <w:r>
        <w:rPr/>
        <w:t>）研发费用比上年减少</w:t>
      </w:r>
      <w:r>
        <w:rPr>
          <w:rFonts w:ascii="Times New Roman" w:hAnsi="Times New Roman" w:cs="Times New Roman" w:eastAsia="Times New Roman" w:hint="default"/>
        </w:rPr>
        <w:t>4,796,661.79</w:t>
      </w:r>
      <w:r>
        <w:rPr>
          <w:rFonts w:ascii="Times New Roman" w:hAnsi="Times New Roman" w:cs="Times New Roman" w:eastAsia="Times New Roman" w:hint="default"/>
          <w:spacing w:val="23"/>
        </w:rPr>
        <w:t> </w:t>
      </w:r>
      <w:r>
        <w:rPr/>
        <w:t>元，主要是因为部分合作项目结束，減少了研发费用支出。</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42、财务费用" w:id="298"/>
      <w:bookmarkEnd w:id="298"/>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41,131,577.55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39,461,373.03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4,390,882.61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8,828,305.16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181,793.55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2,629,153.02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-21,247.08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-109,454.99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36,901,241.41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33,263,542.48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3、资产减值损失" w:id="299"/>
      <w:bookmarkEnd w:id="299"/>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12,320,105.87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-1,076,458.41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-1,824,572.44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10,495,533.43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-1,076,458.41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4、投资收益" w:id="300"/>
      <w:bookmarkEnd w:id="300"/>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1,544,324.99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6,903,202.14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16,422,073.86</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8,447,527.13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16,422,073.86</w:t>
            </w:r>
          </w:p>
        </w:tc>
      </w:tr>
    </w:tbl>
    <w:p>
      <w:pPr>
        <w:spacing w:line="240" w:lineRule="auto" w:before="3"/>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5、营业外收入" w:id="301"/>
      <w:bookmarkEnd w:id="301"/>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3,391,923.10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3,642,611.11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3,391,923.10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3,391,923.10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3,642,611.11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3,391,923.10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2,253,937.00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2,689,809.00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8,227,807.30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14,097,145.55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14,097,145.55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20,178,877.65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14,132,085.41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17,489,068.65</w:t>
            </w:r>
          </w:p>
        </w:tc>
      </w:tr>
    </w:tbl>
    <w:p>
      <w:pPr>
        <w:pStyle w:val="BodyText"/>
        <w:spacing w:line="240" w:lineRule="auto" w:before="51"/>
        <w:ind w:left="154" w:right="1118"/>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增值税退税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2,689,809.00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7,184,329.05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科技研发资 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1,043,478.25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2,689,809.00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8,227,807.30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18"/>
        <w:jc w:val="left"/>
      </w:pPr>
      <w:r>
        <w:rPr/>
        <w:t>其他说明：</w:t>
      </w:r>
    </w:p>
    <w:p>
      <w:pPr>
        <w:pStyle w:val="BodyText"/>
        <w:spacing w:line="300" w:lineRule="auto" w:before="116"/>
        <w:ind w:left="154" w:right="1128" w:firstLine="360"/>
        <w:jc w:val="both"/>
      </w:pPr>
      <w:r>
        <w:rPr/>
        <w:t>注：其他</w:t>
      </w:r>
      <w:r>
        <w:rPr>
          <w:rFonts w:ascii="Times New Roman" w:hAnsi="Times New Roman" w:cs="Times New Roman" w:eastAsia="Times New Roman" w:hint="default"/>
        </w:rPr>
        <w:t>14,097,145.55</w:t>
      </w:r>
      <w:r>
        <w:rPr/>
        <w:t>元主要为：（</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日，深圳高清文化产业有限公司（买方）与本公司（卖方）签订了</w:t>
      </w:r>
      <w:r>
        <w:rPr>
          <w:spacing w:val="1"/>
        </w:rPr>
        <w:t> </w:t>
      </w:r>
      <w:r>
        <w:rPr/>
        <w:t>关于出售设备的《采购合同》，约定由卖方向买方出售</w:t>
      </w:r>
      <w:r>
        <w:rPr>
          <w:rFonts w:ascii="Times New Roman" w:hAnsi="Times New Roman" w:cs="Times New Roman" w:eastAsia="Times New Roman" w:hint="default"/>
        </w:rPr>
        <w:t>40</w:t>
      </w:r>
      <w:r>
        <w:rPr/>
        <w:t>套县级端到端</w:t>
      </w:r>
      <w:r>
        <w:rPr>
          <w:rFonts w:ascii="Times New Roman" w:hAnsi="Times New Roman" w:cs="Times New Roman" w:eastAsia="Times New Roman" w:hint="default"/>
        </w:rPr>
        <w:t>CMTS</w:t>
      </w:r>
      <w:r>
        <w:rPr/>
        <w:t>方案（小规模）系统和</w:t>
      </w:r>
      <w:r>
        <w:rPr>
          <w:rFonts w:ascii="Times New Roman" w:hAnsi="Times New Roman" w:cs="Times New Roman" w:eastAsia="Times New Roman" w:hint="default"/>
        </w:rPr>
        <w:t>30</w:t>
      </w:r>
      <w:r>
        <w:rPr/>
        <w:t>套县级端到端</w:t>
      </w:r>
      <w:r>
        <w:rPr>
          <w:rFonts w:ascii="Times New Roman" w:hAnsi="Times New Roman" w:cs="Times New Roman" w:eastAsia="Times New Roman" w:hint="default"/>
        </w:rPr>
        <w:t>CMTS</w:t>
      </w:r>
      <w:r>
        <w:rPr>
          <w:rFonts w:ascii="Times New Roman" w:hAnsi="Times New Roman" w:cs="Times New Roman" w:eastAsia="Times New Roman" w:hint="default"/>
          <w:spacing w:val="-30"/>
        </w:rPr>
        <w:t> </w:t>
      </w:r>
      <w:r>
        <w:rPr>
          <w:spacing w:val="-2"/>
        </w:rPr>
        <w:t>方案（中等规模）系统，合同总金额为人民币</w:t>
      </w:r>
      <w:r>
        <w:rPr>
          <w:rFonts w:ascii="Times New Roman" w:hAnsi="Times New Roman" w:cs="Times New Roman" w:eastAsia="Times New Roman" w:hint="default"/>
          <w:spacing w:val="-2"/>
        </w:rPr>
        <w:t>1,099,259,400.00</w:t>
      </w:r>
      <w:r>
        <w:rPr>
          <w:spacing w:val="-2"/>
        </w:rPr>
        <w:t>元。协议签订后，由于买方融资未成功，最终未能依约及时向</w:t>
      </w:r>
      <w:r>
        <w:rPr>
          <w:spacing w:val="-55"/>
        </w:rPr>
        <w:t> </w:t>
      </w:r>
      <w:r>
        <w:rPr>
          <w:spacing w:val="-55"/>
        </w:rPr>
      </w:r>
      <w:r>
        <w:rPr/>
        <w:t>卖方支付预付款，以致卖方依约通知买方解约了合同，并收到赔偿款</w:t>
      </w:r>
      <w:r>
        <w:rPr>
          <w:rFonts w:ascii="Times New Roman" w:hAnsi="Times New Roman" w:cs="Times New Roman" w:eastAsia="Times New Roman" w:hint="default"/>
        </w:rPr>
        <w:t>11,282,065.64</w:t>
      </w:r>
      <w:r>
        <w:rPr/>
        <w:t>元。（</w:t>
      </w:r>
      <w:r>
        <w:rPr>
          <w:rFonts w:ascii="Times New Roman" w:hAnsi="Times New Roman" w:cs="Times New Roman" w:eastAsia="Times New Roman" w:hint="default"/>
        </w:rPr>
        <w:t>2</w:t>
      </w:r>
      <w:r>
        <w:rPr/>
        <w:t>）依据广东信达律师事务所出具</w:t>
      </w:r>
      <w:r>
        <w:rPr>
          <w:spacing w:val="-52"/>
        </w:rPr>
        <w:t> </w:t>
      </w:r>
      <w:r>
        <w:rPr>
          <w:spacing w:val="-52"/>
        </w:rPr>
      </w:r>
      <w:r>
        <w:rPr/>
        <w:t>的法律意见书等资料，公司将逾期无法支付的债务</w:t>
      </w:r>
      <w:r>
        <w:rPr>
          <w:rFonts w:ascii="Times New Roman" w:hAnsi="Times New Roman" w:cs="Times New Roman" w:eastAsia="Times New Roman" w:hint="default"/>
        </w:rPr>
        <w:t>3,682,447.73</w:t>
      </w:r>
      <w:r>
        <w:rPr/>
        <w:t>元转入本科目。</w:t>
      </w:r>
    </w:p>
    <w:p>
      <w:pPr>
        <w:pStyle w:val="BodyText"/>
        <w:spacing w:line="316" w:lineRule="auto" w:before="13"/>
        <w:ind w:left="514" w:right="0"/>
        <w:jc w:val="left"/>
      </w:pPr>
      <w:r>
        <w:rPr/>
        <w:t>增值税退税款主要为： </w:t>
      </w:r>
      <w:r>
        <w:rPr>
          <w:spacing w:val="-1"/>
        </w:rPr>
        <w:t>根据财政部、国家税务总局财税</w:t>
      </w:r>
      <w:r>
        <w:rPr>
          <w:rFonts w:ascii="Times New Roman" w:hAnsi="Times New Roman" w:cs="Times New Roman" w:eastAsia="Times New Roman" w:hint="default"/>
          <w:spacing w:val="-1"/>
        </w:rPr>
        <w:t>[2011]100</w:t>
      </w:r>
      <w:r>
        <w:rPr>
          <w:spacing w:val="-1"/>
        </w:rPr>
        <w:t>号《关于软件产品增值税政策的通知》及深圳市南山区国家税务局文件批复，</w:t>
      </w:r>
    </w:p>
    <w:p>
      <w:pPr>
        <w:pStyle w:val="BodyText"/>
        <w:spacing w:line="248" w:lineRule="exact"/>
        <w:ind w:left="154" w:right="1118"/>
        <w:jc w:val="left"/>
      </w:pPr>
      <w:r>
        <w:rPr/>
        <w:t>公司软件产品享受增值税即征即退的优惠政策，本期收到增值税退税款</w:t>
      </w:r>
      <w:r>
        <w:rPr>
          <w:rFonts w:ascii="Times New Roman" w:hAnsi="Times New Roman" w:cs="Times New Roman" w:eastAsia="Times New Roman" w:hint="default"/>
        </w:rPr>
        <w:t>2,689,809.00</w:t>
      </w:r>
      <w:r>
        <w:rPr/>
        <w:t>元。</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46、营业外支出" w:id="302"/>
      <w:bookmarkEnd w:id="302"/>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16,874,882.23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190,725.13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16,874,882.23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190,725.13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1,717,239.15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121,427.08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1,717,239.15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4,858.50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4,858.50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18,596,979.88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812,152.21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18,596,979.88</w:t>
            </w:r>
          </w:p>
        </w:tc>
      </w:tr>
    </w:tbl>
    <w:p>
      <w:pPr>
        <w:pStyle w:val="BodyText"/>
        <w:spacing w:line="240" w:lineRule="auto" w:before="51"/>
        <w:ind w:left="154" w:right="1118"/>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18"/>
        <w:jc w:val="left"/>
      </w:pPr>
      <w:r>
        <w:rPr/>
        <w:t>注：非流动资产处置损失</w:t>
      </w:r>
      <w:r>
        <w:rPr>
          <w:rFonts w:ascii="Times New Roman" w:hAnsi="Times New Roman" w:cs="Times New Roman" w:eastAsia="Times New Roman" w:hint="default"/>
        </w:rPr>
        <w:t>16,874,882.23</w:t>
      </w:r>
      <w:r>
        <w:rPr/>
        <w:t>元，详见附注六、</w:t>
      </w:r>
      <w:r>
        <w:rPr>
          <w:rFonts w:ascii="Times New Roman" w:hAnsi="Times New Roman" w:cs="Times New Roman" w:eastAsia="Times New Roman" w:hint="default"/>
        </w:rPr>
        <w:t>9</w:t>
      </w:r>
      <w:r>
        <w:rPr/>
        <w:t>。</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47、所得税费用" w:id="303"/>
      <w:bookmarkEnd w:id="303"/>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18"/>
        <w:jc w:val="left"/>
        <w:rPr>
          <w:b w:val="0"/>
          <w:bCs w:val="0"/>
        </w:rPr>
      </w:pPr>
      <w:bookmarkStart w:name="（1）所得税费用表" w:id="304"/>
      <w:bookmarkEnd w:id="30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9,364,158.54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3,491,611.82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-8,005,695.60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-2,270,326.84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1,358,462.94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1,221,284.98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会计利润与所得税费用调整过程" w:id="305"/>
      <w:bookmarkEnd w:id="30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17,990,981.05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3,197,690.59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-4,285,967.35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-703,605.49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1,409,899.64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-1,716,285.16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3,955,774.14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1,358,462.94</w:t>
            </w:r>
          </w:p>
        </w:tc>
      </w:tr>
    </w:tbl>
    <w:p>
      <w:pPr>
        <w:pStyle w:val="BodyText"/>
        <w:spacing w:line="240" w:lineRule="auto" w:before="51"/>
        <w:ind w:left="154" w:right="1118"/>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48、其他综合收益" w:id="306"/>
      <w:bookmarkEnd w:id="306"/>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53</w:t>
      </w:r>
      <w:r>
        <w:rPr>
          <w:rFonts w:ascii="宋体" w:hAnsi="宋体" w:cs="宋体" w:eastAsia="宋体" w:hint="default"/>
          <w:sz w:val="18"/>
          <w:szCs w:val="18"/>
        </w:rPr>
        <w:t>。 </w:t>
      </w:r>
      <w:bookmarkStart w:name="49、现金流量表项目" w:id="307"/>
      <w:bookmarkEnd w:id="307"/>
      <w:r>
        <w:rPr>
          <w:rFonts w:ascii="宋体" w:hAnsi="宋体" w:cs="宋体" w:eastAsia="宋体" w:hint="default"/>
          <w:sz w:val="18"/>
          <w:szCs w:val="18"/>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18"/>
        <w:jc w:val="left"/>
        <w:rPr>
          <w:b w:val="0"/>
          <w:bCs w:val="0"/>
        </w:rPr>
      </w:pPr>
      <w:bookmarkStart w:name="（1）收到的其他与经营活动有关的现金" w:id="308"/>
      <w:bookmarkEnd w:id="30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11,306,565.64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162,994.11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6,948,387.97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24,088,683.91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340,577,503.46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50,153,469.77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358,832,457.07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74,405,147.79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支付的其他与经营活动有关的现金" w:id="309"/>
      <w:bookmarkEnd w:id="30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支付的各项销售费用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16,007,860.09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21,705,674.51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支付的各项管理费用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28,852,116.29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27,488,364.41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1,454,298.53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146,106.85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1,624,798.27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166,836.40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2,346,115.30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56,364,123.06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50,285,188.48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105,871,105.23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收到的其他与投资活动有关的现金" w:id="310"/>
      <w:bookmarkEnd w:id="31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 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25,166.83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25,166.83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支付的其他与投资活动有关的现金" w:id="311"/>
      <w:bookmarkEnd w:id="31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处置子公司及其他营业单位支付的现金 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29,809,344.00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29,809,344.00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收到的其他与筹资活动有关的现金" w:id="312"/>
      <w:bookmarkEnd w:id="31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收到三个月以上保证金存款净额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32,941,495.62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78,889,864.01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收票据贴现款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254,601,495.62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78,889,864.01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547.389954pt;width:151.25pt;height:20.7pt;mso-position-horizontal-relative:page;mso-position-vertical-relative:page;z-index:-885736" coordorigin="4467,10948" coordsize="3025,414">
            <v:group style="position:absolute;left:4478;top:10959;width:2;height:392" coordorigin="4478,10959" coordsize="2,392">
              <v:shape style="position:absolute;left:4478;top:10959;width:2;height:392" coordorigin="4478,10959" coordsize="0,392" path="m4478,10959l4478,11350e" filled="false" stroked="true" strokeweight="1.140pt" strokecolor="#ffffff">
                <v:path arrowok="t"/>
              </v:shape>
            </v:group>
            <v:group style="position:absolute;left:4490;top:10959;width:3002;height:392" coordorigin="4490,10959" coordsize="3002,392">
              <v:shape style="position:absolute;left:4490;top:10959;width:3002;height:392" coordorigin="4490,10959" coordsize="3002,392" path="m4490,11350l7491,11350,7491,10959,4490,10959,4490,11350xe" filled="true" fillcolor="#ffffff" stroked="false">
                <v:path arrowok="t"/>
                <v:fill type="solid"/>
              </v:shape>
            </v:group>
            <w10:wrap type="none"/>
          </v:group>
        </w:pict>
      </w:r>
    </w:p>
    <w:p>
      <w:pPr>
        <w:pStyle w:val="Heading3"/>
        <w:spacing w:line="240" w:lineRule="auto" w:before="35"/>
        <w:ind w:right="1118"/>
        <w:jc w:val="left"/>
        <w:rPr>
          <w:b w:val="0"/>
          <w:bCs w:val="0"/>
        </w:rPr>
      </w:pPr>
      <w:bookmarkStart w:name="（6）支付的其他与筹资活动有关的现金" w:id="313"/>
      <w:bookmarkEnd w:id="31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支付三个月以上的保证金存款净额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49,159,962.92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17,739,550.82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38,342,647.29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49,159,962.92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56,082,198.11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0、现金流量表补充资料" w:id="314"/>
      <w:bookmarkEnd w:id="314"/>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现金流量表补充资料" w:id="315"/>
      <w:bookmarkEnd w:id="31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16,632,518.11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13,316,201.95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10,495,533.43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-1,076,458.02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9,311,351.95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9,689,936.74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4,570,614.43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4,654,017.44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148,487.33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77,072.04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13,482,959.13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3,642,611.11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190,725.13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41,131,577.55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39,461,373.03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-8,447,527.13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-16,422,073.86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-7,328,599.54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-2,103,712.00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117,447,865.97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-5,587,968.00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-41,622,878.22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181,938,610.52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210,680,154.65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65,531,143.12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366,502,057.66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293,311,479.20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345,471,696.34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298,096,784.03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298,096,784.03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256,989,961.85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47,374,912.31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41,106,822.18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本期收到的处置子公司的现金净额" w:id="316"/>
      <w:bookmarkEnd w:id="316"/>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29,809,345.00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29,809,345.00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-29,809,344.00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现金和现金等价物的构成" w:id="317"/>
      <w:bookmarkEnd w:id="317"/>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345,471,696.34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298,096,784.03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1,714,072.37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773,270.93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255,430,389.55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229,111,182.78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88,327,234.42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68,212,330.32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345,471,696.34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298,096,784.03</w:t>
            </w:r>
          </w:p>
        </w:tc>
      </w:tr>
    </w:tbl>
    <w:p>
      <w:pPr>
        <w:spacing w:line="240" w:lineRule="auto" w:before="2"/>
        <w:rPr>
          <w:rFonts w:ascii="宋体" w:hAnsi="宋体" w:cs="宋体" w:eastAsia="宋体" w:hint="default"/>
          <w:sz w:val="19"/>
          <w:szCs w:val="19"/>
        </w:rPr>
      </w:pPr>
    </w:p>
    <w:p>
      <w:pPr>
        <w:spacing w:line="544" w:lineRule="auto" w:before="35"/>
        <w:ind w:left="153" w:right="5373" w:firstLine="0"/>
        <w:jc w:val="left"/>
        <w:rPr>
          <w:rFonts w:ascii="宋体" w:hAnsi="宋体" w:cs="宋体" w:eastAsia="宋体" w:hint="default"/>
          <w:sz w:val="21"/>
          <w:szCs w:val="21"/>
        </w:rPr>
      </w:pPr>
      <w:bookmarkStart w:name="51、所有者权益变动表项目注释" w:id="318"/>
      <w:bookmarkEnd w:id="318"/>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52、所有权或使用权受到限制的资产" w:id="319"/>
      <w:bookmarkEnd w:id="319"/>
      <w:r>
        <w:rPr>
          <w:rFonts w:ascii="宋体" w:hAnsi="宋体" w:cs="宋体" w:eastAsia="宋体" w:hint="default"/>
          <w:sz w:val="18"/>
          <w:szCs w:val="18"/>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997"/>
        <w:gridCol w:w="5882"/>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32,668,765.49</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银行承兑汇票保证金、银行保函保证金、信用证保证金</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27,256,359.59</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为取得固定资产贷款抵押的土地使用权</w:t>
            </w:r>
          </w:p>
        </w:tc>
      </w:tr>
      <w:tr>
        <w:trPr>
          <w:trHeight w:val="715" w:hRule="exact"/>
        </w:trPr>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38,342,647.29</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招商银行股份有限公司深圳科技园支行年末存款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38,342,647.29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元，已被深</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南法仲保字第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号冻结</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985"/>
        <w:gridCol w:w="5882"/>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8,120,000.00</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为取得银行发放的附有追索权的应收账款保理融资款</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106,387,772.37</w:t>
            </w:r>
          </w:p>
        </w:tc>
        <w:tc>
          <w:tcPr>
            <w:tcW w:w="5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3、外币货币性项目" w:id="320"/>
      <w:bookmarkEnd w:id="320"/>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外币货币性项目" w:id="321"/>
      <w:bookmarkEnd w:id="32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295,180.39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247,302.13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10,053,600.00</w:t>
            </w:r>
          </w:p>
        </w:tc>
      </w:tr>
    </w:tbl>
    <w:p>
      <w:pPr>
        <w:pStyle w:val="BodyText"/>
        <w:spacing w:line="240" w:lineRule="auto" w:before="51"/>
        <w:ind w:left="154" w:right="1118"/>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154" w:right="1118"/>
        <w:jc w:val="left"/>
        <w:rPr>
          <w:b w:val="0"/>
          <w:bCs w:val="0"/>
        </w:rPr>
      </w:pPr>
      <w:bookmarkStart w:name="（2）境外经营实体说明，包括对于重要的境外经营实体，应披露其境外主要经营地、记账" w:id="322"/>
      <w:bookmarkEnd w:id="32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544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公司本年在香港设立子公司</w:t>
      </w:r>
      <w:r>
        <w:rPr>
          <w:rFonts w:ascii="Times New Roman" w:hAnsi="Times New Roman" w:cs="Times New Roman" w:eastAsia="Times New Roman" w:hint="default"/>
        </w:rPr>
        <w:t>1</w:t>
      </w:r>
      <w:r>
        <w:rPr/>
        <w:t>家即键桥投资（香港）有限公司。</w:t>
      </w:r>
    </w:p>
    <w:p>
      <w:pPr>
        <w:spacing w:line="240" w:lineRule="auto" w:before="12"/>
        <w:rPr>
          <w:rFonts w:ascii="宋体" w:hAnsi="宋体" w:cs="宋体" w:eastAsia="宋体" w:hint="default"/>
          <w:sz w:val="17"/>
          <w:szCs w:val="17"/>
        </w:rPr>
      </w:pPr>
    </w:p>
    <w:p>
      <w:pPr>
        <w:pStyle w:val="Heading2"/>
        <w:spacing w:line="240" w:lineRule="auto"/>
        <w:ind w:right="1118"/>
        <w:jc w:val="left"/>
        <w:rPr>
          <w:b w:val="0"/>
          <w:bCs w:val="0"/>
        </w:rPr>
      </w:pPr>
      <w:bookmarkStart w:name="八、合并范围的变更" w:id="323"/>
      <w:bookmarkEnd w:id="32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非同一控制下企业合并" w:id="324"/>
      <w:bookmarkEnd w:id="32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本期发生的非同一控制下企业合并" w:id="325"/>
      <w:bookmarkEnd w:id="32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921"/>
        <w:gridCol w:w="851"/>
        <w:gridCol w:w="1134"/>
        <w:gridCol w:w="1349"/>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4" w:right="9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8" w:right="39" w:hanging="540"/>
              <w:jc w:val="left"/>
              <w:rPr>
                <w:rFonts w:ascii="宋体" w:hAnsi="宋体" w:cs="宋体" w:eastAsia="宋体" w:hint="default"/>
                <w:sz w:val="18"/>
                <w:szCs w:val="18"/>
              </w:rPr>
            </w:pPr>
            <w:r>
              <w:rPr>
                <w:rFonts w:ascii="宋体" w:hAnsi="宋体" w:cs="宋体" w:eastAsia="宋体" w:hint="default"/>
                <w:sz w:val="18"/>
                <w:szCs w:val="18"/>
              </w:rPr>
              <w:t>购买日的确定依 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大连先锋投 资管理有限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3,000,000.00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both"/>
              <w:rPr>
                <w:rFonts w:ascii="宋体" w:hAnsi="宋体" w:cs="宋体" w:eastAsia="宋体" w:hint="default"/>
                <w:sz w:val="18"/>
                <w:szCs w:val="18"/>
              </w:rPr>
            </w:pPr>
            <w:r>
              <w:rPr>
                <w:rFonts w:ascii="宋体" w:hAnsi="宋体" w:cs="宋体" w:eastAsia="宋体" w:hint="default"/>
                <w:sz w:val="18"/>
                <w:szCs w:val="18"/>
              </w:rPr>
              <w:t>股权转让协议业 经公司董事会通 过，并控制了被 购买方的财务和 经营政策。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7,336.37</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合并成本及商誉" w:id="326"/>
      <w:bookmarkEnd w:id="32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307"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3,025,166.83</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25,166.83</w:t>
            </w:r>
          </w:p>
        </w:tc>
      </w:tr>
    </w:tbl>
    <w:p>
      <w:pPr>
        <w:pStyle w:val="BodyText"/>
        <w:spacing w:line="357" w:lineRule="auto" w:before="51"/>
        <w:ind w:left="514" w:right="0" w:hanging="360"/>
        <w:jc w:val="left"/>
      </w:pPr>
      <w:r>
        <w:rPr/>
        <w:t>合并成本公允价值的确定方法、或有对价及其变动的说明： </w:t>
      </w:r>
      <w:r>
        <w:rPr>
          <w:spacing w:val="-1"/>
        </w:rPr>
        <w:t>被合并净资产公允价值以经中勤万信会计师事务所（特殊普通合伙）勤信审</w:t>
      </w:r>
      <w:r>
        <w:rPr>
          <w:rFonts w:ascii="Times New Roman" w:hAnsi="Times New Roman" w:cs="Times New Roman" w:eastAsia="Times New Roman" w:hint="default"/>
          <w:spacing w:val="-1"/>
        </w:rPr>
        <w:t>[2015]11516</w:t>
      </w:r>
      <w:r>
        <w:rPr>
          <w:spacing w:val="-1"/>
        </w:rPr>
        <w:t>号审计报告确定的净资产确定。</w:t>
      </w:r>
    </w:p>
    <w:p>
      <w:pPr>
        <w:spacing w:line="240" w:lineRule="auto" w:before="5"/>
        <w:rPr>
          <w:rFonts w:ascii="宋体" w:hAnsi="宋体" w:cs="宋体" w:eastAsia="宋体" w:hint="default"/>
          <w:sz w:val="18"/>
          <w:szCs w:val="18"/>
        </w:rPr>
      </w:pPr>
    </w:p>
    <w:p>
      <w:pPr>
        <w:pStyle w:val="Heading3"/>
        <w:spacing w:line="240" w:lineRule="auto"/>
        <w:ind w:left="154" w:right="1118"/>
        <w:jc w:val="left"/>
        <w:rPr>
          <w:b w:val="0"/>
          <w:bCs w:val="0"/>
        </w:rPr>
      </w:pPr>
      <w:bookmarkStart w:name="（3）被购买方于购买日可辨认资产、负债" w:id="327"/>
      <w:bookmarkEnd w:id="32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3,025,166.83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3,025,166.83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3,025,166.83</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购买日之前持有的股权按照公允价值重新计量产生的利得或损失" w:id="328"/>
      <w:bookmarkEnd w:id="32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18"/>
        <w:jc w:val="left"/>
      </w:pPr>
      <w:r>
        <w:rPr/>
        <w:t>是否存在通过多次交易分步实现企业合并且在报告期内取得控制权的交易</w:t>
      </w:r>
    </w:p>
    <w:p>
      <w:pPr>
        <w:pStyle w:val="BodyText"/>
        <w:spacing w:line="240" w:lineRule="auto" w:before="116"/>
        <w:ind w:left="154"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5）购买日或合并当期期末无法合理确定合并对价或被购买方可辨认资产、负债公允价值" w:id="329"/>
      <w:bookmarkEnd w:id="32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33"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处置子公司" w:id="330"/>
      <w:bookmarkEnd w:id="330"/>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深圳键 桥资产 管理有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转让股 权</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已签订 转让合 同并办 理股权 变更手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-7,966,1</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90.38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-1,034,7</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08.47</w:t>
            </w:r>
          </w:p>
        </w:tc>
      </w:tr>
    </w:tbl>
    <w:p>
      <w:pPr>
        <w:pStyle w:val="BodyText"/>
        <w:spacing w:line="240" w:lineRule="auto" w:before="51"/>
        <w:ind w:left="154" w:right="1118"/>
        <w:jc w:val="left"/>
      </w:pPr>
      <w:r>
        <w:rPr/>
        <w:t>其他说明：</w:t>
      </w:r>
    </w:p>
    <w:p>
      <w:pPr>
        <w:pStyle w:val="BodyText"/>
        <w:spacing w:line="240" w:lineRule="auto" w:before="116"/>
        <w:ind w:left="634" w:right="1118"/>
        <w:jc w:val="left"/>
      </w:pPr>
      <w:r>
        <w:rPr/>
        <w:t>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日，公司将全资子公司键桥资产管理</w:t>
      </w:r>
      <w:r>
        <w:rPr>
          <w:rFonts w:ascii="Times New Roman" w:hAnsi="Times New Roman" w:cs="Times New Roman" w:eastAsia="Times New Roman" w:hint="default"/>
        </w:rPr>
        <w:t>100%</w:t>
      </w:r>
      <w:r>
        <w:rPr/>
        <w:t>股权（含原子公司键桥国际</w:t>
      </w:r>
      <w:r>
        <w:rPr>
          <w:rFonts w:ascii="Times New Roman" w:hAnsi="Times New Roman" w:cs="Times New Roman" w:eastAsia="Times New Roman" w:hint="default"/>
        </w:rPr>
        <w:t>100%</w:t>
      </w:r>
      <w:r>
        <w:rPr/>
        <w:t>股权与原子公司南京键桥</w:t>
      </w:r>
    </w:p>
    <w:p>
      <w:pPr>
        <w:pStyle w:val="BodyText"/>
        <w:spacing w:line="240" w:lineRule="auto" w:before="63"/>
        <w:ind w:right="1118"/>
        <w:jc w:val="left"/>
      </w:pPr>
      <w:r>
        <w:rPr>
          <w:rFonts w:ascii="Times New Roman" w:hAnsi="Times New Roman" w:cs="Times New Roman" w:eastAsia="Times New Roman" w:hint="default"/>
        </w:rPr>
        <w:t>100%</w:t>
      </w:r>
      <w:r>
        <w:rPr/>
        <w:t>股权）以</w:t>
      </w:r>
      <w:r>
        <w:rPr>
          <w:rFonts w:ascii="Times New Roman" w:hAnsi="Times New Roman" w:cs="Times New Roman" w:eastAsia="Times New Roman" w:hint="default"/>
        </w:rPr>
        <w:t>1</w:t>
      </w:r>
      <w:r>
        <w:rPr/>
        <w:t>元价格转让给浩瀚天成。</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18"/>
        <w:jc w:val="left"/>
      </w:pPr>
      <w:r>
        <w:rPr/>
        <w:t>是否存在通过多次交易分步处置对子公司投资且在本期丧失控制权的情形</w:t>
      </w:r>
    </w:p>
    <w:p>
      <w:pPr>
        <w:pStyle w:val="BodyText"/>
        <w:spacing w:line="240" w:lineRule="auto" w:before="116"/>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其他原因的合并范围变动" w:id="331"/>
      <w:bookmarkEnd w:id="331"/>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633" w:right="1118" w:hanging="480"/>
        <w:jc w:val="left"/>
      </w:pPr>
      <w:r>
        <w:rPr/>
        <w:t>说明其他原因导致的合并范围变动（如，新设子公司、清算子公司等）及其相关情况： </w:t>
      </w:r>
      <w:r>
        <w:rPr>
          <w:spacing w:val="-1"/>
        </w:rPr>
        <w:t>本年收购子公司</w:t>
      </w:r>
      <w:r>
        <w:rPr>
          <w:rFonts w:ascii="Times New Roman" w:hAnsi="Times New Roman" w:cs="Times New Roman" w:eastAsia="Times New Roman" w:hint="default"/>
          <w:spacing w:val="-1"/>
        </w:rPr>
        <w:t>1</w:t>
      </w:r>
      <w:r>
        <w:rPr>
          <w:spacing w:val="-1"/>
        </w:rPr>
        <w:t>家即大连先锋投资管理有限公司；新设子公司</w:t>
      </w:r>
      <w:r>
        <w:rPr>
          <w:rFonts w:ascii="Times New Roman" w:hAnsi="Times New Roman" w:cs="Times New Roman" w:eastAsia="Times New Roman" w:hint="default"/>
          <w:spacing w:val="-1"/>
        </w:rPr>
        <w:t>5</w:t>
      </w:r>
      <w:r>
        <w:rPr>
          <w:spacing w:val="-1"/>
        </w:rPr>
        <w:t>家即键桥投资（香港）有限公司、深圳键桥轨道交通</w:t>
      </w:r>
    </w:p>
    <w:p>
      <w:pPr>
        <w:pStyle w:val="BodyText"/>
        <w:spacing w:line="214" w:lineRule="exact"/>
        <w:ind w:right="0"/>
        <w:jc w:val="left"/>
        <w:rPr>
          <w:rFonts w:ascii="Times New Roman" w:hAnsi="Times New Roman" w:cs="Times New Roman" w:eastAsia="Times New Roman" w:hint="default"/>
        </w:rPr>
      </w:pPr>
      <w:r>
        <w:rPr/>
        <w:t>有限公司、深圳键桥菁英科技有限公司、深圳键桥智能技术有限公司及深圳网信金融科技发展有限公司，新入伙合伙企业</w:t>
      </w:r>
      <w:r>
        <w:rPr>
          <w:rFonts w:ascii="Times New Roman" w:hAnsi="Times New Roman" w:cs="Times New Roman" w:eastAsia="Times New Roman" w:hint="default"/>
        </w:rPr>
        <w:t>1</w:t>
      </w:r>
    </w:p>
    <w:p>
      <w:pPr>
        <w:pStyle w:val="BodyText"/>
        <w:spacing w:line="240" w:lineRule="auto" w:before="63"/>
        <w:ind w:left="154" w:right="1118"/>
        <w:jc w:val="left"/>
      </w:pPr>
      <w:r>
        <w:rPr/>
        <w:t>家即嘉兴德玖投资合伙企业（有限合伙）。</w:t>
      </w:r>
    </w:p>
    <w:p>
      <w:pPr>
        <w:spacing w:line="240" w:lineRule="auto" w:before="2"/>
        <w:rPr>
          <w:rFonts w:ascii="宋体" w:hAnsi="宋体" w:cs="宋体" w:eastAsia="宋体" w:hint="default"/>
          <w:sz w:val="25"/>
          <w:szCs w:val="25"/>
        </w:rPr>
      </w:pPr>
    </w:p>
    <w:p>
      <w:pPr>
        <w:pStyle w:val="Heading2"/>
        <w:spacing w:line="240" w:lineRule="auto"/>
        <w:ind w:left="154" w:right="1118"/>
        <w:jc w:val="left"/>
        <w:rPr>
          <w:b w:val="0"/>
          <w:bCs w:val="0"/>
        </w:rPr>
      </w:pPr>
      <w:bookmarkStart w:name="九、在其他主体中的权益" w:id="332"/>
      <w:bookmarkEnd w:id="33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在子公司中的权益" w:id="333"/>
      <w:bookmarkEnd w:id="33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企业集团的构成" w:id="334"/>
      <w:bookmarkEnd w:id="33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038"/>
        <w:gridCol w:w="1134"/>
        <w:gridCol w:w="2694"/>
        <w:gridCol w:w="993"/>
        <w:gridCol w:w="1134"/>
        <w:gridCol w:w="1207"/>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2694"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sz w:val="18"/>
                <w:szCs w:val="18"/>
              </w:rPr>
              <w:t>通讯工程技术研发、设计与施工等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通信产品设备的研发与销售等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深圳网信金融科 技发展有限公司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计算机网络技术、计算所软硬件技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术开发、转让、及咨询服务等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深圳键桥智能技 术有限公司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both"/>
              <w:rPr>
                <w:rFonts w:ascii="宋体" w:hAnsi="宋体" w:cs="宋体" w:eastAsia="宋体" w:hint="default"/>
                <w:sz w:val="18"/>
                <w:szCs w:val="18"/>
              </w:rPr>
            </w:pPr>
            <w:r>
              <w:rPr>
                <w:rFonts w:ascii="宋体" w:hAnsi="宋体" w:cs="宋体" w:eastAsia="宋体" w:hint="default"/>
                <w:spacing w:val="-5"/>
                <w:sz w:val="18"/>
                <w:szCs w:val="18"/>
              </w:rPr>
              <w:t>通信产品及设备、信息与通信系统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及设备、系统集成系统及设备、自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动化系统及设备等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pacing w:val="-5"/>
                <w:sz w:val="18"/>
                <w:szCs w:val="18"/>
              </w:rPr>
              <w:t>通信产品及设备、信息与通信系统</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038"/>
        <w:gridCol w:w="1134"/>
        <w:gridCol w:w="2694"/>
        <w:gridCol w:w="993"/>
        <w:gridCol w:w="1134"/>
        <w:gridCol w:w="1207"/>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通有限公司</w:t>
            </w:r>
          </w:p>
        </w:tc>
        <w:tc>
          <w:tcPr>
            <w:tcW w:w="103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left"/>
              <w:rPr>
                <w:rFonts w:ascii="宋体" w:hAnsi="宋体" w:cs="宋体" w:eastAsia="宋体" w:hint="default"/>
                <w:sz w:val="18"/>
                <w:szCs w:val="18"/>
              </w:rPr>
            </w:pPr>
            <w:r>
              <w:rPr>
                <w:rFonts w:ascii="宋体" w:hAnsi="宋体" w:cs="宋体" w:eastAsia="宋体" w:hint="default"/>
                <w:spacing w:val="-5"/>
                <w:sz w:val="18"/>
                <w:szCs w:val="18"/>
              </w:rPr>
              <w:t>及设备、系统集成系统及设备、自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动化系统及设备等</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键桥投资（香港</w:t>
            </w:r>
            <w:r>
              <w:rPr>
                <w:rFonts w:ascii="宋体" w:hAnsi="宋体" w:cs="宋体" w:eastAsia="宋体" w:hint="default"/>
                <w:sz w:val="18"/>
                <w:szCs w:val="18"/>
              </w:rPr>
              <w:t>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51.45pt;height:28pt;mso-position-horizontal-relative:char;mso-position-vertical-relative:line" coordorigin="0,0" coordsize="1029,560">
                  <v:group style="position:absolute;left:0;top:0;width:1029;height:156" coordorigin="0,0" coordsize="1029,156">
                    <v:shape style="position:absolute;left:0;top:0;width:1029;height:156" coordorigin="0,0" coordsize="1029,156" path="m0,156l1028,156,1028,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983;height:393" coordorigin="23,156" coordsize="983,393">
                    <v:shape style="position:absolute;left:23;top:156;width:983;height:393" coordorigin="23,156" coordsize="983,393" path="m23,548l1006,548,1006,156,23,156,23,548xe" filled="true" fillcolor="#ffffff" stroked="false">
                      <v:path arrowok="t"/>
                      <v:fill type="solid"/>
                    </v:shape>
                  </v:group>
                </v:group>
              </w:pict>
            </w:r>
            <w:r>
              <w:rPr>
                <w:rFonts w:ascii="宋体" w:hAnsi="宋体" w:cs="宋体" w:eastAsia="宋体" w:hint="default"/>
                <w:position w:val="-10"/>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嘉兴德玖投资合 伙企业（有限合 伙）</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实业投资、投资管理、投资咨询</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入伙合伙企业</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深圳键桥菁英科 技有限公司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pacing w:val="-5"/>
                <w:sz w:val="18"/>
                <w:szCs w:val="18"/>
              </w:rPr>
              <w:t>生产经营光通信设备、无线通信多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媒体系统设备及终端、接入网通信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系统设备等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软件产品的研发与销售等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7" w:right="59" w:hanging="360"/>
              <w:jc w:val="left"/>
              <w:rPr>
                <w:rFonts w:ascii="宋体" w:hAnsi="宋体" w:cs="宋体" w:eastAsia="宋体" w:hint="default"/>
                <w:sz w:val="18"/>
                <w:szCs w:val="18"/>
              </w:rPr>
            </w:pPr>
            <w:r>
              <w:rPr>
                <w:rFonts w:ascii="宋体" w:hAnsi="宋体" w:cs="宋体" w:eastAsia="宋体" w:hint="default"/>
                <w:sz w:val="18"/>
                <w:szCs w:val="18"/>
              </w:rPr>
              <w:t>非同一控制下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交通工程技术开发、工程设计与施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工等</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7" w:right="59" w:hanging="360"/>
              <w:jc w:val="left"/>
              <w:rPr>
                <w:rFonts w:ascii="宋体" w:hAnsi="宋体" w:cs="宋体" w:eastAsia="宋体" w:hint="default"/>
                <w:sz w:val="18"/>
                <w:szCs w:val="18"/>
              </w:rPr>
            </w:pPr>
            <w:r>
              <w:rPr>
                <w:rFonts w:ascii="宋体" w:hAnsi="宋体" w:cs="宋体" w:eastAsia="宋体" w:hint="default"/>
                <w:sz w:val="18"/>
                <w:szCs w:val="18"/>
              </w:rPr>
              <w:t>非同一控制下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大连先锋投资管 理有限公司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269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投资管理，股权投资，投资咨询， 企业管理咨询，财务顾。</w:t>
            </w:r>
          </w:p>
        </w:tc>
        <w:tc>
          <w:tcPr>
            <w:tcW w:w="9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17" w:right="59" w:hanging="360"/>
              <w:jc w:val="left"/>
              <w:rPr>
                <w:rFonts w:ascii="宋体" w:hAnsi="宋体" w:cs="宋体" w:eastAsia="宋体" w:hint="default"/>
                <w:sz w:val="18"/>
                <w:szCs w:val="18"/>
              </w:rPr>
            </w:pPr>
            <w:r>
              <w:rPr>
                <w:rFonts w:ascii="宋体" w:hAnsi="宋体" w:cs="宋体" w:eastAsia="宋体" w:hint="default"/>
                <w:sz w:val="18"/>
                <w:szCs w:val="18"/>
              </w:rPr>
              <w:t>非同一控制下 合并</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r>
        <w:rPr/>
        <w:pict>
          <v:group style="position:absolute;margin-left:368.859985pt;margin-top:-48.266327pt;width:49.2pt;height:7.8pt;mso-position-horizontal-relative:page;mso-position-vertical-relative:paragraph;z-index:-885688" coordorigin="7377,-965" coordsize="984,156">
            <v:shape style="position:absolute;left:7377;top:-965;width:984;height:156" coordorigin="7377,-965" coordsize="984,156" path="m7377,-809l8360,-809,8360,-965,7377,-965,7377,-809xe" filled="true" fillcolor="#ffffff" stroked="false">
              <v:path arrowok="t"/>
              <v:fill type="solid"/>
            </v:shape>
            <w10:wrap type="none"/>
          </v:group>
        </w:pict>
      </w:r>
      <w:bookmarkStart w:name="（2）重要的非全资子公司" w:id="335"/>
      <w:bookmarkEnd w:id="33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702"/>
        <w:gridCol w:w="1559"/>
        <w:gridCol w:w="1703"/>
        <w:gridCol w:w="1913"/>
      </w:tblGrid>
      <w:tr>
        <w:trPr>
          <w:trHeight w:val="76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413" w:right="53"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395"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-5,413,954.35</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-11,565,305.13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-80,774.68</w:t>
            </w:r>
            <w:r>
              <w:rPr>
                <w:rFonts w:ascii="Times New Roman"/>
                <w:sz w:val="18"/>
              </w:rPr>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1,637,498.86</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重要非全资子公司的主要财务信息" w:id="336"/>
      <w:bookmarkEnd w:id="33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深圳键 桥华能 通讯技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229,463,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331.65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7,067,83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236,531,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170.38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265,444,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433.21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265,444,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433.21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32,573,5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306,411.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32,880,0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48,258,3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82.99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48,258,3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82.99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广州键 桥通讯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12,952,5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12,962,7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8,868,99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4.60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8,868,99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14,226,4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14,243,8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9,948,20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9,948,20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深圳键桥华 能通讯技术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40,531,996.6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-13,534,885.8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-13,534,885.8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-382,390.49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21,382,210.3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-14,474,066.4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-14,474,066.4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广州键桥通 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9,437,145.57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-201,936.71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-201,936.71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2,489,173.08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21,625,534.0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1,686,946.27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1,686,946.27</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在合营安排或联营企业中的权益" w:id="337"/>
      <w:bookmarkEnd w:id="33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重要的合营企业或联营企业" w:id="338"/>
      <w:bookmarkEnd w:id="33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深圳盈华小额贷 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2）重要合营企业的主要财务信息" w:id="339"/>
      <w:bookmarkEnd w:id="33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深圳融华小额贷款有限公司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308,245,116.05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20,380,382.71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38,037.81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308,283,153.86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2,258,972.36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2,258,972.36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306,024,181.50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153,012,090.75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11,767,443.34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-533,035.22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2,011,946.52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6,024,181.50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6,024,181.50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不重要的合营企业和联营企业的汇总财务信息" w:id="340"/>
      <w:bookmarkEnd w:id="340"/>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8,532,234.24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-1,467,765.76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-1,467,765.76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39,161,600.00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十、与金融工具相关的风险" w:id="341"/>
      <w:bookmarkEnd w:id="34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本公司的主要金融工具包括股权投资、债权投资、借款、应收账款、应付账款等，各项金融工具的详细情况说明见本附</w:t>
      </w:r>
      <w:r>
        <w:rPr/>
        <w:t> </w:t>
      </w:r>
      <w:r>
        <w:rPr>
          <w:spacing w:val="-2"/>
        </w:rPr>
        <w:t>注六相关项目。与这些金融工具有关的风险，以及本公司为降低这些风险所采取的风险管理政策如下所述。本公司管理层对</w:t>
      </w:r>
      <w:r>
        <w:rPr>
          <w:spacing w:val="-66"/>
        </w:rPr>
        <w:t> </w:t>
      </w:r>
      <w:r>
        <w:rPr>
          <w:spacing w:val="-66"/>
        </w:rPr>
      </w:r>
      <w:r>
        <w:rPr/>
        <w:t>这些风险敞口进行管理和监控以确保将上述风险控制在限定的范围之内。</w:t>
      </w:r>
    </w:p>
    <w:p>
      <w:pPr>
        <w:pStyle w:val="BodyText"/>
        <w:spacing w:line="316" w:lineRule="auto" w:before="17"/>
        <w:ind w:right="1131"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spacing w:line="316" w:lineRule="auto" w:before="19"/>
        <w:ind w:left="513" w:right="1118" w:firstLine="1"/>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19"/>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4"/>
        <w:spacing w:line="240" w:lineRule="auto"/>
        <w:ind w:right="1118"/>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513" w:right="1118"/>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外汇风险指因汇率变动产生损失的风险。本公司的主要经营业务均在国内，因此汇率变动对本公司的经营业绩没有大的</w:t>
      </w:r>
    </w:p>
    <w:p>
      <w:pPr>
        <w:pStyle w:val="BodyText"/>
        <w:spacing w:line="240" w:lineRule="auto" w:before="31"/>
        <w:ind w:right="1118"/>
        <w:jc w:val="left"/>
      </w:pPr>
      <w:r>
        <w:rPr/>
        <w:t>影响。</w:t>
      </w:r>
    </w:p>
    <w:p>
      <w:pPr>
        <w:pStyle w:val="Heading4"/>
        <w:spacing w:line="240" w:lineRule="auto" w:before="76"/>
        <w:ind w:right="1118"/>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left="154" w:right="1118"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6" w:lineRule="auto" w:before="31"/>
        <w:ind w:left="154" w:right="1032" w:firstLine="360"/>
        <w:jc w:val="left"/>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00" w:lineRule="auto" w:before="19"/>
        <w:ind w:left="514" w:right="1118"/>
        <w:jc w:val="left"/>
      </w:pPr>
      <w:r>
        <w:rPr/>
        <w:t>本附注六、</w:t>
      </w:r>
      <w:r>
        <w:rPr>
          <w:rFonts w:ascii="Times New Roman" w:hAnsi="Times New Roman" w:cs="Times New Roman" w:eastAsia="Times New Roman" w:hint="default"/>
        </w:rPr>
        <w:t>49“</w:t>
      </w:r>
      <w:r>
        <w:rPr/>
        <w:t>其他非流动负债</w:t>
      </w:r>
      <w:r>
        <w:rPr>
          <w:rFonts w:ascii="Times New Roman" w:hAnsi="Times New Roman" w:cs="Times New Roman" w:eastAsia="Times New Roman" w:hint="default"/>
        </w:rPr>
        <w:t>”</w:t>
      </w:r>
      <w:r>
        <w:rPr/>
        <w:t>中披露的财务担保合同金额。 </w:t>
      </w:r>
      <w:r>
        <w:rPr>
          <w:spacing w:val="-2"/>
        </w:rPr>
        <w:t>为降低信用风险，本公司成立了一个小组负责确定信用额度、进行信用审批，并执行其他监控程序以确保采取必要的措</w:t>
      </w:r>
    </w:p>
    <w:p>
      <w:pPr>
        <w:pStyle w:val="BodyText"/>
        <w:spacing w:line="316" w:lineRule="auto" w:before="31"/>
        <w:ind w:left="154" w:right="1118"/>
        <w:jc w:val="left"/>
      </w:pPr>
      <w:r>
        <w:rPr>
          <w:spacing w:val="-2"/>
        </w:rPr>
        <w:t>施回收过期债权。此外，本公司于每个资产负债表日审核每一单项应收款的回收情况，以确保就无法回收的款项计提充分的</w:t>
      </w:r>
      <w:r>
        <w:rPr>
          <w:spacing w:val="-66"/>
        </w:rPr>
        <w:t> </w:t>
      </w:r>
      <w:r>
        <w:rPr>
          <w:spacing w:val="-66"/>
        </w:rPr>
      </w:r>
      <w:r>
        <w:rPr/>
        <w:t>坏账准备。因此，本公司管理层认为本公司所承担的信用风险已经大为降低。</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18"/>
        <w:jc w:val="left"/>
      </w:pPr>
      <w:r>
        <w:rPr/>
        <w:t>本公司的流动资金存放在信用评级较高的银行，故流动资金的信用风险较低。</w:t>
      </w:r>
    </w:p>
    <w:p>
      <w:pPr>
        <w:pStyle w:val="BodyText"/>
        <w:spacing w:line="300" w:lineRule="auto" w:before="76"/>
        <w:ind w:left="514" w:right="1118"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319" w:lineRule="auto" w:before="31"/>
        <w:ind w:left="513" w:right="1118" w:hanging="360"/>
        <w:jc w:val="left"/>
      </w:pPr>
      <w:r>
        <w:rPr/>
        <w:t>金流量波动的影响。本公司管理层对银行借款的使用情况进行监控并确保遵守借款协议。 </w:t>
      </w:r>
      <w:r>
        <w:rPr>
          <w:spacing w:val="3"/>
        </w:rPr>
        <w:t>本公司将银行借款作为主要资金来源。</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日，本公司尚未使用的银行借款额度为人民币</w:t>
      </w:r>
      <w:r>
        <w:rPr>
          <w:rFonts w:ascii="Times New Roman" w:hAnsi="Times New Roman" w:cs="Times New Roman" w:eastAsia="Times New Roman" w:hint="default"/>
          <w:spacing w:val="3"/>
        </w:rPr>
        <w:t>145,000,000.00</w:t>
      </w:r>
      <w:r>
        <w:rPr>
          <w:spacing w:val="3"/>
        </w:rPr>
        <w:t>元</w:t>
      </w:r>
    </w:p>
    <w:p>
      <w:pPr>
        <w:pStyle w:val="BodyText"/>
        <w:spacing w:line="246" w:lineRule="exact"/>
        <w:ind w:right="111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96,864,000.00</w:t>
      </w:r>
      <w:r>
        <w:rPr/>
        <w:t>元</w:t>
      </w:r>
      <w:r>
        <w:rPr>
          <w:rFonts w:ascii="Times New Roman" w:hAnsi="Times New Roman" w:cs="Times New Roman" w:eastAsia="Times New Roman" w:hint="default"/>
        </w:rPr>
        <w:t>)</w:t>
      </w:r>
      <w:r>
        <w:rPr/>
        <w:t>。</w:t>
      </w:r>
    </w:p>
    <w:p>
      <w:pPr>
        <w:pStyle w:val="BodyText"/>
        <w:spacing w:line="240" w:lineRule="auto" w:before="63"/>
        <w:ind w:left="514" w:right="1118"/>
        <w:jc w:val="left"/>
      </w:pPr>
      <w:r>
        <w:rPr/>
        <w:t>本公司持有的金融负债按未折现剩余合同义务的到期期限分析如下：</w:t>
      </w:r>
    </w:p>
    <w:p>
      <w:pPr>
        <w:pStyle w:val="BodyText"/>
        <w:spacing w:line="240" w:lineRule="auto" w:before="1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615"/>
        <w:gridCol w:w="1617"/>
        <w:gridCol w:w="1616"/>
        <w:gridCol w:w="1616"/>
        <w:gridCol w:w="1616"/>
      </w:tblGrid>
      <w:tr>
        <w:trPr>
          <w:trHeight w:val="344" w:hRule="exact"/>
        </w:trPr>
        <w:tc>
          <w:tcPr>
            <w:tcW w:w="1702" w:type="dxa"/>
            <w:tcBorders>
              <w:top w:val="single" w:sz="4" w:space="0" w:color="000000"/>
              <w:left w:val="nil" w:sz="6" w:space="0" w:color="auto"/>
              <w:bottom w:val="single" w:sz="6" w:space="0" w:color="000000"/>
              <w:right w:val="single" w:sz="6" w:space="0" w:color="000000"/>
            </w:tcBorders>
            <w:shd w:val="clear" w:color="auto" w:fill="D9D9D9"/>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617"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616"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宋体" w:hAnsi="宋体" w:cs="宋体" w:eastAsia="宋体" w:hint="default"/>
                <w:sz w:val="18"/>
                <w:szCs w:val="18"/>
              </w:rPr>
              <w:t>个月</w:t>
            </w:r>
          </w:p>
        </w:tc>
        <w:tc>
          <w:tcPr>
            <w:tcW w:w="1616"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616" w:type="dxa"/>
            <w:tcBorders>
              <w:top w:val="single" w:sz="4" w:space="0" w:color="000000"/>
              <w:left w:val="single" w:sz="6" w:space="0" w:color="000000"/>
              <w:bottom w:val="single" w:sz="6" w:space="0" w:color="000000"/>
              <w:right w:val="nil" w:sz="6" w:space="0" w:color="auto"/>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47" w:hRule="exact"/>
        </w:trPr>
        <w:tc>
          <w:tcPr>
            <w:tcW w:w="17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66,000,000.00</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97,000,000.00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162,580,000.00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702"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6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109,999,999.97</w:t>
            </w:r>
          </w:p>
        </w:tc>
        <w:tc>
          <w:tcPr>
            <w:tcW w:w="161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pStyle w:val="Heading4"/>
        <w:spacing w:line="240" w:lineRule="auto" w:before="44"/>
        <w:ind w:right="1118"/>
        <w:jc w:val="left"/>
        <w:rPr>
          <w:b w:val="0"/>
          <w:bCs w:val="0"/>
        </w:rPr>
      </w:pPr>
      <w:r>
        <w:rPr/>
        <w:t>（二）金融资产转移</w:t>
      </w:r>
      <w:r>
        <w:rPr>
          <w:b w:val="0"/>
          <w:bCs w:val="0"/>
        </w:rPr>
      </w:r>
    </w:p>
    <w:p>
      <w:pPr>
        <w:spacing w:line="300" w:lineRule="auto" w:before="76"/>
        <w:ind w:left="515" w:right="112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、已转移但未整体终止确认的金融资产</w:t>
      </w:r>
      <w:r>
        <w:rPr>
          <w:rFonts w:ascii="宋体" w:hAnsi="宋体" w:cs="宋体" w:eastAsia="宋体" w:hint="default"/>
          <w:b/>
          <w:bCs/>
          <w:w w:val="99"/>
          <w:sz w:val="18"/>
          <w:szCs w:val="18"/>
        </w:rPr>
        <w:t> </w:t>
      </w:r>
      <w:r>
        <w:rPr>
          <w:rFonts w:ascii="宋体" w:hAnsi="宋体" w:cs="宋体" w:eastAsia="宋体" w:hint="default"/>
          <w:spacing w:val="-2"/>
          <w:w w:val="100"/>
          <w:sz w:val="18"/>
          <w:szCs w:val="18"/>
        </w:rPr>
        <w:t>本年度，本公司将应收账款</w:t>
      </w:r>
      <w:r>
        <w:rPr>
          <w:rFonts w:ascii="Times New Roman" w:hAnsi="Times New Roman" w:cs="Times New Roman" w:eastAsia="Times New Roman" w:hint="default"/>
          <w:spacing w:val="-2"/>
          <w:w w:val="100"/>
          <w:sz w:val="18"/>
          <w:szCs w:val="18"/>
        </w:rPr>
        <w:t>8,120.000.00</w:t>
      </w:r>
      <w:r>
        <w:rPr>
          <w:rFonts w:ascii="宋体" w:hAnsi="宋体" w:cs="宋体" w:eastAsia="宋体" w:hint="default"/>
          <w:spacing w:val="-2"/>
          <w:w w:val="100"/>
          <w:sz w:val="18"/>
          <w:szCs w:val="18"/>
        </w:rPr>
        <w:t>元保理给上海中锋商业保理有限公司（以下简称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上海中锋公司</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），取得保理融</w:t>
      </w:r>
    </w:p>
    <w:p>
      <w:pPr>
        <w:pStyle w:val="BodyText"/>
        <w:spacing w:line="309" w:lineRule="auto" w:before="13"/>
        <w:ind w:left="154" w:right="1132"/>
        <w:jc w:val="both"/>
      </w:pPr>
      <w:r>
        <w:rPr/>
        <w:t>资金额</w:t>
      </w:r>
      <w:r>
        <w:rPr>
          <w:rFonts w:ascii="Times New Roman" w:hAnsi="Times New Roman" w:cs="Times New Roman" w:eastAsia="Times New Roman" w:hint="default"/>
        </w:rPr>
        <w:t>5,000,000.00</w:t>
      </w:r>
      <w:r>
        <w:rPr/>
        <w:t>元。如该应收账款到期未能收回，上海中锋公司有权要求本公司付清未结算的余额。由于本公司仍承担</w:t>
      </w:r>
      <w:r>
        <w:rPr>
          <w:spacing w:val="-50"/>
        </w:rPr>
        <w:t> </w:t>
      </w:r>
      <w:r>
        <w:rPr>
          <w:spacing w:val="-50"/>
        </w:rPr>
      </w:r>
      <w:r>
        <w:rPr>
          <w:spacing w:val="-2"/>
        </w:rPr>
        <w:t>了与这些应收账款相关的信用风险等主要风险，本公司继续全额确认该应收账款的账面金额，并将因保理而收到的款项确认</w:t>
      </w:r>
      <w:r>
        <w:rPr>
          <w:spacing w:val="-64"/>
        </w:rPr>
        <w:t> </w:t>
      </w:r>
      <w:r>
        <w:rPr>
          <w:spacing w:val="-64"/>
        </w:rPr>
      </w:r>
      <w:r>
        <w:rPr/>
        <w:t>为保理借款。</w:t>
      </w:r>
    </w:p>
    <w:p>
      <w:pPr>
        <w:spacing w:line="300" w:lineRule="auto" w:before="24"/>
        <w:ind w:left="513" w:right="111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、已转移但未整体终止确认的金融资产</w:t>
      </w:r>
      <w:r>
        <w:rPr>
          <w:rFonts w:ascii="宋体" w:hAnsi="宋体" w:cs="宋体" w:eastAsia="宋体" w:hint="default"/>
          <w:b/>
          <w:bCs/>
          <w:w w:val="99"/>
          <w:sz w:val="18"/>
          <w:szCs w:val="18"/>
        </w:rPr>
        <w:t> </w:t>
      </w:r>
      <w:r>
        <w:rPr>
          <w:rFonts w:ascii="宋体" w:hAnsi="宋体" w:cs="宋体" w:eastAsia="宋体" w:hint="default"/>
          <w:sz w:val="18"/>
          <w:szCs w:val="18"/>
        </w:rPr>
        <w:t>本年度，本公司累计向银行贴现银行承兑汇票人民币</w:t>
      </w:r>
      <w:r>
        <w:rPr>
          <w:rFonts w:ascii="Times New Roman" w:hAnsi="Times New Roman" w:cs="Times New Roman" w:eastAsia="Times New Roman" w:hint="default"/>
          <w:sz w:val="18"/>
          <w:szCs w:val="18"/>
        </w:rPr>
        <w:t>133,330,000.00</w:t>
      </w:r>
      <w:r>
        <w:rPr>
          <w:rFonts w:ascii="宋体" w:hAnsi="宋体" w:cs="宋体" w:eastAsia="宋体" w:hint="default"/>
          <w:sz w:val="18"/>
          <w:szCs w:val="18"/>
        </w:rPr>
        <w:t>元。如该银行承兑汇票到期未能承兑，银行有权要</w:t>
      </w:r>
    </w:p>
    <w:p>
      <w:pPr>
        <w:pStyle w:val="BodyText"/>
        <w:spacing w:line="312" w:lineRule="auto" w:before="13"/>
        <w:ind w:left="154" w:right="1130"/>
        <w:jc w:val="both"/>
      </w:pPr>
      <w:r>
        <w:rPr>
          <w:spacing w:val="-2"/>
        </w:rPr>
        <w:t>求本公司付清未结算的余额。由于本公司仍承担了与这些银行承兑汇票相关的信用风险等主要风险，本公司继续全额确认应</w:t>
      </w:r>
      <w:r>
        <w:rPr>
          <w:spacing w:val="-64"/>
        </w:rPr>
        <w:t> </w:t>
      </w:r>
      <w:r>
        <w:rPr>
          <w:spacing w:val="-64"/>
        </w:rPr>
      </w:r>
      <w:r>
        <w:rPr>
          <w:spacing w:val="-2"/>
        </w:rPr>
        <w:t>收票据的账面金额（由于上述票据为公司及子公司内部开具的，合并时已将应收票据与应付票据抵消处理），并将因转让而</w:t>
      </w:r>
      <w:r>
        <w:rPr>
          <w:spacing w:val="-66"/>
        </w:rPr>
        <w:t> </w:t>
      </w:r>
      <w:r>
        <w:rPr>
          <w:spacing w:val="-66"/>
        </w:rPr>
      </w:r>
      <w:r>
        <w:rPr/>
        <w:t>收到的款项确认为质押借款。于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日，已贴现未到期的银行承兑汇票人民币</w:t>
      </w:r>
      <w:r>
        <w:rPr>
          <w:rFonts w:ascii="Times New Roman" w:hAnsi="Times New Roman" w:cs="Times New Roman" w:eastAsia="Times New Roman" w:hint="default"/>
        </w:rPr>
        <w:t>133,330,000.00</w:t>
      </w:r>
      <w:r>
        <w:rPr/>
        <w:t>元，相关质押借款的</w:t>
      </w:r>
      <w:r>
        <w:rPr>
          <w:spacing w:val="-47"/>
        </w:rPr>
        <w:t> </w:t>
      </w:r>
      <w:r>
        <w:rPr>
          <w:spacing w:val="-47"/>
        </w:rPr>
      </w:r>
      <w:r>
        <w:rPr/>
        <w:t>余额为人民币</w:t>
      </w:r>
      <w:r>
        <w:rPr>
          <w:rFonts w:ascii="Times New Roman" w:hAnsi="Times New Roman" w:cs="Times New Roman" w:eastAsia="Times New Roman" w:hint="default"/>
        </w:rPr>
        <w:t>133,330,000.00</w:t>
      </w:r>
      <w:r>
        <w:rPr/>
        <w:t>元。</w:t>
      </w:r>
    </w:p>
    <w:p>
      <w:pPr>
        <w:spacing w:line="240" w:lineRule="auto" w:before="7"/>
        <w:rPr>
          <w:rFonts w:ascii="宋体" w:hAnsi="宋体" w:cs="宋体" w:eastAsia="宋体" w:hint="default"/>
          <w:sz w:val="19"/>
          <w:szCs w:val="19"/>
        </w:rPr>
      </w:pPr>
    </w:p>
    <w:p>
      <w:pPr>
        <w:spacing w:line="496" w:lineRule="auto" w:before="0"/>
        <w:ind w:left="154" w:right="8102" w:firstLine="0"/>
        <w:jc w:val="left"/>
        <w:rPr>
          <w:rFonts w:ascii="宋体" w:hAnsi="宋体" w:cs="宋体" w:eastAsia="宋体" w:hint="default"/>
          <w:sz w:val="21"/>
          <w:szCs w:val="21"/>
        </w:rPr>
      </w:pPr>
      <w:bookmarkStart w:name="十一、公允价值的披露" w:id="342"/>
      <w:bookmarkEnd w:id="342"/>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不适用" w:id="343"/>
      <w:bookmarkEnd w:id="343"/>
      <w:r>
        <w:rPr>
          <w:rFonts w:ascii="宋体" w:hAnsi="宋体" w:cs="宋体" w:eastAsia="宋体" w:hint="default"/>
          <w:b/>
          <w:bCs/>
          <w:w w:val="99"/>
          <w:sz w:val="24"/>
          <w:szCs w:val="24"/>
        </w:rPr>
      </w:r>
      <w:r>
        <w:rPr>
          <w:rFonts w:ascii="宋体" w:hAnsi="宋体" w:cs="宋体" w:eastAsia="宋体" w:hint="default"/>
          <w:b/>
          <w:bCs/>
          <w:sz w:val="21"/>
          <w:szCs w:val="21"/>
        </w:rPr>
        <w:t>不适用</w:t>
      </w:r>
      <w:r>
        <w:rPr>
          <w:rFonts w:ascii="宋体" w:hAnsi="宋体" w:cs="宋体" w:eastAsia="宋体" w:hint="default"/>
          <w:b/>
          <w:bCs/>
          <w:spacing w:val="1"/>
          <w:w w:val="99"/>
          <w:sz w:val="21"/>
          <w:szCs w:val="21"/>
        </w:rPr>
        <w:t> </w:t>
      </w:r>
      <w:bookmarkStart w:name="十二、关联方及关联交易" w:id="344"/>
      <w:bookmarkEnd w:id="344"/>
      <w:r>
        <w:rPr>
          <w:rFonts w:ascii="宋体" w:hAnsi="宋体" w:cs="宋体" w:eastAsia="宋体" w:hint="default"/>
          <w:b/>
          <w:bCs/>
          <w:spacing w:val="1"/>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45"/>
      <w:bookmarkEnd w:id="3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实业投资、投资管 理、投资咨询。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19.84%</w:t>
            </w:r>
          </w:p>
        </w:tc>
      </w:tr>
    </w:tbl>
    <w:p>
      <w:pPr>
        <w:pStyle w:val="BodyText"/>
        <w:spacing w:line="357" w:lineRule="auto" w:before="51"/>
        <w:ind w:left="514" w:right="1118" w:hanging="360"/>
        <w:jc w:val="left"/>
      </w:pPr>
      <w:r>
        <w:rPr/>
        <w:t>本企业的母公司情况的说明 注：截止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日，乾德精一持有键桥通讯股份</w:t>
      </w:r>
      <w:r>
        <w:rPr>
          <w:rFonts w:ascii="Times New Roman" w:hAnsi="Times New Roman" w:cs="Times New Roman" w:eastAsia="Times New Roman" w:hint="default"/>
        </w:rPr>
        <w:t>7,800</w:t>
      </w:r>
      <w:r>
        <w:rPr/>
        <w:t>万股，占键桥通讯股份总数的</w:t>
      </w:r>
      <w:r>
        <w:rPr>
          <w:rFonts w:ascii="Times New Roman" w:hAnsi="Times New Roman" w:cs="Times New Roman" w:eastAsia="Times New Roman" w:hint="default"/>
        </w:rPr>
        <w:t>19.84%</w:t>
      </w:r>
      <w:r>
        <w:rPr/>
        <w:t>，成为公司第一大股</w:t>
      </w:r>
    </w:p>
    <w:p>
      <w:pPr>
        <w:pStyle w:val="BodyText"/>
        <w:spacing w:line="215" w:lineRule="exact"/>
        <w:ind w:left="154" w:right="0"/>
        <w:jc w:val="left"/>
      </w:pPr>
      <w:r>
        <w:rPr>
          <w:spacing w:val="-2"/>
        </w:rPr>
        <w:t>东；香港键桥持有键桥通讯股份</w:t>
      </w:r>
      <w:r>
        <w:rPr>
          <w:spacing w:val="15"/>
        </w:rPr>
        <w:t> </w:t>
      </w:r>
      <w:r>
        <w:rPr>
          <w:rFonts w:ascii="Times New Roman" w:hAnsi="Times New Roman" w:cs="Times New Roman" w:eastAsia="Times New Roman" w:hint="default"/>
          <w:spacing w:val="-2"/>
        </w:rPr>
        <w:t>7,233.89</w:t>
      </w:r>
      <w:r>
        <w:rPr>
          <w:spacing w:val="-2"/>
        </w:rPr>
        <w:t>万股，占键桥通讯股份总数的</w:t>
      </w:r>
      <w:r>
        <w:rPr>
          <w:rFonts w:ascii="Times New Roman" w:hAnsi="Times New Roman" w:cs="Times New Roman" w:eastAsia="Times New Roman" w:hint="default"/>
          <w:spacing w:val="-2"/>
        </w:rPr>
        <w:t>18.40%</w:t>
      </w:r>
      <w:r>
        <w:rPr>
          <w:spacing w:val="-2"/>
        </w:rPr>
        <w:t>，为键桥通讯第二大股东。由于第一大股东和</w:t>
      </w:r>
    </w:p>
    <w:p>
      <w:pPr>
        <w:pStyle w:val="BodyText"/>
        <w:spacing w:line="676" w:lineRule="auto" w:before="63"/>
        <w:ind w:left="154" w:right="6252"/>
        <w:jc w:val="left"/>
      </w:pPr>
      <w:r>
        <w:rPr/>
        <w:t>第二大股东股权比例较为接近，所以公司无实际控制人。 本企业最终控制方是无实际控制人。</w:t>
      </w:r>
    </w:p>
    <w:p>
      <w:pPr>
        <w:spacing w:after="0" w:line="67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5353" w:firstLine="0"/>
        <w:jc w:val="left"/>
        <w:rPr>
          <w:rFonts w:ascii="宋体" w:hAnsi="宋体" w:cs="宋体" w:eastAsia="宋体" w:hint="default"/>
          <w:sz w:val="21"/>
          <w:szCs w:val="21"/>
        </w:rPr>
      </w:pPr>
      <w:bookmarkStart w:name="2、本企业的子公司情况" w:id="346"/>
      <w:bookmarkEnd w:id="3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347"/>
      <w:bookmarkEnd w:id="34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t>本企业重要的合营或联营企业详见附注八、</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深圳盈华小额贷款有限公司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天津九盈科技发展有限公司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其他关联方情况" w:id="348"/>
      <w:bookmarkEnd w:id="34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第二大股东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深圳浩瀚天成投资发展有限公司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第二大股东实际控制人叶琼控制的公司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公司原子公司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现第二大股东实际控制人叶琼控制的公司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键桥国际（香港）投资有限公司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公司原子公司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现第二大股东实际控制人叶琼控制的公司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公司第一大股东乾德精一的执行事务合伙人，公司副董事长 刘辉控制的公司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公司董事张振新担任董事长的公司</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公司董事张振新通过其控制的大连联合控股有限公司间接持 有该公司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13.94%</w:t>
            </w:r>
            <w:r>
              <w:rPr>
                <w:rFonts w:ascii="宋体" w:hAnsi="宋体" w:cs="宋体" w:eastAsia="宋体" w:hint="default"/>
                <w:sz w:val="18"/>
                <w:szCs w:val="18"/>
              </w:rPr>
              <w:t>的股权</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上海中锋商业保理有限公司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公司董事张振新通过其控制的中国先锋金融集团有限公司和 大连联合控股有限公司间接持有该公司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第二大股东实际控制人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公司财务负责人</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5、关联交易情况" w:id="349"/>
      <w:bookmarkEnd w:id="34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购销商品、提供和接受劳务的关联交易" w:id="350"/>
      <w:bookmarkEnd w:id="35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1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00"/>
        <w:gridCol w:w="2259"/>
        <w:gridCol w:w="2260"/>
        <w:gridCol w:w="2652"/>
      </w:tblGrid>
      <w:tr>
        <w:trPr>
          <w:trHeight w:val="71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深圳浩瀚天成投资发展有限公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1" w:right="0"/>
              <w:jc w:val="left"/>
              <w:rPr>
                <w:rFonts w:ascii="Times New Roman" w:hAnsi="Times New Roman" w:cs="Times New Roman" w:eastAsia="Times New Roman" w:hint="default"/>
                <w:sz w:val="18"/>
                <w:szCs w:val="18"/>
              </w:rPr>
            </w:pPr>
            <w:r>
              <w:rPr>
                <w:rFonts w:ascii="Times New Roman"/>
                <w:sz w:val="18"/>
              </w:rPr>
              <w:t>57,413,076.54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关联担保情况" w:id="351"/>
      <w:bookmarkEnd w:id="351"/>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18"/>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南京凌云科技发展有限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键桥国际（香港）投资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18,158,734.66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18"/>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914"/>
        <w:gridCol w:w="1914"/>
        <w:gridCol w:w="191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65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东莞键桥通讯技术有限公司、 南京凌云科技发展有限公司、 深圳市德威普软件技术有限公 司、叶琼，王永彬，中国融资 租赁有限公司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东莞键桥通讯技术有限公司、 南京凌云科技发展有限公司， 葛迅，叶琼，光明土地证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叶琼、南京凌云科技发展有限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35"/>
              <w:jc w:val="left"/>
              <w:rPr>
                <w:rFonts w:ascii="宋体" w:hAnsi="宋体" w:cs="宋体" w:eastAsia="宋体" w:hint="default"/>
                <w:sz w:val="18"/>
                <w:szCs w:val="18"/>
              </w:rPr>
            </w:pPr>
            <w:r>
              <w:rPr>
                <w:rFonts w:ascii="宋体" w:hAnsi="宋体" w:cs="宋体" w:eastAsia="宋体" w:hint="default"/>
                <w:sz w:val="18"/>
                <w:szCs w:val="18"/>
              </w:rPr>
              <w:t>王永彬、中国融资租赁有限公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叶琼、中国融资租赁有限公司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914"/>
        <w:gridCol w:w="1914"/>
        <w:gridCol w:w="1914"/>
      </w:tblGrid>
      <w:tr>
        <w:trPr>
          <w:trHeight w:val="98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司，叶琼，南京凌云科技发展 有限公司，西海岸大厦房产抵 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叶琼、葛迅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王永彬、中国融资租赁有限公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王永彬、深圳市德威普软件技 术有限公司、南京凌科技发展 有限公司、中国融资租赁有限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王永彬、南京凌科技发展有限 公司、中国融资租赁有限公司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513" w:right="1118" w:hanging="360"/>
        <w:jc w:val="left"/>
        <w:rPr>
          <w:rFonts w:ascii="Times New Roman" w:hAnsi="Times New Roman" w:cs="Times New Roman" w:eastAsia="Times New Roman" w:hint="default"/>
        </w:rPr>
      </w:pPr>
      <w:r>
        <w:rPr/>
        <w:t>关联担保情况说明 </w:t>
      </w:r>
      <w:r>
        <w:rPr>
          <w:spacing w:val="-2"/>
        </w:rPr>
        <w:t>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日，公司第三届董事会第三十八次会议审议通过了《关于对外担保暨关联交易的议案》，并经</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p>
    <w:p>
      <w:pPr>
        <w:pStyle w:val="BodyText"/>
        <w:spacing w:line="214" w:lineRule="exact"/>
        <w:ind w:right="1118"/>
        <w:jc w:val="left"/>
      </w:pP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2015</w:t>
      </w:r>
      <w:r>
        <w:rPr/>
        <w:t>年第三次临时股东大会审议通过，公司为键桥国际（香港）投资有限公司担保</w:t>
      </w:r>
      <w:r>
        <w:rPr>
          <w:rFonts w:ascii="Times New Roman" w:hAnsi="Times New Roman" w:cs="Times New Roman" w:eastAsia="Times New Roman" w:hint="default"/>
        </w:rPr>
        <w:t>2,796,404.87</w:t>
      </w:r>
      <w:r>
        <w:rPr/>
        <w:t>美元，并由深圳</w:t>
      </w:r>
    </w:p>
    <w:p>
      <w:pPr>
        <w:pStyle w:val="BodyText"/>
        <w:spacing w:line="240" w:lineRule="auto" w:before="63"/>
        <w:ind w:right="1118"/>
        <w:jc w:val="left"/>
      </w:pPr>
      <w:r>
        <w:rPr/>
        <w:t>浩瀚天成投资发展有限公司、叶琼作为反担保保证人。</w:t>
      </w:r>
    </w:p>
    <w:p>
      <w:pPr>
        <w:spacing w:line="240" w:lineRule="auto" w:before="0"/>
        <w:rPr>
          <w:rFonts w:ascii="宋体" w:hAnsi="宋体" w:cs="宋体" w:eastAsia="宋体" w:hint="default"/>
          <w:sz w:val="18"/>
          <w:szCs w:val="18"/>
        </w:rPr>
      </w:pPr>
    </w:p>
    <w:p>
      <w:pPr>
        <w:pStyle w:val="BodyText"/>
        <w:spacing w:line="300" w:lineRule="auto" w:before="153"/>
        <w:ind w:right="1128" w:firstLine="360"/>
        <w:jc w:val="both"/>
      </w:pPr>
      <w:r>
        <w:rPr>
          <w:rFonts w:ascii="Times New Roman" w:hAnsi="Times New Roman" w:cs="Times New Roman" w:eastAsia="Times New Roman" w:hint="default"/>
          <w:spacing w:val="-1"/>
        </w:rPr>
        <w:t>A</w:t>
      </w:r>
      <w:r>
        <w:rPr>
          <w:spacing w:val="-1"/>
        </w:rPr>
        <w:t>、叶琼、王永彬、中国融资租赁有限公司、深圳市德威普软件技术有限公司、南京凌云科技发展有限公司、东莞键桥</w:t>
      </w:r>
      <w:r>
        <w:rPr/>
        <w:t> 通讯技术有限公司为本公司向中国建设银行股份有限公司深圳市分行签署合同编号为借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南山《额度借款合同》提</w:t>
      </w:r>
      <w:r>
        <w:rPr>
          <w:spacing w:val="-82"/>
        </w:rPr>
        <w:t> </w:t>
      </w:r>
      <w:r>
        <w:rPr>
          <w:spacing w:val="-82"/>
        </w:rPr>
      </w:r>
      <w:r>
        <w:rPr>
          <w:spacing w:val="-1"/>
        </w:rPr>
        <w:t>供连带责任保证担保，并签订合同编号为保借</w:t>
      </w:r>
      <w:r>
        <w:rPr>
          <w:rFonts w:ascii="Times New Roman" w:hAnsi="Times New Roman" w:cs="Times New Roman" w:eastAsia="Times New Roman" w:hint="default"/>
          <w:spacing w:val="-1"/>
        </w:rPr>
        <w:t>2014</w:t>
      </w:r>
      <w:r>
        <w:rPr>
          <w:spacing w:val="-1"/>
        </w:rPr>
        <w:t>额</w:t>
      </w:r>
      <w:r>
        <w:rPr>
          <w:rFonts w:ascii="Times New Roman" w:hAnsi="Times New Roman" w:cs="Times New Roman" w:eastAsia="Times New Roman" w:hint="default"/>
          <w:spacing w:val="-1"/>
        </w:rPr>
        <w:t>644</w:t>
      </w:r>
      <w:r>
        <w:rPr>
          <w:spacing w:val="-1"/>
        </w:rPr>
        <w:t>南山</w:t>
      </w:r>
      <w:r>
        <w:rPr>
          <w:rFonts w:ascii="Times New Roman" w:hAnsi="Times New Roman" w:cs="Times New Roman" w:eastAsia="Times New Roman" w:hint="default"/>
          <w:spacing w:val="-1"/>
        </w:rPr>
        <w:t>-1</w:t>
      </w:r>
      <w:r>
        <w:rPr>
          <w:spacing w:val="-1"/>
        </w:rPr>
        <w:t>《额度借款自然人保证合同》、保借</w:t>
      </w:r>
      <w:r>
        <w:rPr>
          <w:rFonts w:ascii="Times New Roman" w:hAnsi="Times New Roman" w:cs="Times New Roman" w:eastAsia="Times New Roman" w:hint="default"/>
          <w:spacing w:val="-1"/>
        </w:rPr>
        <w:t>2014</w:t>
      </w:r>
      <w:r>
        <w:rPr>
          <w:spacing w:val="-1"/>
        </w:rPr>
        <w:t>额</w:t>
      </w:r>
      <w:r>
        <w:rPr>
          <w:rFonts w:ascii="Times New Roman" w:hAnsi="Times New Roman" w:cs="Times New Roman" w:eastAsia="Times New Roman" w:hint="default"/>
          <w:spacing w:val="-1"/>
        </w:rPr>
        <w:t>644</w:t>
      </w:r>
      <w:r>
        <w:rPr>
          <w:spacing w:val="-1"/>
        </w:rPr>
        <w:t>南山</w:t>
      </w:r>
      <w:r>
        <w:rPr>
          <w:rFonts w:ascii="Times New Roman" w:hAnsi="Times New Roman" w:cs="Times New Roman" w:eastAsia="Times New Roman" w:hint="default"/>
          <w:spacing w:val="-1"/>
        </w:rPr>
        <w:t>-2</w:t>
      </w:r>
      <w:r>
        <w:rPr>
          <w:spacing w:val="-1"/>
        </w:rPr>
        <w:t>《额度</w:t>
      </w:r>
      <w:r>
        <w:rPr>
          <w:spacing w:val="-51"/>
        </w:rPr>
        <w:t> </w:t>
      </w:r>
      <w:r>
        <w:rPr>
          <w:spacing w:val="-1"/>
        </w:rPr>
        <w:t>借款自然人保证合同》、保借</w:t>
      </w:r>
      <w:r>
        <w:rPr>
          <w:rFonts w:ascii="Times New Roman" w:hAnsi="Times New Roman" w:cs="Times New Roman" w:eastAsia="Times New Roman" w:hint="default"/>
          <w:spacing w:val="-1"/>
        </w:rPr>
        <w:t>2014</w:t>
      </w:r>
      <w:r>
        <w:rPr>
          <w:spacing w:val="-1"/>
        </w:rPr>
        <w:t>额</w:t>
      </w:r>
      <w:r>
        <w:rPr>
          <w:rFonts w:ascii="Times New Roman" w:hAnsi="Times New Roman" w:cs="Times New Roman" w:eastAsia="Times New Roman" w:hint="default"/>
          <w:spacing w:val="-1"/>
        </w:rPr>
        <w:t>644</w:t>
      </w:r>
      <w:r>
        <w:rPr>
          <w:spacing w:val="-1"/>
        </w:rPr>
        <w:t>南山</w:t>
      </w:r>
      <w:r>
        <w:rPr>
          <w:rFonts w:ascii="Times New Roman" w:hAnsi="Times New Roman" w:cs="Times New Roman" w:eastAsia="Times New Roman" w:hint="default"/>
          <w:spacing w:val="-1"/>
        </w:rPr>
        <w:t>-3</w:t>
      </w:r>
      <w:r>
        <w:rPr>
          <w:spacing w:val="-1"/>
        </w:rPr>
        <w:t>《额度借款保证合同》、保借</w:t>
      </w:r>
      <w:r>
        <w:rPr>
          <w:rFonts w:ascii="Times New Roman" w:hAnsi="Times New Roman" w:cs="Times New Roman" w:eastAsia="Times New Roman" w:hint="default"/>
          <w:spacing w:val="-1"/>
        </w:rPr>
        <w:t>2014</w:t>
      </w:r>
      <w:r>
        <w:rPr>
          <w:spacing w:val="-1"/>
        </w:rPr>
        <w:t>额</w:t>
      </w:r>
      <w:r>
        <w:rPr>
          <w:rFonts w:ascii="Times New Roman" w:hAnsi="Times New Roman" w:cs="Times New Roman" w:eastAsia="Times New Roman" w:hint="default"/>
          <w:spacing w:val="-1"/>
        </w:rPr>
        <w:t>644</w:t>
      </w:r>
      <w:r>
        <w:rPr>
          <w:spacing w:val="-1"/>
        </w:rPr>
        <w:t>南山</w:t>
      </w:r>
      <w:r>
        <w:rPr>
          <w:rFonts w:ascii="Times New Roman" w:hAnsi="Times New Roman" w:cs="Times New Roman" w:eastAsia="Times New Roman" w:hint="default"/>
          <w:spacing w:val="-1"/>
        </w:rPr>
        <w:t>-4</w:t>
      </w:r>
      <w:r>
        <w:rPr>
          <w:spacing w:val="-1"/>
        </w:rPr>
        <w:t>《额度借款保证合同》、保借</w:t>
      </w:r>
      <w:r>
        <w:rPr>
          <w:spacing w:val="-54"/>
        </w:rPr>
        <w:t> </w:t>
      </w:r>
      <w:r>
        <w:rPr>
          <w:spacing w:val="-54"/>
        </w:rPr>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w:t>
      </w:r>
      <w:r>
        <w:rPr>
          <w:rFonts w:ascii="Times New Roman" w:hAnsi="Times New Roman" w:cs="Times New Roman" w:eastAsia="Times New Roman" w:hint="default"/>
        </w:rPr>
        <w:t>-5</w:t>
      </w:r>
      <w:r>
        <w:rPr/>
        <w:t>《额度借款保证合同》、保借</w:t>
      </w:r>
      <w:r>
        <w:rPr>
          <w:rFonts w:ascii="Times New Roman" w:hAnsi="Times New Roman" w:cs="Times New Roman" w:eastAsia="Times New Roman" w:hint="default"/>
        </w:rPr>
        <w:t>2014</w:t>
      </w:r>
      <w:r>
        <w:rPr/>
        <w:t>额</w:t>
      </w:r>
      <w:r>
        <w:rPr>
          <w:rFonts w:ascii="Times New Roman" w:hAnsi="Times New Roman" w:cs="Times New Roman" w:eastAsia="Times New Roman" w:hint="default"/>
        </w:rPr>
        <w:t>644</w:t>
      </w:r>
      <w:r>
        <w:rPr/>
        <w:t>南山</w:t>
      </w:r>
      <w:r>
        <w:rPr>
          <w:rFonts w:ascii="Times New Roman" w:hAnsi="Times New Roman" w:cs="Times New Roman" w:eastAsia="Times New Roman" w:hint="default"/>
        </w:rPr>
        <w:t>-6</w:t>
      </w:r>
      <w:r>
        <w:rPr/>
        <w:t>《额度借款保证合同》，授信合同最高额度为人民币</w:t>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t>万元，额度有效期为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03</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日，上述合同已履行完毕。</w:t>
      </w:r>
    </w:p>
    <w:p>
      <w:pPr>
        <w:pStyle w:val="BodyText"/>
        <w:spacing w:line="300" w:lineRule="auto" w:before="13"/>
        <w:ind w:right="1130" w:firstLine="360"/>
        <w:jc w:val="both"/>
      </w:pPr>
      <w:r>
        <w:rPr>
          <w:rFonts w:ascii="Times New Roman" w:hAnsi="Times New Roman" w:cs="Times New Roman" w:eastAsia="Times New Roman" w:hint="default"/>
        </w:rPr>
        <w:t>B</w:t>
      </w:r>
      <w:r>
        <w:rPr/>
        <w:t>、叶琼、</w:t>
      </w:r>
      <w:r>
        <w:rPr>
          <w:rFonts w:ascii="Times New Roman" w:hAnsi="Times New Roman" w:cs="Times New Roman" w:eastAsia="Times New Roman" w:hint="default"/>
        </w:rPr>
        <w:t>David Xun</w:t>
      </w:r>
      <w:r>
        <w:rPr>
          <w:rFonts w:ascii="Times New Roman" w:hAnsi="Times New Roman" w:cs="Times New Roman" w:eastAsia="Times New Roman" w:hint="default"/>
          <w:spacing w:val="6"/>
        </w:rPr>
        <w:t> </w:t>
      </w:r>
      <w:r>
        <w:rPr>
          <w:rFonts w:ascii="Times New Roman" w:hAnsi="Times New Roman" w:cs="Times New Roman" w:eastAsia="Times New Roman" w:hint="default"/>
        </w:rPr>
        <w:t>Ge</w:t>
      </w:r>
      <w:r>
        <w:rPr/>
        <w:t>（葛迅）、南京凌云科技发展有限公司、东莞键桥通讯技术有限公司，为本公司与中国建设银 </w:t>
      </w:r>
      <w:r>
        <w:rPr>
          <w:spacing w:val="-2"/>
        </w:rPr>
        <w:t>行股份有限公司深圳市分行签署合同编号为借</w:t>
      </w:r>
      <w:r>
        <w:rPr>
          <w:rFonts w:ascii="Times New Roman" w:hAnsi="Times New Roman" w:cs="Times New Roman" w:eastAsia="Times New Roman" w:hint="default"/>
          <w:spacing w:val="-2"/>
        </w:rPr>
        <w:t>2012</w:t>
      </w:r>
      <w:r>
        <w:rPr>
          <w:spacing w:val="-2"/>
        </w:rPr>
        <w:t>固</w:t>
      </w:r>
      <w:r>
        <w:rPr>
          <w:rFonts w:ascii="Times New Roman" w:hAnsi="Times New Roman" w:cs="Times New Roman" w:eastAsia="Times New Roman" w:hint="default"/>
          <w:spacing w:val="-2"/>
        </w:rPr>
        <w:t>0114</w:t>
      </w:r>
      <w:r>
        <w:rPr>
          <w:spacing w:val="-2"/>
        </w:rPr>
        <w:t>南山的《固定资产贷款合同》提供连带责任保证，并分别签订合同</w:t>
      </w:r>
      <w:r>
        <w:rPr>
          <w:spacing w:val="-58"/>
        </w:rPr>
        <w:t> </w:t>
      </w:r>
      <w:r>
        <w:rPr>
          <w:spacing w:val="-58"/>
        </w:rPr>
      </w:r>
      <w:r>
        <w:rPr>
          <w:spacing w:val="-1"/>
        </w:rPr>
        <w:t>编号为保</w:t>
      </w:r>
      <w:r>
        <w:rPr>
          <w:rFonts w:ascii="Times New Roman" w:hAnsi="Times New Roman" w:cs="Times New Roman" w:eastAsia="Times New Roman" w:hint="default"/>
          <w:spacing w:val="-1"/>
        </w:rPr>
        <w:t>2012</w:t>
      </w:r>
      <w:r>
        <w:rPr>
          <w:spacing w:val="-1"/>
        </w:rPr>
        <w:t>固</w:t>
      </w:r>
      <w:r>
        <w:rPr>
          <w:rFonts w:ascii="Times New Roman" w:hAnsi="Times New Roman" w:cs="Times New Roman" w:eastAsia="Times New Roman" w:hint="default"/>
          <w:spacing w:val="-1"/>
        </w:rPr>
        <w:t>0114</w:t>
      </w:r>
      <w:r>
        <w:rPr>
          <w:spacing w:val="-1"/>
        </w:rPr>
        <w:t>南山</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4</w:t>
      </w:r>
      <w:r>
        <w:rPr>
          <w:spacing w:val="-1"/>
        </w:rPr>
        <w:t>号《保证合同》，另本公司以工业用地宗地号</w:t>
      </w:r>
      <w:r>
        <w:rPr>
          <w:rFonts w:ascii="Times New Roman" w:hAnsi="Times New Roman" w:cs="Times New Roman" w:eastAsia="Times New Roman" w:hint="default"/>
          <w:spacing w:val="-1"/>
        </w:rPr>
        <w:t>A621-0039</w:t>
      </w:r>
      <w:r>
        <w:rPr>
          <w:spacing w:val="-1"/>
        </w:rPr>
        <w:t>作为抵押物与中国建设银行股</w:t>
      </w:r>
      <w:r>
        <w:rPr/>
        <w:t> </w:t>
      </w:r>
      <w:r>
        <w:rPr>
          <w:spacing w:val="-1"/>
        </w:rPr>
        <w:t>份有限公司深圳市分行签订合同编号为抵</w:t>
      </w:r>
      <w:r>
        <w:rPr>
          <w:rFonts w:ascii="Times New Roman" w:hAnsi="Times New Roman" w:cs="Times New Roman" w:eastAsia="Times New Roman" w:hint="default"/>
          <w:spacing w:val="-1"/>
        </w:rPr>
        <w:t>2012</w:t>
      </w:r>
      <w:r>
        <w:rPr>
          <w:spacing w:val="-1"/>
        </w:rPr>
        <w:t>固</w:t>
      </w:r>
      <w:r>
        <w:rPr>
          <w:rFonts w:ascii="Times New Roman" w:hAnsi="Times New Roman" w:cs="Times New Roman" w:eastAsia="Times New Roman" w:hint="default"/>
          <w:spacing w:val="-1"/>
        </w:rPr>
        <w:t>0114</w:t>
      </w:r>
      <w:r>
        <w:rPr>
          <w:spacing w:val="-1"/>
        </w:rPr>
        <w:t>南山的《抵押合同》。该贷款合同最高额度为</w:t>
      </w:r>
      <w:r>
        <w:rPr>
          <w:rFonts w:ascii="Times New Roman" w:hAnsi="Times New Roman" w:cs="Times New Roman" w:eastAsia="Times New Roman" w:hint="default"/>
          <w:spacing w:val="-1"/>
        </w:rPr>
        <w:t>14,000</w:t>
      </w:r>
      <w:r>
        <w:rPr>
          <w:spacing w:val="-1"/>
        </w:rPr>
        <w:t>万元，额度有效期</w:t>
      </w:r>
      <w:r>
        <w:rPr>
          <w:spacing w:val="-68"/>
        </w:rPr>
        <w:t> </w:t>
      </w:r>
      <w:r>
        <w:rPr>
          <w:spacing w:val="-68"/>
        </w:rPr>
      </w:r>
      <w:r>
        <w:rPr/>
        <w:t>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日。上述合同均正在履行中，截至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日，本公司已取得该合同项下借款</w:t>
      </w:r>
      <w:r>
        <w:rPr>
          <w:rFonts w:ascii="Times New Roman" w:hAnsi="Times New Roman" w:cs="Times New Roman" w:eastAsia="Times New Roman" w:hint="default"/>
        </w:rPr>
        <w:t>9,000</w:t>
      </w:r>
      <w:r>
        <w:rPr/>
        <w:t>万</w:t>
      </w:r>
      <w:r>
        <w:rPr>
          <w:spacing w:val="-44"/>
        </w:rPr>
        <w:t> </w:t>
      </w:r>
      <w:r>
        <w:rPr/>
        <w:t>元。</w:t>
      </w:r>
    </w:p>
    <w:p>
      <w:pPr>
        <w:pStyle w:val="BodyText"/>
        <w:spacing w:line="300" w:lineRule="auto" w:before="31"/>
        <w:ind w:right="1130" w:firstLine="360"/>
        <w:jc w:val="both"/>
      </w:pPr>
      <w:r>
        <w:rPr>
          <w:rFonts w:ascii="Times New Roman" w:hAnsi="Times New Roman" w:cs="Times New Roman" w:eastAsia="Times New Roman" w:hint="default"/>
        </w:rPr>
        <w:t>C</w:t>
      </w:r>
      <w:r>
        <w:rPr/>
        <w:t>、叶琼，为本公司与南洋商业银行（中国）有限公司深圳分行签署合同编号为</w:t>
      </w:r>
      <w:r>
        <w:rPr>
          <w:rFonts w:ascii="Times New Roman" w:hAnsi="Times New Roman" w:cs="Times New Roman" w:eastAsia="Times New Roman" w:hint="default"/>
        </w:rPr>
        <w:t>043-469-13400055C000</w:t>
      </w:r>
      <w:r>
        <w:rPr/>
        <w:t>的《授信额度协 </w:t>
      </w:r>
      <w:r>
        <w:rPr>
          <w:spacing w:val="-1"/>
        </w:rPr>
        <w:t>议》提供连带责任保证担保，并签订了编号为</w:t>
      </w:r>
      <w:r>
        <w:rPr>
          <w:rFonts w:ascii="Times New Roman" w:hAnsi="Times New Roman" w:cs="Times New Roman" w:eastAsia="Times New Roman" w:hint="default"/>
          <w:spacing w:val="-1"/>
        </w:rPr>
        <w:t>043-469-13400055MG000</w:t>
      </w:r>
      <w:r>
        <w:rPr>
          <w:spacing w:val="-1"/>
        </w:rPr>
        <w:t>的《最高额保证合同》。该合同最高授信额度为人民</w:t>
      </w:r>
      <w:r>
        <w:rPr>
          <w:spacing w:val="-71"/>
        </w:rPr>
        <w:t> </w:t>
      </w:r>
      <w:r>
        <w:rPr>
          <w:spacing w:val="-71"/>
        </w:rPr>
      </w:r>
      <w:r>
        <w:rPr/>
        <w:t>币</w:t>
      </w:r>
      <w:r>
        <w:rPr>
          <w:rFonts w:ascii="Times New Roman" w:hAnsi="Times New Roman" w:cs="Times New Roman" w:eastAsia="Times New Roman" w:hint="default"/>
        </w:rPr>
        <w:t>8,000</w:t>
      </w:r>
      <w:r>
        <w:rPr/>
        <w:t>万元，额度有效期为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日，该额度为分批不可循环使用。截至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日，上述合同</w:t>
      </w:r>
      <w:r>
        <w:rPr>
          <w:spacing w:val="-47"/>
        </w:rPr>
        <w:t> </w:t>
      </w:r>
      <w:r>
        <w:rPr>
          <w:spacing w:val="-47"/>
        </w:rPr>
      </w:r>
      <w:r>
        <w:rPr/>
        <w:t>已履行完毕。</w:t>
      </w:r>
    </w:p>
    <w:p>
      <w:pPr>
        <w:pStyle w:val="BodyText"/>
        <w:spacing w:line="300" w:lineRule="auto" w:before="31"/>
        <w:ind w:right="1132" w:firstLine="360"/>
        <w:jc w:val="both"/>
      </w:pPr>
      <w:r>
        <w:rPr>
          <w:rFonts w:ascii="Times New Roman" w:hAnsi="Times New Roman" w:cs="Times New Roman" w:eastAsia="Times New Roman" w:hint="default"/>
        </w:rPr>
        <w:t>D</w:t>
      </w:r>
      <w:r>
        <w:rPr/>
        <w:t>、叶琼，为本公司与上海浦东发展银行股份有限公司深圳分行签署合同编号为</w:t>
      </w:r>
      <w:r>
        <w:rPr>
          <w:rFonts w:ascii="Times New Roman" w:hAnsi="Times New Roman" w:cs="Times New Roman" w:eastAsia="Times New Roman" w:hint="default"/>
        </w:rPr>
        <w:t>BC2014041800001631</w:t>
      </w:r>
      <w:r>
        <w:rPr/>
        <w:t>的《融资额度协 </w:t>
      </w:r>
      <w:r>
        <w:rPr>
          <w:spacing w:val="-1"/>
        </w:rPr>
        <w:t>议》提供连带责任保证担保，并签订了编号为</w:t>
      </w:r>
      <w:r>
        <w:rPr>
          <w:rFonts w:ascii="Times New Roman" w:hAnsi="Times New Roman" w:cs="Times New Roman" w:eastAsia="Times New Roman" w:hint="default"/>
          <w:spacing w:val="-1"/>
        </w:rPr>
        <w:t>ZB7924201400000002</w:t>
      </w:r>
      <w:r>
        <w:rPr>
          <w:spacing w:val="-1"/>
        </w:rPr>
        <w:t>的《最高额保证合同》、</w:t>
      </w:r>
      <w:r>
        <w:rPr>
          <w:rFonts w:ascii="Times New Roman" w:hAnsi="Times New Roman" w:cs="Times New Roman" w:eastAsia="Times New Roman" w:hint="default"/>
          <w:spacing w:val="-1"/>
        </w:rPr>
        <w:t>79242014280019-20150408</w:t>
      </w:r>
      <w:r>
        <w:rPr>
          <w:spacing w:val="-1"/>
        </w:rPr>
        <w:t>《保</w:t>
      </w:r>
      <w:r>
        <w:rPr>
          <w:spacing w:val="-33"/>
        </w:rPr>
        <w:t> </w:t>
      </w:r>
      <w:r>
        <w:rPr/>
        <w:t>理融资协议》，该授信协议最高额度为人民币</w:t>
      </w:r>
      <w:r>
        <w:rPr>
          <w:rFonts w:ascii="Times New Roman" w:hAnsi="Times New Roman" w:cs="Times New Roman" w:eastAsia="Times New Roman" w:hint="default"/>
        </w:rPr>
        <w:t>9,473</w:t>
      </w:r>
      <w:r>
        <w:rPr/>
        <w:t>万元，额度有效期为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spacing w:val="-47"/>
        </w:rPr>
        <w:t> </w:t>
      </w:r>
      <w:r>
        <w:rPr>
          <w:rFonts w:ascii="Times New Roman" w:hAnsi="Times New Roman" w:cs="Times New Roman" w:eastAsia="Times New Roman" w:hint="default"/>
        </w:rPr>
        <w:t>31</w:t>
      </w:r>
      <w:r>
        <w:rPr/>
        <w:t>日，上述合同已履行完毕。</w:t>
      </w:r>
    </w:p>
    <w:p>
      <w:pPr>
        <w:pStyle w:val="BodyText"/>
        <w:spacing w:line="300" w:lineRule="auto" w:before="13"/>
        <w:ind w:left="154" w:right="1131" w:firstLine="360"/>
        <w:jc w:val="both"/>
      </w:pPr>
      <w:r>
        <w:rPr>
          <w:rFonts w:ascii="Times New Roman" w:hAnsi="Times New Roman" w:cs="Times New Roman" w:eastAsia="Times New Roman" w:hint="default"/>
          <w:spacing w:val="-1"/>
        </w:rPr>
        <w:t>E</w:t>
      </w:r>
      <w:r>
        <w:rPr>
          <w:spacing w:val="-1"/>
        </w:rPr>
        <w:t>、叶琼，南京凌云科技发展有限公司、出质人深圳键桥通讯技术股份有限公司为本公司与广发银行股份有限公司深圳</w:t>
      </w:r>
      <w:r>
        <w:rPr/>
        <w:t> 分行签署合同编号为银授合字第</w:t>
      </w:r>
      <w:r>
        <w:rPr>
          <w:rFonts w:ascii="Times New Roman" w:hAnsi="Times New Roman" w:cs="Times New Roman" w:eastAsia="Times New Roman" w:hint="default"/>
        </w:rPr>
        <w:t>10201214026</w:t>
      </w:r>
      <w:r>
        <w:rPr/>
        <w:t>号的《授信额度合同》提供连带责任保证担保，该合同最高授信额度为人民币</w:t>
      </w:r>
      <w:r>
        <w:rPr>
          <w:spacing w:val="-84"/>
        </w:rPr>
        <w:t> </w:t>
      </w:r>
      <w:r>
        <w:rPr>
          <w:spacing w:val="-84"/>
        </w:rPr>
      </w:r>
      <w:r>
        <w:rPr>
          <w:rFonts w:ascii="Times New Roman" w:hAnsi="Times New Roman" w:cs="Times New Roman" w:eastAsia="Times New Roman" w:hint="default"/>
        </w:rPr>
        <w:t>20,000</w:t>
      </w:r>
      <w:r>
        <w:rPr/>
        <w:t>万元（授信额度敞口最高限额</w:t>
      </w:r>
      <w:r>
        <w:rPr>
          <w:rFonts w:ascii="Times New Roman" w:hAnsi="Times New Roman" w:cs="Times New Roman" w:eastAsia="Times New Roman" w:hint="default"/>
        </w:rPr>
        <w:t>14,000</w:t>
      </w:r>
      <w:r>
        <w:rPr/>
        <w:t>万），并分别签订了编号为</w:t>
      </w:r>
      <w:r>
        <w:rPr>
          <w:rFonts w:ascii="Times New Roman" w:hAnsi="Times New Roman" w:cs="Times New Roman" w:eastAsia="Times New Roman" w:hint="default"/>
        </w:rPr>
        <w:t>10201214026-01</w:t>
      </w:r>
      <w:r>
        <w:rPr/>
        <w:t>的《最高额保证合同》，被担保最高</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2"/>
        <w:jc w:val="both"/>
      </w:pPr>
      <w:r>
        <w:rPr>
          <w:spacing w:val="-1"/>
        </w:rPr>
        <w:t>债权额</w:t>
      </w:r>
      <w:r>
        <w:rPr>
          <w:rFonts w:ascii="Times New Roman" w:hAnsi="Times New Roman" w:cs="Times New Roman" w:eastAsia="Times New Roman" w:hint="default"/>
          <w:spacing w:val="-1"/>
        </w:rPr>
        <w:t>14,000</w:t>
      </w:r>
      <w:r>
        <w:rPr>
          <w:spacing w:val="-1"/>
        </w:rPr>
        <w:t>万，额度有效期为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日。上述合同正在履行中，截至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日，本公司取得该</w:t>
      </w:r>
      <w:r>
        <w:rPr>
          <w:spacing w:val="-64"/>
        </w:rPr>
        <w:t> </w:t>
      </w:r>
      <w:r>
        <w:rPr>
          <w:spacing w:val="-64"/>
        </w:rPr>
      </w:r>
      <w:r>
        <w:rPr/>
        <w:t>合同项下商业承兑汇票金额</w:t>
      </w:r>
      <w:r>
        <w:rPr>
          <w:rFonts w:ascii="Times New Roman" w:hAnsi="Times New Roman" w:cs="Times New Roman" w:eastAsia="Times New Roman" w:hint="default"/>
        </w:rPr>
        <w:t>4,883</w:t>
      </w:r>
      <w:r>
        <w:rPr/>
        <w:t>万元。</w:t>
      </w:r>
    </w:p>
    <w:p>
      <w:pPr>
        <w:pStyle w:val="BodyText"/>
        <w:spacing w:line="300" w:lineRule="auto" w:before="13"/>
        <w:ind w:right="1132" w:firstLine="360"/>
        <w:jc w:val="both"/>
      </w:pPr>
      <w:r>
        <w:rPr>
          <w:rFonts w:ascii="Times New Roman" w:hAnsi="Times New Roman" w:cs="Times New Roman" w:eastAsia="Times New Roman" w:hint="default"/>
          <w:spacing w:val="-4"/>
        </w:rPr>
        <w:t>F</w:t>
      </w:r>
      <w:r>
        <w:rPr>
          <w:spacing w:val="-4"/>
        </w:rPr>
        <w:t>、王永彬、中国融资租赁有限公司为本公司与深圳宝安桂银村镇银行股份有限公司签署合同编号</w:t>
      </w:r>
      <w:r>
        <w:rPr>
          <w:rFonts w:ascii="Times New Roman" w:hAnsi="Times New Roman" w:cs="Times New Roman" w:eastAsia="Times New Roman" w:hint="default"/>
          <w:spacing w:val="-4"/>
        </w:rPr>
        <w:t>70990620150070</w:t>
      </w:r>
      <w:r>
        <w:rPr>
          <w:spacing w:val="-4"/>
        </w:rPr>
        <w:t>的《人</w:t>
      </w:r>
      <w:r>
        <w:rPr/>
        <w:t> </w:t>
      </w:r>
      <w:r>
        <w:rPr>
          <w:spacing w:val="14"/>
        </w:rPr>
        <w:t>民币流动资金额度借款合同》</w:t>
      </w:r>
      <w:r>
        <w:rPr>
          <w:spacing w:val="-70"/>
        </w:rPr>
        <w:t> </w:t>
      </w:r>
      <w:r>
        <w:rPr>
          <w:spacing w:val="13"/>
        </w:rPr>
        <w:t>提供连带责任保证担保，</w:t>
      </w:r>
      <w:r>
        <w:rPr>
          <w:spacing w:val="-68"/>
        </w:rPr>
        <w:t> </w:t>
      </w:r>
      <w:r>
        <w:rPr>
          <w:spacing w:val="13"/>
        </w:rPr>
        <w:t>并签订了编号为</w:t>
      </w:r>
      <w:r>
        <w:rPr>
          <w:spacing w:val="-61"/>
        </w:rPr>
        <w:t> </w:t>
      </w:r>
      <w:r>
        <w:rPr>
          <w:rFonts w:ascii="Times New Roman" w:hAnsi="Times New Roman" w:cs="Times New Roman" w:eastAsia="Times New Roman" w:hint="default"/>
        </w:rPr>
        <w:t>70990620150071-1</w:t>
      </w:r>
      <w:r>
        <w:rPr/>
        <w:t>的《</w:t>
      </w:r>
      <w:r>
        <w:rPr>
          <w:spacing w:val="-70"/>
        </w:rPr>
        <w:t> </w:t>
      </w:r>
      <w:r>
        <w:rPr>
          <w:spacing w:val="13"/>
        </w:rPr>
        <w:t>最高额保证合同》</w:t>
      </w:r>
      <w:r>
        <w:rPr>
          <w:spacing w:val="-68"/>
        </w:rPr>
        <w:t> </w:t>
      </w:r>
      <w:r>
        <w:rPr/>
        <w:t>和</w:t>
      </w:r>
      <w:r>
        <w:rPr>
          <w:spacing w:val="-79"/>
        </w:rPr>
        <w:t> </w:t>
      </w:r>
      <w:r>
        <w:rPr>
          <w:spacing w:val="-79"/>
        </w:rPr>
      </w:r>
      <w:r>
        <w:rPr>
          <w:rFonts w:ascii="Times New Roman" w:hAnsi="Times New Roman" w:cs="Times New Roman" w:eastAsia="Times New Roman" w:hint="default"/>
          <w:spacing w:val="-1"/>
        </w:rPr>
        <w:t>70990620150071-2</w:t>
      </w:r>
      <w:r>
        <w:rPr>
          <w:spacing w:val="-1"/>
        </w:rPr>
        <w:t>《最高额保证合同》以及</w:t>
      </w:r>
      <w:r>
        <w:rPr>
          <w:rFonts w:ascii="Times New Roman" w:hAnsi="Times New Roman" w:cs="Times New Roman" w:eastAsia="Times New Roman" w:hint="default"/>
          <w:spacing w:val="-1"/>
        </w:rPr>
        <w:t>709906201500706</w:t>
      </w:r>
      <w:r>
        <w:rPr>
          <w:spacing w:val="-1"/>
        </w:rPr>
        <w:t>《银行承兑协议》，该授信最高额度为人民币</w:t>
      </w:r>
      <w:r>
        <w:rPr>
          <w:rFonts w:ascii="Times New Roman" w:hAnsi="Times New Roman" w:cs="Times New Roman" w:eastAsia="Times New Roman" w:hint="default"/>
          <w:spacing w:val="-1"/>
        </w:rPr>
        <w:t>2,000</w:t>
      </w:r>
      <w:r>
        <w:rPr>
          <w:spacing w:val="-1"/>
        </w:rPr>
        <w:t>万元，额度</w:t>
      </w:r>
      <w:r>
        <w:rPr>
          <w:spacing w:val="-31"/>
        </w:rPr>
        <w:t> </w:t>
      </w:r>
      <w:r>
        <w:rPr>
          <w:spacing w:val="-31"/>
        </w:rPr>
      </w:r>
      <w:r>
        <w:rPr/>
        <w:t>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日，本公司取得该合同项下短期借款</w:t>
      </w:r>
      <w:r>
        <w:rPr>
          <w:rFonts w:ascii="Times New Roman" w:hAnsi="Times New Roman" w:cs="Times New Roman" w:eastAsia="Times New Roman" w:hint="default"/>
        </w:rPr>
        <w:t>2,000</w:t>
      </w:r>
      <w:r>
        <w:rPr/>
        <w:t>万元。</w:t>
      </w:r>
    </w:p>
    <w:p>
      <w:pPr>
        <w:pStyle w:val="BodyText"/>
        <w:spacing w:line="300" w:lineRule="auto" w:before="13"/>
        <w:ind w:right="0" w:firstLine="360"/>
        <w:jc w:val="left"/>
      </w:pPr>
      <w:r>
        <w:rPr>
          <w:rFonts w:ascii="Times New Roman" w:hAnsi="Times New Roman" w:cs="Times New Roman" w:eastAsia="Times New Roman" w:hint="default"/>
        </w:rPr>
        <w:t>G</w:t>
      </w:r>
      <w:r>
        <w:rPr/>
        <w:t>、叶琼，为本公司与兴业银行股份有限公司深圳皇岗支行签署合同编号为兴银深皇岗授信字（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J001</w:t>
      </w:r>
      <w:r>
        <w:rPr/>
        <w:t>号《基本 </w:t>
      </w:r>
      <w:r>
        <w:rPr>
          <w:spacing w:val="-3"/>
        </w:rPr>
        <w:t>额度授信合同》提供连带责任保证担保，并签订了编号为兴银深皇岗授信（保证）字（</w:t>
      </w:r>
      <w:r>
        <w:rPr>
          <w:rFonts w:ascii="Times New Roman" w:hAnsi="Times New Roman" w:cs="Times New Roman" w:eastAsia="Times New Roman" w:hint="default"/>
          <w:spacing w:val="-3"/>
        </w:rPr>
        <w:t>2014</w:t>
      </w:r>
      <w:r>
        <w:rPr>
          <w:spacing w:val="-3"/>
        </w:rPr>
        <w:t>）第</w:t>
      </w:r>
      <w:r>
        <w:rPr>
          <w:rFonts w:ascii="Times New Roman" w:hAnsi="Times New Roman" w:cs="Times New Roman" w:eastAsia="Times New Roman" w:hint="default"/>
          <w:spacing w:val="-3"/>
        </w:rPr>
        <w:t>J001</w:t>
      </w:r>
      <w:r>
        <w:rPr>
          <w:spacing w:val="-3"/>
        </w:rPr>
        <w:t>号《最高额保证合同》，</w:t>
      </w:r>
      <w:r>
        <w:rPr>
          <w:spacing w:val="-72"/>
        </w:rPr>
        <w:t> </w:t>
      </w:r>
      <w:r>
        <w:rPr>
          <w:spacing w:val="-72"/>
        </w:rPr>
      </w:r>
      <w:r>
        <w:rPr/>
        <w:t>该授信合同最高额为人民币</w:t>
      </w:r>
      <w:r>
        <w:rPr>
          <w:rFonts w:ascii="Times New Roman" w:hAnsi="Times New Roman" w:cs="Times New Roman" w:eastAsia="Times New Roman" w:hint="default"/>
        </w:rPr>
        <w:t>3,750</w:t>
      </w:r>
      <w:r>
        <w:rPr/>
        <w:t>万元，额度有效期为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日。上述合同延期一年，有效期为</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18</w:t>
      </w:r>
      <w:r>
        <w:rPr>
          <w:spacing w:val="4"/>
        </w:rPr>
        <w:t>日至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18</w:t>
      </w:r>
      <w:r>
        <w:rPr>
          <w:spacing w:val="4"/>
        </w:rPr>
        <w:t>日，增加了中国融资租赁有限公司的连带责任担保保证，同时又签订了编号兴银深皇岗流借字</w:t>
      </w:r>
    </w:p>
    <w:p>
      <w:pPr>
        <w:pStyle w:val="BodyText"/>
        <w:spacing w:line="300" w:lineRule="auto" w:before="13"/>
        <w:ind w:right="1041"/>
        <w:jc w:val="both"/>
      </w:pPr>
      <w:r>
        <w:rPr>
          <w:spacing w:val="-3"/>
        </w:rPr>
        <w:t>（</w:t>
      </w:r>
      <w:r>
        <w:rPr>
          <w:rFonts w:ascii="Times New Roman" w:hAnsi="Times New Roman" w:cs="Times New Roman" w:eastAsia="Times New Roman" w:hint="default"/>
          <w:spacing w:val="-3"/>
        </w:rPr>
        <w:t>2015</w:t>
      </w:r>
      <w:r>
        <w:rPr>
          <w:spacing w:val="-3"/>
        </w:rPr>
        <w:t>）第</w:t>
      </w:r>
      <w:r>
        <w:rPr>
          <w:rFonts w:ascii="Times New Roman" w:hAnsi="Times New Roman" w:cs="Times New Roman" w:eastAsia="Times New Roman" w:hint="default"/>
          <w:spacing w:val="-3"/>
        </w:rPr>
        <w:t>J001</w:t>
      </w:r>
      <w:r>
        <w:rPr>
          <w:spacing w:val="-3"/>
        </w:rPr>
        <w:t>号的《流动资金借款合同》、兴银深皇岗补充字（</w:t>
      </w:r>
      <w:r>
        <w:rPr>
          <w:rFonts w:ascii="Times New Roman" w:hAnsi="Times New Roman" w:cs="Times New Roman" w:eastAsia="Times New Roman" w:hint="default"/>
          <w:spacing w:val="-3"/>
        </w:rPr>
        <w:t>2015</w:t>
      </w:r>
      <w:r>
        <w:rPr>
          <w:spacing w:val="-3"/>
        </w:rPr>
        <w:t>）第</w:t>
      </w:r>
      <w:r>
        <w:rPr>
          <w:rFonts w:ascii="Times New Roman" w:hAnsi="Times New Roman" w:cs="Times New Roman" w:eastAsia="Times New Roman" w:hint="default"/>
          <w:spacing w:val="-3"/>
        </w:rPr>
        <w:t>J001</w:t>
      </w:r>
      <w:r>
        <w:rPr>
          <w:spacing w:val="-3"/>
        </w:rPr>
        <w:t>号《补充协议》以及兴银深皇岗授信（保证）</w:t>
      </w:r>
      <w:r>
        <w:rPr>
          <w:spacing w:val="-38"/>
        </w:rPr>
        <w:t> </w:t>
      </w:r>
      <w:r>
        <w:rPr>
          <w:spacing w:val="-38"/>
        </w:rPr>
      </w:r>
      <w:r>
        <w:rPr/>
        <w:t>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J002</w:t>
      </w:r>
      <w:r>
        <w:rPr/>
        <w:t>号《最高额保证合同》。截止到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日，本公司取得该合同项下短期借款</w:t>
      </w:r>
      <w:r>
        <w:rPr>
          <w:rFonts w:ascii="Times New Roman" w:hAnsi="Times New Roman" w:cs="Times New Roman" w:eastAsia="Times New Roman" w:hint="default"/>
        </w:rPr>
        <w:t>3,000</w:t>
      </w:r>
      <w:r>
        <w:rPr/>
        <w:t>万元。</w:t>
      </w:r>
    </w:p>
    <w:p>
      <w:pPr>
        <w:pStyle w:val="BodyText"/>
        <w:spacing w:line="300" w:lineRule="auto" w:before="13"/>
        <w:ind w:right="1130" w:firstLine="360"/>
        <w:jc w:val="both"/>
      </w:pPr>
      <w:r>
        <w:rPr>
          <w:rFonts w:ascii="Times New Roman" w:hAnsi="Times New Roman" w:cs="Times New Roman" w:eastAsia="Times New Roman" w:hint="default"/>
          <w:spacing w:val="-1"/>
        </w:rPr>
        <w:t>H</w:t>
      </w:r>
      <w:r>
        <w:rPr>
          <w:spacing w:val="-1"/>
        </w:rPr>
        <w:t>、叶琼、南京凌云科技发展有限公司、深圳市德威普软件技术有限公司、出质人深圳键桥通讯技术股份有限公司，为</w:t>
      </w:r>
      <w:r>
        <w:rPr/>
        <w:t> 本公司与江苏银行深圳分行签署合同编号为</w:t>
      </w:r>
      <w:r>
        <w:rPr>
          <w:rFonts w:ascii="Times New Roman" w:hAnsi="Times New Roman" w:cs="Times New Roman" w:eastAsia="Times New Roman" w:hint="default"/>
        </w:rPr>
        <w:t>SX161214000046</w:t>
      </w:r>
      <w:r>
        <w:rPr/>
        <w:t>《最高额综合授信合同》提供连带责任保证担保，并签订了编</w:t>
      </w:r>
      <w:r>
        <w:rPr>
          <w:spacing w:val="-50"/>
        </w:rPr>
        <w:t> </w:t>
      </w:r>
      <w:r>
        <w:rPr>
          <w:spacing w:val="-50"/>
        </w:rPr>
      </w:r>
      <w:r>
        <w:rPr>
          <w:spacing w:val="-1"/>
        </w:rPr>
        <w:t>号为</w:t>
      </w:r>
      <w:r>
        <w:rPr>
          <w:rFonts w:ascii="Times New Roman" w:hAnsi="Times New Roman" w:cs="Times New Roman" w:eastAsia="Times New Roman" w:hint="default"/>
          <w:spacing w:val="-1"/>
        </w:rPr>
        <w:t>BZ161214000010</w:t>
      </w:r>
      <w:r>
        <w:rPr>
          <w:spacing w:val="-1"/>
        </w:rPr>
        <w:t>《最高额个人连带责任保证书》、</w:t>
      </w:r>
      <w:r>
        <w:rPr>
          <w:rFonts w:ascii="Times New Roman" w:hAnsi="Times New Roman" w:cs="Times New Roman" w:eastAsia="Times New Roman" w:hint="default"/>
          <w:spacing w:val="-1"/>
        </w:rPr>
        <w:t>BZ161214000009</w:t>
      </w:r>
      <w:r>
        <w:rPr>
          <w:spacing w:val="-1"/>
        </w:rPr>
        <w:t>《最高额保证合同》、</w:t>
      </w:r>
      <w:r>
        <w:rPr>
          <w:rFonts w:ascii="Times New Roman" w:hAnsi="Times New Roman" w:cs="Times New Roman" w:eastAsia="Times New Roman" w:hint="default"/>
          <w:spacing w:val="-1"/>
        </w:rPr>
        <w:t>BZ161214000008</w:t>
      </w:r>
      <w:r>
        <w:rPr>
          <w:spacing w:val="-1"/>
        </w:rPr>
        <w:t>《最高额保</w:t>
      </w:r>
      <w:r>
        <w:rPr>
          <w:spacing w:val="-71"/>
        </w:rPr>
        <w:t> </w:t>
      </w:r>
      <w:r>
        <w:rPr>
          <w:spacing w:val="-1"/>
        </w:rPr>
        <w:t>证合同》、</w:t>
      </w:r>
      <w:r>
        <w:rPr>
          <w:rFonts w:ascii="Times New Roman" w:hAnsi="Times New Roman" w:cs="Times New Roman" w:eastAsia="Times New Roman" w:hint="default"/>
          <w:spacing w:val="-1"/>
        </w:rPr>
        <w:t>ZY161213000007</w:t>
      </w:r>
      <w:r>
        <w:rPr>
          <w:spacing w:val="-1"/>
        </w:rPr>
        <w:t>《最高额质押合同》，该授信合同最高额度为人民币</w:t>
      </w:r>
      <w:r>
        <w:rPr>
          <w:rFonts w:ascii="Times New Roman" w:hAnsi="Times New Roman" w:cs="Times New Roman" w:eastAsia="Times New Roman" w:hint="default"/>
          <w:spacing w:val="-1"/>
        </w:rPr>
        <w:t>10,000</w:t>
      </w:r>
      <w:r>
        <w:rPr>
          <w:spacing w:val="-1"/>
        </w:rPr>
        <w:t>万元，额度有效期为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w:t>
      </w:r>
      <w:r>
        <w:rPr>
          <w:spacing w:val="-1"/>
        </w:rPr>
        <w:t>日</w:t>
      </w:r>
      <w:r>
        <w:rPr>
          <w:spacing w:val="-35"/>
        </w:rPr>
        <w:t> </w:t>
      </w:r>
      <w:r>
        <w:rPr/>
        <w:t>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日，上述合同已履行完毕。</w:t>
      </w:r>
    </w:p>
    <w:p>
      <w:pPr>
        <w:pStyle w:val="BodyText"/>
        <w:spacing w:line="240" w:lineRule="auto" w:before="13"/>
        <w:ind w:left="514" w:right="0"/>
        <w:jc w:val="left"/>
      </w:pPr>
      <w:r>
        <w:rPr>
          <w:rFonts w:ascii="Times New Roman" w:hAnsi="Times New Roman" w:cs="Times New Roman" w:eastAsia="Times New Roman" w:hint="default"/>
        </w:rPr>
        <w:t>I</w:t>
      </w:r>
      <w:r>
        <w:rPr/>
        <w:t>、叶琼、</w:t>
      </w:r>
      <w:r>
        <w:rPr>
          <w:rFonts w:ascii="Times New Roman" w:hAnsi="Times New Roman" w:cs="Times New Roman" w:eastAsia="Times New Roman" w:hint="default"/>
        </w:rPr>
        <w:t>David Xun</w:t>
      </w:r>
      <w:r>
        <w:rPr>
          <w:rFonts w:ascii="Times New Roman" w:hAnsi="Times New Roman" w:cs="Times New Roman" w:eastAsia="Times New Roman" w:hint="default"/>
          <w:spacing w:val="5"/>
        </w:rPr>
        <w:t> </w:t>
      </w:r>
      <w:r>
        <w:rPr>
          <w:rFonts w:ascii="Times New Roman" w:hAnsi="Times New Roman" w:cs="Times New Roman" w:eastAsia="Times New Roman" w:hint="default"/>
        </w:rPr>
        <w:t>Ge</w:t>
      </w:r>
      <w:r>
        <w:rPr/>
        <w:t>（葛迅），为本公司与中国工商银行股份有限公司高新园支行签署合同编号为</w:t>
      </w:r>
      <w:r>
        <w:rPr>
          <w:rFonts w:ascii="Times New Roman" w:hAnsi="Times New Roman" w:cs="Times New Roman" w:eastAsia="Times New Roman" w:hint="default"/>
        </w:rPr>
        <w:t>40000919-2013</w:t>
      </w:r>
      <w:r>
        <w:rPr/>
        <w:t>年</w:t>
      </w:r>
    </w:p>
    <w:p>
      <w:pPr>
        <w:pStyle w:val="BodyText"/>
        <w:spacing w:line="300" w:lineRule="auto" w:before="63"/>
        <w:ind w:right="1129"/>
        <w:jc w:val="both"/>
      </w:pPr>
      <w:r>
        <w:rPr/>
        <w:t>（高新）字</w:t>
      </w:r>
      <w:r>
        <w:rPr>
          <w:rFonts w:ascii="Times New Roman" w:hAnsi="Times New Roman" w:cs="Times New Roman" w:eastAsia="Times New Roman" w:hint="default"/>
        </w:rPr>
        <w:t>0069</w:t>
      </w:r>
      <w:r>
        <w:rPr/>
        <w:t>号《流动资金借款合同》提供连带责任保证担保。并分别签订编号为工银深高保（高新园）字</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012</w:t>
      </w:r>
      <w:r>
        <w:rPr>
          <w:rFonts w:ascii="Times New Roman" w:hAnsi="Times New Roman" w:cs="Times New Roman" w:eastAsia="Times New Roman" w:hint="default"/>
          <w:spacing w:val="-37"/>
        </w:rPr>
        <w:t> </w:t>
      </w:r>
      <w:r>
        <w:rPr/>
        <w:t>号，第</w:t>
      </w:r>
      <w:r>
        <w:rPr>
          <w:rFonts w:ascii="Times New Roman" w:hAnsi="Times New Roman" w:cs="Times New Roman" w:eastAsia="Times New Roman" w:hint="default"/>
        </w:rPr>
        <w:t>013</w:t>
      </w:r>
      <w:r>
        <w:rPr/>
        <w:t>号的《最高额保证合同》。上述保证合同所担保的最高额度为</w:t>
      </w:r>
      <w:r>
        <w:rPr>
          <w:rFonts w:ascii="Times New Roman" w:hAnsi="Times New Roman" w:cs="Times New Roman" w:eastAsia="Times New Roman" w:hint="default"/>
        </w:rPr>
        <w:t>8,000</w:t>
      </w:r>
      <w:r>
        <w:rPr/>
        <w:t>万元，额度有效期为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7</w:t>
      </w:r>
      <w:r>
        <w:rPr/>
        <w:t>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日，上述协议已履行完毕。</w:t>
      </w:r>
    </w:p>
    <w:p>
      <w:pPr>
        <w:pStyle w:val="BodyText"/>
        <w:spacing w:line="300" w:lineRule="auto" w:before="13"/>
        <w:ind w:right="0" w:firstLine="360"/>
        <w:jc w:val="left"/>
      </w:pPr>
      <w:r>
        <w:rPr>
          <w:rFonts w:ascii="Times New Roman" w:hAnsi="Times New Roman" w:cs="Times New Roman" w:eastAsia="Times New Roman" w:hint="default"/>
          <w:spacing w:val="-3"/>
        </w:rPr>
        <w:t>J</w:t>
      </w:r>
      <w:r>
        <w:rPr>
          <w:spacing w:val="-3"/>
        </w:rPr>
        <w:t>、叶琼，为本公司与上海浦东发展银行股份有限公司深圳分行签署合同编号为</w:t>
      </w:r>
      <w:r>
        <w:rPr>
          <w:rFonts w:ascii="Times New Roman" w:hAnsi="Times New Roman" w:cs="Times New Roman" w:eastAsia="Times New Roman" w:hint="default"/>
          <w:spacing w:val="-3"/>
        </w:rPr>
        <w:t>BC2012102900000184</w:t>
      </w:r>
      <w:r>
        <w:rPr>
          <w:spacing w:val="-3"/>
        </w:rPr>
        <w:t>的《融资额度协议》</w:t>
      </w:r>
      <w:r>
        <w:rPr/>
        <w:t> 提供连带责任保证担保，并签订了编号为</w:t>
      </w:r>
      <w:r>
        <w:rPr>
          <w:rFonts w:ascii="Times New Roman" w:hAnsi="Times New Roman" w:cs="Times New Roman" w:eastAsia="Times New Roman" w:hint="default"/>
        </w:rPr>
        <w:t>ZB7909201200000049</w:t>
      </w:r>
      <w:r>
        <w:rPr/>
        <w:t>的《最高额保证合同》，该授信协议最高额度为人民币</w:t>
      </w:r>
      <w:r>
        <w:rPr>
          <w:rFonts w:ascii="Times New Roman" w:hAnsi="Times New Roman" w:cs="Times New Roman" w:eastAsia="Times New Roman" w:hint="default"/>
        </w:rPr>
        <w:t>5,263 </w:t>
      </w:r>
      <w:r>
        <w:rPr/>
        <w:t>万元，额度有效期为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日，上述协议已履行完毕。</w:t>
      </w:r>
    </w:p>
    <w:p>
      <w:pPr>
        <w:pStyle w:val="BodyText"/>
        <w:spacing w:line="300" w:lineRule="auto" w:before="13"/>
        <w:ind w:right="0" w:firstLine="360"/>
        <w:jc w:val="left"/>
      </w:pPr>
      <w:r>
        <w:rPr>
          <w:rFonts w:ascii="Times New Roman" w:hAnsi="Times New Roman" w:cs="Times New Roman" w:eastAsia="Times New Roman" w:hint="default"/>
        </w:rPr>
        <w:t>K</w:t>
      </w:r>
      <w:r>
        <w:rPr>
          <w:rFonts w:ascii="Times New Roman" w:hAnsi="Times New Roman" w:cs="Times New Roman" w:eastAsia="Times New Roman" w:hint="default"/>
          <w:spacing w:val="-18"/>
        </w:rPr>
        <w:t> </w:t>
      </w:r>
      <w:r>
        <w:rPr/>
        <w:t>、</w:t>
      </w:r>
      <w:r>
        <w:rPr>
          <w:spacing w:val="-63"/>
        </w:rPr>
        <w:t> </w:t>
      </w:r>
      <w:r>
        <w:rPr/>
        <w:t>王</w:t>
      </w:r>
      <w:r>
        <w:rPr>
          <w:spacing w:val="-63"/>
        </w:rPr>
        <w:t> </w:t>
      </w:r>
      <w:r>
        <w:rPr/>
        <w:t>永</w:t>
      </w:r>
      <w:r>
        <w:rPr>
          <w:spacing w:val="-62"/>
        </w:rPr>
        <w:t> </w:t>
      </w:r>
      <w:r>
        <w:rPr/>
        <w:t>彬</w:t>
      </w:r>
      <w:r>
        <w:rPr>
          <w:spacing w:val="-63"/>
        </w:rPr>
        <w:t> </w:t>
      </w:r>
      <w:r>
        <w:rPr/>
        <w:t>、</w:t>
      </w:r>
      <w:r>
        <w:rPr>
          <w:spacing w:val="-62"/>
        </w:rPr>
        <w:t> </w:t>
      </w:r>
      <w:r>
        <w:rPr/>
        <w:t>中</w:t>
      </w:r>
      <w:r>
        <w:rPr>
          <w:spacing w:val="-63"/>
        </w:rPr>
        <w:t> </w:t>
      </w:r>
      <w:r>
        <w:rPr/>
        <w:t>国</w:t>
      </w:r>
      <w:r>
        <w:rPr>
          <w:spacing w:val="-63"/>
        </w:rPr>
        <w:t> </w:t>
      </w:r>
      <w:r>
        <w:rPr/>
        <w:t>融</w:t>
      </w:r>
      <w:r>
        <w:rPr>
          <w:spacing w:val="-63"/>
        </w:rPr>
        <w:t> </w:t>
      </w:r>
      <w:r>
        <w:rPr/>
        <w:t>资</w:t>
      </w:r>
      <w:r>
        <w:rPr>
          <w:spacing w:val="-63"/>
        </w:rPr>
        <w:t> </w:t>
      </w:r>
      <w:r>
        <w:rPr/>
        <w:t>租</w:t>
      </w:r>
      <w:r>
        <w:rPr>
          <w:spacing w:val="-62"/>
        </w:rPr>
        <w:t> </w:t>
      </w:r>
      <w:r>
        <w:rPr/>
        <w:t>赁</w:t>
      </w:r>
      <w:r>
        <w:rPr>
          <w:spacing w:val="-63"/>
        </w:rPr>
        <w:t> </w:t>
      </w:r>
      <w:r>
        <w:rPr/>
        <w:t>有</w:t>
      </w:r>
      <w:r>
        <w:rPr>
          <w:spacing w:val="-63"/>
        </w:rPr>
        <w:t> </w:t>
      </w:r>
      <w:r>
        <w:rPr/>
        <w:t>限</w:t>
      </w:r>
      <w:r>
        <w:rPr>
          <w:spacing w:val="-63"/>
        </w:rPr>
        <w:t> </w:t>
      </w:r>
      <w:r>
        <w:rPr/>
        <w:t>公</w:t>
      </w:r>
      <w:r>
        <w:rPr>
          <w:spacing w:val="-63"/>
        </w:rPr>
        <w:t> </w:t>
      </w:r>
      <w:r>
        <w:rPr/>
        <w:t>司</w:t>
      </w:r>
      <w:r>
        <w:rPr>
          <w:spacing w:val="-62"/>
        </w:rPr>
        <w:t> </w:t>
      </w:r>
      <w:r>
        <w:rPr/>
        <w:t>为</w:t>
      </w:r>
      <w:r>
        <w:rPr>
          <w:spacing w:val="-63"/>
        </w:rPr>
        <w:t> </w:t>
      </w:r>
      <w:r>
        <w:rPr/>
        <w:t>本</w:t>
      </w:r>
      <w:r>
        <w:rPr>
          <w:spacing w:val="-63"/>
        </w:rPr>
        <w:t> </w:t>
      </w:r>
      <w:r>
        <w:rPr/>
        <w:t>公</w:t>
      </w:r>
      <w:r>
        <w:rPr>
          <w:spacing w:val="-63"/>
        </w:rPr>
        <w:t> </w:t>
      </w:r>
      <w:r>
        <w:rPr/>
        <w:t>司</w:t>
      </w:r>
      <w:r>
        <w:rPr>
          <w:spacing w:val="-63"/>
        </w:rPr>
        <w:t> </w:t>
      </w:r>
      <w:r>
        <w:rPr/>
        <w:t>与</w:t>
      </w:r>
      <w:r>
        <w:rPr>
          <w:spacing w:val="-62"/>
        </w:rPr>
        <w:t> </w:t>
      </w:r>
      <w:r>
        <w:rPr/>
        <w:t>上</w:t>
      </w:r>
      <w:r>
        <w:rPr>
          <w:spacing w:val="-63"/>
        </w:rPr>
        <w:t> </w:t>
      </w:r>
      <w:r>
        <w:rPr/>
        <w:t>海</w:t>
      </w:r>
      <w:r>
        <w:rPr>
          <w:spacing w:val="-63"/>
        </w:rPr>
        <w:t> </w:t>
      </w:r>
      <w:r>
        <w:rPr/>
        <w:t>浦</w:t>
      </w:r>
      <w:r>
        <w:rPr>
          <w:spacing w:val="-63"/>
        </w:rPr>
        <w:t> </w:t>
      </w:r>
      <w:r>
        <w:rPr/>
        <w:t>东</w:t>
      </w:r>
      <w:r>
        <w:rPr>
          <w:spacing w:val="-63"/>
        </w:rPr>
        <w:t> </w:t>
      </w:r>
      <w:r>
        <w:rPr/>
        <w:t>发</w:t>
      </w:r>
      <w:r>
        <w:rPr>
          <w:spacing w:val="-62"/>
        </w:rPr>
        <w:t> </w:t>
      </w:r>
      <w:r>
        <w:rPr/>
        <w:t>展</w:t>
      </w:r>
      <w:r>
        <w:rPr>
          <w:spacing w:val="-63"/>
        </w:rPr>
        <w:t> </w:t>
      </w:r>
      <w:r>
        <w:rPr/>
        <w:t>银</w:t>
      </w:r>
      <w:r>
        <w:rPr>
          <w:spacing w:val="-63"/>
        </w:rPr>
        <w:t> </w:t>
      </w:r>
      <w:r>
        <w:rPr/>
        <w:t>行</w:t>
      </w:r>
      <w:r>
        <w:rPr>
          <w:spacing w:val="-63"/>
        </w:rPr>
        <w:t> </w:t>
      </w:r>
      <w:r>
        <w:rPr/>
        <w:t>股</w:t>
      </w:r>
      <w:r>
        <w:rPr>
          <w:spacing w:val="-63"/>
        </w:rPr>
        <w:t> </w:t>
      </w:r>
      <w:r>
        <w:rPr/>
        <w:t>份</w:t>
      </w:r>
      <w:r>
        <w:rPr>
          <w:spacing w:val="-62"/>
        </w:rPr>
        <w:t> </w:t>
      </w:r>
      <w:r>
        <w:rPr/>
        <w:t>有</w:t>
      </w:r>
      <w:r>
        <w:rPr>
          <w:spacing w:val="-63"/>
        </w:rPr>
        <w:t> </w:t>
      </w:r>
      <w:r>
        <w:rPr/>
        <w:t>限</w:t>
      </w:r>
      <w:r>
        <w:rPr>
          <w:spacing w:val="-63"/>
        </w:rPr>
        <w:t> </w:t>
      </w:r>
      <w:r>
        <w:rPr/>
        <w:t>公</w:t>
      </w:r>
      <w:r>
        <w:rPr>
          <w:spacing w:val="-63"/>
        </w:rPr>
        <w:t> </w:t>
      </w:r>
      <w:r>
        <w:rPr/>
        <w:t>司</w:t>
      </w:r>
      <w:r>
        <w:rPr>
          <w:spacing w:val="-63"/>
        </w:rPr>
        <w:t> </w:t>
      </w:r>
      <w:r>
        <w:rPr/>
        <w:t>深</w:t>
      </w:r>
      <w:r>
        <w:rPr>
          <w:spacing w:val="-62"/>
        </w:rPr>
        <w:t> </w:t>
      </w:r>
      <w:r>
        <w:rPr/>
        <w:t>圳</w:t>
      </w:r>
      <w:r>
        <w:rPr>
          <w:spacing w:val="-63"/>
        </w:rPr>
        <w:t> </w:t>
      </w:r>
      <w:r>
        <w:rPr/>
        <w:t>分</w:t>
      </w:r>
      <w:r>
        <w:rPr>
          <w:spacing w:val="-63"/>
        </w:rPr>
        <w:t> </w:t>
      </w:r>
      <w:r>
        <w:rPr/>
        <w:t>行</w:t>
      </w:r>
      <w:r>
        <w:rPr>
          <w:spacing w:val="-63"/>
        </w:rPr>
        <w:t> </w:t>
      </w:r>
      <w:r>
        <w:rPr/>
        <w:t>签</w:t>
      </w:r>
      <w:r>
        <w:rPr>
          <w:spacing w:val="-63"/>
        </w:rPr>
        <w:t> </w:t>
      </w:r>
      <w:r>
        <w:rPr/>
        <w:t>署</w:t>
      </w:r>
      <w:r>
        <w:rPr>
          <w:spacing w:val="-62"/>
        </w:rPr>
        <w:t> </w:t>
      </w:r>
      <w:r>
        <w:rPr/>
        <w:t>合</w:t>
      </w:r>
      <w:r>
        <w:rPr>
          <w:spacing w:val="-63"/>
        </w:rPr>
        <w:t> </w:t>
      </w:r>
      <w:r>
        <w:rPr/>
        <w:t>同</w:t>
      </w:r>
      <w:r>
        <w:rPr>
          <w:spacing w:val="-63"/>
        </w:rPr>
        <w:t> </w:t>
      </w:r>
      <w:r>
        <w:rPr/>
        <w:t>编</w:t>
      </w:r>
      <w:r>
        <w:rPr>
          <w:spacing w:val="-62"/>
        </w:rPr>
        <w:t> </w:t>
      </w:r>
      <w:r>
        <w:rPr/>
        <w:t>号</w:t>
      </w:r>
      <w:r>
        <w:rPr/>
        <w:t> </w:t>
      </w:r>
      <w:r>
        <w:rPr>
          <w:rFonts w:ascii="Times New Roman" w:hAnsi="Times New Roman" w:cs="Times New Roman" w:eastAsia="Times New Roman" w:hint="default"/>
          <w:spacing w:val="-2"/>
        </w:rPr>
        <w:t>BC2015091800000514</w:t>
      </w:r>
      <w:r>
        <w:rPr>
          <w:spacing w:val="-2"/>
        </w:rPr>
        <w:t>《融资额度协议》提供连带责任保证担保，并签订了编号为</w:t>
      </w:r>
      <w:r>
        <w:rPr>
          <w:rFonts w:ascii="Times New Roman" w:hAnsi="Times New Roman" w:cs="Times New Roman" w:eastAsia="Times New Roman" w:hint="default"/>
          <w:spacing w:val="-2"/>
        </w:rPr>
        <w:t>ZB7924201500000021</w:t>
      </w:r>
      <w:r>
        <w:rPr>
          <w:spacing w:val="-2"/>
        </w:rPr>
        <w:t>的《最高额保证合同》</w:t>
      </w:r>
      <w:r>
        <w:rPr>
          <w:spacing w:val="-65"/>
        </w:rPr>
        <w:t> </w:t>
      </w:r>
      <w:r>
        <w:rPr>
          <w:spacing w:val="-65"/>
        </w:rPr>
      </w:r>
      <w:r>
        <w:rPr/>
        <w:t>和</w:t>
      </w:r>
      <w:r>
        <w:rPr>
          <w:rFonts w:ascii="Times New Roman" w:hAnsi="Times New Roman" w:cs="Times New Roman" w:eastAsia="Times New Roman" w:hint="default"/>
        </w:rPr>
        <w:t>ZB7924201500000022</w:t>
      </w:r>
      <w:r>
        <w:rPr/>
        <w:t>《最高额保证合同》，该授信最高额度为人民币</w:t>
      </w:r>
      <w:r>
        <w:rPr>
          <w:rFonts w:ascii="Times New Roman" w:hAnsi="Times New Roman" w:cs="Times New Roman" w:eastAsia="Times New Roman" w:hint="default"/>
        </w:rPr>
        <w:t>3,157</w:t>
      </w:r>
      <w:r>
        <w:rPr/>
        <w:t>万元，额度有效期为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19</w:t>
      </w:r>
      <w:r>
        <w:rPr/>
        <w:t>日。截止到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日，本公司取得该合同项下短期借款</w:t>
      </w:r>
      <w:r>
        <w:rPr>
          <w:rFonts w:ascii="Times New Roman" w:hAnsi="Times New Roman" w:cs="Times New Roman" w:eastAsia="Times New Roman" w:hint="default"/>
        </w:rPr>
        <w:t>3,000</w:t>
      </w:r>
      <w:r>
        <w:rPr/>
        <w:t>万元。</w:t>
      </w:r>
    </w:p>
    <w:p>
      <w:pPr>
        <w:pStyle w:val="BodyText"/>
        <w:spacing w:line="300" w:lineRule="auto" w:before="13"/>
        <w:ind w:right="1129" w:firstLine="360"/>
        <w:jc w:val="both"/>
      </w:pPr>
      <w:r>
        <w:rPr>
          <w:rFonts w:ascii="Times New Roman" w:hAnsi="Times New Roman" w:cs="Times New Roman" w:eastAsia="Times New Roman" w:hint="default"/>
          <w:spacing w:val="-1"/>
        </w:rPr>
        <w:t>L</w:t>
      </w:r>
      <w:r>
        <w:rPr>
          <w:spacing w:val="-1"/>
        </w:rPr>
        <w:t>、王永彬、深圳市德威普软件技术有限公司、南京凌云科技发展有限公司、中国融资租赁有限公司、出质人深圳键桥</w:t>
      </w:r>
      <w:r>
        <w:rPr/>
        <w:t> 通讯技术股份有限公司为本公司与中国银行股份有限公司深圳高新区支行签署合同编号为</w:t>
      </w:r>
      <w:r>
        <w:rPr>
          <w:rFonts w:ascii="Times New Roman" w:hAnsi="Times New Roman" w:cs="Times New Roman" w:eastAsia="Times New Roman" w:hint="default"/>
        </w:rPr>
        <w:t>2015</w:t>
      </w:r>
      <w:r>
        <w:rPr/>
        <w:t>圳中银高额协字第</w:t>
      </w:r>
      <w:r>
        <w:rPr>
          <w:rFonts w:ascii="Times New Roman" w:hAnsi="Times New Roman" w:cs="Times New Roman" w:eastAsia="Times New Roman" w:hint="default"/>
        </w:rPr>
        <w:t>0001117</w:t>
      </w:r>
      <w:r>
        <w:rPr/>
        <w:t>号</w:t>
      </w:r>
    </w:p>
    <w:p>
      <w:pPr>
        <w:pStyle w:val="BodyText"/>
        <w:spacing w:line="300" w:lineRule="auto" w:before="13"/>
        <w:ind w:right="1130"/>
        <w:jc w:val="both"/>
      </w:pPr>
      <w:r>
        <w:rPr>
          <w:spacing w:val="-2"/>
        </w:rPr>
        <w:t>《授信额度协议》提供连带责任保证担保，并签订了编号为</w:t>
      </w:r>
      <w:r>
        <w:rPr>
          <w:rFonts w:ascii="Times New Roman" w:hAnsi="Times New Roman" w:cs="Times New Roman" w:eastAsia="Times New Roman" w:hint="default"/>
          <w:spacing w:val="-2"/>
        </w:rPr>
        <w:t>2015</w:t>
      </w:r>
      <w:r>
        <w:rPr>
          <w:spacing w:val="-2"/>
        </w:rPr>
        <w:t>年圳中银高司保字第</w:t>
      </w:r>
      <w:r>
        <w:rPr>
          <w:rFonts w:ascii="Times New Roman" w:hAnsi="Times New Roman" w:cs="Times New Roman" w:eastAsia="Times New Roman" w:hint="default"/>
          <w:spacing w:val="-2"/>
        </w:rPr>
        <w:t>0194</w:t>
      </w:r>
      <w:r>
        <w:rPr>
          <w:spacing w:val="-2"/>
        </w:rPr>
        <w:t>号《最高额保证合同》、</w:t>
      </w:r>
      <w:r>
        <w:rPr>
          <w:rFonts w:ascii="Times New Roman" w:hAnsi="Times New Roman" w:cs="Times New Roman" w:eastAsia="Times New Roman" w:hint="default"/>
          <w:spacing w:val="-2"/>
        </w:rPr>
        <w:t>2015</w:t>
      </w:r>
      <w:r>
        <w:rPr>
          <w:spacing w:val="-2"/>
        </w:rPr>
        <w:t>年圳</w:t>
      </w:r>
      <w:r>
        <w:rPr>
          <w:spacing w:val="-55"/>
        </w:rPr>
        <w:t> </w:t>
      </w:r>
      <w:r>
        <w:rPr>
          <w:spacing w:val="-2"/>
        </w:rPr>
        <w:t>中银高司保字第</w:t>
      </w:r>
      <w:r>
        <w:rPr>
          <w:rFonts w:ascii="Times New Roman" w:hAnsi="Times New Roman" w:cs="Times New Roman" w:eastAsia="Times New Roman" w:hint="default"/>
          <w:spacing w:val="-2"/>
        </w:rPr>
        <w:t>0193</w:t>
      </w:r>
      <w:r>
        <w:rPr>
          <w:spacing w:val="-2"/>
        </w:rPr>
        <w:t>号《最高额保证合同》、</w:t>
      </w:r>
      <w:r>
        <w:rPr>
          <w:rFonts w:ascii="Times New Roman" w:hAnsi="Times New Roman" w:cs="Times New Roman" w:eastAsia="Times New Roman" w:hint="default"/>
          <w:spacing w:val="-2"/>
        </w:rPr>
        <w:t>2015</w:t>
      </w:r>
      <w:r>
        <w:rPr>
          <w:spacing w:val="-2"/>
        </w:rPr>
        <w:t>年圳中银高司保字第</w:t>
      </w:r>
      <w:r>
        <w:rPr>
          <w:rFonts w:ascii="Times New Roman" w:hAnsi="Times New Roman" w:cs="Times New Roman" w:eastAsia="Times New Roman" w:hint="default"/>
          <w:spacing w:val="-2"/>
        </w:rPr>
        <w:t>0192</w:t>
      </w:r>
      <w:r>
        <w:rPr>
          <w:spacing w:val="-2"/>
        </w:rPr>
        <w:t>号《最高额保证合同》和</w:t>
      </w:r>
      <w:r>
        <w:rPr>
          <w:rFonts w:ascii="Times New Roman" w:hAnsi="Times New Roman" w:cs="Times New Roman" w:eastAsia="Times New Roman" w:hint="default"/>
          <w:spacing w:val="-2"/>
        </w:rPr>
        <w:t>2015</w:t>
      </w:r>
      <w:r>
        <w:rPr>
          <w:spacing w:val="-2"/>
        </w:rPr>
        <w:t>年圳中银高司保字</w:t>
      </w:r>
      <w:r>
        <w:rPr>
          <w:spacing w:val="-50"/>
        </w:rPr>
        <w:t> </w:t>
      </w:r>
      <w:r>
        <w:rPr/>
        <w:t>第</w:t>
      </w:r>
      <w:r>
        <w:rPr>
          <w:rFonts w:ascii="Times New Roman" w:hAnsi="Times New Roman" w:cs="Times New Roman" w:eastAsia="Times New Roman" w:hint="default"/>
        </w:rPr>
        <w:t>0191</w:t>
      </w:r>
      <w:r>
        <w:rPr/>
        <w:t>号《最高额保证合同》，并签订了合同编号为</w:t>
      </w:r>
      <w:r>
        <w:rPr>
          <w:rFonts w:ascii="Times New Roman" w:hAnsi="Times New Roman" w:cs="Times New Roman" w:eastAsia="Times New Roman" w:hint="default"/>
        </w:rPr>
        <w:t>2015</w:t>
      </w:r>
      <w:r>
        <w:rPr/>
        <w:t>年高质总字</w:t>
      </w:r>
      <w:r>
        <w:rPr>
          <w:rFonts w:ascii="Times New Roman" w:hAnsi="Times New Roman" w:cs="Times New Roman" w:eastAsia="Times New Roman" w:hint="default"/>
        </w:rPr>
        <w:t>157</w:t>
      </w:r>
      <w:r>
        <w:rPr/>
        <w:t>号《保证金质押总协议》，该授信最高额度为人民</w:t>
      </w:r>
      <w:r>
        <w:rPr>
          <w:spacing w:val="-83"/>
        </w:rPr>
        <w:t> </w:t>
      </w:r>
      <w:r>
        <w:rPr>
          <w:spacing w:val="-83"/>
        </w:rPr>
      </w:r>
      <w:r>
        <w:rPr>
          <w:spacing w:val="-1"/>
        </w:rPr>
        <w:t>币</w:t>
      </w:r>
      <w:r>
        <w:rPr>
          <w:rFonts w:ascii="Times New Roman" w:hAnsi="Times New Roman" w:cs="Times New Roman" w:eastAsia="Times New Roman" w:hint="default"/>
          <w:spacing w:val="-1"/>
        </w:rPr>
        <w:t>15,000</w:t>
      </w:r>
      <w:r>
        <w:rPr>
          <w:spacing w:val="-1"/>
        </w:rPr>
        <w:t>万元，额度有效期为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日。截止到</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日，本公司取得该合同项下短期借款</w:t>
      </w:r>
      <w:r>
        <w:rPr>
          <w:spacing w:val="-62"/>
        </w:rPr>
        <w:t> </w:t>
      </w:r>
      <w:r>
        <w:rPr>
          <w:spacing w:val="-62"/>
        </w:rPr>
      </w:r>
      <w:r>
        <w:rPr>
          <w:rFonts w:ascii="Times New Roman" w:hAnsi="Times New Roman" w:cs="Times New Roman" w:eastAsia="Times New Roman" w:hint="default"/>
        </w:rPr>
        <w:t>2,000</w:t>
      </w:r>
      <w:r>
        <w:rPr/>
        <w:t>万元。</w:t>
      </w:r>
    </w:p>
    <w:p>
      <w:pPr>
        <w:pStyle w:val="BodyText"/>
        <w:spacing w:line="300" w:lineRule="auto" w:before="13"/>
        <w:ind w:right="1130" w:firstLine="360"/>
        <w:jc w:val="both"/>
      </w:pPr>
      <w:r>
        <w:rPr>
          <w:rFonts w:ascii="Times New Roman" w:hAnsi="Times New Roman" w:cs="Times New Roman" w:eastAsia="Times New Roman" w:hint="default"/>
          <w:spacing w:val="-2"/>
        </w:rPr>
        <w:t>M</w:t>
      </w:r>
      <w:r>
        <w:rPr>
          <w:spacing w:val="-2"/>
        </w:rPr>
        <w:t>、王永彬、南京凌云科技发展有限公司、中国融资租赁有限公司、出质人深圳键桥通讯技术股份有限公司为本公司与</w:t>
      </w:r>
      <w:r>
        <w:rPr/>
        <w:t> 江苏银行股份有限公司深圳分行签署合同编号为</w:t>
      </w:r>
      <w:r>
        <w:rPr>
          <w:rFonts w:ascii="Times New Roman" w:hAnsi="Times New Roman" w:cs="Times New Roman" w:eastAsia="Times New Roman" w:hint="default"/>
        </w:rPr>
        <w:t>SX161215000447</w:t>
      </w:r>
      <w:r>
        <w:rPr/>
        <w:t>《最高额综合授信合同》提供连带责任担保保证，并签订</w:t>
      </w:r>
      <w:r>
        <w:rPr>
          <w:spacing w:val="-49"/>
        </w:rPr>
        <w:t> </w:t>
      </w:r>
      <w:r>
        <w:rPr>
          <w:spacing w:val="-49"/>
        </w:rPr>
      </w:r>
      <w:r>
        <w:rPr>
          <w:spacing w:val="-1"/>
        </w:rPr>
        <w:t>了编号为</w:t>
      </w:r>
      <w:r>
        <w:rPr>
          <w:rFonts w:ascii="Times New Roman" w:hAnsi="Times New Roman" w:cs="Times New Roman" w:eastAsia="Times New Roman" w:hint="default"/>
          <w:spacing w:val="-1"/>
        </w:rPr>
        <w:t>BZ161215000039</w:t>
      </w:r>
      <w:r>
        <w:rPr>
          <w:spacing w:val="-1"/>
        </w:rPr>
        <w:t>《最高额个人连带责任保证书》、</w:t>
      </w:r>
      <w:r>
        <w:rPr>
          <w:rFonts w:ascii="Times New Roman" w:hAnsi="Times New Roman" w:cs="Times New Roman" w:eastAsia="Times New Roman" w:hint="default"/>
          <w:spacing w:val="-1"/>
        </w:rPr>
        <w:t>BZ161215000038</w:t>
      </w:r>
      <w:r>
        <w:rPr>
          <w:spacing w:val="-1"/>
        </w:rPr>
        <w:t>《最高额保证合同》及</w:t>
      </w:r>
      <w:r>
        <w:rPr>
          <w:rFonts w:ascii="Times New Roman" w:hAnsi="Times New Roman" w:cs="Times New Roman" w:eastAsia="Times New Roman" w:hint="default"/>
          <w:spacing w:val="-1"/>
        </w:rPr>
        <w:t>BZ161215000037</w:t>
      </w:r>
      <w:r>
        <w:rPr>
          <w:spacing w:val="-1"/>
        </w:rPr>
        <w:t>《最高</w:t>
      </w:r>
      <w:r>
        <w:rPr>
          <w:spacing w:val="-71"/>
        </w:rPr>
        <w:t> </w:t>
      </w:r>
      <w:r>
        <w:rPr/>
        <w:t>额保证合同》，并签订了编号为</w:t>
      </w:r>
      <w:r>
        <w:rPr>
          <w:rFonts w:ascii="Times New Roman" w:hAnsi="Times New Roman" w:cs="Times New Roman" w:eastAsia="Times New Roman" w:hint="default"/>
        </w:rPr>
        <w:t>ZY161215000015</w:t>
      </w:r>
      <w:r>
        <w:rPr/>
        <w:t>《最高额质押合同》，该授信最高额为人民币</w:t>
      </w:r>
      <w:r>
        <w:rPr>
          <w:rFonts w:ascii="Times New Roman" w:hAnsi="Times New Roman" w:cs="Times New Roman" w:eastAsia="Times New Roman" w:hint="default"/>
        </w:rPr>
        <w:t>10,000</w:t>
      </w:r>
      <w:r>
        <w:rPr/>
        <w:t>万元，额度有效期为</w:t>
      </w:r>
      <w:r>
        <w:rPr>
          <w:spacing w:val="-18"/>
        </w:rPr>
        <w:t> </w:t>
      </w:r>
      <w:r>
        <w:rPr>
          <w:spacing w:val="-18"/>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日到</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日，本公司取得该合同项下银行承兑汇票金额</w:t>
      </w:r>
      <w:r>
        <w:rPr>
          <w:rFonts w:ascii="Times New Roman" w:hAnsi="Times New Roman" w:cs="Times New Roman" w:eastAsia="Times New Roman" w:hint="default"/>
        </w:rPr>
        <w:t>2,500</w:t>
      </w:r>
      <w:r>
        <w:rPr/>
        <w:t>万元，同时签</w:t>
      </w:r>
      <w:r>
        <w:rPr>
          <w:spacing w:val="-46"/>
        </w:rPr>
        <w:t> </w:t>
      </w:r>
      <w:r>
        <w:rPr>
          <w:spacing w:val="-46"/>
        </w:rPr>
      </w:r>
      <w:r>
        <w:rPr/>
        <w:t>订了编号为</w:t>
      </w:r>
      <w:r>
        <w:rPr>
          <w:rFonts w:ascii="Times New Roman" w:hAnsi="Times New Roman" w:cs="Times New Roman" w:eastAsia="Times New Roman" w:hint="default"/>
        </w:rPr>
        <w:t>CD161215000054</w:t>
      </w:r>
      <w:r>
        <w:rPr/>
        <w:t>《商业汇票银行承兑协议》及《保证金质押协议》。</w:t>
      </w:r>
    </w:p>
    <w:p>
      <w:pPr>
        <w:pStyle w:val="BodyText"/>
        <w:spacing w:line="300" w:lineRule="auto" w:before="13"/>
        <w:ind w:left="154" w:right="1129"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N</w:t>
      </w:r>
      <w:r>
        <w:rPr>
          <w:spacing w:val="-2"/>
        </w:rPr>
        <w:t>、中国融资租赁有限公司为本公司与海口联合农村商业银行股份有限公司签署合同编号为</w:t>
      </w:r>
      <w:r>
        <w:rPr>
          <w:rFonts w:ascii="Times New Roman" w:hAnsi="Times New Roman" w:cs="Times New Roman" w:eastAsia="Times New Roman" w:hint="default"/>
          <w:spacing w:val="-2"/>
        </w:rPr>
        <w:t>UBQY1DK2015007</w:t>
      </w:r>
      <w:r>
        <w:rPr>
          <w:spacing w:val="-2"/>
        </w:rPr>
        <w:t>号《流动</w:t>
      </w:r>
      <w:r>
        <w:rPr/>
        <w:t> 资金贷款合同》提供连带责任担保保证，并签署了编号为</w:t>
      </w:r>
      <w:r>
        <w:rPr>
          <w:rFonts w:ascii="Times New Roman" w:hAnsi="Times New Roman" w:cs="Times New Roman" w:eastAsia="Times New Roman" w:hint="default"/>
        </w:rPr>
        <w:t>UBY1BZ2015015</w:t>
      </w:r>
      <w:r>
        <w:rPr/>
        <w:t>号《保证合同》，该流动资金贷款最高为人民币</w:t>
      </w:r>
      <w:r>
        <w:rPr>
          <w:spacing w:val="-66"/>
        </w:rPr>
        <w:t> </w:t>
      </w:r>
      <w:r>
        <w:rPr>
          <w:spacing w:val="-66"/>
        </w:rPr>
      </w:r>
      <w:r>
        <w:rPr>
          <w:rFonts w:ascii="Times New Roman" w:hAnsi="Times New Roman" w:cs="Times New Roman" w:eastAsia="Times New Roman" w:hint="default"/>
        </w:rPr>
        <w:t>2,600</w:t>
      </w:r>
      <w:r>
        <w:rPr/>
        <w:t>万元，贷款期限为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日。截止到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日，本公司取得该合同项下短期借款金额</w:t>
      </w:r>
      <w:r>
        <w:rPr>
          <w:rFonts w:ascii="Times New Roman" w:hAnsi="Times New Roman" w:cs="Times New Roman" w:eastAsia="Times New Roman" w:hint="default"/>
        </w:rPr>
        <w:t>2,600</w:t>
      </w:r>
    </w:p>
    <w:p>
      <w:pPr>
        <w:spacing w:after="0" w:line="300"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1118"/>
        <w:jc w:val="left"/>
      </w:pPr>
      <w:r>
        <w:rPr/>
        <w:t>万元。</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3）关联方资产转让、债务重组情况" w:id="352"/>
      <w:bookmarkEnd w:id="352"/>
      <w:r>
        <w:rPr>
          <w:b w:val="0"/>
          <w:bCs w:val="0"/>
        </w:rPr>
      </w:r>
      <w:r>
        <w:rPr/>
        <w:t>（</w:t>
      </w:r>
      <w:r>
        <w:rPr>
          <w:rFonts w:ascii="Times New Roman" w:hAnsi="Times New Roman" w:cs="Times New Roman" w:eastAsia="Times New Roman" w:hint="default"/>
        </w:rPr>
        <w:t>3</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深圳浩瀚天成投资发展有限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转让深圳键桥资产管理有限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深圳浩瀚天成投资发展有限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应收账款、预付账款及其他应 收款转让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162,256,842.94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应收账款及其他应收款转让</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37,242,990.19</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公司受让其大连先锋投资管 理有限公司股权（占其实缴金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张振新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公司受让其大连先锋投资管 理有限公司股权（通过间接持 股占其实缴金额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w:t>
            </w:r>
            <w:r>
              <w:rPr>
                <w:rFonts w:ascii="宋体" w:hAnsi="宋体" w:cs="宋体" w:eastAsia="宋体"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191,095.20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关键管理人员报酬" w:id="353"/>
      <w:bookmarkEnd w:id="353"/>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2,177,200.00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其他关联交易" w:id="354"/>
      <w:bookmarkEnd w:id="354"/>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1" w:firstLine="360"/>
        <w:jc w:val="both"/>
      </w:pPr>
      <w:r>
        <w:rPr>
          <w:spacing w:val="-2"/>
        </w:rPr>
        <w:t>①经公司第三届董事会第四十三次会议审议通过，</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日，公司与深圳精一和深圳市文信显示技术有限公司签</w:t>
      </w:r>
      <w:r>
        <w:rPr/>
        <w:t> </w:t>
      </w:r>
      <w:r>
        <w:rPr>
          <w:spacing w:val="-2"/>
        </w:rPr>
        <w:t>署了《嘉兴德玖投资合伙企业（有限合伙）合伙协议》，深圳精一为普通合伙人，认缴出资额为</w:t>
      </w:r>
      <w:r>
        <w:rPr>
          <w:rFonts w:ascii="Times New Roman" w:hAnsi="Times New Roman" w:cs="Times New Roman" w:eastAsia="Times New Roman" w:hint="default"/>
          <w:spacing w:val="-2"/>
        </w:rPr>
        <w:t>10</w:t>
      </w:r>
      <w:r>
        <w:rPr>
          <w:spacing w:val="-2"/>
        </w:rPr>
        <w:t>万元人民币；公司为有限</w:t>
      </w:r>
      <w:r>
        <w:rPr>
          <w:spacing w:val="-68"/>
        </w:rPr>
        <w:t> </w:t>
      </w:r>
      <w:r>
        <w:rPr>
          <w:spacing w:val="-68"/>
        </w:rPr>
      </w:r>
      <w:r>
        <w:rPr>
          <w:spacing w:val="-1"/>
        </w:rPr>
        <w:t>合伙人，认缴出资额为</w:t>
      </w:r>
      <w:r>
        <w:rPr>
          <w:rFonts w:ascii="Times New Roman" w:hAnsi="Times New Roman" w:cs="Times New Roman" w:eastAsia="Times New Roman" w:hint="default"/>
          <w:spacing w:val="-1"/>
        </w:rPr>
        <w:t>2,000</w:t>
      </w:r>
      <w:r>
        <w:rPr>
          <w:spacing w:val="-1"/>
        </w:rPr>
        <w:t>万元人民币，占其认缴出资总额的</w:t>
      </w:r>
      <w:r>
        <w:rPr>
          <w:rFonts w:ascii="Times New Roman" w:hAnsi="Times New Roman" w:cs="Times New Roman" w:eastAsia="Times New Roman" w:hint="default"/>
          <w:spacing w:val="-1"/>
        </w:rPr>
        <w:t>66.4452%</w:t>
      </w:r>
      <w:r>
        <w:rPr>
          <w:spacing w:val="-1"/>
        </w:rPr>
        <w:t>。嘉兴德玖投资合伙企业（有限合伙）已于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6</w:t>
      </w:r>
      <w:r>
        <w:rPr/>
        <w:t>日办理了工商变更登记手续。</w:t>
      </w:r>
    </w:p>
    <w:p>
      <w:pPr>
        <w:pStyle w:val="BodyText"/>
        <w:spacing w:line="309" w:lineRule="auto" w:before="13"/>
        <w:ind w:right="1130" w:firstLine="360"/>
        <w:jc w:val="both"/>
      </w:pPr>
      <w:r>
        <w:rPr>
          <w:spacing w:val="-2"/>
        </w:rPr>
        <w:t>②经公司董事长批准同意，公司参与投资设立徐州淮海数据交换服务有限公司。徐州淮海数据交换服务有限公司的注册</w:t>
      </w:r>
      <w:r>
        <w:rPr/>
        <w:t> </w:t>
      </w:r>
      <w:r>
        <w:rPr>
          <w:spacing w:val="-2"/>
        </w:rPr>
        <w:t>资本为</w:t>
      </w:r>
      <w:r>
        <w:rPr>
          <w:rFonts w:ascii="Times New Roman" w:hAnsi="Times New Roman" w:cs="Times New Roman" w:eastAsia="Times New Roman" w:hint="default"/>
          <w:spacing w:val="-2"/>
        </w:rPr>
        <w:t>1,000</w:t>
      </w:r>
      <w:r>
        <w:rPr>
          <w:spacing w:val="-2"/>
        </w:rPr>
        <w:t>万元，其中公司出资</w:t>
      </w:r>
      <w:r>
        <w:rPr>
          <w:rFonts w:ascii="Times New Roman" w:hAnsi="Times New Roman" w:cs="Times New Roman" w:eastAsia="Times New Roman" w:hint="default"/>
          <w:spacing w:val="-2"/>
        </w:rPr>
        <w:t>200</w:t>
      </w:r>
      <w:r>
        <w:rPr>
          <w:spacing w:val="-2"/>
        </w:rPr>
        <w:t>万元，占注册资本的</w:t>
      </w:r>
      <w:r>
        <w:rPr>
          <w:rFonts w:ascii="Times New Roman" w:hAnsi="Times New Roman" w:cs="Times New Roman" w:eastAsia="Times New Roman" w:hint="default"/>
          <w:spacing w:val="-2"/>
        </w:rPr>
        <w:t>20%</w:t>
      </w:r>
      <w:r>
        <w:rPr>
          <w:spacing w:val="-2"/>
        </w:rPr>
        <w:t>，网信集团有限公司出资</w:t>
      </w:r>
      <w:r>
        <w:rPr>
          <w:rFonts w:ascii="Times New Roman" w:hAnsi="Times New Roman" w:cs="Times New Roman" w:eastAsia="Times New Roman" w:hint="default"/>
          <w:spacing w:val="-2"/>
        </w:rPr>
        <w:t>100</w:t>
      </w:r>
      <w:r>
        <w:rPr>
          <w:spacing w:val="-2"/>
        </w:rPr>
        <w:t>万元，占注册资本的</w:t>
      </w:r>
      <w:r>
        <w:rPr>
          <w:rFonts w:ascii="Times New Roman" w:hAnsi="Times New Roman" w:cs="Times New Roman" w:eastAsia="Times New Roman" w:hint="default"/>
          <w:spacing w:val="-2"/>
        </w:rPr>
        <w:t>10%</w:t>
      </w:r>
      <w:r>
        <w:rPr>
          <w:spacing w:val="-2"/>
        </w:rPr>
        <w:t>。徐州淮</w:t>
      </w:r>
      <w:r>
        <w:rPr>
          <w:spacing w:val="-38"/>
        </w:rPr>
        <w:t> </w:t>
      </w:r>
      <w:r>
        <w:rPr>
          <w:spacing w:val="-38"/>
        </w:rPr>
      </w:r>
      <w:r>
        <w:rPr/>
        <w:t>海数据交换服务有限公司于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日正式成立。</w:t>
      </w:r>
    </w:p>
    <w:p>
      <w:pPr>
        <w:pStyle w:val="BodyText"/>
        <w:spacing w:line="300" w:lineRule="auto" w:before="5"/>
        <w:ind w:left="154" w:right="1130" w:firstLine="360"/>
        <w:jc w:val="both"/>
      </w:pPr>
      <w:r>
        <w:rPr>
          <w:spacing w:val="-2"/>
        </w:rPr>
        <w:t>③根据本公司与上海中锋商业保理有限公司签订的《商业保理业务合同》，由本公司应收账款</w:t>
      </w:r>
      <w:r>
        <w:rPr>
          <w:rFonts w:ascii="Times New Roman" w:hAnsi="Times New Roman" w:cs="Times New Roman" w:eastAsia="Times New Roman" w:hint="default"/>
          <w:spacing w:val="-2"/>
        </w:rPr>
        <w:t>---</w:t>
      </w:r>
      <w:r>
        <w:rPr>
          <w:spacing w:val="-2"/>
        </w:rPr>
        <w:t>苏州市轨道交通集团有</w:t>
      </w:r>
      <w:r>
        <w:rPr/>
        <w:t> 限公司</w:t>
      </w:r>
      <w:r>
        <w:rPr>
          <w:rFonts w:ascii="Times New Roman" w:hAnsi="Times New Roman" w:cs="Times New Roman" w:eastAsia="Times New Roman" w:hint="default"/>
        </w:rPr>
        <w:t>8,120,000.00</w:t>
      </w:r>
      <w:r>
        <w:rPr/>
        <w:t>元保理给上海中锋商业保理有限公司，保理融资金额</w:t>
      </w:r>
      <w:r>
        <w:rPr>
          <w:rFonts w:ascii="Times New Roman" w:hAnsi="Times New Roman" w:cs="Times New Roman" w:eastAsia="Times New Roman" w:hint="default"/>
        </w:rPr>
        <w:t>5,000,000.00</w:t>
      </w:r>
      <w:r>
        <w:rPr/>
        <w:t>元。</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6、关联方应收应付款项" w:id="355"/>
      <w:bookmarkEnd w:id="35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应收项目" w:id="356"/>
      <w:bookmarkEnd w:id="35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深圳浩瀚天成投资 发展有限公司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111,015,438.54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深圳键桥资产管理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1,429,890.89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键桥国际（香港）投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450,240.26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-5,300.00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键桥通讯技术有限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11,848,696.13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11,843,396.13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112,895,569.69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11,843,396.13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应付项目" w:id="357"/>
      <w:bookmarkEnd w:id="35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蒋华良</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6,632,442.67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6,632,442.67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十三、股份支付" w:id="358"/>
      <w:bookmarkEnd w:id="358"/>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股份支付总体情况" w:id="359"/>
      <w:bookmarkEnd w:id="35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以权益结算的股份支付情况" w:id="360"/>
      <w:bookmarkEnd w:id="36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以现金结算的股份支付情况" w:id="361"/>
      <w:bookmarkEnd w:id="36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62"/>
      <w:bookmarkEnd w:id="36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8"/>
        <w:jc w:val="left"/>
        <w:rPr>
          <w:b w:val="0"/>
          <w:bCs w:val="0"/>
        </w:rPr>
      </w:pPr>
      <w:bookmarkStart w:name="十四、承诺及或有事项" w:id="363"/>
      <w:bookmarkEnd w:id="363"/>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重要承诺事项" w:id="364"/>
      <w:bookmarkEnd w:id="364"/>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5713" w:hanging="360"/>
        <w:jc w:val="left"/>
      </w:pPr>
      <w:r>
        <w:rPr/>
        <w:t>资产负债表日存在的重要承诺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left="154" w:right="1118"/>
        <w:jc w:val="left"/>
        <w:rPr>
          <w:b w:val="0"/>
          <w:bCs w:val="0"/>
        </w:rPr>
      </w:pPr>
      <w:bookmarkStart w:name="2、或有事项" w:id="365"/>
      <w:bookmarkEnd w:id="36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18"/>
        <w:jc w:val="left"/>
        <w:rPr>
          <w:b w:val="0"/>
          <w:bCs w:val="0"/>
        </w:rPr>
      </w:pPr>
      <w:bookmarkStart w:name="（1）资产负债表日存在的重要或有事项" w:id="366"/>
      <w:bookmarkEnd w:id="36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18"/>
        <w:jc w:val="left"/>
      </w:pPr>
      <w:r>
        <w:rPr/>
        <w:t>①未决诉讼仲裁形成的或有负债及其财务影响</w:t>
      </w:r>
    </w:p>
    <w:p>
      <w:pPr>
        <w:pStyle w:val="BodyText"/>
        <w:spacing w:line="307" w:lineRule="auto" w:before="76"/>
        <w:ind w:right="103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日公司收到深圳仲裁委员会深仲涉外受字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号仲裁通知书，申请人郑燕辉于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月向深圳</w:t>
      </w:r>
      <w:r>
        <w:rPr>
          <w:spacing w:val="2"/>
        </w:rPr>
        <w:t> </w:t>
      </w:r>
      <w:r>
        <w:rPr>
          <w:spacing w:val="-2"/>
        </w:rPr>
        <w:t>仲裁委员会提出仲裁申请，同时提出财产保全申请。深圳仲裁委员会受理案件后，向深圳市南山区人民法院移送了申请人提</w:t>
      </w:r>
      <w:r>
        <w:rPr>
          <w:spacing w:val="-66"/>
        </w:rPr>
        <w:t> </w:t>
      </w:r>
      <w:r>
        <w:rPr>
          <w:spacing w:val="-66"/>
        </w:rPr>
      </w:r>
      <w:r>
        <w:rPr>
          <w:spacing w:val="4"/>
        </w:rPr>
        <w:t>出的财产保全申请。深圳市南山区人民法院依法查封、冻结了公司在招商银行科技园支行开立的银行账户内存款人民币</w:t>
      </w:r>
      <w:r>
        <w:rPr>
          <w:spacing w:val="-66"/>
        </w:rPr>
        <w:t> </w:t>
      </w:r>
      <w:r>
        <w:rPr>
          <w:spacing w:val="-66"/>
        </w:rPr>
      </w:r>
      <w:r>
        <w:rPr>
          <w:rFonts w:ascii="Times New Roman" w:hAnsi="Times New Roman" w:cs="Times New Roman" w:eastAsia="Times New Roman" w:hint="default"/>
        </w:rPr>
        <w:t>38,342,647.29</w:t>
      </w:r>
      <w:r>
        <w:rPr/>
        <w:t>元（案号：（</w:t>
      </w:r>
      <w:r>
        <w:rPr>
          <w:rFonts w:ascii="Times New Roman" w:hAnsi="Times New Roman" w:cs="Times New Roman" w:eastAsia="Times New Roman" w:hint="default"/>
        </w:rPr>
        <w:t>2014</w:t>
      </w:r>
      <w:r>
        <w:rPr/>
        <w:t>）深南法仲保字第</w:t>
      </w:r>
      <w:r>
        <w:rPr>
          <w:rFonts w:ascii="Times New Roman" w:hAnsi="Times New Roman" w:cs="Times New Roman" w:eastAsia="Times New Roman" w:hint="default"/>
        </w:rPr>
        <w:t>105</w:t>
      </w:r>
      <w:r>
        <w:rPr/>
        <w:t>号），冻结至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日。经公司了解，该案系公司前资金部经理 </w:t>
      </w:r>
      <w:r>
        <w:rPr>
          <w:spacing w:val="-2"/>
        </w:rPr>
        <w:t>徐某个人冒用公司名义向申请人郑燕辉借款所致，借款金额为人民币</w:t>
      </w:r>
      <w:r>
        <w:rPr>
          <w:rFonts w:ascii="Times New Roman" w:hAnsi="Times New Roman" w:cs="Times New Roman" w:eastAsia="Times New Roman" w:hint="default"/>
          <w:spacing w:val="-2"/>
        </w:rPr>
        <w:t>2900</w:t>
      </w:r>
      <w:r>
        <w:rPr>
          <w:spacing w:val="-2"/>
        </w:rPr>
        <w:t>万元，加上利息等共人民币</w:t>
      </w:r>
      <w:r>
        <w:rPr>
          <w:rFonts w:ascii="Times New Roman" w:hAnsi="Times New Roman" w:cs="Times New Roman" w:eastAsia="Times New Roman" w:hint="default"/>
          <w:spacing w:val="-2"/>
        </w:rPr>
        <w:t>3800</w:t>
      </w:r>
      <w:r>
        <w:rPr>
          <w:spacing w:val="-2"/>
        </w:rPr>
        <w:t>多万元。公司已向</w:t>
      </w:r>
      <w:r>
        <w:rPr>
          <w:spacing w:val="-58"/>
        </w:rPr>
        <w:t> </w:t>
      </w:r>
      <w:r>
        <w:rPr>
          <w:spacing w:val="-58"/>
        </w:rPr>
      </w:r>
      <w:r>
        <w:rPr/>
        <w:t>公安关机关报案，公安部门已传讯徐某，并已录口供，徐某承认冒用公司名义借款自用的事实。目前，公司已联系了徐某， </w:t>
      </w:r>
      <w:r>
        <w:rPr>
          <w:spacing w:val="-2"/>
        </w:rPr>
        <w:t>徐某为减轻法律责任，已委托第三方公司向公司支付了人民币</w:t>
      </w:r>
      <w:r>
        <w:rPr>
          <w:rFonts w:ascii="Times New Roman" w:hAnsi="Times New Roman" w:cs="Times New Roman" w:eastAsia="Times New Roman" w:hint="default"/>
          <w:spacing w:val="-2"/>
        </w:rPr>
        <w:t>3865</w:t>
      </w:r>
      <w:r>
        <w:rPr>
          <w:spacing w:val="-2"/>
        </w:rPr>
        <w:t>万元作为现金质押。如公司因为该案受到损失，则可以直</w:t>
      </w:r>
      <w:r>
        <w:rPr>
          <w:spacing w:val="-62"/>
        </w:rPr>
        <w:t> </w:t>
      </w:r>
      <w:r>
        <w:rPr>
          <w:spacing w:val="-62"/>
        </w:rPr>
      </w:r>
      <w:r>
        <w:rPr/>
        <w:t>接从质押款中扣除同等金额的款项作为补偿。截止报告日尚未收到仲裁结果。</w:t>
      </w:r>
    </w:p>
    <w:p>
      <w:pPr>
        <w:pStyle w:val="BodyText"/>
        <w:spacing w:line="316" w:lineRule="auto" w:before="26"/>
        <w:ind w:left="514" w:right="3372"/>
        <w:jc w:val="left"/>
      </w:pPr>
      <w:r>
        <w:rPr/>
        <w:t>②为其他单位提供债务担保形成的或有负债及其财务影响 公司除为全资子公司南京凌云科技发展有限公司提供担保外，不存在其他债务担保情况。</w:t>
      </w:r>
    </w:p>
    <w:p>
      <w:pPr>
        <w:pStyle w:val="BodyText"/>
        <w:spacing w:line="316" w:lineRule="auto" w:before="19"/>
        <w:ind w:left="513" w:right="6793"/>
        <w:jc w:val="left"/>
      </w:pPr>
      <w:r>
        <w:rPr/>
        <w:t>③与合营企业或联营企业投资相关的或有负债 参见</w:t>
      </w:r>
      <w:r>
        <w:rPr>
          <w:rFonts w:ascii="Times New Roman" w:hAnsi="Times New Roman" w:cs="Times New Roman" w:eastAsia="Times New Roman" w:hint="default"/>
        </w:rPr>
        <w:t>“</w:t>
      </w:r>
      <w:r>
        <w:rPr/>
        <w:t>附注九、在其他主体中权益</w:t>
      </w:r>
      <w:r>
        <w:rPr>
          <w:rFonts w:ascii="Times New Roman" w:hAnsi="Times New Roman" w:cs="Times New Roman" w:eastAsia="Times New Roman" w:hint="default"/>
        </w:rPr>
        <w:t>”</w:t>
      </w:r>
      <w:r>
        <w:rPr/>
        <w:t>部分。</w:t>
      </w:r>
    </w:p>
    <w:p>
      <w:pPr>
        <w:pStyle w:val="BodyText"/>
        <w:spacing w:line="316" w:lineRule="auto"/>
        <w:ind w:left="513" w:right="5353"/>
        <w:jc w:val="left"/>
      </w:pPr>
      <w:r>
        <w:rPr/>
        <w:t>④其他或有负债及其财务影响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日，本公司无需要披露的其他重大或有事项。</w:t>
      </w:r>
    </w:p>
    <w:p>
      <w:pPr>
        <w:spacing w:line="240" w:lineRule="auto" w:before="13"/>
        <w:rPr>
          <w:rFonts w:ascii="宋体" w:hAnsi="宋体" w:cs="宋体" w:eastAsia="宋体" w:hint="default"/>
          <w:sz w:val="20"/>
          <w:szCs w:val="20"/>
        </w:rPr>
      </w:pPr>
    </w:p>
    <w:p>
      <w:pPr>
        <w:pStyle w:val="Heading3"/>
        <w:spacing w:line="240" w:lineRule="auto"/>
        <w:ind w:right="1118"/>
        <w:jc w:val="left"/>
        <w:rPr>
          <w:b w:val="0"/>
          <w:bCs w:val="0"/>
        </w:rPr>
      </w:pPr>
      <w:bookmarkStart w:name="（2）公司没有需要披露的重要或有事项，也应予以说明" w:id="367"/>
      <w:bookmarkEnd w:id="36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十五、资产负债表日后事项" w:id="368"/>
      <w:bookmarkEnd w:id="368"/>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利润分配情况" w:id="369"/>
      <w:bookmarkEnd w:id="369"/>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3,931,200.00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3,931,200.00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销售退回" w:id="370"/>
      <w:bookmarkEnd w:id="370"/>
      <w:r>
        <w:rPr>
          <w:b w:val="0"/>
          <w:bCs w:val="0"/>
        </w:rPr>
      </w:r>
      <w:r>
        <w:rPr>
          <w:rFonts w:ascii="Times New Roman" w:hAnsi="Times New Roman" w:cs="Times New Roman" w:eastAsia="Times New Roman" w:hint="default"/>
        </w:rPr>
        <w:t>2</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18"/>
        <w:jc w:val="left"/>
      </w:pPr>
      <w:r>
        <w:rPr/>
        <w:t>资产负债表日后未发生重要销售退回。</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十六、其他重要事项" w:id="371"/>
      <w:bookmarkEnd w:id="371"/>
      <w:r>
        <w:rPr>
          <w:b w:val="0"/>
          <w:bCs w:val="0"/>
        </w:rPr>
      </w:r>
      <w:r>
        <w:rPr/>
        <w:t>十六、其他重要事项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8"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日公司召开的第三届董事会第四十一次会议，以及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日召开的</w:t>
      </w:r>
      <w:r>
        <w:rPr>
          <w:rFonts w:ascii="Times New Roman" w:hAnsi="Times New Roman" w:cs="Times New Roman" w:eastAsia="Times New Roman" w:hint="default"/>
          <w:spacing w:val="-2"/>
        </w:rPr>
        <w:t>2015</w:t>
      </w:r>
      <w:r>
        <w:rPr>
          <w:spacing w:val="-2"/>
        </w:rPr>
        <w:t>年第五次临时股东大会审议</w:t>
      </w:r>
      <w:r>
        <w:rPr/>
        <w:t> 通过了《关于公司本次非公开发行涉及关联交易事项的议案》。主要内容为：</w:t>
      </w:r>
    </w:p>
    <w:p>
      <w:pPr>
        <w:pStyle w:val="BodyText"/>
        <w:spacing w:line="300" w:lineRule="auto" w:before="32"/>
        <w:ind w:left="514" w:right="1118"/>
        <w:jc w:val="left"/>
      </w:pPr>
      <w:r>
        <w:rPr/>
        <w:t>（</w:t>
      </w:r>
      <w:r>
        <w:rPr>
          <w:rFonts w:ascii="Times New Roman" w:hAnsi="Times New Roman" w:cs="Times New Roman" w:eastAsia="Times New Roman" w:hint="default"/>
        </w:rPr>
        <w:t>1</w:t>
      </w:r>
      <w:r>
        <w:rPr/>
        <w:t>）发行价格和定价原则 </w:t>
      </w:r>
      <w:r>
        <w:rPr>
          <w:spacing w:val="-1"/>
        </w:rPr>
        <w:t>本次非公开发行的定价基准日为公司第三届董事会第四十一次会议决议公告日（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日），发行价格为</w:t>
      </w:r>
      <w:r>
        <w:rPr>
          <w:rFonts w:ascii="Times New Roman" w:hAnsi="Times New Roman" w:cs="Times New Roman" w:eastAsia="Times New Roman" w:hint="default"/>
          <w:spacing w:val="-1"/>
        </w:rPr>
        <w:t>9.18</w:t>
      </w:r>
      <w:r>
        <w:rPr>
          <w:spacing w:val="-1"/>
        </w:rPr>
        <w:t>元</w:t>
      </w:r>
    </w:p>
    <w:p>
      <w:pPr>
        <w:pStyle w:val="BodyText"/>
        <w:spacing w:line="300" w:lineRule="auto" w:before="13"/>
        <w:ind w:right="1130"/>
        <w:jc w:val="both"/>
      </w:pPr>
      <w:r>
        <w:rPr>
          <w:rFonts w:ascii="Times New Roman" w:hAnsi="Times New Roman" w:cs="Times New Roman" w:eastAsia="Times New Roman" w:hint="default"/>
          <w:spacing w:val="-1"/>
        </w:rPr>
        <w:t>/</w:t>
      </w:r>
      <w:r>
        <w:rPr>
          <w:spacing w:val="-1"/>
        </w:rPr>
        <w:t>股，不低于定价基准日前</w:t>
      </w:r>
      <w:r>
        <w:rPr>
          <w:rFonts w:ascii="Times New Roman" w:hAnsi="Times New Roman" w:cs="Times New Roman" w:eastAsia="Times New Roman" w:hint="default"/>
          <w:spacing w:val="-1"/>
        </w:rPr>
        <w:t>20</w:t>
      </w:r>
      <w:r>
        <w:rPr>
          <w:spacing w:val="-1"/>
        </w:rPr>
        <w:t>个交易日公司股票交易均价的</w:t>
      </w:r>
      <w:r>
        <w:rPr>
          <w:rFonts w:ascii="Times New Roman" w:hAnsi="Times New Roman" w:cs="Times New Roman" w:eastAsia="Times New Roman" w:hint="default"/>
          <w:spacing w:val="-1"/>
        </w:rPr>
        <w:t>90%</w:t>
      </w:r>
      <w:r>
        <w:rPr>
          <w:spacing w:val="-1"/>
        </w:rPr>
        <w:t>（定价基准日前</w:t>
      </w:r>
      <w:r>
        <w:rPr>
          <w:rFonts w:ascii="Times New Roman" w:hAnsi="Times New Roman" w:cs="Times New Roman" w:eastAsia="Times New Roman" w:hint="default"/>
          <w:spacing w:val="-1"/>
        </w:rPr>
        <w:t>20</w:t>
      </w:r>
      <w:r>
        <w:rPr>
          <w:spacing w:val="-1"/>
        </w:rPr>
        <w:t>个交易日股票交易均价</w:t>
      </w:r>
      <w:r>
        <w:rPr>
          <w:rFonts w:ascii="Times New Roman" w:hAnsi="Times New Roman" w:cs="Times New Roman" w:eastAsia="Times New Roman" w:hint="default"/>
          <w:spacing w:val="-1"/>
        </w:rPr>
        <w:t>=</w:t>
      </w:r>
      <w:r>
        <w:rPr>
          <w:spacing w:val="-1"/>
        </w:rPr>
        <w:t>定价基准日前</w:t>
      </w:r>
      <w:r>
        <w:rPr>
          <w:rFonts w:ascii="Times New Roman" w:hAnsi="Times New Roman" w:cs="Times New Roman" w:eastAsia="Times New Roman" w:hint="default"/>
          <w:spacing w:val="-1"/>
        </w:rPr>
        <w:t>20</w:t>
      </w:r>
      <w:r>
        <w:rPr>
          <w:spacing w:val="-1"/>
        </w:rPr>
        <w:t>个</w:t>
      </w:r>
      <w:r>
        <w:rPr>
          <w:spacing w:val="-56"/>
        </w:rPr>
        <w:t> </w:t>
      </w:r>
      <w:r>
        <w:rPr/>
        <w:t>交易日股票交易总额</w:t>
      </w:r>
      <w:r>
        <w:rPr>
          <w:rFonts w:ascii="Times New Roman" w:hAnsi="Times New Roman" w:cs="Times New Roman" w:eastAsia="Times New Roman" w:hint="default"/>
        </w:rPr>
        <w:t>/</w:t>
      </w:r>
      <w:r>
        <w:rPr/>
        <w:t>定价基准日前</w:t>
      </w:r>
      <w:r>
        <w:rPr>
          <w:rFonts w:ascii="Times New Roman" w:hAnsi="Times New Roman" w:cs="Times New Roman" w:eastAsia="Times New Roman" w:hint="default"/>
        </w:rPr>
        <w:t>20</w:t>
      </w:r>
      <w:r>
        <w:rPr/>
        <w:t>个交易日股票交易总量）。在本次发行的定价基准日至发行日期间，公司如有派发股</w:t>
      </w:r>
      <w:r>
        <w:rPr>
          <w:spacing w:val="-50"/>
        </w:rPr>
        <w:t> </w:t>
      </w:r>
      <w:r>
        <w:rPr>
          <w:spacing w:val="-50"/>
        </w:rPr>
      </w:r>
      <w:r>
        <w:rPr/>
        <w:t>利、送红股、转增股本、增发新股或配股等除权、除息行为的，将对发行价格进行相应调整。</w:t>
      </w:r>
    </w:p>
    <w:p>
      <w:pPr>
        <w:pStyle w:val="BodyText"/>
        <w:spacing w:line="300" w:lineRule="auto" w:before="31"/>
        <w:ind w:left="513" w:right="1118"/>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）发行对象 </w:t>
      </w:r>
      <w:r>
        <w:rPr>
          <w:spacing w:val="-1"/>
        </w:rPr>
        <w:t>本次非公开发行</w:t>
      </w:r>
      <w:r>
        <w:rPr>
          <w:rFonts w:ascii="Times New Roman" w:hAnsi="Times New Roman" w:cs="Times New Roman" w:eastAsia="Times New Roman" w:hint="default"/>
          <w:spacing w:val="-1"/>
        </w:rPr>
        <w:t>A</w:t>
      </w:r>
      <w:r>
        <w:rPr>
          <w:spacing w:val="-1"/>
        </w:rPr>
        <w:t>股股票的数量为</w:t>
      </w:r>
      <w:r>
        <w:rPr>
          <w:rFonts w:ascii="Times New Roman" w:hAnsi="Times New Roman" w:cs="Times New Roman" w:eastAsia="Times New Roman" w:hint="default"/>
          <w:spacing w:val="-1"/>
        </w:rPr>
        <w:t>397,603,482</w:t>
      </w:r>
      <w:r>
        <w:rPr>
          <w:spacing w:val="-1"/>
        </w:rPr>
        <w:t>股，其中乾德精一认购数量为</w:t>
      </w:r>
      <w:r>
        <w:rPr>
          <w:rFonts w:ascii="Times New Roman" w:hAnsi="Times New Roman" w:cs="Times New Roman" w:eastAsia="Times New Roman" w:hint="default"/>
          <w:spacing w:val="-1"/>
        </w:rPr>
        <w:t>72,000,000</w:t>
      </w:r>
      <w:r>
        <w:rPr>
          <w:spacing w:val="-1"/>
        </w:rPr>
        <w:t>股；张振新认购数量为</w:t>
      </w:r>
      <w:r>
        <w:rPr>
          <w:rFonts w:ascii="Times New Roman" w:hAnsi="Times New Roman" w:cs="Times New Roman" w:eastAsia="Times New Roman" w:hint="default"/>
          <w:spacing w:val="-1"/>
        </w:rPr>
        <w:t>60,000,000</w:t>
      </w:r>
    </w:p>
    <w:p>
      <w:pPr>
        <w:pStyle w:val="BodyText"/>
        <w:spacing w:line="300" w:lineRule="auto" w:before="13"/>
        <w:ind w:right="1132"/>
        <w:jc w:val="both"/>
      </w:pPr>
      <w:r>
        <w:rPr/>
        <w:t>股；王永彬认购数量为</w:t>
      </w:r>
      <w:r>
        <w:rPr>
          <w:rFonts w:ascii="Times New Roman" w:hAnsi="Times New Roman" w:cs="Times New Roman" w:eastAsia="Times New Roman" w:hint="default"/>
        </w:rPr>
        <w:t>54,466,230</w:t>
      </w:r>
      <w:r>
        <w:rPr/>
        <w:t>股；嘉兴天授认购数量为</w:t>
      </w:r>
      <w:r>
        <w:rPr>
          <w:rFonts w:ascii="Times New Roman" w:hAnsi="Times New Roman" w:cs="Times New Roman" w:eastAsia="Times New Roman" w:hint="default"/>
        </w:rPr>
        <w:t>50,000,000</w:t>
      </w:r>
      <w:r>
        <w:rPr/>
        <w:t>股；嘉兴亚安认购数量为</w:t>
      </w:r>
      <w:r>
        <w:rPr>
          <w:rFonts w:ascii="Times New Roman" w:hAnsi="Times New Roman" w:cs="Times New Roman" w:eastAsia="Times New Roman" w:hint="default"/>
        </w:rPr>
        <w:t>46,976,034</w:t>
      </w:r>
      <w:r>
        <w:rPr/>
        <w:t>股；嘉兴邦利认购 数量为</w:t>
      </w:r>
      <w:r>
        <w:rPr>
          <w:rFonts w:ascii="Times New Roman" w:hAnsi="Times New Roman" w:cs="Times New Roman" w:eastAsia="Times New Roman" w:hint="default"/>
        </w:rPr>
        <w:t>41,448,801</w:t>
      </w:r>
      <w:r>
        <w:rPr/>
        <w:t>股；嘉兴豪力认购数量为</w:t>
      </w:r>
      <w:r>
        <w:rPr>
          <w:rFonts w:ascii="Times New Roman" w:hAnsi="Times New Roman" w:cs="Times New Roman" w:eastAsia="Times New Roman" w:hint="default"/>
        </w:rPr>
        <w:t>38,289,760</w:t>
      </w:r>
      <w:r>
        <w:rPr/>
        <w:t>股；北京鹏康投资认购数量为</w:t>
      </w:r>
      <w:r>
        <w:rPr>
          <w:rFonts w:ascii="Times New Roman" w:hAnsi="Times New Roman" w:cs="Times New Roman" w:eastAsia="Times New Roman" w:hint="default"/>
        </w:rPr>
        <w:t>16,339,869</w:t>
      </w:r>
      <w:r>
        <w:rPr/>
        <w:t>股；深圳汇成中通认购数量为 </w:t>
      </w:r>
      <w:r>
        <w:rPr>
          <w:rFonts w:ascii="Times New Roman" w:hAnsi="Times New Roman" w:cs="Times New Roman" w:eastAsia="Times New Roman" w:hint="default"/>
        </w:rPr>
        <w:t>13,071,895</w:t>
      </w:r>
      <w:r>
        <w:rPr/>
        <w:t>股；深圳广汇兴通（员工持股平台）认购数量为</w:t>
      </w:r>
      <w:r>
        <w:rPr>
          <w:rFonts w:ascii="Times New Roman" w:hAnsi="Times New Roman" w:cs="Times New Roman" w:eastAsia="Times New Roman" w:hint="default"/>
        </w:rPr>
        <w:t>5,010,893</w:t>
      </w:r>
      <w:r>
        <w:rPr/>
        <w:t>股。</w:t>
      </w:r>
    </w:p>
    <w:p>
      <w:pPr>
        <w:pStyle w:val="BodyText"/>
        <w:spacing w:line="240" w:lineRule="auto" w:before="13"/>
        <w:ind w:left="513" w:right="1118"/>
        <w:jc w:val="left"/>
      </w:pPr>
      <w:r>
        <w:rPr/>
        <w:t>（</w:t>
      </w:r>
      <w:r>
        <w:rPr>
          <w:rFonts w:ascii="Times New Roman" w:hAnsi="Times New Roman" w:cs="Times New Roman" w:eastAsia="Times New Roman" w:hint="default"/>
        </w:rPr>
        <w:t>3</w:t>
      </w:r>
      <w:r>
        <w:rPr/>
        <w:t>）本次非公开发行股票募集资金的用途</w:t>
      </w:r>
    </w:p>
    <w:p>
      <w:pPr>
        <w:pStyle w:val="BodyText"/>
        <w:spacing w:line="300" w:lineRule="auto" w:before="63"/>
        <w:ind w:right="1118" w:firstLine="360"/>
        <w:jc w:val="left"/>
      </w:pPr>
      <w:r>
        <w:rPr/>
        <w:t>公司本次非公开发行股票募集资金上限为 </w:t>
      </w:r>
      <w:r>
        <w:rPr>
          <w:rFonts w:ascii="Times New Roman" w:hAnsi="Times New Roman" w:cs="Times New Roman" w:eastAsia="Times New Roman" w:hint="default"/>
        </w:rPr>
        <w:t>365,000</w:t>
      </w:r>
      <w:r>
        <w:rPr>
          <w:rFonts w:ascii="Times New Roman" w:hAnsi="Times New Roman" w:cs="Times New Roman" w:eastAsia="Times New Roman" w:hint="default"/>
          <w:spacing w:val="34"/>
        </w:rPr>
        <w:t> </w:t>
      </w:r>
      <w:r>
        <w:rPr/>
        <w:t>万元（包括发行费用），扣除发行费用后，募集资金将投入以下项 目：</w:t>
      </w:r>
    </w:p>
    <w:p>
      <w:pPr>
        <w:pStyle w:val="BodyText"/>
        <w:spacing w:line="240" w:lineRule="auto" w:before="31"/>
        <w:ind w:left="5949" w:right="3401"/>
        <w:jc w:val="center"/>
      </w:pPr>
      <w:r>
        <w:rPr/>
        <w:t>单位：万元</w:t>
      </w:r>
    </w:p>
    <w:p>
      <w:pPr>
        <w:spacing w:line="240" w:lineRule="auto" w:before="0"/>
        <w:rPr>
          <w:rFonts w:ascii="宋体" w:hAnsi="宋体" w:cs="宋体" w:eastAsia="宋体" w:hint="default"/>
          <w:sz w:val="5"/>
          <w:szCs w:val="5"/>
        </w:rPr>
      </w:pPr>
    </w:p>
    <w:tbl>
      <w:tblPr>
        <w:tblW w:w="0" w:type="auto"/>
        <w:jc w:val="left"/>
        <w:tblInd w:w="705" w:type="dxa"/>
        <w:tblLayout w:type="fixed"/>
        <w:tblCellMar>
          <w:top w:w="0" w:type="dxa"/>
          <w:left w:w="0" w:type="dxa"/>
          <w:bottom w:w="0" w:type="dxa"/>
          <w:right w:w="0" w:type="dxa"/>
        </w:tblCellMar>
        <w:tblLook w:val="01E0"/>
      </w:tblPr>
      <w:tblGrid>
        <w:gridCol w:w="698"/>
        <w:gridCol w:w="3663"/>
        <w:gridCol w:w="2249"/>
        <w:gridCol w:w="1913"/>
      </w:tblGrid>
      <w:tr>
        <w:trPr>
          <w:trHeight w:val="427" w:hRule="exact"/>
        </w:trPr>
        <w:tc>
          <w:tcPr>
            <w:tcW w:w="6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所需资金总额</w:t>
            </w:r>
            <w:r>
              <w:rPr>
                <w:rFonts w:ascii="宋体" w:hAnsi="宋体" w:cs="宋体" w:eastAsia="宋体" w:hint="default"/>
                <w:sz w:val="18"/>
                <w:szCs w:val="18"/>
              </w:rPr>
            </w:r>
          </w:p>
        </w:tc>
        <w:tc>
          <w:tcPr>
            <w:tcW w:w="19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募集资金投资额</w:t>
            </w:r>
            <w:r>
              <w:rPr>
                <w:rFonts w:ascii="宋体" w:hAnsi="宋体" w:cs="宋体" w:eastAsia="宋体" w:hint="default"/>
                <w:sz w:val="18"/>
                <w:szCs w:val="18"/>
              </w:rPr>
            </w:r>
          </w:p>
        </w:tc>
      </w:tr>
      <w:tr>
        <w:trPr>
          <w:trHeight w:val="739"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21"/>
              <w:jc w:val="left"/>
              <w:rPr>
                <w:rFonts w:ascii="宋体" w:hAnsi="宋体" w:cs="宋体" w:eastAsia="宋体" w:hint="default"/>
                <w:sz w:val="18"/>
                <w:szCs w:val="18"/>
              </w:rPr>
            </w:pPr>
            <w:r>
              <w:rPr>
                <w:rFonts w:ascii="宋体" w:hAnsi="宋体" w:cs="宋体" w:eastAsia="宋体" w:hint="default"/>
                <w:sz w:val="18"/>
                <w:szCs w:val="18"/>
              </w:rPr>
              <w:t>基于物联网技术的综合研发平台及物联网</w:t>
            </w:r>
            <w:r>
              <w:rPr>
                <w:rFonts w:ascii="Times New Roman" w:hAnsi="Times New Roman" w:cs="Times New Roman" w:eastAsia="Times New Roman" w:hint="default"/>
                <w:sz w:val="18"/>
                <w:szCs w:val="18"/>
              </w:rPr>
              <w:t>+</w:t>
            </w:r>
            <w:r>
              <w:rPr>
                <w:rFonts w:ascii="宋体" w:hAnsi="宋体" w:cs="宋体" w:eastAsia="宋体" w:hint="default"/>
                <w:sz w:val="18"/>
                <w:szCs w:val="18"/>
              </w:rPr>
              <w:t>行 业解决方案项目</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110,275.20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w:t>
            </w:r>
          </w:p>
        </w:tc>
      </w:tr>
      <w:tr>
        <w:trPr>
          <w:trHeight w:val="428"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金融科技云服务平台项目</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95,319.00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95,000.00</w:t>
            </w:r>
          </w:p>
        </w:tc>
      </w:tr>
      <w:tr>
        <w:trPr>
          <w:trHeight w:val="426"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收购盈华租赁</w:t>
            </w:r>
            <w:r>
              <w:rPr>
                <w:rFonts w:ascii="Times New Roman" w:hAnsi="Times New Roman" w:cs="Times New Roman" w:eastAsia="Times New Roman" w:hint="default"/>
                <w:sz w:val="18"/>
                <w:szCs w:val="18"/>
              </w:rPr>
              <w:t>74.64%</w:t>
            </w:r>
            <w:r>
              <w:rPr>
                <w:rFonts w:ascii="宋体" w:hAnsi="宋体" w:cs="宋体" w:eastAsia="宋体" w:hint="default"/>
                <w:sz w:val="18"/>
                <w:szCs w:val="18"/>
              </w:rPr>
              <w:t>股权并对盈华租赁增资</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99,496.10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99,000.00</w:t>
            </w:r>
          </w:p>
        </w:tc>
      </w:tr>
      <w:tr>
        <w:trPr>
          <w:trHeight w:val="427" w:hRule="exact"/>
        </w:trPr>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61,000.00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61,000.00</w:t>
            </w:r>
          </w:p>
        </w:tc>
      </w:tr>
      <w:tr>
        <w:trPr>
          <w:trHeight w:val="428" w:hRule="exact"/>
        </w:trPr>
        <w:tc>
          <w:tcPr>
            <w:tcW w:w="698" w:type="dxa"/>
            <w:tcBorders>
              <w:top w:val="single" w:sz="6" w:space="0" w:color="000000"/>
              <w:left w:val="single" w:sz="6" w:space="0" w:color="000000"/>
              <w:bottom w:val="single" w:sz="6" w:space="0" w:color="000000"/>
              <w:right w:val="single" w:sz="6" w:space="0" w:color="000000"/>
            </w:tcBorders>
          </w:tcPr>
          <w:p>
            <w:pPr/>
          </w:p>
        </w:tc>
        <w:tc>
          <w:tcPr>
            <w:tcW w:w="3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366,090.30</w:t>
            </w:r>
            <w:r>
              <w:rPr>
                <w:rFonts w:ascii="Times New Roman"/>
                <w:sz w:val="18"/>
              </w:rPr>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b/>
                <w:sz w:val="18"/>
              </w:rPr>
              <w:t>365,000.00</w:t>
            </w:r>
            <w:r>
              <w:rPr>
                <w:rFonts w:ascii="Times New Roman"/>
                <w:sz w:val="18"/>
              </w:rPr>
            </w:r>
          </w:p>
        </w:tc>
      </w:tr>
    </w:tbl>
    <w:p>
      <w:pPr>
        <w:pStyle w:val="BodyText"/>
        <w:spacing w:line="240" w:lineRule="auto" w:before="10"/>
        <w:ind w:left="625" w:right="1118"/>
        <w:jc w:val="left"/>
      </w:pPr>
      <w:r>
        <w:rPr/>
        <w:t>截止报告日，尚未通过中国证券监督管理委员会审核。</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七、母公司财务报表主要项目注释" w:id="372"/>
      <w:bookmarkEnd w:id="372"/>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应收账款" w:id="373"/>
      <w:bookmarkEnd w:id="37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应收账款分类披露" w:id="374"/>
      <w:bookmarkEnd w:id="37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40,928,1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40,928,1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41,115,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271.61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41,115,27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348,023,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371.55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89.48%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5,450,53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342,572,8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401,516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,263.70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16,814,29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384,701,96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388,951,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539.76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46,378,7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03.69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342,572,8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442,631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,535.31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57,929,56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384,701,96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559"/>
        <w:gridCol w:w="1277"/>
        <w:gridCol w:w="2907"/>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1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3,727,888.92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四川美达机电有限责任公司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深圳市星鸣贸易有限公司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7,739,473.49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兖矿集团有限公司信息中心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4,269,469.20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7"/>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浙江省电力公司台州电业局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2,597,008.60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2,597,008.60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2,245,428.00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6"/>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7"/>
              <w:jc w:val="center"/>
              <w:rPr>
                <w:rFonts w:ascii="宋体" w:hAnsi="宋体" w:cs="宋体" w:eastAsia="宋体" w:hint="default"/>
                <w:sz w:val="18"/>
                <w:szCs w:val="18"/>
              </w:rPr>
            </w:pPr>
            <w:r>
              <w:rPr>
                <w:rFonts w:ascii="宋体" w:hAnsi="宋体" w:cs="宋体" w:eastAsia="宋体" w:hint="default"/>
                <w:sz w:val="18"/>
                <w:szCs w:val="18"/>
              </w:rPr>
              <w:t>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年以上，收回可能性较小。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40,928,168.21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40,928,168.21</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268,773,393.01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38,882,821.18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777,656.42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34,005,524.10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3,400,552.41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6,361,633.26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1,272,326.65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348,023,371.55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5,450,535.48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2）本期计提、收回或转回的坏账准备情况" w:id="375"/>
      <w:bookmarkEnd w:id="37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本期计提坏账准备金额</w:t>
      </w:r>
      <w:r>
        <w:rPr>
          <w:spacing w:val="-47"/>
        </w:rPr>
        <w:t> </w:t>
      </w:r>
      <w:r>
        <w:rPr>
          <w:rFonts w:ascii="Times New Roman" w:hAnsi="Times New Roman" w:cs="Times New Roman" w:eastAsia="Times New Roman" w:hint="default"/>
        </w:rPr>
        <w:t>2,408,275.26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按欠款方归集的期末余额前五名的应收账款情况" w:id="376"/>
      <w:bookmarkEnd w:id="37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3"/>
        <w:jc w:val="right"/>
      </w:pPr>
      <w:r>
        <w:rPr>
          <w:spacing w:val="3"/>
        </w:rPr>
        <w:t>本公司本年按欠款方归集的年末余额前五名应收账款汇总金额</w:t>
      </w:r>
      <w:r>
        <w:rPr>
          <w:rFonts w:ascii="Times New Roman" w:hAnsi="Times New Roman" w:cs="Times New Roman" w:eastAsia="Times New Roman" w:hint="default"/>
          <w:spacing w:val="3"/>
        </w:rPr>
        <w:t>149,291,547.34</w:t>
      </w:r>
      <w:r>
        <w:rPr>
          <w:spacing w:val="3"/>
        </w:rPr>
        <w:t>元，占应收账款年末余额合计数的比例</w:t>
      </w:r>
    </w:p>
    <w:p>
      <w:pPr>
        <w:pStyle w:val="BodyText"/>
        <w:spacing w:line="240" w:lineRule="auto" w:before="63"/>
        <w:ind w:left="154" w:right="1118"/>
        <w:jc w:val="left"/>
      </w:pPr>
      <w:r>
        <w:rPr>
          <w:rFonts w:ascii="Times New Roman" w:hAnsi="Times New Roman" w:cs="Times New Roman" w:eastAsia="Times New Roman" w:hint="default"/>
        </w:rPr>
        <w:t>38.38%</w:t>
      </w:r>
      <w:r>
        <w:rPr/>
        <w:t>，相应计提的坏账准备年末余额汇总金额</w:t>
      </w:r>
      <w:r>
        <w:rPr>
          <w:rFonts w:ascii="Times New Roman" w:hAnsi="Times New Roman" w:cs="Times New Roman" w:eastAsia="Times New Roman" w:hint="default"/>
        </w:rPr>
        <w:t>1,174,430.53</w:t>
      </w:r>
      <w:r>
        <w:rPr/>
        <w:t>元。</w:t>
      </w:r>
    </w:p>
    <w:p>
      <w:pPr>
        <w:spacing w:line="240" w:lineRule="auto" w:before="11"/>
        <w:rPr>
          <w:rFonts w:ascii="宋体" w:hAnsi="宋体" w:cs="宋体" w:eastAsia="宋体" w:hint="default"/>
          <w:sz w:val="25"/>
          <w:szCs w:val="25"/>
        </w:rPr>
      </w:pPr>
    </w:p>
    <w:p>
      <w:pPr>
        <w:pStyle w:val="Heading3"/>
        <w:spacing w:line="240" w:lineRule="auto"/>
        <w:ind w:left="154" w:right="1118"/>
        <w:jc w:val="left"/>
        <w:rPr>
          <w:b w:val="0"/>
          <w:bCs w:val="0"/>
        </w:rPr>
      </w:pPr>
      <w:bookmarkStart w:name="（4）因金融资产转移而终止确认的应收账款" w:id="377"/>
      <w:bookmarkEnd w:id="377"/>
      <w:r>
        <w:rPr>
          <w:b w:val="0"/>
          <w:bCs w:val="0"/>
        </w:rPr>
      </w: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50"/>
        <w:gridCol w:w="3249"/>
        <w:gridCol w:w="3250"/>
      </w:tblGrid>
      <w:tr>
        <w:trPr>
          <w:trHeight w:val="341" w:hRule="exact"/>
        </w:trPr>
        <w:tc>
          <w:tcPr>
            <w:tcW w:w="3250"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金融资产转移方式</w:t>
            </w:r>
          </w:p>
        </w:tc>
        <w:tc>
          <w:tcPr>
            <w:tcW w:w="3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629"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250"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20"/>
              <w:ind w:left="719" w:right="0"/>
              <w:jc w:val="left"/>
              <w:rPr>
                <w:rFonts w:ascii="宋体" w:hAnsi="宋体" w:cs="宋体" w:eastAsia="宋体" w:hint="default"/>
                <w:sz w:val="18"/>
                <w:szCs w:val="18"/>
              </w:rPr>
            </w:pPr>
            <w:r>
              <w:rPr>
                <w:rFonts w:ascii="宋体" w:hAnsi="宋体" w:cs="宋体" w:eastAsia="宋体" w:hint="default"/>
                <w:sz w:val="18"/>
                <w:szCs w:val="18"/>
              </w:rPr>
              <w:t>与终止确认相关的利得</w:t>
            </w:r>
          </w:p>
        </w:tc>
      </w:tr>
      <w:tr>
        <w:trPr>
          <w:trHeight w:val="343"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应收账款转让</w:t>
            </w:r>
          </w:p>
        </w:tc>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98,061,729.49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8,915,643.40</w:t>
            </w:r>
          </w:p>
        </w:tc>
      </w:tr>
      <w:tr>
        <w:trPr>
          <w:trHeight w:val="342"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98,061,729.49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8,915,643.40</w:t>
            </w:r>
          </w:p>
        </w:tc>
      </w:tr>
    </w:tbl>
    <w:p>
      <w:pPr>
        <w:pStyle w:val="BodyText"/>
        <w:spacing w:line="240" w:lineRule="auto" w:before="10"/>
        <w:ind w:left="634" w:right="1118"/>
        <w:jc w:val="left"/>
      </w:pPr>
      <w:r>
        <w:rPr/>
        <w:t>注：详见附注六、</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2、其他应收款" w:id="378"/>
      <w:bookmarkEnd w:id="37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其他应收款分类披露" w:id="379"/>
      <w:bookmarkEnd w:id="37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169,933,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544.04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1,232,97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168,700,5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72.17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137,972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,609.44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5,958,377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132,014,23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1,166,73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1,166,73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580,398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580,398.7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171,100,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280.74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2,399,70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168,700,5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72.17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138,553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,008.14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6,538,775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132,014,23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2.40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160,049,398.98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2,247,710.11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44,954.20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3,392,693.24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339,269.32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4,243,741.71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848,748.35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169,933,544.04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1,232,971.87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本期计提、收回或转回的坏账准备情况" w:id="380"/>
      <w:bookmarkEnd w:id="38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18"/>
        <w:jc w:val="left"/>
      </w:pPr>
      <w:r>
        <w:rPr/>
        <w:t>本期计提坏账准备金额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60,173.70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其他应收款按款项性质分类情况" w:id="381"/>
      <w:bookmarkEnd w:id="38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债务转让款等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96,877,781.57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11,848,696.13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57,077,529.67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83,490,518.92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17,144,969.50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43,213,793.09</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171,100,280.74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138,553,008.14</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4）按欠款方归集的期末余额前五名的其他应收款情况" w:id="382"/>
      <w:bookmarkEnd w:id="38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深圳浩瀚天成投资发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96,877,781.57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南京凌云科技发展有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17,876,104.30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湖南键桥通讯技术有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8,423,624.06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深圳键桥智能技术有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5,942,226.76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深圳广大信息技术有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133,079,736.69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78.43%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因金融资产转移而终止确认的其他应收款" w:id="383"/>
      <w:bookmarkEnd w:id="383"/>
      <w:r>
        <w:rPr>
          <w:b w:val="0"/>
          <w:bCs w:val="0"/>
        </w:rPr>
      </w:r>
      <w:r>
        <w:rPr/>
        <w:t>（</w:t>
      </w:r>
      <w:r>
        <w:rPr>
          <w:rFonts w:ascii="Times New Roman" w:hAnsi="Times New Roman" w:cs="Times New Roman" w:eastAsia="Times New Roman" w:hint="default"/>
        </w:rPr>
        <w:t>5</w:t>
      </w:r>
      <w:r>
        <w:rPr/>
        <w:t>）因金融资产转移而终止确认的其他应收款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3296"/>
        <w:gridCol w:w="3298"/>
      </w:tblGrid>
      <w:tr>
        <w:trPr>
          <w:trHeight w:val="342" w:hRule="exact"/>
        </w:trPr>
        <w:tc>
          <w:tcPr>
            <w:tcW w:w="3297"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金融资产转移方式</w:t>
            </w:r>
          </w:p>
        </w:tc>
        <w:tc>
          <w:tcPr>
            <w:tcW w:w="3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终止确认的其他应收款金额</w:t>
            </w:r>
          </w:p>
        </w:tc>
        <w:tc>
          <w:tcPr>
            <w:tcW w:w="3298"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21"/>
              <w:ind w:left="744" w:right="0"/>
              <w:jc w:val="left"/>
              <w:rPr>
                <w:rFonts w:ascii="宋体" w:hAnsi="宋体" w:cs="宋体" w:eastAsia="宋体" w:hint="default"/>
                <w:sz w:val="18"/>
                <w:szCs w:val="18"/>
              </w:rPr>
            </w:pPr>
            <w:r>
              <w:rPr>
                <w:rFonts w:ascii="宋体" w:hAnsi="宋体" w:cs="宋体" w:eastAsia="宋体" w:hint="default"/>
                <w:sz w:val="18"/>
                <w:szCs w:val="18"/>
              </w:rPr>
              <w:t>与终止确认相关的损失</w:t>
            </w:r>
          </w:p>
        </w:tc>
      </w:tr>
      <w:tr>
        <w:trPr>
          <w:trHeight w:val="342" w:hRule="exact"/>
        </w:trPr>
        <w:tc>
          <w:tcPr>
            <w:tcW w:w="3297"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sz w:val="18"/>
                <w:szCs w:val="18"/>
              </w:rPr>
              <w:t>其他应收款转让</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22,433,075.60</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spacing w:val="-1"/>
                <w:sz w:val="20"/>
              </w:rPr>
              <w:t>1,857,721.86</w:t>
            </w:r>
          </w:p>
        </w:tc>
      </w:tr>
      <w:tr>
        <w:trPr>
          <w:trHeight w:val="343" w:hRule="exact"/>
        </w:trPr>
        <w:tc>
          <w:tcPr>
            <w:tcW w:w="3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22,433,075.60</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20"/>
                <w:szCs w:val="20"/>
              </w:rPr>
            </w:pPr>
            <w:r>
              <w:rPr>
                <w:rFonts w:ascii="Times New Roman"/>
                <w:spacing w:val="-1"/>
                <w:sz w:val="20"/>
              </w:rPr>
              <w:t>1,857,721.86</w:t>
            </w:r>
          </w:p>
        </w:tc>
      </w:tr>
    </w:tbl>
    <w:p>
      <w:pPr>
        <w:pStyle w:val="BodyText"/>
        <w:spacing w:line="240" w:lineRule="auto" w:before="10"/>
        <w:ind w:left="514" w:right="1118"/>
        <w:jc w:val="left"/>
      </w:pPr>
      <w:r>
        <w:rPr/>
        <w:t>注：详见附注六、</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w:t>
      </w:r>
    </w:p>
    <w:p>
      <w:pPr>
        <w:spacing w:line="240" w:lineRule="auto" w:before="11"/>
        <w:rPr>
          <w:rFonts w:ascii="宋体" w:hAnsi="宋体" w:cs="宋体" w:eastAsia="宋体" w:hint="default"/>
          <w:sz w:val="25"/>
          <w:szCs w:val="25"/>
        </w:rPr>
      </w:pPr>
    </w:p>
    <w:p>
      <w:pPr>
        <w:pStyle w:val="Heading3"/>
        <w:spacing w:line="240" w:lineRule="auto"/>
        <w:ind w:left="154" w:right="1118"/>
        <w:jc w:val="left"/>
        <w:rPr>
          <w:b w:val="0"/>
          <w:bCs w:val="0"/>
        </w:rPr>
      </w:pPr>
      <w:bookmarkStart w:name="3、长期股权投资" w:id="384"/>
      <w:bookmarkEnd w:id="38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336,093,992.50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336,093,992.50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161,544,324.99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161,544,324.99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497,638,317.49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497,638,317.49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1）对子公司投资" w:id="385"/>
      <w:bookmarkEnd w:id="38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57,250,000.00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深圳键桥资产管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键桥国际（香港） 投资有限公司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61,612,500.00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61,612,500.00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大连先锋投资管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嘉兴德玖投资合 伙企业（有限合 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键桥投资（香港） 有限公司</w:t>
            </w:r>
          </w:p>
        </w:tc>
        <w:tc>
          <w:tcPr>
            <w:tcW w:w="1336" w:type="dxa"/>
            <w:tcBorders>
              <w:top w:val="single" w:sz="4" w:space="0" w:color="000000"/>
              <w:left w:val="single" w:sz="13" w:space="0" w:color="FFFFFF"/>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17,093,992.50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17,093,992.50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深圳键桥轨道交 通有限公司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深圳键桥菁英科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深圳键桥智能技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深圳网信金融科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208,862,500.00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247,093,992.50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119,862,500.00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336,093,992.50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2）对联营、合营企业投资" w:id="386"/>
      <w:bookmarkEnd w:id="38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3,012,090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153,012,0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天津九盈 科技发展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-1,467,76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6,532,234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160,000,0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1,544,324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161,544,3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85"/>
        <w:gridCol w:w="798"/>
        <w:gridCol w:w="797"/>
        <w:gridCol w:w="798"/>
        <w:gridCol w:w="798"/>
        <w:gridCol w:w="798"/>
        <w:gridCol w:w="798"/>
        <w:gridCol w:w="798"/>
        <w:gridCol w:w="798"/>
        <w:gridCol w:w="798"/>
        <w:gridCol w:w="798"/>
        <w:gridCol w:w="798"/>
      </w:tblGrid>
      <w:tr>
        <w:trPr>
          <w:trHeight w:val="362"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24.99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1,544,324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161,544,3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24.99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3）其他说明" w:id="387"/>
      <w:bookmarkEnd w:id="38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firstLine="360"/>
        <w:jc w:val="both"/>
      </w:pPr>
      <w:r>
        <w:rPr/>
        <w:t>注：①本年增加子公司</w:t>
      </w:r>
      <w:r>
        <w:rPr>
          <w:rFonts w:ascii="Times New Roman" w:hAnsi="Times New Roman" w:cs="Times New Roman" w:eastAsia="Times New Roman" w:hint="default"/>
        </w:rPr>
        <w:t>7</w:t>
      </w:r>
      <w:r>
        <w:rPr/>
        <w:t>家，其中：收购子公司</w:t>
      </w:r>
      <w:r>
        <w:rPr>
          <w:rFonts w:ascii="Times New Roman" w:hAnsi="Times New Roman" w:cs="Times New Roman" w:eastAsia="Times New Roman" w:hint="default"/>
        </w:rPr>
        <w:t>1</w:t>
      </w:r>
      <w:r>
        <w:rPr/>
        <w:t>家即大连先锋投资管理有限公司；新设子公司</w:t>
      </w:r>
      <w:r>
        <w:rPr>
          <w:rFonts w:ascii="Times New Roman" w:hAnsi="Times New Roman" w:cs="Times New Roman" w:eastAsia="Times New Roman" w:hint="default"/>
        </w:rPr>
        <w:t>5</w:t>
      </w:r>
      <w:r>
        <w:rPr/>
        <w:t>家即键桥投资（香港） </w:t>
      </w:r>
      <w:r>
        <w:rPr>
          <w:spacing w:val="-2"/>
        </w:rPr>
        <w:t>有限公司、深圳键桥轨道交通有限公司、深圳键桥菁英科技有限公司、深圳键桥智能技术有限公司及深圳网信金融科技发展</w:t>
      </w:r>
      <w:r>
        <w:rPr>
          <w:spacing w:val="-66"/>
        </w:rPr>
        <w:t> </w:t>
      </w:r>
      <w:r>
        <w:rPr>
          <w:spacing w:val="-66"/>
        </w:rPr>
      </w:r>
      <w:r>
        <w:rPr>
          <w:spacing w:val="-2"/>
        </w:rPr>
        <w:t>有限公司（深圳键桥菁英科技有限公司、深圳键桥智能技术有限公司及深圳网信金融科技发展有限公司已取得营业执照、尚</w:t>
      </w:r>
      <w:r>
        <w:rPr>
          <w:spacing w:val="-66"/>
        </w:rPr>
        <w:t> </w:t>
      </w:r>
      <w:r>
        <w:rPr>
          <w:spacing w:val="-66"/>
        </w:rPr>
      </w:r>
      <w:r>
        <w:rPr/>
        <w:t>未实际投资），新入伙合伙企业</w:t>
      </w:r>
      <w:r>
        <w:rPr>
          <w:rFonts w:ascii="Times New Roman" w:hAnsi="Times New Roman" w:cs="Times New Roman" w:eastAsia="Times New Roman" w:hint="default"/>
        </w:rPr>
        <w:t>1</w:t>
      </w:r>
      <w:r>
        <w:rPr/>
        <w:t>家即嘉兴德玖投资合伙企业（有限合伙）。</w:t>
      </w:r>
    </w:p>
    <w:p>
      <w:pPr>
        <w:pStyle w:val="BodyText"/>
        <w:spacing w:line="300" w:lineRule="auto" w:before="3"/>
        <w:ind w:right="1130" w:firstLine="360"/>
        <w:jc w:val="both"/>
      </w:pPr>
      <w:r>
        <w:rPr/>
        <w:t>②</w:t>
      </w:r>
      <w:r>
        <w:rPr>
          <w:rFonts w:ascii="Times New Roman" w:hAnsi="Times New Roman" w:cs="Times New Roman" w:eastAsia="Times New Roman" w:hint="default"/>
        </w:rPr>
        <w:t>2015</w:t>
      </w:r>
      <w:r>
        <w:rPr/>
        <w:t>年公司全资子公司键桥资产管理通过同一控制下的企业合并</w:t>
      </w:r>
      <w:r>
        <w:rPr>
          <w:rFonts w:ascii="Times New Roman" w:hAnsi="Times New Roman" w:cs="Times New Roman" w:eastAsia="Times New Roman" w:hint="default"/>
        </w:rPr>
        <w:t>,</w:t>
      </w:r>
      <w:r>
        <w:rPr/>
        <w:t>将原子公司键桥国际</w:t>
      </w:r>
      <w:r>
        <w:rPr>
          <w:rFonts w:ascii="Times New Roman" w:hAnsi="Times New Roman" w:cs="Times New Roman" w:eastAsia="Times New Roman" w:hint="default"/>
        </w:rPr>
        <w:t>100%</w:t>
      </w:r>
      <w:r>
        <w:rPr/>
        <w:t>股权与南京键桥</w:t>
      </w:r>
      <w:r>
        <w:rPr>
          <w:rFonts w:ascii="Times New Roman" w:hAnsi="Times New Roman" w:cs="Times New Roman" w:eastAsia="Times New Roman" w:hint="default"/>
        </w:rPr>
        <w:t>100%</w:t>
      </w:r>
      <w:r>
        <w:rPr/>
        <w:t>股 </w:t>
      </w:r>
      <w:r>
        <w:rPr>
          <w:spacing w:val="-1"/>
        </w:rPr>
        <w:t>权纳入了公司合并范围；</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日，公司将全资子公司键桥资产管理</w:t>
      </w:r>
      <w:r>
        <w:rPr>
          <w:rFonts w:ascii="Times New Roman" w:hAnsi="Times New Roman" w:cs="Times New Roman" w:eastAsia="Times New Roman" w:hint="default"/>
          <w:spacing w:val="-1"/>
        </w:rPr>
        <w:t>100%</w:t>
      </w:r>
      <w:r>
        <w:rPr>
          <w:spacing w:val="-1"/>
        </w:rPr>
        <w:t>股权（含原子公司键桥国际</w:t>
      </w:r>
      <w:r>
        <w:rPr>
          <w:rFonts w:ascii="Times New Roman" w:hAnsi="Times New Roman" w:cs="Times New Roman" w:eastAsia="Times New Roman" w:hint="default"/>
          <w:spacing w:val="-1"/>
        </w:rPr>
        <w:t>100%</w:t>
      </w:r>
      <w:r>
        <w:rPr>
          <w:spacing w:val="-1"/>
        </w:rPr>
        <w:t>股权与原子</w:t>
      </w:r>
      <w:r>
        <w:rPr>
          <w:spacing w:val="-53"/>
        </w:rPr>
        <w:t> </w:t>
      </w:r>
      <w:r>
        <w:rPr/>
        <w:t>公司南京键桥</w:t>
      </w:r>
      <w:r>
        <w:rPr>
          <w:rFonts w:ascii="Times New Roman" w:hAnsi="Times New Roman" w:cs="Times New Roman" w:eastAsia="Times New Roman" w:hint="default"/>
        </w:rPr>
        <w:t>100%</w:t>
      </w:r>
      <w:r>
        <w:rPr/>
        <w:t>股权）以</w:t>
      </w:r>
      <w:r>
        <w:rPr>
          <w:rFonts w:ascii="Times New Roman" w:hAnsi="Times New Roman" w:cs="Times New Roman" w:eastAsia="Times New Roman" w:hint="default"/>
        </w:rPr>
        <w:t>1</w:t>
      </w:r>
      <w:r>
        <w:rPr/>
        <w:t>元价格转让给浩瀚天成。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left="154" w:right="1118"/>
        <w:jc w:val="left"/>
        <w:rPr>
          <w:b w:val="0"/>
          <w:bCs w:val="0"/>
        </w:rPr>
      </w:pPr>
      <w:bookmarkStart w:name="4、营业收入和营业成本" w:id="388"/>
      <w:bookmarkEnd w:id="38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542,808,491.31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408,020,655.45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367,069,443.11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272,219,214.59</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2,280,244.08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127,693.66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545,088,735.39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408,148,349.11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367,069,443.11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272,219,214.59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18"/>
        <w:jc w:val="left"/>
        <w:rPr>
          <w:b w:val="0"/>
          <w:bCs w:val="0"/>
        </w:rPr>
      </w:pPr>
      <w:bookmarkStart w:name="5、投资收益" w:id="389"/>
      <w:bookmarkEnd w:id="38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1,544,324.99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-999,999.00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6,379,698.40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544,325.99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6,379,698.40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十八、补充资料" w:id="390"/>
      <w:bookmarkEnd w:id="39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当期非经常性损益明细表" w:id="391"/>
      <w:bookmarkEnd w:id="39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-13,482,959.13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25,166.83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12,349,881.07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6,903,202.14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1,545,997.22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-38,052.00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4,287,345.69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净资产收益率及每股收益" w:id="392"/>
      <w:bookmarkEnd w:id="39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0.0589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18"/>
        <w:jc w:val="left"/>
        <w:rPr>
          <w:b w:val="0"/>
          <w:bCs w:val="0"/>
        </w:rPr>
      </w:pPr>
      <w:bookmarkStart w:name="3、境内外会计准则下会计数据差异" w:id="393"/>
      <w:bookmarkEnd w:id="39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18"/>
        <w:jc w:val="left"/>
        <w:rPr>
          <w:b w:val="0"/>
          <w:bCs w:val="0"/>
        </w:rPr>
      </w:pPr>
      <w:bookmarkStart w:name="（1）同时按照国际会计准则与按中国会计准则披露的财务报告中净利润和净资产差异情况" w:id="394"/>
      <w:bookmarkEnd w:id="39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同时按照境外会计准则与按中国会计准则披露的财务报告中净利润和净资产差异情况" w:id="395"/>
      <w:bookmarkEnd w:id="39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1118"/>
        <w:jc w:val="left"/>
        <w:rPr>
          <w:b w:val="0"/>
          <w:bCs w:val="0"/>
        </w:rPr>
      </w:pPr>
      <w:bookmarkStart w:name="_TOC_250000" w:id="396"/>
      <w:bookmarkStart w:name="第十一节 备查文件目录" w:id="397"/>
      <w:r>
        <w:rPr>
          <w:b w:val="0"/>
          <w:bCs w:val="0"/>
        </w:rPr>
      </w:r>
      <w:r>
        <w:rPr/>
        <w:t>第十一节</w:t>
      </w:r>
      <w:r>
        <w:rPr>
          <w:spacing w:val="-8"/>
        </w:rPr>
        <w:t> </w:t>
      </w:r>
      <w:r>
        <w:rPr/>
        <w:t>备查文件目录</w:t>
      </w:r>
      <w:bookmarkEnd w:id="396"/>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1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载有法定代表人、财务负责人、会计机构负责人签名并盖章的财务报告。</w:t>
      </w:r>
    </w:p>
    <w:p>
      <w:pPr>
        <w:pStyle w:val="BodyText"/>
        <w:spacing w:line="240" w:lineRule="auto" w:before="63"/>
        <w:ind w:right="111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载有会计师事务所盖章、注册会计师签名并盖章的审计报告原件。</w:t>
      </w:r>
    </w:p>
    <w:p>
      <w:pPr>
        <w:pStyle w:val="BodyText"/>
        <w:spacing w:line="240" w:lineRule="auto" w:before="63"/>
        <w:ind w:right="1118"/>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t>载有董事长签名的</w:t>
      </w:r>
      <w:r>
        <w:rPr>
          <w:rFonts w:ascii="Times New Roman" w:hAnsi="Times New Roman" w:cs="Times New Roman" w:eastAsia="Times New Roman" w:hint="default"/>
        </w:rPr>
        <w:t>2015</w:t>
      </w:r>
      <w:r>
        <w:rPr/>
        <w:t>年年度报告文本原件。</w:t>
      </w:r>
    </w:p>
    <w:p>
      <w:pPr>
        <w:pStyle w:val="BodyText"/>
        <w:spacing w:line="240" w:lineRule="auto" w:before="63"/>
        <w:ind w:right="1118"/>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8"/>
        </w:rPr>
        <w:t> </w:t>
      </w:r>
      <w:r>
        <w:rPr/>
        <w:t>报告期内在中国证监会指定网站上公开披露过的所有公司文件的正文及公告的原稿。</w:t>
      </w:r>
    </w:p>
    <w:p>
      <w:pPr>
        <w:pStyle w:val="BodyText"/>
        <w:spacing w:line="600" w:lineRule="auto" w:before="63"/>
        <w:ind w:left="516" w:right="5350" w:hanging="36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其他相关资料。 以上文件均齐备、完整，并备于本公司董事会秘书处以供查阅。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636" w:lineRule="auto"/>
        <w:ind w:left="6431" w:right="2605" w:hanging="650"/>
        <w:jc w:val="left"/>
      </w:pPr>
      <w:r>
        <w:rPr/>
        <w:t>深圳键桥通讯技术股份有限公司 法定代表人：王永彬</w:t>
      </w:r>
    </w:p>
    <w:p>
      <w:pPr>
        <w:pStyle w:val="BodyText"/>
        <w:spacing w:line="240" w:lineRule="auto" w:before="91"/>
        <w:ind w:left="6793" w:right="1118"/>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6096" type="#_x0000_t75" stroked="false">
          <v:imagedata r:id="rId1" o:title=""/>
        </v:shape>
      </w:pict>
    </w:r>
    <w:r>
      <w:rPr/>
      <w:pict>
        <v:shape style="position:absolute;margin-left:533.179993pt;margin-top:795.517944pt;width:6.5pt;height:11pt;mso-position-horizontal-relative:page;mso-position-vertical-relative:page;z-index:-8860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6048" type="#_x0000_t75" stroked="false">
          <v:imagedata r:id="rId1" o:title=""/>
        </v:shape>
      </w:pict>
    </w:r>
    <w:r>
      <w:rPr/>
      <w:pict>
        <v:shape style="position:absolute;margin-left:527.679993pt;margin-top:781.957947pt;width:13pt;height:11pt;mso-position-horizontal-relative:page;mso-position-vertical-relative:page;z-index:-886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6000" type="#_x0000_t75" stroked="false">
          <v:imagedata r:id="rId1" o:title=""/>
        </v:shape>
      </w:pict>
    </w:r>
    <w:r>
      <w:rPr/>
      <w:pict>
        <v:shape style="position:absolute;margin-left:524.179993pt;margin-top:781.957947pt;width:15.5pt;height:11pt;mso-position-horizontal-relative:page;mso-position-vertical-relative:page;z-index:-885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85952" type="#_x0000_t75" stroked="false">
          <v:imagedata r:id="rId1" o:title=""/>
        </v:shape>
      </w:pict>
    </w:r>
    <w:r>
      <w:rPr/>
      <w:pict>
        <v:shape style="position:absolute;margin-left:523.179993pt;margin-top:781.957947pt;width:17.5pt;height:11pt;mso-position-horizontal-relative:page;mso-position-vertical-relative:page;z-index:-885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886120" type="#_x0000_t202" filled="false" stroked="false">
          <v:textbox inset="0,0,0,0">
            <w:txbxContent>
              <w:p>
                <w:pPr>
                  <w:pStyle w:val="BodyText"/>
                  <w:spacing w:line="214" w:lineRule="exact"/>
                  <w:ind w:left="20" w:right="0"/>
                  <w:jc w:val="left"/>
                </w:pPr>
                <w:r>
                  <w:rPr/>
                  <w:t>深圳键桥通讯技术股份有限公司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19"/>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eybridge.com.cn/" TargetMode="External"/><Relationship Id="rId10" Type="http://schemas.openxmlformats.org/officeDocument/2006/relationships/hyperlink" Target="mailto:keybridge@keybridge.com.cn" TargetMode="External"/><Relationship Id="rId11" Type="http://schemas.openxmlformats.org/officeDocument/2006/relationships/hyperlink" Target="mailto:wsmiao@keybridge.com.cn" TargetMode="External"/><Relationship Id="rId12" Type="http://schemas.openxmlformats.org/officeDocument/2006/relationships/hyperlink" Target="http://www.cninfo.com.cn/" TargetMode="External"/><Relationship Id="rId13" Type="http://schemas.openxmlformats.org/officeDocument/2006/relationships/hyperlink" Target="http://www.cninfo.co/" TargetMode="External"/><Relationship Id="rId14" Type="http://schemas.openxmlformats.org/officeDocument/2006/relationships/hyperlink" Target="http://www/" TargetMode="External"/><Relationship Id="rId15" Type="http://schemas.openxmlformats.org/officeDocument/2006/relationships/hyperlink" Target="http://www.cninfo.com.cn/cninfo-new/disclosure/szse_sme/bulletin_" TargetMode="External"/><Relationship Id="rId16" Type="http://schemas.openxmlformats.org/officeDocument/2006/relationships/hyperlink" Target="http://www.cninfo.com.cn/cninfo-new/disclosure/szse_sme/bullet"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oter" Target="footer3.xml"/><Relationship Id="rId2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深圳键桥通讯技术股份有限公司</dc:creator>
  <dc:title>深圳键桥通讯技术股份有限公司2015年年度报告全文</dc:title>
  <dcterms:created xsi:type="dcterms:W3CDTF">2020-05-04T13:13:34Z</dcterms:created>
  <dcterms:modified xsi:type="dcterms:W3CDTF">2020-05-04T13:13:34Z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2016-04-20T00:00:00Z</vt:filetime>
  </property>
  <property fmtid="{D5CDD505-2E9C-101B-9397-08002B2CF9AE}" pid="3" name="Creator">
    <vt:lpwstr>Microsoft® Office Word 2007</vt:lpwstr>
  </property>
  <property fmtid="{D5CDD505-2E9C-101B-9397-08002B2CF9AE}" pid="4" name="LastSaved">
    <vt:filetime>2020-05-04T00:00:00Z</vt:filetime>
  </property>
</Properties>
</file>