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0" w:right="977"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深圳亚联发展科技股份有限公司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0" w:right="975" w:firstLine="0"/>
        <w:jc w:val="center"/>
        <w:rPr>
          <w:rFonts w:ascii="Times New Roman" w:hAnsi="Times New Roman" w:cs="Times New Roman" w:eastAsia="Times New Roman" w:hint="default"/>
          <w:sz w:val="28"/>
          <w:szCs w:val="28"/>
        </w:rPr>
      </w:pPr>
      <w:r>
        <w:rPr>
          <w:rFonts w:ascii="Times New Roman"/>
          <w:b/>
          <w:sz w:val="28"/>
        </w:rPr>
        <w:t>2019-027</w:t>
      </w:r>
      <w:r>
        <w:rPr>
          <w:rFonts w:ascii="Times New Roman"/>
          <w:sz w:val="28"/>
        </w:rPr>
      </w: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3"/>
        <w:rPr>
          <w:rFonts w:ascii="Times New Roman" w:hAnsi="Times New Roman" w:cs="Times New Roman" w:eastAsia="Times New Roman" w:hint="default"/>
          <w:b/>
          <w:bCs/>
          <w:sz w:val="41"/>
          <w:szCs w:val="41"/>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公司负责人王永彬、主管会计工作负责人陈道军及会计机构负责人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陈道军声明：保证年度报告中财务报告的真实、准确、完整。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2"/>
          <w:w w:val="99"/>
          <w:sz w:val="28"/>
          <w:szCs w:val="28"/>
        </w:rPr>
        <w:t> </w:t>
      </w:r>
      <w:r>
        <w:rPr>
          <w:rFonts w:ascii="宋体" w:hAnsi="宋体" w:cs="宋体" w:eastAsia="宋体" w:hint="default"/>
          <w:b/>
          <w:bCs/>
          <w:spacing w:val="3"/>
          <w:w w:val="95"/>
          <w:sz w:val="28"/>
          <w:szCs w:val="28"/>
        </w:rPr>
        <w:t>本报告中涉及的未来发展计划等前瞻性陈述属于计划性事项，不构成公司</w:t>
      </w:r>
      <w:r>
        <w:rPr>
          <w:rFonts w:ascii="宋体" w:hAnsi="宋体" w:cs="宋体" w:eastAsia="宋体" w:hint="default"/>
          <w:spacing w:val="3"/>
          <w:sz w:val="28"/>
          <w:szCs w:val="28"/>
        </w:rPr>
      </w:r>
    </w:p>
    <w:p>
      <w:pPr>
        <w:spacing w:line="475" w:lineRule="auto" w:before="0"/>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对投资者的实质性承诺，敬请投资者注意投资风险。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中公司未来发展展望部分描述</w:t>
      </w:r>
      <w:r>
        <w:rPr>
          <w:rFonts w:ascii="宋体" w:hAnsi="宋体" w:cs="宋体" w:eastAsia="宋体" w:hint="default"/>
          <w:spacing w:val="3"/>
          <w:sz w:val="28"/>
          <w:szCs w:val="28"/>
        </w:rPr>
      </w:r>
    </w:p>
    <w:p>
      <w:pPr>
        <w:spacing w:line="300"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了公司可能面对的主要风险，敬请广大投资者注意查阅。</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3"/>
          <w:sz w:val="28"/>
          <w:szCs w:val="28"/>
        </w:rPr>
        <w:t> </w:t>
      </w:r>
      <w:r>
        <w:rPr>
          <w:rFonts w:ascii="Times New Roman" w:hAnsi="Times New Roman" w:cs="Times New Roman" w:eastAsia="Times New Roman" w:hint="default"/>
          <w:b/>
          <w:bCs/>
          <w:sz w:val="28"/>
          <w:szCs w:val="28"/>
        </w:rPr>
        <w:t>393,120,000</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0.15</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21"/>
          <w:w w:val="99"/>
          <w:sz w:val="28"/>
          <w:szCs w:val="28"/>
        </w:rPr>
        <w:t>股（含税），不以公积</w:t>
      </w:r>
      <w:r>
        <w:rPr>
          <w:rFonts w:ascii="宋体" w:hAnsi="宋体" w:cs="宋体" w:eastAsia="宋体" w:hint="default"/>
          <w:b/>
          <w:bCs/>
          <w:w w:val="99"/>
          <w:sz w:val="28"/>
          <w:szCs w:val="28"/>
        </w:rPr>
        <w:t> </w:t>
      </w:r>
      <w:r>
        <w:rPr>
          <w:rFonts w:ascii="宋体" w:hAnsi="宋体" w:cs="宋体" w:eastAsia="宋体" w:hint="default"/>
          <w:b/>
          <w:bCs/>
          <w:sz w:val="28"/>
          <w:szCs w:val="28"/>
        </w:rPr>
        <w:t>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7"/>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27</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58</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66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72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73</w:t>
            </w:r>
          </w:hyperlink>
        </w:p>
        <w:p>
          <w:pPr>
            <w:pStyle w:val="TOC1"/>
            <w:tabs>
              <w:tab w:pos="9782" w:val="right" w:leader="dot"/>
            </w:tabs>
            <w:spacing w:line="240" w:lineRule="auto" w:before="176"/>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174</w:t>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本公司、公司、亚联发展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深圳亚联发展科技股份有限公司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嘉兴乾德精一投资合伙企业（有限合伙）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开店宝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开店宝支付服务有限公司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公司以支付现金的方式购买上海即富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德威普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键桥华能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键桥智能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键桥轨道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亚联投资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亚联投资（香港）有限公司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誉高信贷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誉高信贷（香港）有限公司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先锋投资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网信大数据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深圳网信大数据科技发展有限公司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7"/>
        <w:gridCol w:w="2850"/>
        <w:gridCol w:w="2133"/>
        <w:gridCol w:w="2188"/>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85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亚联发展</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002316</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1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深圳亚联发展科技股份有限公司</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亚联发展</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Shenzhen</w:t>
            </w:r>
            <w:r>
              <w:rPr>
                <w:rFonts w:ascii="Times New Roman"/>
                <w:spacing w:val="-15"/>
                <w:sz w:val="18"/>
              </w:rPr>
              <w:t> </w:t>
            </w:r>
            <w:r>
              <w:rPr>
                <w:rFonts w:ascii="Times New Roman"/>
                <w:sz w:val="18"/>
              </w:rPr>
              <w:t>Asia</w:t>
            </w:r>
            <w:r>
              <w:rPr>
                <w:rFonts w:ascii="Times New Roman"/>
                <w:spacing w:val="-5"/>
                <w:sz w:val="18"/>
              </w:rPr>
              <w:t> </w:t>
            </w:r>
            <w:r>
              <w:rPr>
                <w:rFonts w:ascii="Times New Roman"/>
                <w:sz w:val="18"/>
              </w:rPr>
              <w:t>Link</w:t>
            </w:r>
            <w:r>
              <w:rPr>
                <w:rFonts w:ascii="Times New Roman"/>
                <w:spacing w:val="-8"/>
                <w:sz w:val="18"/>
              </w:rPr>
              <w:t> </w:t>
            </w:r>
            <w:r>
              <w:rPr>
                <w:rFonts w:ascii="Times New Roman"/>
                <w:sz w:val="18"/>
              </w:rPr>
              <w:t>Technology</w:t>
            </w:r>
            <w:r>
              <w:rPr>
                <w:rFonts w:ascii="Times New Roman"/>
                <w:spacing w:val="-5"/>
                <w:sz w:val="18"/>
              </w:rPr>
              <w:t> </w:t>
            </w:r>
            <w:r>
              <w:rPr>
                <w:rFonts w:ascii="Times New Roman"/>
                <w:sz w:val="18"/>
              </w:rPr>
              <w:t>Development</w:t>
            </w:r>
            <w:r>
              <w:rPr>
                <w:rFonts w:ascii="Times New Roman"/>
                <w:spacing w:val="-5"/>
                <w:sz w:val="18"/>
              </w:rPr>
              <w:t> </w:t>
            </w:r>
            <w:r>
              <w:rPr>
                <w:rFonts w:ascii="Times New Roman"/>
                <w:sz w:val="18"/>
              </w:rPr>
              <w:t>Co.,Ltd.</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Asia Link</w:t>
            </w:r>
            <w:r>
              <w:rPr>
                <w:rFonts w:ascii="Times New Roman"/>
                <w:spacing w:val="-22"/>
                <w:sz w:val="18"/>
              </w:rPr>
              <w:t> </w:t>
            </w:r>
            <w:r>
              <w:rPr>
                <w:rFonts w:ascii="Times New Roman"/>
                <w:sz w:val="18"/>
              </w:rPr>
              <w:t>Technology</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王永彬</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518054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号怡化金融科技大厦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518054</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http://www.asialink.com</w:t>
              </w:r>
            </w:hyperlink>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17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asialink@asialink.com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974"/>
        <w:gridCol w:w="3827"/>
        <w:gridCol w:w="3758"/>
      </w:tblGrid>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王思邈</w:t>
            </w:r>
          </w:p>
        </w:tc>
      </w:tr>
      <w:tr>
        <w:trPr>
          <w:trHeight w:val="161"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号怡化</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758"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深圳市南山区高新科技园后海大道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号怡化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金融科技大厦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827" w:type="dxa"/>
            <w:vMerge/>
            <w:tcBorders>
              <w:left w:val="single" w:sz="9" w:space="0" w:color="D2D2D2"/>
              <w:right w:val="single" w:sz="4" w:space="0" w:color="000000"/>
            </w:tcBorders>
          </w:tcPr>
          <w:p>
            <w:pPr/>
          </w:p>
        </w:tc>
        <w:tc>
          <w:tcPr>
            <w:tcW w:w="3758" w:type="dxa"/>
            <w:vMerge/>
            <w:tcBorders>
              <w:left w:val="single" w:sz="4" w:space="0" w:color="000000"/>
              <w:right w:val="single" w:sz="4" w:space="0" w:color="000000"/>
            </w:tcBorders>
          </w:tcPr>
          <w:p>
            <w:pPr/>
          </w:p>
        </w:tc>
      </w:tr>
      <w:tr>
        <w:trPr>
          <w:trHeight w:val="161"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7" w:type="dxa"/>
            <w:vMerge/>
            <w:tcBorders>
              <w:left w:val="single" w:sz="9" w:space="0" w:color="D2D2D2"/>
              <w:bottom w:val="single" w:sz="4" w:space="0" w:color="000000"/>
              <w:right w:val="single" w:sz="4" w:space="0" w:color="000000"/>
            </w:tcBorders>
          </w:tcPr>
          <w:p>
            <w:pPr/>
          </w:p>
        </w:tc>
        <w:tc>
          <w:tcPr>
            <w:tcW w:w="3758" w:type="dxa"/>
            <w:vMerge/>
            <w:tcBorders>
              <w:left w:val="single" w:sz="4" w:space="0" w:color="000000"/>
              <w:bottom w:val="single" w:sz="4" w:space="0" w:color="000000"/>
              <w:right w:val="single" w:sz="4" w:space="0" w:color="000000"/>
            </w:tcBorders>
          </w:tcPr>
          <w:p>
            <w:pP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0755-26551650</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0755-26551650</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0755-26635033</w:t>
            </w:r>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0755-26635033</w:t>
            </w:r>
          </w:p>
        </w:tc>
      </w:tr>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9">
              <w:r>
                <w:rPr>
                  <w:rFonts w:ascii="Times New Roman"/>
                  <w:sz w:val="18"/>
                </w:rPr>
                <w:t>asialink@asialink.com</w:t>
              </w:r>
            </w:hyperlink>
          </w:p>
        </w:tc>
        <w:tc>
          <w:tcPr>
            <w:tcW w:w="3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wsmiao@asialink.com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7"/>
        <w:gridCol w:w="5882"/>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91440300708474420M</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7"/>
        <w:gridCol w:w="5882"/>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中喜会计师事务所（特殊普通合伙）</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北京市东城区崇文门外大街</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饶世旗、周香萍</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2552"/>
        <w:gridCol w:w="1843"/>
        <w:gridCol w:w="3189"/>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广东省广州市天河区马场路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号广发证券大厦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黄莎莎、陆靖</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348" w:lineRule="auto" w:before="117"/>
        <w:ind w:right="91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会计差错更正</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2"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3,921,517,862.</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1,034,143,769.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1,034,143,769.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279.20%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701,812,884.36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701,812,884.36</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100,026,434.62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-24,348,172.41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-24,348,172.41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510.82%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2,541,486.64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2,541,486.64</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113,854,123.48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-26,318,578.67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-26,318,578.67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-62,543,418.16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-62,543,418.16</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855,808,255.12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16,260,017.53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16,260,017.53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5,163.27%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9,527,191.59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9,527,191.59</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1"/>
        <w:gridCol w:w="1200"/>
        <w:gridCol w:w="1202"/>
        <w:gridCol w:w="1200"/>
        <w:gridCol w:w="1202"/>
        <w:gridCol w:w="1202"/>
        <w:gridCol w:w="1202"/>
      </w:tblGrid>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0.0065</w:t>
            </w:r>
          </w:p>
        </w:tc>
      </w:tr>
      <w:tr>
        <w:trPr>
          <w:trHeight w:val="402"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0.30%</w:t>
            </w:r>
          </w:p>
        </w:tc>
      </w:tr>
      <w:tr>
        <w:trPr>
          <w:trHeight w:val="161" w:hRule="exact"/>
        </w:trPr>
        <w:tc>
          <w:tcPr>
            <w:tcW w:w="2361"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61"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61"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3,164,587,742.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3,047,635,061.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3,047,635,061.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4" w:right="0"/>
              <w:jc w:val="left"/>
              <w:rPr>
                <w:rFonts w:ascii="Times New Roman" w:hAnsi="Times New Roman" w:cs="Times New Roman" w:eastAsia="Times New Roman" w:hint="default"/>
                <w:sz w:val="18"/>
                <w:szCs w:val="18"/>
              </w:rPr>
            </w:pPr>
            <w:r>
              <w:rPr>
                <w:rFonts w:ascii="Times New Roman"/>
                <w:sz w:val="18"/>
              </w:rPr>
              <w:t>3.84%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2,094,835,258.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2,094,835,258.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23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879,565,903.40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831,479,938.84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833,208,536.69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857,479,601.79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857,479,601.79</w:t>
            </w:r>
          </w:p>
        </w:tc>
      </w:tr>
    </w:tbl>
    <w:p>
      <w:pPr>
        <w:pStyle w:val="BodyText"/>
        <w:spacing w:line="240" w:lineRule="auto" w:before="51"/>
        <w:ind w:right="0"/>
        <w:jc w:val="left"/>
      </w:pPr>
      <w:r>
        <w:rPr/>
        <w:t>会计政策变更的原因及会计差错更正的情况</w:t>
      </w:r>
    </w:p>
    <w:p>
      <w:pPr>
        <w:pStyle w:val="BodyText"/>
        <w:spacing w:line="240" w:lineRule="auto" w:before="116"/>
        <w:ind w:left="0" w:right="1186"/>
        <w:jc w:val="right"/>
      </w:pPr>
      <w:r>
        <w:rPr/>
        <w:t>公司通过财务自查，发现</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年有</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个单位的部分采购发票上的进项税额</w:t>
      </w:r>
      <w:r>
        <w:rPr>
          <w:spacing w:val="-46"/>
        </w:rPr>
        <w:t> </w:t>
      </w:r>
      <w:r>
        <w:rPr>
          <w:rFonts w:ascii="Times New Roman" w:hAnsi="Times New Roman" w:cs="Times New Roman" w:eastAsia="Times New Roman" w:hint="default"/>
        </w:rPr>
        <w:t>2,033,644.53</w:t>
      </w:r>
      <w:r>
        <w:rPr>
          <w:rFonts w:ascii="Times New Roman" w:hAnsi="Times New Roman" w:cs="Times New Roman" w:eastAsia="Times New Roman" w:hint="default"/>
          <w:spacing w:val="-1"/>
        </w:rPr>
        <w:t> </w:t>
      </w:r>
      <w:r>
        <w:rPr/>
        <w:t>元计入了货物采购成本，由于</w:t>
      </w:r>
    </w:p>
    <w:p>
      <w:pPr>
        <w:pStyle w:val="BodyText"/>
        <w:spacing w:line="240" w:lineRule="auto" w:before="63"/>
        <w:ind w:right="0"/>
        <w:jc w:val="left"/>
      </w:pPr>
      <w:r>
        <w:rPr/>
        <w:t>该批货物</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年已全部对外销售，导致营业成本增加</w:t>
      </w:r>
      <w:r>
        <w:rPr>
          <w:spacing w:val="-53"/>
        </w:rPr>
        <w:t> </w:t>
      </w:r>
      <w:r>
        <w:rPr>
          <w:rFonts w:ascii="Times New Roman" w:hAnsi="Times New Roman" w:cs="Times New Roman" w:eastAsia="Times New Roman" w:hint="default"/>
        </w:rPr>
        <w:t>2,033,644.53</w:t>
      </w:r>
      <w:r>
        <w:rPr>
          <w:rFonts w:ascii="Times New Roman" w:hAnsi="Times New Roman" w:cs="Times New Roman" w:eastAsia="Times New Roman" w:hint="default"/>
          <w:spacing w:val="-7"/>
        </w:rPr>
        <w:t> </w:t>
      </w:r>
      <w:r>
        <w:rPr/>
        <w:t>元。根据《企业会计准则第</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会计政策、会计估</w:t>
      </w:r>
    </w:p>
    <w:p>
      <w:pPr>
        <w:pStyle w:val="BodyText"/>
        <w:spacing w:line="240" w:lineRule="auto" w:before="63"/>
        <w:ind w:right="0"/>
        <w:jc w:val="left"/>
      </w:pPr>
      <w:r>
        <w:rPr/>
        <w:t>计变更和会计差错更正</w:t>
      </w:r>
      <w:r>
        <w:rPr>
          <w:spacing w:val="-90"/>
        </w:rPr>
        <w:t>》</w:t>
      </w:r>
      <w:r>
        <w:rPr/>
        <w:t>，公司对以上进项税的账务处理进行追溯重述。更正后，调增</w:t>
      </w:r>
      <w:r>
        <w:rPr>
          <w:spacing w:val="-45"/>
        </w:rPr>
        <w:t> </w:t>
      </w:r>
      <w:r>
        <w:rPr>
          <w:rFonts w:ascii="Times New Roman" w:hAnsi="Times New Roman" w:cs="Times New Roman" w:eastAsia="Times New Roman" w:hint="default"/>
        </w:rPr>
        <w:t>2015-2017 </w:t>
      </w:r>
      <w:r>
        <w:rPr/>
        <w:t>年度归属于母公司所有者</w:t>
      </w:r>
    </w:p>
    <w:p>
      <w:pPr>
        <w:pStyle w:val="BodyText"/>
        <w:spacing w:line="240" w:lineRule="auto" w:before="64"/>
        <w:ind w:right="0"/>
        <w:jc w:val="left"/>
      </w:pPr>
      <w:r>
        <w:rPr/>
        <w:t>的净利润及留存收益</w:t>
      </w:r>
      <w:r>
        <w:rPr>
          <w:spacing w:val="-46"/>
        </w:rPr>
        <w:t> </w:t>
      </w:r>
      <w:r>
        <w:rPr>
          <w:rFonts w:ascii="Times New Roman" w:hAnsi="Times New Roman" w:cs="Times New Roman" w:eastAsia="Times New Roman" w:hint="default"/>
        </w:rPr>
        <w:t>1,728,5</w:t>
      </w:r>
      <w:r>
        <w:rPr>
          <w:rFonts w:ascii="Times New Roman" w:hAnsi="Times New Roman" w:cs="Times New Roman" w:eastAsia="Times New Roman" w:hint="default"/>
          <w:spacing w:val="-2"/>
        </w:rPr>
        <w:t>9</w:t>
      </w:r>
      <w:r>
        <w:rPr>
          <w:rFonts w:ascii="Times New Roman" w:hAnsi="Times New Roman" w:cs="Times New Roman" w:eastAsia="Times New Roman" w:hint="default"/>
        </w:rPr>
        <w:t>7.85 </w:t>
      </w:r>
      <w:r>
        <w:rPr/>
        <w:t>元。具体内容详见《关于公司前期会计差错更正的公告</w:t>
      </w:r>
      <w:r>
        <w:rPr>
          <w:spacing w:val="-90"/>
        </w:rPr>
        <w:t>》</w:t>
      </w:r>
      <w:r>
        <w:rPr/>
        <w:t>（公告编号：</w:t>
      </w:r>
      <w:r>
        <w:rPr>
          <w:rFonts w:ascii="Times New Roman" w:hAnsi="Times New Roman" w:cs="Times New Roman" w:eastAsia="Times New Roman" w:hint="default"/>
        </w:rPr>
        <w:t>2018-050</w:t>
      </w:r>
      <w:r>
        <w:rPr>
          <w:spacing w:val="-90"/>
        </w:rPr>
        <w:t>）。</w:t>
      </w:r>
      <w:r>
        <w:rPr/>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8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697,318,554.83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949,277,646.73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1,091,136,716.02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1,183,784,944.53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17,440,900.88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18,812,831.49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24,619,929.12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39,152,773.13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17,988,601.15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11,249,720.47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21,889,418.35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62,726,383.51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141,889,068.43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292,041,739.54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196,040,105.35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218,428,759.95</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394"/>
        <w:gridCol w:w="1418"/>
        <w:gridCol w:w="1276"/>
        <w:gridCol w:w="2196"/>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3,626,694.89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938,939.28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3,477,214.12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清理固定资产产生的收益。</w:t>
            </w: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47,007,844.62</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1,456,080.52</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15,500.00</w:t>
            </w:r>
          </w:p>
        </w:tc>
        <w:tc>
          <w:tcPr>
            <w:tcW w:w="219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长宁区专项财政扶植资金</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1,379.8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万元，所得税退税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1,939.81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万元，返还以前年</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度政府补助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16"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394" w:type="dxa"/>
            <w:vMerge/>
            <w:tcBorders>
              <w:left w:val="single" w:sz="10"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96"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4" w:type="dxa"/>
            <w:vMerge/>
            <w:tcBorders>
              <w:left w:val="single" w:sz="10"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2196" w:type="dxa"/>
            <w:vMerge/>
            <w:tcBorders>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2,132,654.53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-470,419.79</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-794,272.16</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2,129,453.79</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-86,824,629.52</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715,533.03</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70,962,413.08</w:t>
            </w:r>
          </w:p>
        </w:tc>
        <w:tc>
          <w:tcPr>
            <w:tcW w:w="219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本期计提了超业绩奖励</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86,824,629.52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394" w:type="dxa"/>
            <w:vMerge/>
            <w:tcBorders>
              <w:left w:val="single" w:sz="10" w:space="0" w:color="D2D2D2"/>
              <w:right w:val="single" w:sz="4" w:space="0" w:color="000000"/>
            </w:tcBorders>
          </w:tcPr>
          <w:p>
            <w:pPr/>
          </w:p>
        </w:tc>
        <w:tc>
          <w:tcPr>
            <w:tcW w:w="1418"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2196"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4" w:type="dxa"/>
            <w:vMerge/>
            <w:tcBorders>
              <w:left w:val="single" w:sz="10" w:space="0" w:color="D2D2D2"/>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2196" w:type="dxa"/>
            <w:vMerge/>
            <w:tcBorders>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2,231,828.81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338,177.61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11,497,216.66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-22,931,995.22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7,696.80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2,459.53</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-13,827,688.86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1,970,406.26</w:t>
            </w:r>
          </w:p>
        </w:tc>
        <w:tc>
          <w:tcPr>
            <w:tcW w:w="127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65,084,904.80</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338" w:lineRule="auto" w:before="116"/>
        <w:ind w:left="51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报告期内，公司专网通信技术解决方案业务板块主要为能源、交通等行业提供信息通信技术解决方案；金融科技业务板</w:t>
      </w:r>
    </w:p>
    <w:p>
      <w:pPr>
        <w:pStyle w:val="BodyText"/>
        <w:spacing w:line="309" w:lineRule="auto" w:before="2"/>
        <w:ind w:left="514" w:right="1118" w:hanging="360"/>
        <w:jc w:val="left"/>
      </w:pPr>
      <w:r>
        <w:rPr/>
        <w:t>块主要从事第三方支付业务、大数据服务业务、金融业务；报告期内，主要业务情况如下： </w:t>
      </w:r>
      <w:r>
        <w:rPr>
          <w:rFonts w:ascii="Times New Roman" w:hAnsi="Times New Roman" w:cs="Times New Roman" w:eastAsia="Times New Roman" w:hint="default"/>
        </w:rPr>
        <w:t>1</w:t>
      </w:r>
      <w:r>
        <w:rPr/>
        <w:t>、专网通信技术解决方案业务板块 </w:t>
      </w:r>
      <w:r>
        <w:rPr>
          <w:spacing w:val="-2"/>
        </w:rPr>
        <w:t>公司作为从事专网通信技术解决方案业务的服务商，主要为能源、交通等行业提供信息通信技术解决方案，包括相关软</w:t>
      </w:r>
    </w:p>
    <w:p>
      <w:pPr>
        <w:pStyle w:val="BodyText"/>
        <w:spacing w:line="312" w:lineRule="auto" w:before="24"/>
        <w:ind w:right="1032"/>
        <w:jc w:val="left"/>
      </w:pPr>
      <w:r>
        <w:rPr>
          <w:spacing w:val="-2"/>
        </w:rPr>
        <w:t>硬件产品的研发与服务，产品覆盖工业统一通信、工业统一监测与工业智能感知三大类产品线。由于能源、交通等行业本身</w:t>
      </w:r>
      <w:r>
        <w:rPr>
          <w:spacing w:val="-66"/>
        </w:rPr>
        <w:t> </w:t>
      </w:r>
      <w:r>
        <w:rPr>
          <w:spacing w:val="-66"/>
        </w:rPr>
      </w:r>
      <w:r>
        <w:rPr/>
        <w:t>处于国民经济的基础行业地位，其安全可靠的运行事关国家安全，国家对其生产过程的信息化、自动化改造投入大量资金， 使其行业信息化发展的水平高于其他行业。专网通信对于能源、交通等行业而言属于最基础的保障和支撑系统，随着能源、 交通行业信息化的不断深入和发展，专网通信系统在促进安全生产、提高工业效率、转变经营方式、建设</w:t>
      </w:r>
      <w:r>
        <w:rPr>
          <w:rFonts w:ascii="Times New Roman" w:hAnsi="Times New Roman" w:cs="Times New Roman" w:eastAsia="Times New Roman" w:hint="default"/>
        </w:rPr>
        <w:t>“</w:t>
      </w:r>
      <w:r>
        <w:rPr/>
        <w:t>智能电网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w:t>
      </w:r>
      <w:r>
        <w:rPr>
          <w:spacing w:val="-54"/>
        </w:rPr>
        <w:t> </w:t>
      </w:r>
      <w:r>
        <w:rPr/>
        <w:t>慧交通</w:t>
      </w:r>
      <w:r>
        <w:rPr>
          <w:rFonts w:ascii="Times New Roman" w:hAnsi="Times New Roman" w:cs="Times New Roman" w:eastAsia="Times New Roman" w:hint="default"/>
        </w:rPr>
        <w:t>”</w:t>
      </w:r>
      <w:r>
        <w:rPr/>
        <w:t>等方面发挥着越来越重要的作用，相关行业对专网通信系统的投资比例和投资总额都在不断增加。公司从事专网通</w:t>
      </w:r>
      <w:r>
        <w:rPr>
          <w:spacing w:val="-77"/>
        </w:rPr>
        <w:t> </w:t>
      </w:r>
      <w:r>
        <w:rPr>
          <w:spacing w:val="-77"/>
        </w:rPr>
      </w:r>
      <w:r>
        <w:rPr>
          <w:spacing w:val="-2"/>
        </w:rPr>
        <w:t>信技术解决方案业务多年，具有专业方案、优质服务、量身定制三大优势，并通过整合新老资源，持续推动专网通信技术的</w:t>
      </w:r>
      <w:r>
        <w:rPr>
          <w:spacing w:val="-66"/>
        </w:rPr>
        <w:t> </w:t>
      </w:r>
      <w:r>
        <w:rPr>
          <w:spacing w:val="-66"/>
        </w:rPr>
      </w:r>
      <w:r>
        <w:rPr/>
        <w:t>发展和行业解决方案的升级。</w:t>
      </w:r>
    </w:p>
    <w:p>
      <w:pPr>
        <w:pStyle w:val="BodyText"/>
        <w:spacing w:line="300" w:lineRule="auto" w:before="23"/>
        <w:ind w:left="514" w:right="0"/>
        <w:jc w:val="left"/>
      </w:pPr>
      <w:r>
        <w:rPr/>
        <w:t>（</w:t>
      </w:r>
      <w:r>
        <w:rPr>
          <w:rFonts w:ascii="Times New Roman" w:hAnsi="Times New Roman" w:cs="Times New Roman" w:eastAsia="Times New Roman" w:hint="default"/>
        </w:rPr>
        <w:t>1</w:t>
      </w:r>
      <w:r>
        <w:rPr/>
        <w:t>）电力行业领域 </w:t>
      </w:r>
      <w:r>
        <w:rPr>
          <w:spacing w:val="-2"/>
        </w:rPr>
        <w:t>随着国家一带一路战略和《电力发展</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规划》的实施，电力行业进入了加快转型发展的重要机遇期。同时，国家</w:t>
      </w:r>
    </w:p>
    <w:p>
      <w:pPr>
        <w:pStyle w:val="BodyText"/>
        <w:spacing w:line="309" w:lineRule="auto" w:before="13"/>
        <w:ind w:right="1040"/>
        <w:jc w:val="left"/>
      </w:pPr>
      <w:r>
        <w:rPr>
          <w:spacing w:val="-2"/>
        </w:rPr>
        <w:t>电网公司也面临电网形态发生变化（新能源高占比、故障复杂、潮流多向）、企业经营遇到瓶颈（电改、降电价、互联网</w:t>
      </w:r>
      <w:r>
        <w:rPr>
          <w:rFonts w:ascii="Times New Roman" w:hAnsi="Times New Roman" w:cs="Times New Roman" w:eastAsia="Times New Roman" w:hint="default"/>
          <w:spacing w:val="-2"/>
        </w:rPr>
        <w:t>+</w:t>
      </w:r>
      <w:r>
        <w:rPr>
          <w:spacing w:val="-2"/>
        </w:rPr>
        <w:t>）</w:t>
      </w:r>
      <w:r>
        <w:rPr>
          <w:spacing w:val="-83"/>
        </w:rPr>
        <w:t> </w:t>
      </w:r>
      <w:r>
        <w:rPr>
          <w:spacing w:val="-2"/>
        </w:rPr>
        <w:t>和社会经济形态发展变化（互联网经济、数字经济）等突出问题，顺应能源革命和数字革命融合发展趋势，建设能源互联网</w:t>
      </w:r>
      <w:r>
        <w:rPr>
          <w:spacing w:val="-66"/>
        </w:rPr>
        <w:t> </w:t>
      </w:r>
      <w:r>
        <w:rPr>
          <w:spacing w:val="-66"/>
        </w:rPr>
      </w:r>
      <w:r>
        <w:rPr/>
        <w:t>是发展变革的根本途径。</w:t>
      </w:r>
    </w:p>
    <w:p>
      <w:pPr>
        <w:pStyle w:val="BodyText"/>
        <w:spacing w:line="307" w:lineRule="auto" w:before="24"/>
        <w:ind w:right="1131" w:firstLine="360"/>
        <w:jc w:val="both"/>
      </w:pPr>
      <w:r>
        <w:rPr>
          <w:spacing w:val="-2"/>
        </w:rPr>
        <w:t>国家电网公司在</w:t>
      </w:r>
      <w:r>
        <w:rPr>
          <w:rFonts w:ascii="Times New Roman" w:hAnsi="Times New Roman" w:cs="Times New Roman" w:eastAsia="Times New Roman" w:hint="default"/>
          <w:spacing w:val="-2"/>
        </w:rPr>
        <w:t>2019</w:t>
      </w:r>
      <w:r>
        <w:rPr>
          <w:spacing w:val="-2"/>
        </w:rPr>
        <w:t>年两会报告中提出建设</w:t>
      </w:r>
      <w:r>
        <w:rPr>
          <w:rFonts w:ascii="Times New Roman" w:hAnsi="Times New Roman" w:cs="Times New Roman" w:eastAsia="Times New Roman" w:hint="default"/>
          <w:spacing w:val="-2"/>
        </w:rPr>
        <w:t>“</w:t>
      </w:r>
      <w:r>
        <w:rPr>
          <w:spacing w:val="-2"/>
        </w:rPr>
        <w:t>三型两网、世界一流</w:t>
      </w:r>
      <w:r>
        <w:rPr>
          <w:rFonts w:ascii="Times New Roman" w:hAnsi="Times New Roman" w:cs="Times New Roman" w:eastAsia="Times New Roman" w:hint="default"/>
          <w:spacing w:val="-2"/>
        </w:rPr>
        <w:t>”</w:t>
      </w:r>
      <w:r>
        <w:rPr>
          <w:spacing w:val="-2"/>
        </w:rPr>
        <w:t>战略目标，三型指枢纽型、平台型、共享型，两网指</w:t>
      </w:r>
      <w:r>
        <w:rPr/>
        <w:t> 坚强智能电网</w:t>
      </w:r>
      <w:r>
        <w:rPr>
          <w:rFonts w:ascii="Times New Roman" w:hAnsi="Times New Roman" w:cs="Times New Roman" w:eastAsia="Times New Roman" w:hint="default"/>
        </w:rPr>
        <w:t>+</w:t>
      </w:r>
      <w:r>
        <w:rPr/>
        <w:t>泛在电力物联网。泛在电力物联网建设通过升级信息通信架构，支撑电网业务优化以及新兴业务拓展，全面 </w:t>
      </w:r>
      <w:r>
        <w:rPr>
          <w:spacing w:val="-2"/>
        </w:rPr>
        <w:t>提升全息感知能力、泛在连接能力、融合创新能力，同时支撑全面连接能源生产、消费各个环节的能源生态体系建设。智能</w:t>
      </w:r>
      <w:r>
        <w:rPr>
          <w:spacing w:val="-66"/>
        </w:rPr>
        <w:t> </w:t>
      </w:r>
      <w:r>
        <w:rPr>
          <w:spacing w:val="-66"/>
        </w:rPr>
      </w:r>
      <w:r>
        <w:rPr/>
        <w:t>电网引领过去十年增长，泛在电力物联网将开启新一轮信息化建设浪潮，这势必将撬动千亿级市场。</w:t>
      </w:r>
    </w:p>
    <w:p>
      <w:pPr>
        <w:pStyle w:val="BodyText"/>
        <w:spacing w:line="300" w:lineRule="auto" w:before="26"/>
        <w:ind w:right="1131" w:firstLine="360"/>
        <w:jc w:val="both"/>
      </w:pPr>
      <w:r>
        <w:rPr/>
        <w:t>报告期内，公司在电力行业实现销售额</w:t>
      </w:r>
      <w:r>
        <w:rPr>
          <w:rFonts w:ascii="Times New Roman" w:hAnsi="Times New Roman" w:cs="Times New Roman" w:eastAsia="Times New Roman" w:hint="default"/>
        </w:rPr>
        <w:t>3.3</w:t>
      </w:r>
      <w:r>
        <w:rPr/>
        <w:t>亿元，公司国网电力业务开始逐步由传统业务向电力智能化、信息化业务转 型，正式切入电力无线专网的建设进程，浙江嘉兴电力</w:t>
      </w:r>
      <w:r>
        <w:rPr>
          <w:rFonts w:ascii="Times New Roman" w:hAnsi="Times New Roman" w:cs="Times New Roman" w:eastAsia="Times New Roman" w:hint="default"/>
        </w:rPr>
        <w:t>230M</w:t>
      </w:r>
      <w:r>
        <w:rPr/>
        <w:t>无线专网在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月顺利通过初步验收，标志着国网电力业</w:t>
      </w:r>
      <w:r>
        <w:rPr>
          <w:spacing w:val="-66"/>
        </w:rPr>
        <w:t> </w:t>
      </w:r>
      <w:r>
        <w:rPr>
          <w:spacing w:val="-66"/>
        </w:rPr>
      </w:r>
      <w:r>
        <w:rPr>
          <w:spacing w:val="-3"/>
        </w:rPr>
        <w:t>务的转型已取得了阶段性的成功。在南方电网项目方面，公司与全球最大的通信设备制造商华为技术有限公司（以下简称</w:t>
      </w:r>
      <w:r>
        <w:rPr>
          <w:rFonts w:ascii="Times New Roman" w:hAnsi="Times New Roman" w:cs="Times New Roman" w:eastAsia="Times New Roman" w:hint="default"/>
          <w:spacing w:val="-3"/>
        </w:rPr>
        <w:t>“</w:t>
      </w:r>
      <w:r>
        <w:rPr>
          <w:spacing w:val="-3"/>
        </w:rPr>
        <w:t>华</w:t>
      </w:r>
      <w:r>
        <w:rPr>
          <w:spacing w:val="-87"/>
        </w:rPr>
        <w:t> </w:t>
      </w:r>
      <w:r>
        <w:rPr/>
        <w:t>为公司</w:t>
      </w:r>
      <w:r>
        <w:rPr>
          <w:rFonts w:ascii="Times New Roman" w:hAnsi="Times New Roman" w:cs="Times New Roman" w:eastAsia="Times New Roman" w:hint="default"/>
        </w:rPr>
        <w:t>”</w:t>
      </w:r>
      <w:r>
        <w:rPr/>
        <w:t>）在电力行业新解决方案、云计算和大数据领域展开合作，电力物联网及无线等新解决方案的推广得到华为公司的</w:t>
      </w:r>
      <w:r>
        <w:rPr>
          <w:spacing w:val="-76"/>
        </w:rPr>
        <w:t> </w:t>
      </w:r>
      <w:r>
        <w:rPr>
          <w:spacing w:val="-76"/>
        </w:rPr>
      </w:r>
      <w:r>
        <w:rPr/>
        <w:t>认可，并逐步在客户端进行推广。公司基本完成从传统通信集成商向</w:t>
      </w:r>
      <w:r>
        <w:rPr>
          <w:rFonts w:ascii="Times New Roman" w:hAnsi="Times New Roman" w:cs="Times New Roman" w:eastAsia="Times New Roman" w:hint="default"/>
        </w:rPr>
        <w:t>ICT</w:t>
      </w:r>
      <w:r>
        <w:rPr/>
        <w:t>系统服务商的转型。</w:t>
      </w:r>
    </w:p>
    <w:p>
      <w:pPr>
        <w:pStyle w:val="BodyText"/>
        <w:spacing w:line="240" w:lineRule="auto" w:before="13"/>
        <w:ind w:left="514" w:right="0"/>
        <w:jc w:val="left"/>
      </w:pPr>
      <w:r>
        <w:rPr/>
        <w:t>（</w:t>
      </w:r>
      <w:r>
        <w:rPr>
          <w:rFonts w:ascii="Times New Roman" w:hAnsi="Times New Roman" w:cs="Times New Roman" w:eastAsia="Times New Roman" w:hint="default"/>
        </w:rPr>
        <w:t>2</w:t>
      </w:r>
      <w:r>
        <w:rPr/>
        <w:t>）交通行业领域</w:t>
      </w:r>
    </w:p>
    <w:p>
      <w:pPr>
        <w:pStyle w:val="BodyText"/>
        <w:spacing w:line="316" w:lineRule="auto" w:before="61"/>
        <w:ind w:left="514" w:right="1118"/>
        <w:jc w:val="left"/>
        <w:rPr>
          <w:rFonts w:ascii="Times New Roman" w:hAnsi="Times New Roman" w:cs="Times New Roman" w:eastAsia="Times New Roman" w:hint="default"/>
        </w:rPr>
      </w:pPr>
      <w:r>
        <w:rPr/>
        <w:t>①轨道交通 中国城市轨道交通协会发布的《</w:t>
      </w:r>
      <w:r>
        <w:rPr>
          <w:rFonts w:ascii="Times New Roman" w:hAnsi="Times New Roman" w:cs="Times New Roman" w:eastAsia="Times New Roman" w:hint="default"/>
        </w:rPr>
        <w:t>2018</w:t>
      </w:r>
      <w:r>
        <w:rPr/>
        <w:t>年城市轨道交通行业统计报告》显示，截止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日，中国内地累计有</w:t>
      </w:r>
      <w:r>
        <w:rPr>
          <w:rFonts w:ascii="Times New Roman" w:hAnsi="Times New Roman" w:cs="Times New Roman" w:eastAsia="Times New Roman" w:hint="default"/>
        </w:rPr>
        <w:t>37</w:t>
      </w:r>
    </w:p>
    <w:p>
      <w:pPr>
        <w:pStyle w:val="BodyText"/>
        <w:spacing w:line="300" w:lineRule="auto"/>
        <w:ind w:right="1129"/>
        <w:jc w:val="both"/>
      </w:pPr>
      <w:r>
        <w:rPr>
          <w:spacing w:val="-2"/>
        </w:rPr>
        <w:t>个城市建成投运城轨线路</w:t>
      </w:r>
      <w:r>
        <w:rPr>
          <w:rFonts w:ascii="Times New Roman" w:hAnsi="Times New Roman" w:cs="Times New Roman" w:eastAsia="Times New Roman" w:hint="default"/>
          <w:spacing w:val="-2"/>
        </w:rPr>
        <w:t>5,539.19</w:t>
      </w:r>
      <w:r>
        <w:rPr>
          <w:spacing w:val="-2"/>
        </w:rPr>
        <w:t>公里。不统计有轨电车，</w:t>
      </w:r>
      <w:r>
        <w:rPr>
          <w:rFonts w:ascii="Times New Roman" w:hAnsi="Times New Roman" w:cs="Times New Roman" w:eastAsia="Times New Roman" w:hint="default"/>
          <w:spacing w:val="-2"/>
        </w:rPr>
        <w:t>2017</w:t>
      </w:r>
      <w:r>
        <w:rPr>
          <w:spacing w:val="-2"/>
        </w:rPr>
        <w:t>年度，我国内地城市轨道交通运营里程数为</w:t>
      </w:r>
      <w:r>
        <w:rPr>
          <w:rFonts w:ascii="Times New Roman" w:hAnsi="Times New Roman" w:cs="Times New Roman" w:eastAsia="Times New Roman" w:hint="default"/>
          <w:spacing w:val="-2"/>
        </w:rPr>
        <w:t>4,465.88</w:t>
      </w:r>
      <w:r>
        <w:rPr>
          <w:spacing w:val="-2"/>
        </w:rPr>
        <w:t>公里；不</w:t>
      </w:r>
      <w:r>
        <w:rPr>
          <w:spacing w:val="-49"/>
        </w:rPr>
        <w:t> </w:t>
      </w:r>
      <w:r>
        <w:rPr>
          <w:spacing w:val="-49"/>
        </w:rPr>
      </w:r>
      <w:r>
        <w:rPr>
          <w:spacing w:val="-1"/>
        </w:rPr>
        <w:t>统计有轨电车，</w:t>
      </w:r>
      <w:r>
        <w:rPr>
          <w:rFonts w:ascii="Times New Roman" w:hAnsi="Times New Roman" w:cs="Times New Roman" w:eastAsia="Times New Roman" w:hint="default"/>
          <w:spacing w:val="-1"/>
        </w:rPr>
        <w:t>2018</w:t>
      </w:r>
      <w:r>
        <w:rPr>
          <w:spacing w:val="-1"/>
        </w:rPr>
        <w:t>年度我国内地城市轨道交通运营里程数为</w:t>
      </w:r>
      <w:r>
        <w:rPr>
          <w:rFonts w:ascii="Times New Roman" w:hAnsi="Times New Roman" w:cs="Times New Roman" w:eastAsia="Times New Roman" w:hint="default"/>
          <w:spacing w:val="-1"/>
        </w:rPr>
        <w:t>5,159.2</w:t>
      </w:r>
      <w:r>
        <w:rPr>
          <w:spacing w:val="-1"/>
        </w:rPr>
        <w:t>公里，全年增加</w:t>
      </w:r>
      <w:r>
        <w:rPr>
          <w:rFonts w:ascii="Times New Roman" w:hAnsi="Times New Roman" w:cs="Times New Roman" w:eastAsia="Times New Roman" w:hint="default"/>
          <w:spacing w:val="-1"/>
        </w:rPr>
        <w:t>693.32</w:t>
      </w:r>
      <w:r>
        <w:rPr>
          <w:spacing w:val="-1"/>
        </w:rPr>
        <w:t>公里，增幅达</w:t>
      </w:r>
      <w:r>
        <w:rPr>
          <w:rFonts w:ascii="Times New Roman" w:hAnsi="Times New Roman" w:cs="Times New Roman" w:eastAsia="Times New Roman" w:hint="default"/>
          <w:spacing w:val="-1"/>
        </w:rPr>
        <w:t>15.52%</w:t>
      </w:r>
      <w:r>
        <w:rPr>
          <w:spacing w:val="-1"/>
        </w:rPr>
        <w:t>。</w:t>
      </w:r>
      <w:r>
        <w:rPr>
          <w:rFonts w:ascii="Times New Roman" w:hAnsi="Times New Roman" w:cs="Times New Roman" w:eastAsia="Times New Roman" w:hint="default"/>
          <w:spacing w:val="-1"/>
        </w:rPr>
        <w:t>2017</w:t>
      </w:r>
      <w:r>
        <w:rPr>
          <w:spacing w:val="-1"/>
        </w:rPr>
        <w:t>年度</w:t>
      </w:r>
      <w:r>
        <w:rPr>
          <w:spacing w:val="-81"/>
        </w:rPr>
        <w:t> </w:t>
      </w:r>
      <w:r>
        <w:rPr/>
        <w:t>我国内地有轨电车的运营里程数为</w:t>
      </w:r>
      <w:r>
        <w:rPr>
          <w:rFonts w:ascii="Times New Roman" w:hAnsi="Times New Roman" w:cs="Times New Roman" w:eastAsia="Times New Roman" w:hint="default"/>
        </w:rPr>
        <w:t>239.68</w:t>
      </w:r>
      <w:r>
        <w:rPr/>
        <w:t>公里，</w:t>
      </w:r>
      <w:r>
        <w:rPr>
          <w:rFonts w:ascii="Times New Roman" w:hAnsi="Times New Roman" w:cs="Times New Roman" w:eastAsia="Times New Roman" w:hint="default"/>
        </w:rPr>
        <w:t>2018</w:t>
      </w:r>
      <w:r>
        <w:rPr/>
        <w:t>年度我国内地有轨电车的运营里程数为</w:t>
      </w:r>
      <w:r>
        <w:rPr>
          <w:rFonts w:ascii="Times New Roman" w:hAnsi="Times New Roman" w:cs="Times New Roman" w:eastAsia="Times New Roman" w:hint="default"/>
        </w:rPr>
        <w:t>379.99</w:t>
      </w:r>
      <w:r>
        <w:rPr/>
        <w:t>公里，全年增加</w:t>
      </w:r>
      <w:r>
        <w:rPr>
          <w:rFonts w:ascii="Times New Roman" w:hAnsi="Times New Roman" w:cs="Times New Roman" w:eastAsia="Times New Roman" w:hint="default"/>
        </w:rPr>
        <w:t>140.31</w:t>
      </w:r>
      <w:r>
        <w:rPr/>
        <w:t>公</w:t>
      </w:r>
      <w:r>
        <w:rPr>
          <w:spacing w:val="-47"/>
        </w:rPr>
        <w:t> </w:t>
      </w:r>
      <w:r>
        <w:rPr/>
        <w:t>里，增幅达</w:t>
      </w:r>
      <w:r>
        <w:rPr>
          <w:rFonts w:ascii="Times New Roman" w:hAnsi="Times New Roman" w:cs="Times New Roman" w:eastAsia="Times New Roman" w:hint="default"/>
        </w:rPr>
        <w:t>58.54%</w:t>
      </w:r>
      <w:r>
        <w:rPr/>
        <w:t>，有轨电车运营里程增长达到历史最高点。随着大城市都市生活圈和二三线城市新型城镇化建设的不断</w:t>
      </w:r>
      <w:r>
        <w:rPr>
          <w:spacing w:val="-23"/>
        </w:rPr>
        <w:t> </w:t>
      </w:r>
      <w:r>
        <w:rPr>
          <w:spacing w:val="-23"/>
        </w:rPr>
      </w:r>
      <w:r>
        <w:rPr/>
        <w:t>深入，我国城市轨道交通建设将进入黄金发展期。</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1" w:firstLine="360"/>
        <w:jc w:val="both"/>
      </w:pPr>
      <w:r>
        <w:rPr>
          <w:spacing w:val="-2"/>
        </w:rPr>
        <w:t>报告期内，公司在新市场及维保服务业务取得了一定成绩。中标深圳地铁三期工程</w:t>
      </w:r>
      <w:r>
        <w:rPr>
          <w:rFonts w:ascii="Times New Roman" w:hAnsi="Times New Roman" w:cs="Times New Roman" w:eastAsia="Times New Roman" w:hint="default"/>
          <w:spacing w:val="-2"/>
        </w:rPr>
        <w:t>10</w:t>
      </w:r>
      <w:r>
        <w:rPr>
          <w:spacing w:val="-2"/>
        </w:rPr>
        <w:t>号线通信系统设备及服务采购项目</w:t>
      </w:r>
      <w:r>
        <w:rPr/>
        <w:t> </w:t>
      </w:r>
      <w:r>
        <w:rPr>
          <w:rFonts w:ascii="Times New Roman" w:hAnsi="Times New Roman" w:cs="Times New Roman" w:eastAsia="Times New Roman" w:hint="default"/>
          <w:spacing w:val="-1"/>
        </w:rPr>
        <w:t>(D</w:t>
      </w:r>
      <w:r>
        <w:rPr>
          <w:spacing w:val="-1"/>
        </w:rPr>
        <w:t>标</w:t>
      </w:r>
      <w:r>
        <w:rPr>
          <w:rFonts w:ascii="Times New Roman" w:hAnsi="Times New Roman" w:cs="Times New Roman" w:eastAsia="Times New Roman" w:hint="default"/>
          <w:spacing w:val="-1"/>
        </w:rPr>
        <w:t>)</w:t>
      </w:r>
      <w:r>
        <w:rPr>
          <w:spacing w:val="-1"/>
        </w:rPr>
        <w:t>，中标金额</w:t>
      </w:r>
      <w:r>
        <w:rPr>
          <w:rFonts w:ascii="Times New Roman" w:hAnsi="Times New Roman" w:cs="Times New Roman" w:eastAsia="Times New Roman" w:hint="default"/>
          <w:spacing w:val="-1"/>
        </w:rPr>
        <w:t>1.7</w:t>
      </w:r>
      <w:r>
        <w:rPr>
          <w:spacing w:val="-1"/>
        </w:rPr>
        <w:t>亿元，并中标了常州，厦门，无锡，昆明等地轨道交通项目，不断开拓新的市场。此外，公司积极参与</w:t>
      </w:r>
      <w:r>
        <w:rPr>
          <w:spacing w:val="-57"/>
        </w:rPr>
        <w:t> </w:t>
      </w:r>
      <w:r>
        <w:rPr>
          <w:spacing w:val="-57"/>
        </w:rPr>
      </w:r>
      <w:r>
        <w:rPr/>
        <w:t>天津，杭州，呼和浩特，宁波，合肥，成都等地轨道交通项目的投标，积极拓展公司市场领域争取更多的中标机会。</w:t>
      </w:r>
    </w:p>
    <w:p>
      <w:pPr>
        <w:pStyle w:val="BodyText"/>
        <w:spacing w:line="319" w:lineRule="auto" w:before="31"/>
        <w:ind w:left="514" w:right="1118"/>
        <w:jc w:val="left"/>
      </w:pPr>
      <w:r>
        <w:rPr/>
        <w:t>②高速公路 </w:t>
      </w:r>
      <w:r>
        <w:rPr>
          <w:spacing w:val="-2"/>
        </w:rPr>
        <w:t>近年来，在国家政策的大力扶持和业内企业的不断努力下，高速公路行业持续良好发展势头，市场规模持续扩张，经济</w:t>
      </w:r>
    </w:p>
    <w:p>
      <w:pPr>
        <w:pStyle w:val="BodyText"/>
        <w:spacing w:line="300" w:lineRule="auto" w:before="17"/>
        <w:ind w:right="1130"/>
        <w:jc w:val="both"/>
      </w:pPr>
      <w:r>
        <w:rPr>
          <w:spacing w:val="-2"/>
        </w:rPr>
        <w:t>效益显著。自</w:t>
      </w:r>
      <w:r>
        <w:rPr>
          <w:rFonts w:ascii="Times New Roman" w:hAnsi="Times New Roman" w:cs="Times New Roman" w:eastAsia="Times New Roman" w:hint="default"/>
          <w:spacing w:val="-2"/>
        </w:rPr>
        <w:t>1988</w:t>
      </w:r>
      <w:r>
        <w:rPr>
          <w:spacing w:val="-2"/>
        </w:rPr>
        <w:t>年我国大陆第一条高速公路上海至嘉定高速公路的建成通车，实现了我国大陆高速公路零的突破之后，我</w:t>
      </w:r>
      <w:r>
        <w:rPr>
          <w:spacing w:val="-62"/>
        </w:rPr>
        <w:t> </w:t>
      </w:r>
      <w:r>
        <w:rPr>
          <w:spacing w:val="-62"/>
        </w:rPr>
      </w:r>
      <w:r>
        <w:rPr>
          <w:spacing w:val="-1"/>
        </w:rPr>
        <w:t>国的高速公路建设步入了加速发展的快车道。到</w:t>
      </w:r>
      <w:r>
        <w:rPr>
          <w:rFonts w:ascii="Times New Roman" w:hAnsi="Times New Roman" w:cs="Times New Roman" w:eastAsia="Times New Roman" w:hint="default"/>
          <w:spacing w:val="-1"/>
        </w:rPr>
        <w:t>2018</w:t>
      </w:r>
      <w:r>
        <w:rPr>
          <w:spacing w:val="-1"/>
        </w:rPr>
        <w:t>年，我国高速公路总里程达到</w:t>
      </w:r>
      <w:r>
        <w:rPr>
          <w:rFonts w:ascii="Times New Roman" w:hAnsi="Times New Roman" w:cs="Times New Roman" w:eastAsia="Times New Roman" w:hint="default"/>
          <w:spacing w:val="-1"/>
        </w:rPr>
        <w:t>10.8</w:t>
      </w:r>
      <w:r>
        <w:rPr>
          <w:spacing w:val="-1"/>
        </w:rPr>
        <w:t>万公里，覆盖</w:t>
      </w:r>
      <w:r>
        <w:rPr>
          <w:rFonts w:ascii="Times New Roman" w:hAnsi="Times New Roman" w:cs="Times New Roman" w:eastAsia="Times New Roman" w:hint="default"/>
          <w:spacing w:val="-1"/>
        </w:rPr>
        <w:t>90%</w:t>
      </w:r>
      <w:r>
        <w:rPr>
          <w:spacing w:val="-1"/>
        </w:rPr>
        <w:t>以上的</w:t>
      </w:r>
      <w:r>
        <w:rPr>
          <w:rFonts w:ascii="Times New Roman" w:hAnsi="Times New Roman" w:cs="Times New Roman" w:eastAsia="Times New Roman" w:hint="default"/>
          <w:spacing w:val="-1"/>
        </w:rPr>
        <w:t>20</w:t>
      </w:r>
      <w:r>
        <w:rPr>
          <w:spacing w:val="-1"/>
        </w:rPr>
        <w:t>万以上城</w:t>
      </w:r>
      <w:r>
        <w:rPr>
          <w:spacing w:val="-40"/>
        </w:rPr>
        <w:t> </w:t>
      </w:r>
      <w:r>
        <w:rPr/>
        <w:t>镇人口城市。</w:t>
      </w:r>
      <w:r>
        <w:rPr>
          <w:rFonts w:ascii="Times New Roman" w:hAnsi="Times New Roman" w:cs="Times New Roman" w:eastAsia="Times New Roman" w:hint="default"/>
        </w:rPr>
        <w:t>2018</w:t>
      </w:r>
      <w:r>
        <w:rPr/>
        <w:t>年新增高速公路通车里程</w:t>
      </w:r>
      <w:r>
        <w:rPr>
          <w:rFonts w:ascii="Times New Roman" w:hAnsi="Times New Roman" w:cs="Times New Roman" w:eastAsia="Times New Roman" w:hint="default"/>
        </w:rPr>
        <w:t>5,000</w:t>
      </w:r>
      <w:r>
        <w:rPr/>
        <w:t>公里，新改建国省干线公路</w:t>
      </w:r>
      <w:r>
        <w:rPr>
          <w:rFonts w:ascii="Times New Roman" w:hAnsi="Times New Roman" w:cs="Times New Roman" w:eastAsia="Times New Roman" w:hint="default"/>
        </w:rPr>
        <w:t>1.6</w:t>
      </w:r>
      <w:r>
        <w:rPr/>
        <w:t>万公里，</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期间中国高速公路投资增</w:t>
      </w:r>
      <w:r>
        <w:rPr>
          <w:spacing w:val="-69"/>
        </w:rPr>
        <w:t> </w:t>
      </w:r>
      <w:r>
        <w:rPr>
          <w:spacing w:val="-69"/>
        </w:rPr>
      </w:r>
      <w:r>
        <w:rPr/>
        <w:t>长势头将延续，</w:t>
      </w:r>
      <w:r>
        <w:rPr>
          <w:rFonts w:ascii="Times New Roman" w:hAnsi="Times New Roman" w:cs="Times New Roman" w:eastAsia="Times New Roman" w:hint="default"/>
        </w:rPr>
        <w:t>2020</w:t>
      </w:r>
      <w:r>
        <w:rPr/>
        <w:t>年高速公路通车里程将达</w:t>
      </w:r>
      <w:r>
        <w:rPr>
          <w:rFonts w:ascii="Times New Roman" w:hAnsi="Times New Roman" w:cs="Times New Roman" w:eastAsia="Times New Roman" w:hint="default"/>
        </w:rPr>
        <w:t>16.9</w:t>
      </w:r>
      <w:r>
        <w:rPr/>
        <w:t>万公里。其中西部地区将成为高速公路投资热点地区。</w:t>
      </w:r>
    </w:p>
    <w:p>
      <w:pPr>
        <w:pStyle w:val="BodyText"/>
        <w:spacing w:line="316" w:lineRule="auto" w:before="13"/>
        <w:ind w:right="1032" w:firstLine="360"/>
        <w:jc w:val="left"/>
      </w:pPr>
      <w:r>
        <w:rPr/>
        <w:t>报告期内，公司在高速公路行业领域不断提升项目执行能力和工程服务水平，实施项目遍布江苏、广西、贵州、安徽、 山东、陕西、新疆、黑龙江、上海等省市。</w:t>
      </w:r>
    </w:p>
    <w:p>
      <w:pPr>
        <w:pStyle w:val="BodyText"/>
        <w:spacing w:line="316" w:lineRule="auto" w:before="19"/>
        <w:ind w:left="514" w:right="1118"/>
        <w:jc w:val="left"/>
      </w:pPr>
      <w:r>
        <w:rPr/>
        <w:t>③智能交通 </w:t>
      </w:r>
      <w:r>
        <w:rPr>
          <w:spacing w:val="-2"/>
        </w:rPr>
        <w:t>智能交通应用发展迅速，目前我国智能交通在集成应用方面已经跻身国际先进水平，且国家政策扶持力度不断加大。智</w:t>
      </w:r>
    </w:p>
    <w:p>
      <w:pPr>
        <w:pStyle w:val="BodyText"/>
        <w:spacing w:line="304" w:lineRule="auto" w:before="19"/>
        <w:ind w:right="1129"/>
        <w:jc w:val="both"/>
      </w:pPr>
      <w:r>
        <w:rPr/>
        <w:t>能交通系统是依据城市道路交通信息采集、处理、发布、决策的过程</w:t>
      </w:r>
      <w:r>
        <w:rPr>
          <w:rFonts w:ascii="Times New Roman" w:hAnsi="Times New Roman" w:cs="Times New Roman" w:eastAsia="Times New Roman" w:hint="default"/>
        </w:rPr>
        <w:t>,</w:t>
      </w:r>
      <w:r>
        <w:rPr/>
        <w:t>运用各种先进的技术和科学方法</w:t>
      </w:r>
      <w:r>
        <w:rPr>
          <w:rFonts w:ascii="Times New Roman" w:hAnsi="Times New Roman" w:cs="Times New Roman" w:eastAsia="Times New Roman" w:hint="default"/>
        </w:rPr>
        <w:t>,</w:t>
      </w:r>
      <w:r>
        <w:rPr/>
        <w:t>实现交通管理的自动</w:t>
      </w:r>
      <w:r>
        <w:rPr>
          <w:spacing w:val="-84"/>
        </w:rPr>
        <w:t> </w:t>
      </w:r>
      <w:r>
        <w:rPr>
          <w:spacing w:val="-2"/>
        </w:rPr>
        <w:t>化和智能化。智能交通体系不断完善，技术标准日益提升，智能交通产业初具规模。在技术标准上，我国初步完成了国家智</w:t>
      </w:r>
      <w:r>
        <w:rPr>
          <w:spacing w:val="-66"/>
        </w:rPr>
        <w:t> </w:t>
      </w:r>
      <w:r>
        <w:rPr>
          <w:spacing w:val="-66"/>
        </w:rPr>
      </w:r>
      <w:r>
        <w:rPr>
          <w:spacing w:val="-2"/>
        </w:rPr>
        <w:t>能交通系统的标准体系，为智能交通的规范化发展提供了有力保障；在市场规模上，经过多年发展，我国智能交通产业初具</w:t>
      </w:r>
      <w:r>
        <w:rPr>
          <w:spacing w:val="-66"/>
        </w:rPr>
        <w:t> </w:t>
      </w:r>
      <w:r>
        <w:rPr>
          <w:spacing w:val="-66"/>
        </w:rPr>
      </w:r>
      <w:r>
        <w:rPr/>
        <w:t>规模，目前市场规模已经超过</w:t>
      </w:r>
      <w:r>
        <w:rPr>
          <w:rFonts w:ascii="Times New Roman" w:hAnsi="Times New Roman" w:cs="Times New Roman" w:eastAsia="Times New Roman" w:hint="default"/>
        </w:rPr>
        <w:t>600</w:t>
      </w:r>
      <w:r>
        <w:rPr/>
        <w:t>亿元。智能交通作为一个新经济增长点的战略新兴产业，具有良好的市场效益，其市场前</w:t>
      </w:r>
      <w:r>
        <w:rPr>
          <w:spacing w:val="-83"/>
        </w:rPr>
        <w:t> </w:t>
      </w:r>
      <w:r>
        <w:rPr>
          <w:spacing w:val="-83"/>
        </w:rPr>
      </w:r>
      <w:r>
        <w:rPr>
          <w:spacing w:val="-1"/>
        </w:rPr>
        <w:t>景十分广阔。预计未来</w:t>
      </w:r>
      <w:r>
        <w:rPr>
          <w:rFonts w:ascii="Times New Roman" w:hAnsi="Times New Roman" w:cs="Times New Roman" w:eastAsia="Times New Roman" w:hint="default"/>
          <w:spacing w:val="-1"/>
        </w:rPr>
        <w:t>5</w:t>
      </w:r>
      <w:r>
        <w:rPr>
          <w:spacing w:val="-1"/>
        </w:rPr>
        <w:t>年中，中国将在</w:t>
      </w:r>
      <w:r>
        <w:rPr>
          <w:rFonts w:ascii="Times New Roman" w:hAnsi="Times New Roman" w:cs="Times New Roman" w:eastAsia="Times New Roman" w:hint="default"/>
          <w:spacing w:val="-1"/>
        </w:rPr>
        <w:t>200</w:t>
      </w:r>
      <w:r>
        <w:rPr>
          <w:spacing w:val="-1"/>
        </w:rPr>
        <w:t>个以上的大中型城市建立城市交通指挥中心。中心将集公安交通</w:t>
      </w:r>
      <w:r>
        <w:rPr>
          <w:rFonts w:ascii="Times New Roman" w:hAnsi="Times New Roman" w:cs="Times New Roman" w:eastAsia="Times New Roman" w:hint="default"/>
          <w:spacing w:val="-1"/>
        </w:rPr>
        <w:t>GIS</w:t>
      </w:r>
      <w:r>
        <w:rPr>
          <w:spacing w:val="-1"/>
        </w:rPr>
        <w:t>综合业务管</w:t>
      </w:r>
      <w:r>
        <w:rPr>
          <w:spacing w:val="-45"/>
        </w:rPr>
        <w:t> </w:t>
      </w:r>
      <w:r>
        <w:rPr>
          <w:spacing w:val="-45"/>
        </w:rPr>
      </w:r>
      <w:r>
        <w:rPr>
          <w:spacing w:val="-2"/>
        </w:rPr>
        <w:t>理、视频监控、信号控制、交通信息检测、</w:t>
      </w:r>
      <w:r>
        <w:rPr>
          <w:rFonts w:ascii="Times New Roman" w:hAnsi="Times New Roman" w:cs="Times New Roman" w:eastAsia="Times New Roman" w:hint="default"/>
          <w:spacing w:val="-2"/>
        </w:rPr>
        <w:t>GPS</w:t>
      </w:r>
      <w:r>
        <w:rPr>
          <w:spacing w:val="-2"/>
        </w:rPr>
        <w:t>车辆定位、通信调度指挥及交通信息发布等系统于一体。结合未来市场需求</w:t>
      </w:r>
      <w:r>
        <w:rPr>
          <w:spacing w:val="-37"/>
        </w:rPr>
        <w:t> </w:t>
      </w:r>
      <w:r>
        <w:rPr>
          <w:spacing w:val="-37"/>
        </w:rPr>
      </w:r>
      <w:r>
        <w:rPr/>
        <w:t>分析以及相关规划，未来几年我国智能交通行业有望保持</w:t>
      </w:r>
      <w:r>
        <w:rPr>
          <w:rFonts w:ascii="Times New Roman" w:hAnsi="Times New Roman" w:cs="Times New Roman" w:eastAsia="Times New Roman" w:hint="default"/>
        </w:rPr>
        <w:t>20%</w:t>
      </w:r>
      <w:r>
        <w:rPr/>
        <w:t>左右的市场规模增速，预计到</w:t>
      </w:r>
      <w:r>
        <w:rPr>
          <w:rFonts w:ascii="Times New Roman" w:hAnsi="Times New Roman" w:cs="Times New Roman" w:eastAsia="Times New Roman" w:hint="default"/>
        </w:rPr>
        <w:t>2021</w:t>
      </w:r>
      <w:r>
        <w:rPr/>
        <w:t>年的市场规模将超过</w:t>
      </w:r>
      <w:r>
        <w:rPr>
          <w:rFonts w:ascii="Times New Roman" w:hAnsi="Times New Roman" w:cs="Times New Roman" w:eastAsia="Times New Roman" w:hint="default"/>
        </w:rPr>
        <w:t>880</w:t>
      </w:r>
      <w:r>
        <w:rPr/>
        <w:t>亿</w:t>
      </w:r>
      <w:r>
        <w:rPr>
          <w:spacing w:val="-57"/>
        </w:rPr>
        <w:t> </w:t>
      </w:r>
      <w:r>
        <w:rPr/>
        <w:t>元。</w:t>
      </w:r>
    </w:p>
    <w:p>
      <w:pPr>
        <w:pStyle w:val="BodyText"/>
        <w:spacing w:line="319" w:lineRule="auto" w:before="28"/>
        <w:ind w:right="0" w:firstLine="360"/>
        <w:jc w:val="left"/>
      </w:pPr>
      <w:r>
        <w:rPr>
          <w:spacing w:val="-2"/>
        </w:rPr>
        <w:t>报告期内，公司针对智能交通行业的发展现状及发展趋势，对智能交通业务进行了整合并提出了新的改进方案，并开始</w:t>
      </w:r>
      <w:r>
        <w:rPr/>
        <w:t> 进行基于雷达技术在城市道路应用的产品研发。</w:t>
      </w:r>
    </w:p>
    <w:p>
      <w:pPr>
        <w:pStyle w:val="BodyText"/>
        <w:spacing w:line="240" w:lineRule="auto" w:before="17"/>
        <w:ind w:left="514" w:right="0"/>
        <w:jc w:val="left"/>
      </w:pPr>
      <w:r>
        <w:rPr>
          <w:rFonts w:ascii="Times New Roman" w:hAnsi="Times New Roman" w:cs="Times New Roman" w:eastAsia="Times New Roman" w:hint="default"/>
        </w:rPr>
        <w:t>2</w:t>
      </w:r>
      <w:r>
        <w:rPr/>
        <w:t>、金融科技业务板块</w:t>
      </w:r>
    </w:p>
    <w:p>
      <w:pPr>
        <w:pStyle w:val="BodyText"/>
        <w:spacing w:line="300" w:lineRule="auto" w:before="63"/>
        <w:ind w:left="514" w:right="0"/>
        <w:jc w:val="left"/>
      </w:pPr>
      <w:r>
        <w:rPr/>
        <w:t>（</w:t>
      </w:r>
      <w:r>
        <w:rPr>
          <w:rFonts w:ascii="Times New Roman" w:hAnsi="Times New Roman" w:cs="Times New Roman" w:eastAsia="Times New Roman" w:hint="default"/>
        </w:rPr>
        <w:t>1</w:t>
      </w:r>
      <w:r>
        <w:rPr/>
        <w:t>）第三方支付业务 </w:t>
      </w:r>
      <w:r>
        <w:rPr>
          <w:spacing w:val="-2"/>
        </w:rPr>
        <w:t>上海即富的全资子公司开店宝为</w:t>
      </w:r>
      <w:r>
        <w:rPr>
          <w:rFonts w:ascii="Times New Roman" w:hAnsi="Times New Roman" w:cs="Times New Roman" w:eastAsia="Times New Roman" w:hint="default"/>
          <w:spacing w:val="-2"/>
        </w:rPr>
        <w:t>33</w:t>
      </w:r>
      <w:r>
        <w:rPr>
          <w:spacing w:val="-2"/>
        </w:rPr>
        <w:t>家取得全国范围内银行卡收单资质的第三方支付机构之一。上海即富专注于小微商家</w:t>
      </w:r>
    </w:p>
    <w:p>
      <w:pPr>
        <w:pStyle w:val="BodyText"/>
        <w:spacing w:line="307" w:lineRule="auto" w:before="13"/>
        <w:ind w:right="1130"/>
        <w:jc w:val="both"/>
      </w:pPr>
      <w:r>
        <w:rPr>
          <w:spacing w:val="-2"/>
        </w:rPr>
        <w:t>数据服务，通过提供基于场景的支付服务，为小微商家提供专业的移动互联网综合服务解决方案。上海即富自主研发一整套</w:t>
      </w:r>
      <w:r>
        <w:rPr>
          <w:spacing w:val="-66"/>
        </w:rPr>
        <w:t> </w:t>
      </w:r>
      <w:r>
        <w:rPr>
          <w:spacing w:val="-66"/>
        </w:rPr>
      </w:r>
      <w:r>
        <w:rPr/>
        <w:t>支持多产品、集成多模块的系统平台，并构建基于</w:t>
      </w:r>
      <w:r>
        <w:rPr>
          <w:rFonts w:ascii="Times New Roman" w:hAnsi="Times New Roman" w:cs="Times New Roman" w:eastAsia="Times New Roman" w:hint="default"/>
        </w:rPr>
        <w:t>“</w:t>
      </w:r>
      <w:r>
        <w:rPr/>
        <w:t>圈子电商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福店</w:t>
      </w:r>
      <w:r>
        <w:rPr>
          <w:rFonts w:ascii="Times New Roman" w:hAnsi="Times New Roman" w:cs="Times New Roman" w:eastAsia="Times New Roman" w:hint="default"/>
        </w:rPr>
        <w:t>”</w:t>
      </w:r>
      <w:r>
        <w:rPr/>
        <w:t>的电商平台，通过</w:t>
      </w:r>
      <w:r>
        <w:rPr>
          <w:rFonts w:ascii="Times New Roman" w:hAnsi="Times New Roman" w:cs="Times New Roman" w:eastAsia="Times New Roman" w:hint="default"/>
        </w:rPr>
        <w:t>MPOS</w:t>
      </w:r>
      <w:r>
        <w:rPr/>
        <w:t>硬件和智能手机客户端软件</w:t>
      </w:r>
      <w:r>
        <w:rPr>
          <w:spacing w:val="-86"/>
        </w:rPr>
        <w:t> </w:t>
      </w:r>
      <w:r>
        <w:rPr>
          <w:spacing w:val="-86"/>
        </w:rPr>
      </w:r>
      <w:r>
        <w:rPr>
          <w:rFonts w:ascii="Times New Roman" w:hAnsi="Times New Roman" w:cs="Times New Roman" w:eastAsia="Times New Roman" w:hint="default"/>
        </w:rPr>
        <w:t>APP</w:t>
      </w:r>
      <w:r>
        <w:rPr/>
        <w:t>，推广</w:t>
      </w:r>
      <w:r>
        <w:rPr>
          <w:rFonts w:ascii="Times New Roman" w:hAnsi="Times New Roman" w:cs="Times New Roman" w:eastAsia="Times New Roman" w:hint="default"/>
        </w:rPr>
        <w:t>“</w:t>
      </w:r>
      <w:r>
        <w:rPr/>
        <w:t>即付宝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开店宝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点刷</w:t>
      </w:r>
      <w:r>
        <w:rPr>
          <w:rFonts w:ascii="Times New Roman" w:hAnsi="Times New Roman" w:cs="Times New Roman" w:eastAsia="Times New Roman" w:hint="default"/>
        </w:rPr>
        <w:t>”</w:t>
      </w:r>
      <w:r>
        <w:rPr/>
        <w:t>等品牌，通过多品牌的市场战略，定位不同需求的小微商户，切入实际的新零售场</w:t>
      </w:r>
      <w:r>
        <w:rPr>
          <w:spacing w:val="-87"/>
        </w:rPr>
        <w:t> </w:t>
      </w:r>
      <w:r>
        <w:rPr>
          <w:spacing w:val="-87"/>
        </w:rPr>
      </w:r>
      <w:r>
        <w:rPr>
          <w:spacing w:val="-2"/>
        </w:rPr>
        <w:t>景中，为小微商户提供银行卡收单、便民支付等增值服务及由交易行为衍生的数据服务。同时，上海即富于报告期内设立了</w:t>
      </w:r>
      <w:r>
        <w:rPr>
          <w:spacing w:val="-66"/>
        </w:rPr>
        <w:t> </w:t>
      </w:r>
      <w:r>
        <w:rPr>
          <w:spacing w:val="-66"/>
        </w:rPr>
      </w:r>
      <w:r>
        <w:rPr>
          <w:spacing w:val="-1"/>
        </w:rPr>
        <w:t>专业化服务事业部，主推智能</w:t>
      </w:r>
      <w:r>
        <w:rPr>
          <w:rFonts w:ascii="Times New Roman" w:hAnsi="Times New Roman" w:cs="Times New Roman" w:eastAsia="Times New Roman" w:hint="default"/>
          <w:spacing w:val="-1"/>
        </w:rPr>
        <w:t>POS</w:t>
      </w:r>
      <w:r>
        <w:rPr>
          <w:spacing w:val="-1"/>
        </w:rPr>
        <w:t>产品，在巩固提升原有小微商户服务业务基础上，大力向商户精细化、专业化发展，提供</w:t>
      </w:r>
      <w:r>
        <w:rPr/>
        <w:t> </w:t>
      </w:r>
      <w:r>
        <w:rPr>
          <w:spacing w:val="-2"/>
        </w:rPr>
        <w:t>商户扩展、收单机具维护及增值服务，打造具有市场影响力品牌的收单专业化服务联合体。</w:t>
      </w:r>
      <w:r>
        <w:rPr>
          <w:rFonts w:ascii="Times New Roman" w:hAnsi="Times New Roman" w:cs="Times New Roman" w:eastAsia="Times New Roman" w:hint="default"/>
          <w:spacing w:val="-2"/>
        </w:rPr>
        <w:t>2018</w:t>
      </w:r>
      <w:r>
        <w:rPr>
          <w:spacing w:val="-2"/>
        </w:rPr>
        <w:t>年度，公司第三方支付业务</w:t>
      </w:r>
      <w:r>
        <w:rPr>
          <w:spacing w:val="-61"/>
        </w:rPr>
        <w:t> </w:t>
      </w:r>
      <w:r>
        <w:rPr>
          <w:spacing w:val="-61"/>
        </w:rPr>
      </w:r>
      <w:r>
        <w:rPr/>
        <w:t>累计处理交易金额为</w:t>
      </w:r>
      <w:r>
        <w:rPr>
          <w:rFonts w:ascii="Times New Roman" w:hAnsi="Times New Roman" w:cs="Times New Roman" w:eastAsia="Times New Roman" w:hint="default"/>
        </w:rPr>
        <w:t>34,302.37</w:t>
      </w:r>
      <w:r>
        <w:rPr/>
        <w:t>亿元，较</w:t>
      </w:r>
      <w:r>
        <w:rPr>
          <w:rFonts w:ascii="Times New Roman" w:hAnsi="Times New Roman" w:cs="Times New Roman" w:eastAsia="Times New Roman" w:hint="default"/>
        </w:rPr>
        <w:t>2017</w:t>
      </w:r>
      <w:r>
        <w:rPr/>
        <w:t>年年度增长幅度达</w:t>
      </w:r>
      <w:r>
        <w:rPr>
          <w:rFonts w:ascii="Times New Roman" w:hAnsi="Times New Roman" w:cs="Times New Roman" w:eastAsia="Times New Roman" w:hint="default"/>
        </w:rPr>
        <w:t>83.77%</w:t>
      </w:r>
      <w:r>
        <w:rPr/>
        <w:t>，业务量再创新高。</w:t>
      </w:r>
    </w:p>
    <w:p>
      <w:pPr>
        <w:pStyle w:val="BodyText"/>
        <w:spacing w:line="300" w:lineRule="auto" w:before="7"/>
        <w:ind w:left="514" w:right="0"/>
        <w:jc w:val="left"/>
      </w:pPr>
      <w:r>
        <w:rPr/>
        <w:t>（</w:t>
      </w:r>
      <w:r>
        <w:rPr>
          <w:rFonts w:ascii="Times New Roman" w:hAnsi="Times New Roman" w:cs="Times New Roman" w:eastAsia="Times New Roman" w:hint="default"/>
        </w:rPr>
        <w:t>2</w:t>
      </w:r>
      <w:r>
        <w:rPr/>
        <w:t>）大数据业务 </w:t>
      </w:r>
      <w:r>
        <w:rPr>
          <w:spacing w:val="-2"/>
        </w:rPr>
        <w:t>报告期内，公司控股子公司网信大数据在包括第三方支付及金融等领域进行大数据服务应用拓展；公司参股的徐州淮海</w:t>
      </w:r>
    </w:p>
    <w:p>
      <w:pPr>
        <w:pStyle w:val="BodyText"/>
        <w:spacing w:line="240" w:lineRule="auto" w:before="31"/>
        <w:ind w:right="0"/>
        <w:jc w:val="both"/>
      </w:pPr>
      <w:r>
        <w:rPr/>
        <w:t>数据交换服务有限公司在大数据安全监测、大数据征信等领域进行业务拓展，并与北大数字中国研究院形成战略合作关系。</w:t>
      </w:r>
    </w:p>
    <w:p>
      <w:pPr>
        <w:pStyle w:val="BodyText"/>
        <w:spacing w:line="300" w:lineRule="auto" w:before="76"/>
        <w:ind w:left="514" w:right="1118"/>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）金融业务 公司以全资子公司先锋投资参与发起设立的众惠财产相互保险社</w:t>
      </w:r>
      <w:r>
        <w:rPr>
          <w:rFonts w:ascii="Times New Roman" w:hAnsi="Times New Roman" w:cs="Times New Roman" w:eastAsia="Times New Roman" w:hint="default"/>
        </w:rPr>
        <w:t>2018</w:t>
      </w:r>
      <w:r>
        <w:rPr/>
        <w:t>年度实现保费收入</w:t>
      </w:r>
      <w:r>
        <w:rPr>
          <w:rFonts w:ascii="Times New Roman" w:hAnsi="Times New Roman" w:cs="Times New Roman" w:eastAsia="Times New Roman" w:hint="default"/>
        </w:rPr>
        <w:t>38,396.09</w:t>
      </w:r>
      <w:r>
        <w:rPr/>
        <w:t>万元，截至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p>
    <w:p>
      <w:pPr>
        <w:pStyle w:val="BodyText"/>
        <w:spacing w:line="300" w:lineRule="auto" w:before="13"/>
        <w:ind w:right="1130"/>
        <w:jc w:val="both"/>
      </w:pPr>
      <w:r>
        <w:rPr>
          <w:spacing w:val="-2"/>
        </w:rPr>
        <w:t>月</w:t>
      </w:r>
      <w:r>
        <w:rPr>
          <w:rFonts w:ascii="Times New Roman" w:hAnsi="Times New Roman" w:cs="Times New Roman" w:eastAsia="Times New Roman" w:hint="default"/>
          <w:spacing w:val="-2"/>
        </w:rPr>
        <w:t>31</w:t>
      </w:r>
      <w:r>
        <w:rPr>
          <w:spacing w:val="-2"/>
        </w:rPr>
        <w:t>日累计实现保费收入</w:t>
      </w:r>
      <w:r>
        <w:rPr>
          <w:rFonts w:ascii="Times New Roman" w:hAnsi="Times New Roman" w:cs="Times New Roman" w:eastAsia="Times New Roman" w:hint="default"/>
          <w:spacing w:val="-2"/>
        </w:rPr>
        <w:t>45,107.23</w:t>
      </w:r>
      <w:r>
        <w:rPr>
          <w:spacing w:val="-2"/>
        </w:rPr>
        <w:t>万元；先锋投资参与发起设立的先锋基金管理有限公司（以下简称</w:t>
      </w:r>
      <w:r>
        <w:rPr>
          <w:rFonts w:ascii="Times New Roman" w:hAnsi="Times New Roman" w:cs="Times New Roman" w:eastAsia="Times New Roman" w:hint="default"/>
          <w:spacing w:val="-2"/>
        </w:rPr>
        <w:t>“</w:t>
      </w:r>
      <w:r>
        <w:rPr>
          <w:spacing w:val="-2"/>
        </w:rPr>
        <w:t>先锋基金</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日已保有公募基金产品</w:t>
      </w:r>
      <w:r>
        <w:rPr>
          <w:rFonts w:ascii="Times New Roman" w:hAnsi="Times New Roman" w:cs="Times New Roman" w:eastAsia="Times New Roman" w:hint="default"/>
        </w:rPr>
        <w:t>7</w:t>
      </w:r>
      <w:r>
        <w:rPr/>
        <w:t>只，专户产品</w:t>
      </w:r>
      <w:r>
        <w:rPr>
          <w:rFonts w:ascii="Times New Roman" w:hAnsi="Times New Roman" w:cs="Times New Roman" w:eastAsia="Times New Roman" w:hint="default"/>
        </w:rPr>
        <w:t>24</w:t>
      </w:r>
      <w:r>
        <w:rPr/>
        <w:t>只，先锋基金公募基金产品规模约</w:t>
      </w:r>
      <w:r>
        <w:rPr>
          <w:rFonts w:ascii="Times New Roman" w:hAnsi="Times New Roman" w:cs="Times New Roman" w:eastAsia="Times New Roman" w:hint="default"/>
        </w:rPr>
        <w:t>34.8</w:t>
      </w:r>
      <w:r>
        <w:rPr/>
        <w:t>亿元，专户产品规模约</w:t>
      </w:r>
      <w:r>
        <w:rPr>
          <w:rFonts w:ascii="Times New Roman" w:hAnsi="Times New Roman" w:cs="Times New Roman" w:eastAsia="Times New Roman" w:hint="default"/>
        </w:rPr>
        <w:t>73.39</w:t>
      </w:r>
      <w:r>
        <w:rPr/>
        <w:t>亿元；</w:t>
      </w:r>
      <w:r>
        <w:rPr>
          <w:spacing w:val="-85"/>
        </w:rPr>
        <w:t> </w:t>
      </w:r>
      <w:r>
        <w:rPr/>
        <w:t>公司参与投资设立的深圳盈华小额贷款有限公司</w:t>
      </w:r>
      <w:r>
        <w:rPr>
          <w:rFonts w:ascii="Times New Roman" w:hAnsi="Times New Roman" w:cs="Times New Roman" w:eastAsia="Times New Roman" w:hint="default"/>
        </w:rPr>
        <w:t>2018</w:t>
      </w:r>
      <w:r>
        <w:rPr/>
        <w:t>年贷款类业务累计实现放款</w:t>
      </w:r>
      <w:r>
        <w:rPr>
          <w:rFonts w:ascii="Times New Roman" w:hAnsi="Times New Roman" w:cs="Times New Roman" w:eastAsia="Times New Roman" w:hint="default"/>
        </w:rPr>
        <w:t>34,358</w:t>
      </w:r>
      <w:r>
        <w:rPr/>
        <w:t>万元。</w:t>
      </w:r>
    </w:p>
    <w:p>
      <w:pPr>
        <w:pStyle w:val="BodyText"/>
        <w:spacing w:line="316" w:lineRule="auto" w:before="13"/>
        <w:ind w:right="1032" w:firstLine="360"/>
        <w:jc w:val="left"/>
      </w:pPr>
      <w:r>
        <w:rPr/>
        <w:t>报告期内，公司在保持专网通信业务稳定发展的同时，通过金融科技业务板块有效实现了客户范围和业务领域的拓展， </w:t>
      </w:r>
      <w:r>
        <w:rPr>
          <w:spacing w:val="-2"/>
        </w:rPr>
        <w:t>优化、丰富了公司的收入结构，创造公司新的利润增长点，通过产融结合发展，公司的可持续发展能力和综合竞争力得以增</w:t>
      </w:r>
      <w:r>
        <w:rPr>
          <w:spacing w:val="-66"/>
        </w:rPr>
        <w:t> </w:t>
      </w:r>
      <w:r>
        <w:rPr>
          <w:spacing w:val="-66"/>
        </w:rPr>
      </w:r>
      <w:r>
        <w:rPr/>
        <w:t>强，长期抗风险能力获得提升。</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240" w:lineRule="auto" w:before="44"/>
        <w:ind w:left="0" w:right="1139"/>
        <w:jc w:val="right"/>
      </w:pPr>
      <w:r>
        <w:rPr/>
        <w:pict>
          <v:shape style="position:absolute;margin-left:57.029999pt;margin-top:-39.088303pt;width:478.6pt;height:78.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7"/>
                    <w:gridCol w:w="8150"/>
                  </w:tblGrid>
                  <w:tr>
                    <w:trPr>
                      <w:trHeight w:val="186" w:hRule="exact"/>
                    </w:trPr>
                    <w:tc>
                      <w:tcPr>
                        <w:tcW w:w="1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1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1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本期固定资产原值较年初增加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19,970.08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万元，主要系公司控股子公司上海即富本期运营机具增加所致</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1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本期初及期末均无在建工程。</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left="514" w:right="0" w:hanging="360"/>
        <w:jc w:val="left"/>
      </w:pPr>
      <w:r>
        <w:rPr/>
        <w:t>软件与信息技术服务业 </w:t>
      </w:r>
      <w:r>
        <w:rPr>
          <w:spacing w:val="-2"/>
        </w:rPr>
        <w:t>经过多年的积累与沉淀，公司的专网通信技术解决方案业务及金融科技业务在产品、技术、团队、渠道及服务、客户关</w:t>
      </w:r>
    </w:p>
    <w:p>
      <w:pPr>
        <w:pStyle w:val="BodyText"/>
        <w:spacing w:line="224" w:lineRule="exact"/>
        <w:ind w:right="0"/>
        <w:jc w:val="left"/>
      </w:pPr>
      <w:r>
        <w:rPr/>
        <w:t>系、风控能力方面均形成了具有优势的核心竞争力。</w:t>
      </w:r>
    </w:p>
    <w:p>
      <w:pPr>
        <w:pStyle w:val="BodyText"/>
        <w:spacing w:line="300" w:lineRule="auto" w:before="76"/>
        <w:ind w:left="514" w:right="0"/>
        <w:jc w:val="left"/>
      </w:pPr>
      <w:r>
        <w:rPr>
          <w:rFonts w:ascii="Times New Roman" w:hAnsi="Times New Roman" w:cs="Times New Roman" w:eastAsia="Times New Roman" w:hint="default"/>
        </w:rPr>
        <w:t>1</w:t>
      </w:r>
      <w:r>
        <w:rPr/>
        <w:t>、产品及技术优势 </w:t>
      </w:r>
      <w:r>
        <w:rPr>
          <w:spacing w:val="-2"/>
        </w:rPr>
        <w:t>专网通信技术解决方案业务主要为能源、交通等行业提供信息通信技术解决方案，定位于专网信息通信的集成服务，凭</w:t>
      </w:r>
    </w:p>
    <w:p>
      <w:pPr>
        <w:pStyle w:val="BodyText"/>
        <w:spacing w:line="314" w:lineRule="auto" w:before="31"/>
        <w:ind w:right="1129"/>
        <w:jc w:val="both"/>
      </w:pPr>
      <w:r>
        <w:rPr>
          <w:spacing w:val="-2"/>
        </w:rPr>
        <w:t>借着对行业客户需求的深刻理解，以及多年在行业内持之以恒的积累与沉淀，具备了为客户提供量身定制的解决方案及高品</w:t>
      </w:r>
      <w:r>
        <w:rPr>
          <w:spacing w:val="-64"/>
        </w:rPr>
        <w:t> </w:t>
      </w:r>
      <w:r>
        <w:rPr>
          <w:spacing w:val="-64"/>
        </w:rPr>
      </w:r>
      <w:r>
        <w:rPr>
          <w:spacing w:val="-2"/>
        </w:rPr>
        <w:t>质产品与服务的能力，持续致力于将信息通信的最新技术成果引入能源、交通等领域，并与专网的具体应用相结合，长期的</w:t>
      </w:r>
      <w:r>
        <w:rPr>
          <w:spacing w:val="-65"/>
        </w:rPr>
        <w:t> </w:t>
      </w:r>
      <w:r>
        <w:rPr>
          <w:spacing w:val="-65"/>
        </w:rPr>
      </w:r>
      <w:r>
        <w:rPr>
          <w:spacing w:val="-2"/>
        </w:rPr>
        <w:t>技术积累和具体实践经验保证了公司能精准提炼需求模型、为客户量身定制、开发的系统和产品能够达到专业控制系统的严</w:t>
      </w:r>
      <w:r>
        <w:rPr>
          <w:spacing w:val="-64"/>
        </w:rPr>
        <w:t> </w:t>
      </w:r>
      <w:r>
        <w:rPr>
          <w:spacing w:val="-64"/>
        </w:rPr>
      </w:r>
      <w:r>
        <w:rPr>
          <w:spacing w:val="-2"/>
        </w:rPr>
        <w:t>格要求，以强大的系统方案整合能力、快速的定制开发能力，以及高效的项目管理能力为基础的服务平台，铸成了公司专网</w:t>
      </w:r>
      <w:r>
        <w:rPr>
          <w:spacing w:val="-66"/>
        </w:rPr>
        <w:t> </w:t>
      </w:r>
      <w:r>
        <w:rPr>
          <w:spacing w:val="-66"/>
        </w:rPr>
      </w:r>
      <w:r>
        <w:rPr>
          <w:spacing w:val="-2"/>
        </w:rPr>
        <w:t>通信技术解决方案业务的核心竞争优势。同时，在专网通信信息技术领域的长期积累使公司掌握了客户所处行业具体应用的</w:t>
      </w:r>
      <w:r>
        <w:rPr>
          <w:spacing w:val="-64"/>
        </w:rPr>
        <w:t> </w:t>
      </w:r>
      <w:r>
        <w:rPr>
          <w:spacing w:val="-64"/>
        </w:rPr>
      </w:r>
      <w:r>
        <w:rPr/>
        <w:t>核心技术。截止报告期末，公司已累计申请获得专利</w:t>
      </w:r>
      <w:r>
        <w:rPr>
          <w:rFonts w:ascii="Times New Roman" w:hAnsi="Times New Roman" w:cs="Times New Roman" w:eastAsia="Times New Roman" w:hint="default"/>
        </w:rPr>
        <w:t>42</w:t>
      </w:r>
      <w:r>
        <w:rPr/>
        <w:t>项，其中发明专利</w:t>
      </w:r>
      <w:r>
        <w:rPr>
          <w:rFonts w:ascii="Times New Roman" w:hAnsi="Times New Roman" w:cs="Times New Roman" w:eastAsia="Times New Roman" w:hint="default"/>
        </w:rPr>
        <w:t>12</w:t>
      </w:r>
      <w:r>
        <w:rPr/>
        <w:t>项，实用新型</w:t>
      </w:r>
      <w:r>
        <w:rPr>
          <w:rFonts w:ascii="Times New Roman" w:hAnsi="Times New Roman" w:cs="Times New Roman" w:eastAsia="Times New Roman" w:hint="default"/>
        </w:rPr>
        <w:t>24</w:t>
      </w:r>
      <w:r>
        <w:rPr/>
        <w:t>项，外观设计专利</w:t>
      </w:r>
      <w:r>
        <w:rPr>
          <w:rFonts w:ascii="Times New Roman" w:hAnsi="Times New Roman" w:cs="Times New Roman" w:eastAsia="Times New Roman" w:hint="default"/>
        </w:rPr>
        <w:t>6</w:t>
      </w:r>
      <w:r>
        <w:rPr/>
        <w:t>项，并获得</w:t>
      </w:r>
      <w:r>
        <w:rPr>
          <w:spacing w:val="-82"/>
        </w:rPr>
        <w:t> </w:t>
      </w:r>
      <w:r>
        <w:rPr/>
        <w:t>了计算机系统集成一级资质、安防一级资质、国家级高新技术企业等国内高等级的资质证书。</w:t>
      </w:r>
    </w:p>
    <w:p>
      <w:pPr>
        <w:pStyle w:val="BodyText"/>
        <w:spacing w:line="307" w:lineRule="auto" w:before="61"/>
        <w:ind w:right="0" w:firstLine="357"/>
        <w:jc w:val="left"/>
      </w:pPr>
      <w:r>
        <w:rPr>
          <w:spacing w:val="-2"/>
        </w:rPr>
        <w:t>第三方支付业务方面，上海即富专注于小微商家数据服务，通过提供基于场景的支付服务，为小微商家提供专业的移动</w:t>
      </w:r>
      <w:r>
        <w:rPr/>
        <w:t> 互联网综合服务解决方案。上海即富可以根据商户需求，提供灵活方便的</w:t>
      </w:r>
      <w:r>
        <w:rPr>
          <w:rFonts w:ascii="Times New Roman" w:hAnsi="Times New Roman" w:cs="Times New Roman" w:eastAsia="Times New Roman" w:hint="default"/>
        </w:rPr>
        <w:t>MPOS</w:t>
      </w:r>
      <w:r>
        <w:rPr/>
        <w:t>硬件和智能手机客户端软件</w:t>
      </w:r>
      <w:r>
        <w:rPr>
          <w:rFonts w:ascii="Times New Roman" w:hAnsi="Times New Roman" w:cs="Times New Roman" w:eastAsia="Times New Roman" w:hint="default"/>
        </w:rPr>
        <w:t>APP</w:t>
      </w:r>
      <w:r>
        <w:rPr/>
        <w:t>，实现企业 收单以及便民支付等有卡支付终端的智能化和移动互联。</w:t>
      </w:r>
      <w:r>
        <w:rPr>
          <w:rFonts w:ascii="Times New Roman" w:hAnsi="Times New Roman" w:cs="Times New Roman" w:eastAsia="Times New Roman" w:hint="default"/>
        </w:rPr>
        <w:t>MPOS</w:t>
      </w:r>
      <w:r>
        <w:rPr/>
        <w:t>硬件芯片实现加解密过程，全过程保证用户数据安全，并充 分发挥了有卡支付安全、大额的优势，实现了</w:t>
      </w:r>
      <w:r>
        <w:rPr>
          <w:rFonts w:ascii="Times New Roman" w:hAnsi="Times New Roman" w:cs="Times New Roman" w:eastAsia="Times New Roman" w:hint="default"/>
        </w:rPr>
        <w:t>“</w:t>
      </w:r>
      <w:r>
        <w:rPr/>
        <w:t>便捷</w:t>
      </w:r>
      <w:r>
        <w:rPr>
          <w:rFonts w:ascii="Times New Roman" w:hAnsi="Times New Roman" w:cs="Times New Roman" w:eastAsia="Times New Roman" w:hint="default"/>
        </w:rPr>
        <w:t>+</w:t>
      </w:r>
      <w:r>
        <w:rPr/>
        <w:t>安全</w:t>
      </w:r>
      <w:r>
        <w:rPr>
          <w:rFonts w:ascii="Times New Roman" w:hAnsi="Times New Roman" w:cs="Times New Roman" w:eastAsia="Times New Roman" w:hint="default"/>
        </w:rPr>
        <w:t>”</w:t>
      </w:r>
      <w:r>
        <w:rPr/>
        <w:t>支付。上海即富的智能</w:t>
      </w:r>
      <w:r>
        <w:rPr>
          <w:rFonts w:ascii="Times New Roman" w:hAnsi="Times New Roman" w:cs="Times New Roman" w:eastAsia="Times New Roman" w:hint="default"/>
        </w:rPr>
        <w:t>POS</w:t>
      </w:r>
      <w:r>
        <w:rPr/>
        <w:t>产品，基于智能支付模块研发，其技</w:t>
      </w:r>
      <w:r>
        <w:rPr>
          <w:spacing w:val="-51"/>
        </w:rPr>
        <w:t> </w:t>
      </w:r>
      <w:r>
        <w:rPr>
          <w:spacing w:val="-51"/>
        </w:rPr>
      </w:r>
      <w:r>
        <w:rPr/>
        <w:t>术规范严格按照中国银联智能销售点终端规范、以及</w:t>
      </w:r>
      <w:r>
        <w:rPr>
          <w:rFonts w:ascii="Times New Roman" w:hAnsi="Times New Roman" w:cs="Times New Roman" w:eastAsia="Times New Roman" w:hint="default"/>
        </w:rPr>
        <w:t>PCI PTS4.X</w:t>
      </w:r>
      <w:r>
        <w:rPr/>
        <w:t>标准设计，同时支持磁条</w:t>
      </w:r>
      <w:r>
        <w:rPr>
          <w:rFonts w:ascii="Times New Roman" w:hAnsi="Times New Roman" w:cs="Times New Roman" w:eastAsia="Times New Roman" w:hint="default"/>
        </w:rPr>
        <w:t>/IC/NFC</w:t>
      </w:r>
      <w:r>
        <w:rPr/>
        <w:t>等银行卡和</w:t>
      </w:r>
      <w:r>
        <w:rPr>
          <w:rFonts w:ascii="Times New Roman" w:hAnsi="Times New Roman" w:cs="Times New Roman" w:eastAsia="Times New Roman" w:hint="default"/>
        </w:rPr>
        <w:t>1D/2D</w:t>
      </w:r>
      <w:r>
        <w:rPr/>
        <w:t>条码支</w:t>
      </w:r>
      <w:r>
        <w:rPr>
          <w:spacing w:val="-81"/>
        </w:rPr>
        <w:t> </w:t>
      </w:r>
      <w:r>
        <w:rPr>
          <w:spacing w:val="-2"/>
        </w:rPr>
        <w:t>付（摄像头软件解码实现）。上海即富提供的支付终端产品及技术系统平台均通过了中国银行卡检测中心的检测及中金认证</w:t>
      </w:r>
      <w:r>
        <w:rPr>
          <w:spacing w:val="-66"/>
        </w:rPr>
        <w:t> </w:t>
      </w:r>
      <w:r>
        <w:rPr>
          <w:spacing w:val="-66"/>
        </w:rPr>
      </w:r>
      <w:r>
        <w:rPr>
          <w:spacing w:val="-4"/>
        </w:rPr>
        <w:t>中心的认证，达到了高安全、高可靠、高稳定、高性能的系统标准，为用户提供了安全便利的使用环境。上海即富核心技术、</w:t>
      </w:r>
      <w:r>
        <w:rPr>
          <w:spacing w:val="-44"/>
        </w:rPr>
        <w:t> </w:t>
      </w:r>
      <w:r>
        <w:rPr>
          <w:spacing w:val="-44"/>
        </w:rPr>
      </w:r>
      <w:r>
        <w:rPr/>
        <w:t>风险控制系统、数据处理系统均为自行研发，拥有</w:t>
      </w:r>
      <w:r>
        <w:rPr>
          <w:rFonts w:ascii="Times New Roman" w:hAnsi="Times New Roman" w:cs="Times New Roman" w:eastAsia="Times New Roman" w:hint="default"/>
        </w:rPr>
        <w:t>46</w:t>
      </w:r>
      <w:r>
        <w:rPr/>
        <w:t>项软件著作权，在产品创新及系统稳定性等方面拥有优势。</w:t>
      </w:r>
    </w:p>
    <w:p>
      <w:pPr>
        <w:pStyle w:val="BodyText"/>
        <w:spacing w:line="300" w:lineRule="auto" w:before="7"/>
        <w:ind w:left="514" w:right="1118"/>
        <w:jc w:val="left"/>
      </w:pPr>
      <w:r>
        <w:rPr>
          <w:rFonts w:ascii="Times New Roman" w:hAnsi="Times New Roman" w:cs="Times New Roman" w:eastAsia="Times New Roman" w:hint="default"/>
        </w:rPr>
        <w:t>2</w:t>
      </w:r>
      <w:r>
        <w:rPr/>
        <w:t>、团队优势 </w:t>
      </w:r>
      <w:r>
        <w:rPr>
          <w:spacing w:val="-2"/>
        </w:rPr>
        <w:t>专网通信技术解决方案业务管理团队与核心员工从事专网信息通信技术领域几十年，有专业的项目管理经验。拥有丰富</w:t>
      </w:r>
    </w:p>
    <w:p>
      <w:pPr>
        <w:pStyle w:val="BodyText"/>
        <w:spacing w:line="316" w:lineRule="auto" w:before="32"/>
        <w:ind w:left="514" w:right="0" w:hanging="360"/>
        <w:jc w:val="left"/>
      </w:pPr>
      <w:r>
        <w:rPr/>
        <w:t>经验和较强影响力，能够及时准确地把握市场发展动态，对专网信息通信技术的未来发展具有准确预判。 </w:t>
      </w:r>
      <w:r>
        <w:rPr>
          <w:spacing w:val="-2"/>
        </w:rPr>
        <w:t>第三方支付业务核心团队成员均为来自支付、金融、审计、信息技术等领域的专业人士，均拥有多年从业经验，在行业</w:t>
      </w:r>
    </w:p>
    <w:p>
      <w:pPr>
        <w:pStyle w:val="BodyText"/>
        <w:spacing w:line="240" w:lineRule="auto" w:before="19"/>
        <w:ind w:right="0"/>
        <w:jc w:val="left"/>
      </w:pPr>
      <w:r>
        <w:rPr/>
        <w:t>发展、技术研发、风险控制和团队建设等方面拥有丰富的实践经验。</w:t>
      </w:r>
    </w:p>
    <w:p>
      <w:pPr>
        <w:pStyle w:val="BodyText"/>
        <w:spacing w:line="240" w:lineRule="auto" w:before="76"/>
        <w:ind w:left="514" w:right="0"/>
        <w:jc w:val="left"/>
      </w:pPr>
      <w:r>
        <w:rPr>
          <w:rFonts w:ascii="Times New Roman" w:hAnsi="Times New Roman" w:cs="Times New Roman" w:eastAsia="Times New Roman" w:hint="default"/>
        </w:rPr>
        <w:t>3</w:t>
      </w:r>
      <w:r>
        <w:rPr/>
        <w:t>、渠道及服务优势</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131" w:firstLine="360"/>
        <w:jc w:val="both"/>
      </w:pPr>
      <w:r>
        <w:rPr>
          <w:spacing w:val="-2"/>
        </w:rPr>
        <w:t>公司专网通信技术解决方案业务目前已在全国主要的重点城市设立营销服务平台，客户群体遍布全国</w:t>
      </w:r>
      <w:r>
        <w:rPr>
          <w:rFonts w:ascii="Times New Roman" w:hAnsi="Times New Roman" w:cs="Times New Roman" w:eastAsia="Times New Roman" w:hint="default"/>
          <w:spacing w:val="-2"/>
        </w:rPr>
        <w:t>20</w:t>
      </w:r>
      <w:r>
        <w:rPr>
          <w:spacing w:val="-2"/>
        </w:rPr>
        <w:t>余个省、市、自</w:t>
      </w:r>
      <w:r>
        <w:rPr/>
        <w:t> </w:t>
      </w:r>
      <w:r>
        <w:rPr>
          <w:spacing w:val="-1"/>
        </w:rPr>
        <w:t>治区，服务范围覆盖全国。公司根据</w:t>
      </w:r>
      <w:r>
        <w:rPr>
          <w:rFonts w:ascii="Times New Roman" w:hAnsi="Times New Roman" w:cs="Times New Roman" w:eastAsia="Times New Roman" w:hint="default"/>
          <w:spacing w:val="-1"/>
        </w:rPr>
        <w:t>ISO9001</w:t>
      </w:r>
      <w:r>
        <w:rPr>
          <w:spacing w:val="-1"/>
        </w:rPr>
        <w:t>质量控制体系的技术服务标准，形成标准化的作业流程和严格的追诉制度，并</w:t>
      </w:r>
      <w:r>
        <w:rPr>
          <w:spacing w:val="-48"/>
        </w:rPr>
        <w:t> </w:t>
      </w:r>
      <w:r>
        <w:rPr>
          <w:spacing w:val="-48"/>
        </w:rPr>
      </w:r>
      <w:r>
        <w:rPr>
          <w:spacing w:val="-2"/>
        </w:rPr>
        <w:t>形成以深圳总部为中心，以分布全国各地的办事处为拓展的二级服务网络，确保第一时间响应客户的服务需求，同时，通过</w:t>
      </w:r>
      <w:r>
        <w:rPr>
          <w:spacing w:val="-66"/>
        </w:rPr>
        <w:t> </w:t>
      </w:r>
      <w:r>
        <w:rPr>
          <w:spacing w:val="-66"/>
        </w:rPr>
      </w:r>
      <w:r>
        <w:rPr/>
        <w:t>建立定期巡访制度，主动了解产品使用情况及用户需求。</w:t>
      </w:r>
    </w:p>
    <w:p>
      <w:pPr>
        <w:pStyle w:val="BodyText"/>
        <w:spacing w:line="304" w:lineRule="auto" w:before="26"/>
        <w:ind w:right="1129" w:firstLine="360"/>
        <w:jc w:val="both"/>
      </w:pPr>
      <w:r>
        <w:rPr/>
        <w:t>第三方支付业务通过长期、持续地拓展及服务，累积了良好的行业口碑和强大的市场营销渠道。累计服务</w:t>
      </w:r>
      <w:r>
        <w:rPr>
          <w:rFonts w:ascii="Times New Roman" w:hAnsi="Times New Roman" w:cs="Times New Roman" w:eastAsia="Times New Roman" w:hint="default"/>
        </w:rPr>
        <w:t>1,299.96</w:t>
      </w:r>
      <w:r>
        <w:rPr/>
        <w:t>万客 </w:t>
      </w:r>
      <w:r>
        <w:rPr>
          <w:spacing w:val="-2"/>
        </w:rPr>
        <w:t>户，并在各省市建立</w:t>
      </w:r>
      <w:r>
        <w:rPr>
          <w:rFonts w:ascii="Times New Roman" w:hAnsi="Times New Roman" w:cs="Times New Roman" w:eastAsia="Times New Roman" w:hint="default"/>
          <w:spacing w:val="-2"/>
        </w:rPr>
        <w:t>38</w:t>
      </w:r>
      <w:r>
        <w:rPr>
          <w:spacing w:val="-2"/>
        </w:rPr>
        <w:t>家分支机构，业务范围已覆盖全国。针对不断的市场变化，上海即富依托业务创新和技术创新，制定</w:t>
      </w:r>
      <w:r>
        <w:rPr>
          <w:spacing w:val="-64"/>
        </w:rPr>
        <w:t> </w:t>
      </w:r>
      <w:r>
        <w:rPr>
          <w:spacing w:val="-64"/>
        </w:rPr>
      </w:r>
      <w:r>
        <w:rPr>
          <w:spacing w:val="-2"/>
        </w:rPr>
        <w:t>了标准化、规范化的统一的服务体系，形成了后台管理、前台销售、集中运维、机具适配采购供应等一站式服务模式，满足</w:t>
      </w:r>
      <w:r>
        <w:rPr>
          <w:spacing w:val="-67"/>
        </w:rPr>
        <w:t> </w:t>
      </w:r>
      <w:r>
        <w:rPr>
          <w:spacing w:val="-67"/>
        </w:rPr>
      </w:r>
      <w:r>
        <w:rPr/>
        <w:t>市场上的个性化需求。同时，为加强服务能力建设，上海即富在浙江湖州专门成立了专业化客服中心，每天超过</w:t>
      </w:r>
      <w:r>
        <w:rPr>
          <w:rFonts w:ascii="Times New Roman" w:hAnsi="Times New Roman" w:cs="Times New Roman" w:eastAsia="Times New Roman" w:hint="default"/>
        </w:rPr>
        <w:t>100</w:t>
      </w:r>
      <w:r>
        <w:rPr/>
        <w:t>人的客</w:t>
      </w:r>
      <w:r>
        <w:rPr>
          <w:spacing w:val="-82"/>
        </w:rPr>
        <w:t> </w:t>
      </w:r>
      <w:r>
        <w:rPr>
          <w:spacing w:val="-2"/>
        </w:rPr>
        <w:t>服团队通过电话、互联网、移动</w:t>
      </w:r>
      <w:r>
        <w:rPr>
          <w:rFonts w:ascii="Times New Roman" w:hAnsi="Times New Roman" w:cs="Times New Roman" w:eastAsia="Times New Roman" w:hint="default"/>
          <w:spacing w:val="-2"/>
        </w:rPr>
        <w:t>APP</w:t>
      </w:r>
      <w:r>
        <w:rPr>
          <w:spacing w:val="-2"/>
        </w:rPr>
        <w:t>等多种渠道，及时影响客户需求，为客户提供实名认证、账户查询、业务咨询与投诉等</w:t>
      </w:r>
      <w:r>
        <w:rPr>
          <w:spacing w:val="-37"/>
        </w:rPr>
        <w:t> </w:t>
      </w:r>
      <w:r>
        <w:rPr>
          <w:spacing w:val="-37"/>
        </w:rPr>
      </w:r>
      <w:r>
        <w:rPr/>
        <w:t>多种服务。</w:t>
      </w:r>
    </w:p>
    <w:p>
      <w:pPr>
        <w:pStyle w:val="BodyText"/>
        <w:spacing w:line="340" w:lineRule="auto" w:before="28"/>
        <w:ind w:left="514" w:right="1032"/>
        <w:jc w:val="left"/>
      </w:pPr>
      <w:r>
        <w:rPr>
          <w:rFonts w:ascii="Times New Roman" w:hAnsi="Times New Roman" w:cs="Times New Roman" w:eastAsia="Times New Roman" w:hint="default"/>
        </w:rPr>
        <w:t>4</w:t>
      </w:r>
      <w:r>
        <w:rPr/>
        <w:t>、客户关系优势 经过多年耕耘，公司在电力行业的多种通信系统解决方案已经覆盖国家电网的各级省市，建立了长期稳定的客户关系。</w:t>
      </w:r>
    </w:p>
    <w:p>
      <w:pPr>
        <w:pStyle w:val="BodyText"/>
        <w:spacing w:line="316" w:lineRule="auto"/>
        <w:ind w:right="0"/>
        <w:jc w:val="left"/>
      </w:pPr>
      <w:r>
        <w:rPr>
          <w:spacing w:val="-2"/>
        </w:rPr>
        <w:t>近年来，公司将电力调度通信技术上的综合优势拓展到交通领域，分别都在轨道交通、城市智能交通等领域建设了许多优秀</w:t>
      </w:r>
      <w:r>
        <w:rPr>
          <w:spacing w:val="-66"/>
        </w:rPr>
        <w:t> </w:t>
      </w:r>
      <w:r>
        <w:rPr>
          <w:spacing w:val="-66"/>
        </w:rPr>
      </w:r>
      <w:r>
        <w:rPr/>
        <w:t>且在行业具有代表性的大型成功案例，开发的智能系统方案在行业内广泛推广。</w:t>
      </w:r>
    </w:p>
    <w:p>
      <w:pPr>
        <w:pStyle w:val="BodyText"/>
        <w:spacing w:line="312" w:lineRule="auto" w:before="59"/>
        <w:ind w:right="1131" w:firstLine="357"/>
        <w:jc w:val="both"/>
      </w:pPr>
      <w:r>
        <w:rPr>
          <w:spacing w:val="-2"/>
        </w:rPr>
        <w:t>上海即富凭借对支付用户需求的深度了解和对新兴支付技术的深刻理解，自成立以来即定位于拓展及服务小微商户，为</w:t>
      </w:r>
      <w:r>
        <w:rPr/>
        <w:t> </w:t>
      </w:r>
      <w:r>
        <w:rPr>
          <w:spacing w:val="-2"/>
        </w:rPr>
        <w:t>小微商户提供高效快捷的支付服务同时，为其提供新零售模式的线下线上经营互动服务。上海即富对小微商户实施高准入门</w:t>
      </w:r>
      <w:r>
        <w:rPr>
          <w:spacing w:val="-64"/>
        </w:rPr>
        <w:t> </w:t>
      </w:r>
      <w:r>
        <w:rPr>
          <w:spacing w:val="-64"/>
        </w:rPr>
      </w:r>
      <w:r>
        <w:rPr>
          <w:spacing w:val="2"/>
        </w:rPr>
        <w:t>槛审核，并搭建客户信用累积体系，逐步积累了规模庞大、优质的小微客户；同时，上海即富利用移动终端</w:t>
      </w:r>
      <w:r>
        <w:rPr>
          <w:rFonts w:ascii="Times New Roman" w:hAnsi="Times New Roman" w:cs="Times New Roman" w:eastAsia="Times New Roman" w:hint="default"/>
          <w:spacing w:val="2"/>
        </w:rPr>
        <w:t>“</w:t>
      </w:r>
      <w:r>
        <w:rPr>
          <w:spacing w:val="2"/>
        </w:rPr>
        <w:t>终端即客户</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的特征，长期不懈地进行客户教育并提供一系列增值服务，牢牢绑定客户，培养客户支付习惯，增强客户黏性。</w:t>
      </w:r>
    </w:p>
    <w:p>
      <w:pPr>
        <w:pStyle w:val="BodyText"/>
        <w:spacing w:line="340" w:lineRule="auto" w:before="22"/>
        <w:ind w:left="511" w:right="0" w:firstLine="2"/>
        <w:jc w:val="left"/>
      </w:pPr>
      <w:r>
        <w:rPr>
          <w:rFonts w:ascii="Times New Roman" w:hAnsi="Times New Roman" w:cs="Times New Roman" w:eastAsia="Times New Roman" w:hint="default"/>
        </w:rPr>
        <w:t>5</w:t>
      </w:r>
      <w:r>
        <w:rPr/>
        <w:t>、风控能力优势 </w:t>
      </w:r>
      <w:r>
        <w:rPr>
          <w:spacing w:val="-2"/>
        </w:rPr>
        <w:t>专业的风控能力一直是第三方支付机构的核心竞争力之一。上海即富始终高度重视风控能力建设，通过商户实时交易位</w:t>
      </w:r>
    </w:p>
    <w:p>
      <w:pPr>
        <w:pStyle w:val="BodyText"/>
        <w:spacing w:line="314" w:lineRule="auto"/>
        <w:ind w:right="1032"/>
        <w:jc w:val="left"/>
      </w:pPr>
      <w:r>
        <w:rPr/>
        <w:t>置监控、实时交易行为监控、实时风险监控、事后风险跟踪、终端安全管理、交易软件安全管理等多个体系，建立起动态、 </w:t>
      </w:r>
      <w:r>
        <w:rPr>
          <w:spacing w:val="-2"/>
        </w:rPr>
        <w:t>立体化的风险管理模式。在商户管理方面，通过外包服务商管理、商户准入、外部数据核查、征信评分等方式，对商户风险</w:t>
      </w:r>
      <w:r>
        <w:rPr>
          <w:spacing w:val="-68"/>
        </w:rPr>
        <w:t> </w:t>
      </w:r>
      <w:r>
        <w:rPr>
          <w:spacing w:val="-68"/>
        </w:rPr>
      </w:r>
      <w:r>
        <w:rPr>
          <w:spacing w:val="-2"/>
        </w:rPr>
        <w:t>进行控制；严格按照中国人民银行、中国银联的风险交易监控系统规范建设，通过风控系统规则的设置，限制用户的单卡单</w:t>
      </w:r>
      <w:r>
        <w:rPr>
          <w:spacing w:val="-66"/>
        </w:rPr>
        <w:t> </w:t>
      </w:r>
      <w:r>
        <w:rPr>
          <w:spacing w:val="-66"/>
        </w:rPr>
      </w:r>
      <w:r>
        <w:rPr/>
        <w:t>笔刷卡额度、日</w:t>
      </w:r>
      <w:r>
        <w:rPr>
          <w:rFonts w:ascii="Times New Roman" w:hAnsi="Times New Roman" w:cs="Times New Roman" w:eastAsia="Times New Roman" w:hint="default"/>
        </w:rPr>
        <w:t>/</w:t>
      </w:r>
      <w:r>
        <w:rPr/>
        <w:t>月刷卡笔数、日</w:t>
      </w:r>
      <w:r>
        <w:rPr>
          <w:rFonts w:ascii="Times New Roman" w:hAnsi="Times New Roman" w:cs="Times New Roman" w:eastAsia="Times New Roman" w:hint="default"/>
        </w:rPr>
        <w:t>/</w:t>
      </w:r>
      <w:r>
        <w:rPr/>
        <w:t>月刷卡累计总金额上限、日</w:t>
      </w:r>
      <w:r>
        <w:rPr>
          <w:rFonts w:ascii="Times New Roman" w:hAnsi="Times New Roman" w:cs="Times New Roman" w:eastAsia="Times New Roman" w:hint="default"/>
        </w:rPr>
        <w:t>/</w:t>
      </w:r>
      <w:r>
        <w:rPr/>
        <w:t>月可使用的卡张数、可交易的时间段、可交易地理位置等；同 </w:t>
      </w:r>
      <w:r>
        <w:rPr>
          <w:spacing w:val="-2"/>
        </w:rPr>
        <w:t>时，按照可疑交易的特征对交易进行实时监测和事中、事后分析，并具备风险预警提示和系统自动风险应急处理功能，从而</w:t>
      </w:r>
      <w:r>
        <w:rPr>
          <w:spacing w:val="-66"/>
        </w:rPr>
        <w:t> </w:t>
      </w:r>
      <w:r>
        <w:rPr>
          <w:spacing w:val="-66"/>
        </w:rPr>
      </w:r>
      <w:r>
        <w:rPr/>
        <w:t>更好地防范包括银行卡欺诈在内的各种欺诈行为的发生。上海即富的风险损失发生率以及发生额较低。</w:t>
      </w:r>
    </w:p>
    <w:p>
      <w:pPr>
        <w:spacing w:after="0" w:line="314"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1" w:right="0"/>
        <w:jc w:val="left"/>
      </w:pPr>
      <w:r>
        <w:rPr/>
        <w:t>（一）主营业务分析</w:t>
      </w:r>
    </w:p>
    <w:p>
      <w:pPr>
        <w:pStyle w:val="BodyText"/>
        <w:spacing w:line="300" w:lineRule="auto" w:before="76"/>
        <w:ind w:right="1035" w:firstLine="357"/>
        <w:jc w:val="left"/>
      </w:pPr>
      <w:r>
        <w:rPr>
          <w:rFonts w:ascii="Times New Roman" w:hAnsi="Times New Roman" w:cs="Times New Roman" w:eastAsia="Times New Roman" w:hint="default"/>
        </w:rPr>
        <w:t>2018</w:t>
      </w:r>
      <w:r>
        <w:rPr/>
        <w:t>年度，公司依托专网通信业务和金融科技业务双轮驱动，在夯实专网通信业务的基础上，大力发展金融科技业务， 公司专网通信技术解决方案业务与金融科技业务双主业稳步发展。报告期内，公司实现营业总收入</w:t>
      </w:r>
      <w:r>
        <w:rPr>
          <w:rFonts w:ascii="Times New Roman" w:hAnsi="Times New Roman" w:cs="Times New Roman" w:eastAsia="Times New Roman" w:hint="default"/>
        </w:rPr>
        <w:t>393,347.47</w:t>
      </w:r>
      <w:r>
        <w:rPr/>
        <w:t>万元，较同期</w:t>
      </w:r>
      <w:r>
        <w:rPr>
          <w:spacing w:val="-84"/>
        </w:rPr>
        <w:t> </w:t>
      </w:r>
      <w:r>
        <w:rPr>
          <w:spacing w:val="-84"/>
        </w:rPr>
      </w:r>
      <w:r>
        <w:rPr/>
        <w:t>增长</w:t>
      </w:r>
      <w:r>
        <w:rPr>
          <w:rFonts w:ascii="Times New Roman" w:hAnsi="Times New Roman" w:cs="Times New Roman" w:eastAsia="Times New Roman" w:hint="default"/>
        </w:rPr>
        <w:t>279.64%</w:t>
      </w:r>
      <w:r>
        <w:rPr/>
        <w:t>，实现归属于上市公司股东的净利润</w:t>
      </w:r>
      <w:r>
        <w:rPr>
          <w:rFonts w:ascii="Times New Roman" w:hAnsi="Times New Roman" w:cs="Times New Roman" w:eastAsia="Times New Roman" w:hint="default"/>
        </w:rPr>
        <w:t>10,002.64</w:t>
      </w:r>
      <w:r>
        <w:rPr/>
        <w:t>万元，较同期增长</w:t>
      </w:r>
      <w:r>
        <w:rPr>
          <w:rFonts w:ascii="Times New Roman" w:hAnsi="Times New Roman" w:cs="Times New Roman" w:eastAsia="Times New Roman" w:hint="default"/>
        </w:rPr>
        <w:t>510.82%</w:t>
      </w:r>
      <w:r>
        <w:rPr/>
        <w:t>，公司业务规模、营业利润等财务指</w:t>
      </w:r>
      <w:r>
        <w:rPr>
          <w:spacing w:val="-32"/>
        </w:rPr>
        <w:t> </w:t>
      </w:r>
      <w:r>
        <w:rPr>
          <w:spacing w:val="-32"/>
        </w:rPr>
      </w:r>
      <w:r>
        <w:rPr/>
        <w:t>标均有较大程度提升。</w:t>
      </w:r>
    </w:p>
    <w:p>
      <w:pPr>
        <w:pStyle w:val="BodyText"/>
        <w:spacing w:line="240" w:lineRule="auto" w:before="31"/>
        <w:ind w:left="511" w:right="0"/>
        <w:jc w:val="left"/>
      </w:pPr>
      <w:r>
        <w:rPr/>
        <w:t>（二）报告期内主要工作回顾及经营情况分析</w:t>
      </w:r>
    </w:p>
    <w:p>
      <w:pPr>
        <w:pStyle w:val="BodyText"/>
        <w:spacing w:line="300" w:lineRule="auto" w:before="76"/>
        <w:ind w:left="511"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、深耕专网通信技术解决方案业务 </w:t>
      </w:r>
      <w:r>
        <w:rPr>
          <w:spacing w:val="-1"/>
        </w:rPr>
        <w:t>报告期内，在电力行业领域，公司与全球最大的通信设备制造商华为公司合作，在南方电网区域中标云南省干光传输</w:t>
      </w:r>
      <w:r>
        <w:rPr>
          <w:rFonts w:ascii="Times New Roman" w:hAnsi="Times New Roman" w:cs="Times New Roman" w:eastAsia="Times New Roman" w:hint="default"/>
          <w:spacing w:val="-1"/>
        </w:rPr>
        <w:t>B</w:t>
      </w:r>
    </w:p>
    <w:p>
      <w:pPr>
        <w:pStyle w:val="BodyText"/>
        <w:spacing w:line="309" w:lineRule="auto" w:before="13"/>
        <w:ind w:right="0"/>
        <w:jc w:val="left"/>
      </w:pPr>
      <w:r>
        <w:rPr/>
        <w:t>网建设工程，中标金额约</w:t>
      </w:r>
      <w:r>
        <w:rPr>
          <w:rFonts w:ascii="Times New Roman" w:hAnsi="Times New Roman" w:cs="Times New Roman" w:eastAsia="Times New Roman" w:hint="default"/>
        </w:rPr>
        <w:t>5,500</w:t>
      </w:r>
      <w:r>
        <w:rPr/>
        <w:t>万元，中标云南电网公司局域网建设工程框架项目，占据该项目</w:t>
      </w:r>
      <w:r>
        <w:rPr>
          <w:rFonts w:ascii="Times New Roman" w:hAnsi="Times New Roman" w:cs="Times New Roman" w:eastAsia="Times New Roman" w:hint="default"/>
        </w:rPr>
        <w:t>30%</w:t>
      </w:r>
      <w:r>
        <w:rPr/>
        <w:t>市场份额；公司积极与</w:t>
      </w:r>
      <w:r>
        <w:rPr>
          <w:spacing w:val="-17"/>
        </w:rPr>
        <w:t> </w:t>
      </w:r>
      <w:r>
        <w:rPr>
          <w:spacing w:val="-17"/>
        </w:rPr>
      </w:r>
      <w:r>
        <w:rPr>
          <w:spacing w:val="-4"/>
        </w:rPr>
        <w:t>华为公司在云计算和大数据领域展开合作，推出了基于华为云的变电站视频分析系统解决方案，目前云南普洱供电局已验收，</w:t>
      </w:r>
      <w:r>
        <w:rPr>
          <w:spacing w:val="-44"/>
        </w:rPr>
        <w:t> </w:t>
      </w:r>
      <w:r>
        <w:rPr>
          <w:spacing w:val="-44"/>
        </w:rPr>
      </w:r>
      <w:r>
        <w:rPr>
          <w:spacing w:val="-2"/>
        </w:rPr>
        <w:t>可以单独部署，力争在算法上与华为合作，发布联合解决方案。国网电力业务开始逐步由传统业务向电力智能化、信息化业</w:t>
      </w:r>
      <w:r>
        <w:rPr>
          <w:spacing w:val="-66"/>
        </w:rPr>
        <w:t> </w:t>
      </w:r>
      <w:r>
        <w:rPr>
          <w:spacing w:val="-66"/>
        </w:rPr>
      </w:r>
      <w:r>
        <w:rPr/>
        <w:t>务转型，已在无线专网建设工程、电力整站招标、电力安全防护等领域有所建树，其中中标浙江嘉兴电力</w:t>
      </w:r>
      <w:r>
        <w:rPr>
          <w:rFonts w:ascii="Times New Roman" w:hAnsi="Times New Roman" w:cs="Times New Roman" w:eastAsia="Times New Roman" w:hint="default"/>
        </w:rPr>
        <w:t>230M</w:t>
      </w:r>
      <w:r>
        <w:rPr/>
        <w:t>无线专网建</w:t>
      </w:r>
      <w:r>
        <w:rPr>
          <w:spacing w:val="-66"/>
        </w:rPr>
        <w:t> </w:t>
      </w:r>
      <w:r>
        <w:rPr>
          <w:spacing w:val="-66"/>
        </w:rPr>
      </w:r>
      <w:r>
        <w:rPr/>
        <w:t>设工程，中标金额</w:t>
      </w:r>
      <w:r>
        <w:rPr>
          <w:rFonts w:ascii="Times New Roman" w:hAnsi="Times New Roman" w:cs="Times New Roman" w:eastAsia="Times New Roman" w:hint="default"/>
        </w:rPr>
        <w:t>3,000</w:t>
      </w:r>
      <w:r>
        <w:rPr/>
        <w:t>多万元，已于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月顺利通过初步验收，标志着国网电力业务的转型已取得了阶段性的成功。</w:t>
      </w:r>
    </w:p>
    <w:p>
      <w:pPr>
        <w:pStyle w:val="BodyText"/>
        <w:spacing w:line="300" w:lineRule="auto" w:before="5"/>
        <w:ind w:right="1132" w:firstLine="357"/>
        <w:jc w:val="both"/>
      </w:pPr>
      <w:r>
        <w:rPr/>
        <w:t>报告期内，轨道交通业务中标</w:t>
      </w:r>
      <w:r>
        <w:rPr>
          <w:rFonts w:ascii="Times New Roman" w:hAnsi="Times New Roman" w:cs="Times New Roman" w:eastAsia="Times New Roman" w:hint="default"/>
        </w:rPr>
        <w:t>“</w:t>
      </w:r>
      <w:r>
        <w:rPr/>
        <w:t>深圳地铁三期工程</w:t>
      </w:r>
      <w:r>
        <w:rPr>
          <w:rFonts w:ascii="Times New Roman" w:hAnsi="Times New Roman" w:cs="Times New Roman" w:eastAsia="Times New Roman" w:hint="default"/>
        </w:rPr>
        <w:t>10</w:t>
      </w:r>
      <w:r>
        <w:rPr/>
        <w:t>号线通信系统设备及服务采购项目</w:t>
      </w:r>
      <w:r>
        <w:rPr>
          <w:rFonts w:ascii="Times New Roman" w:hAnsi="Times New Roman" w:cs="Times New Roman" w:eastAsia="Times New Roman" w:hint="default"/>
        </w:rPr>
        <w:t>(D</w:t>
      </w:r>
      <w:r>
        <w:rPr/>
        <w:t>标</w:t>
      </w:r>
      <w:r>
        <w:rPr>
          <w:rFonts w:ascii="Times New Roman" w:hAnsi="Times New Roman" w:cs="Times New Roman" w:eastAsia="Times New Roman" w:hint="default"/>
        </w:rPr>
        <w:t>)”1.7</w:t>
      </w:r>
      <w:r>
        <w:rPr/>
        <w:t>亿元，</w:t>
      </w:r>
      <w:r>
        <w:rPr>
          <w:rFonts w:ascii="Times New Roman" w:hAnsi="Times New Roman" w:cs="Times New Roman" w:eastAsia="Times New Roman" w:hint="default"/>
        </w:rPr>
        <w:t>“</w:t>
      </w:r>
      <w:r>
        <w:rPr/>
        <w:t>无锡地铁</w:t>
      </w:r>
      <w:r>
        <w:rPr>
          <w:rFonts w:ascii="Times New Roman" w:hAnsi="Times New Roman" w:cs="Times New Roman" w:eastAsia="Times New Roman" w:hint="default"/>
        </w:rPr>
        <w:t>4</w:t>
      </w:r>
      <w:r>
        <w:rPr/>
        <w:t>号线</w:t>
      </w:r>
      <w:r>
        <w:rPr>
          <w:spacing w:val="-2"/>
        </w:rPr>
        <w:t> </w:t>
      </w:r>
      <w:r>
        <w:rPr>
          <w:spacing w:val="-1"/>
        </w:rPr>
        <w:t>一期工程专用通信系统设备项目</w:t>
      </w:r>
      <w:r>
        <w:rPr>
          <w:rFonts w:ascii="Times New Roman" w:hAnsi="Times New Roman" w:cs="Times New Roman" w:eastAsia="Times New Roman" w:hint="default"/>
          <w:spacing w:val="-1"/>
        </w:rPr>
        <w:t>”2,160</w:t>
      </w:r>
      <w:r>
        <w:rPr>
          <w:spacing w:val="-1"/>
        </w:rPr>
        <w:t>万元，在新市场及维保服务业务取得了较好成绩。同时，长沙地铁</w:t>
      </w:r>
      <w:r>
        <w:rPr>
          <w:rFonts w:ascii="Times New Roman" w:hAnsi="Times New Roman" w:cs="Times New Roman" w:eastAsia="Times New Roman" w:hint="default"/>
          <w:spacing w:val="-1"/>
        </w:rPr>
        <w:t>3</w:t>
      </w:r>
      <w:r>
        <w:rPr>
          <w:spacing w:val="-1"/>
        </w:rPr>
        <w:t>号线及郑州地铁</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19"/>
        </w:rPr>
        <w:t> </w:t>
      </w:r>
      <w:r>
        <w:rPr/>
        <w:t>号线等项目也在按计划进行施工中。</w:t>
      </w:r>
    </w:p>
    <w:p>
      <w:pPr>
        <w:pStyle w:val="BodyText"/>
        <w:spacing w:line="316" w:lineRule="auto" w:before="32"/>
        <w:ind w:right="1131" w:firstLine="357"/>
        <w:jc w:val="both"/>
      </w:pPr>
      <w:r>
        <w:rPr>
          <w:spacing w:val="-2"/>
        </w:rPr>
        <w:t>报告期内，公司在智能交通领域中标多个违停抓拍系统项目，为城市道路拥堵，违法乱停车提供了解决方案。在智能公</w:t>
      </w:r>
      <w:r>
        <w:rPr/>
        <w:t> </w:t>
      </w:r>
      <w:r>
        <w:rPr>
          <w:spacing w:val="-2"/>
        </w:rPr>
        <w:t>交领域，与华为公司合作中标了上海久事公交集团云数据中心及网络安全项目，该项目还获得了华为公司颁发的华为战略市</w:t>
      </w:r>
      <w:r>
        <w:rPr>
          <w:spacing w:val="-64"/>
        </w:rPr>
        <w:t> </w:t>
      </w:r>
      <w:r>
        <w:rPr>
          <w:spacing w:val="-64"/>
        </w:rPr>
      </w:r>
      <w:r>
        <w:rPr/>
        <w:t>场暨行业拓展奖，标志着公司可在智能公交领域提供云数据中心及网络安全解决方案。</w:t>
      </w:r>
    </w:p>
    <w:p>
      <w:pPr>
        <w:pStyle w:val="BodyText"/>
        <w:spacing w:line="240" w:lineRule="auto" w:before="19"/>
        <w:ind w:left="511" w:right="0"/>
        <w:jc w:val="left"/>
      </w:pPr>
      <w:r>
        <w:rPr/>
        <w:t>报告期内，专网通信技术解决方案业务共实现营业收入</w:t>
      </w:r>
      <w:r>
        <w:rPr>
          <w:rFonts w:ascii="Times New Roman" w:hAnsi="Times New Roman" w:cs="Times New Roman" w:eastAsia="Times New Roman" w:hint="default"/>
        </w:rPr>
        <w:t>59,760.62</w:t>
      </w:r>
      <w:r>
        <w:rPr/>
        <w:t>万元，同比增长</w:t>
      </w:r>
      <w:r>
        <w:rPr>
          <w:rFonts w:ascii="Times New Roman" w:hAnsi="Times New Roman" w:cs="Times New Roman" w:eastAsia="Times New Roman" w:hint="default"/>
        </w:rPr>
        <w:t>34.63%</w:t>
      </w:r>
      <w:r>
        <w:rPr/>
        <w:t>。</w:t>
      </w:r>
    </w:p>
    <w:p>
      <w:pPr>
        <w:pStyle w:val="BodyText"/>
        <w:spacing w:line="300" w:lineRule="auto" w:before="63"/>
        <w:ind w:left="511" w:right="0"/>
        <w:jc w:val="left"/>
      </w:pPr>
      <w:r>
        <w:rPr>
          <w:rFonts w:ascii="Times New Roman" w:hAnsi="Times New Roman" w:cs="Times New Roman" w:eastAsia="Times New Roman" w:hint="default"/>
        </w:rPr>
        <w:t>2</w:t>
      </w:r>
      <w:r>
        <w:rPr/>
        <w:t>、积极拓展金融科技业务 </w:t>
      </w:r>
      <w:r>
        <w:rPr>
          <w:spacing w:val="-2"/>
        </w:rPr>
        <w:t>上海即富从事的业务涵盖第三方支付、数据服务、电子商务等，其中核心业务为第三方支付业务，报告期内，上海即富</w:t>
      </w:r>
    </w:p>
    <w:p>
      <w:pPr>
        <w:pStyle w:val="BodyText"/>
        <w:spacing w:line="300" w:lineRule="auto" w:before="31"/>
        <w:ind w:right="0"/>
        <w:jc w:val="left"/>
      </w:pPr>
      <w:r>
        <w:rPr/>
        <w:t>围绕</w:t>
      </w:r>
      <w:r>
        <w:rPr>
          <w:rFonts w:ascii="Times New Roman" w:hAnsi="Times New Roman" w:cs="Times New Roman" w:eastAsia="Times New Roman" w:hint="default"/>
        </w:rPr>
        <w:t>“</w:t>
      </w:r>
      <w:r>
        <w:rPr/>
        <w:t>小微商户数据服务商</w:t>
      </w:r>
      <w:r>
        <w:rPr>
          <w:rFonts w:ascii="Times New Roman" w:hAnsi="Times New Roman" w:cs="Times New Roman" w:eastAsia="Times New Roman" w:hint="default"/>
        </w:rPr>
        <w:t>”</w:t>
      </w:r>
      <w:r>
        <w:rPr/>
        <w:t>的战略定位，通过销售多种</w:t>
      </w:r>
      <w:r>
        <w:rPr>
          <w:rFonts w:ascii="Times New Roman" w:hAnsi="Times New Roman" w:cs="Times New Roman" w:eastAsia="Times New Roman" w:hint="default"/>
        </w:rPr>
        <w:t>MPOS</w:t>
      </w:r>
      <w:r>
        <w:rPr/>
        <w:t>，智能</w:t>
      </w:r>
      <w:r>
        <w:rPr>
          <w:rFonts w:ascii="Times New Roman" w:hAnsi="Times New Roman" w:cs="Times New Roman" w:eastAsia="Times New Roman" w:hint="default"/>
        </w:rPr>
        <w:t>POS</w:t>
      </w:r>
      <w:r>
        <w:rPr/>
        <w:t>等市场主流的</w:t>
      </w:r>
      <w:r>
        <w:rPr>
          <w:rFonts w:ascii="Times New Roman" w:hAnsi="Times New Roman" w:cs="Times New Roman" w:eastAsia="Times New Roman" w:hint="default"/>
        </w:rPr>
        <w:t>POS</w:t>
      </w:r>
      <w:r>
        <w:rPr/>
        <w:t>机型，为个人、小微企业及行业</w:t>
      </w:r>
      <w:r>
        <w:rPr>
          <w:spacing w:val="-54"/>
        </w:rPr>
        <w:t> </w:t>
      </w:r>
      <w:r>
        <w:rPr>
          <w:spacing w:val="-54"/>
        </w:rPr>
      </w:r>
      <w:r>
        <w:rPr/>
        <w:t>客户提供第三方支付服务，扩大银行卡受理渠道对各行业的渗透，实现了终端销售收入和手续费收入的高速增长。</w:t>
      </w:r>
    </w:p>
    <w:p>
      <w:pPr>
        <w:pStyle w:val="BodyText"/>
        <w:spacing w:line="300" w:lineRule="auto" w:before="31"/>
        <w:ind w:right="0" w:firstLine="357"/>
        <w:jc w:val="left"/>
      </w:pPr>
      <w:r>
        <w:rPr>
          <w:spacing w:val="2"/>
        </w:rPr>
        <w:t>报告期内，上海即富实现营业收入</w:t>
      </w:r>
      <w:r>
        <w:rPr>
          <w:rFonts w:ascii="Times New Roman" w:hAnsi="Times New Roman" w:cs="Times New Roman" w:eastAsia="Times New Roman" w:hint="default"/>
          <w:spacing w:val="2"/>
        </w:rPr>
        <w:t>332,100.97</w:t>
      </w:r>
      <w:r>
        <w:rPr>
          <w:spacing w:val="2"/>
        </w:rPr>
        <w:t>万元，同比增长</w:t>
      </w:r>
      <w:r>
        <w:rPr>
          <w:rFonts w:ascii="Times New Roman" w:hAnsi="Times New Roman" w:cs="Times New Roman" w:eastAsia="Times New Roman" w:hint="default"/>
          <w:spacing w:val="2"/>
        </w:rPr>
        <w:t>72.84%</w:t>
      </w:r>
      <w:r>
        <w:rPr>
          <w:spacing w:val="2"/>
        </w:rPr>
        <w:t>；归属于母公司净利润</w:t>
      </w:r>
      <w:r>
        <w:rPr>
          <w:rFonts w:ascii="Times New Roman" w:hAnsi="Times New Roman" w:cs="Times New Roman" w:eastAsia="Times New Roman" w:hint="default"/>
          <w:spacing w:val="2"/>
        </w:rPr>
        <w:t>38,757.10</w:t>
      </w:r>
      <w:r>
        <w:rPr>
          <w:spacing w:val="2"/>
        </w:rPr>
        <w:t>万元，同比增加</w:t>
      </w:r>
      <w:r>
        <w:rPr/>
        <w:t> </w:t>
      </w:r>
      <w:r>
        <w:rPr>
          <w:rFonts w:ascii="Times New Roman" w:hAnsi="Times New Roman" w:cs="Times New Roman" w:eastAsia="Times New Roman" w:hint="default"/>
          <w:spacing w:val="-1"/>
        </w:rPr>
        <w:t>40.21%</w:t>
      </w:r>
      <w:r>
        <w:rPr>
          <w:spacing w:val="-1"/>
        </w:rPr>
        <w:t>；归属于上市公司股东的净利润为</w:t>
      </w:r>
      <w:r>
        <w:rPr>
          <w:rFonts w:ascii="Times New Roman" w:hAnsi="Times New Roman" w:cs="Times New Roman" w:eastAsia="Times New Roman" w:hint="default"/>
          <w:spacing w:val="-1"/>
        </w:rPr>
        <w:t>17,240.80</w:t>
      </w:r>
      <w:r>
        <w:rPr>
          <w:spacing w:val="-1"/>
        </w:rPr>
        <w:t>万元。上海即富始终注重研发投入，核心技术团队经验丰富、人员稳定，</w:t>
      </w:r>
      <w:r>
        <w:rPr>
          <w:spacing w:val="-39"/>
        </w:rPr>
        <w:t> </w:t>
      </w:r>
      <w:r>
        <w:rPr>
          <w:spacing w:val="-39"/>
        </w:rPr>
      </w:r>
      <w:r>
        <w:rPr>
          <w:spacing w:val="-4"/>
        </w:rPr>
        <w:t>技术及产品开发人员规模不断壮大，技术研发人员数量及投入金额占比一直处于较高水平，为其后续持续发展提供有力保障。</w:t>
      </w:r>
    </w:p>
    <w:p>
      <w:pPr>
        <w:pStyle w:val="BodyText"/>
        <w:spacing w:line="240" w:lineRule="auto" w:before="31"/>
        <w:ind w:left="511" w:right="0"/>
        <w:jc w:val="left"/>
      </w:pPr>
      <w:r>
        <w:rPr/>
        <w:t>报告期内，上海即富在</w:t>
      </w:r>
      <w:r>
        <w:rPr>
          <w:rFonts w:ascii="Times New Roman" w:hAnsi="Times New Roman" w:cs="Times New Roman" w:eastAsia="Times New Roman" w:hint="default"/>
        </w:rPr>
        <w:t>MPOS</w:t>
      </w:r>
      <w:r>
        <w:rPr/>
        <w:t>智能收单领域的行业地位进一步提升，根据第三方智库易观千帆的统计，截至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p>
    <w:p>
      <w:pPr>
        <w:pStyle w:val="BodyText"/>
        <w:spacing w:line="240" w:lineRule="auto" w:before="63"/>
        <w:ind w:right="0"/>
        <w:jc w:val="left"/>
      </w:pPr>
      <w:r>
        <w:rPr>
          <w:rFonts w:ascii="Times New Roman" w:hAnsi="Times New Roman" w:cs="Times New Roman" w:eastAsia="Times New Roman" w:hint="default"/>
        </w:rPr>
        <w:t>31</w:t>
      </w:r>
      <w:r>
        <w:rPr/>
        <w:t>日，公司品牌</w:t>
      </w:r>
      <w:r>
        <w:rPr>
          <w:rFonts w:ascii="Times New Roman" w:hAnsi="Times New Roman" w:cs="Times New Roman" w:eastAsia="Times New Roman" w:hint="default"/>
        </w:rPr>
        <w:t>“</w:t>
      </w:r>
      <w:r>
        <w:rPr/>
        <w:t>点刷</w:t>
      </w:r>
      <w:r>
        <w:rPr>
          <w:rFonts w:ascii="Times New Roman" w:hAnsi="Times New Roman" w:cs="Times New Roman" w:eastAsia="Times New Roman" w:hint="default"/>
        </w:rPr>
        <w:t>”APP</w:t>
      </w:r>
      <w:r>
        <w:rPr/>
        <w:t>（不包括旗下其他品牌</w:t>
      </w:r>
      <w:r>
        <w:rPr>
          <w:rFonts w:ascii="Times New Roman" w:hAnsi="Times New Roman" w:cs="Times New Roman" w:eastAsia="Times New Roman" w:hint="default"/>
        </w:rPr>
        <w:t>APP</w:t>
      </w:r>
      <w:r>
        <w:rPr/>
        <w:t>，下同）应用活跃用户数量在其统计的国内</w:t>
      </w:r>
      <w:r>
        <w:rPr>
          <w:rFonts w:ascii="Times New Roman" w:hAnsi="Times New Roman" w:cs="Times New Roman" w:eastAsia="Times New Roman" w:hint="default"/>
        </w:rPr>
        <w:t>81</w:t>
      </w:r>
      <w:r>
        <w:rPr/>
        <w:t>款移动支付</w:t>
      </w:r>
      <w:r>
        <w:rPr>
          <w:rFonts w:ascii="Times New Roman" w:hAnsi="Times New Roman" w:cs="Times New Roman" w:eastAsia="Times New Roman" w:hint="default"/>
        </w:rPr>
        <w:t>APP</w:t>
      </w:r>
      <w:r>
        <w:rPr/>
        <w:t>中处于</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位</w:t>
      </w:r>
      <w:r>
        <w:rPr>
          <w:spacing w:val="-75"/>
        </w:rPr>
        <w:t>，</w:t>
      </w:r>
      <w:r>
        <w:rPr>
          <w:rFonts w:ascii="Times New Roman" w:hAnsi="Times New Roman" w:cs="Times New Roman" w:eastAsia="Times New Roman" w:hint="default"/>
          <w:spacing w:val="-1"/>
          <w:w w:val="100"/>
        </w:rPr>
        <w:t>“</w:t>
      </w:r>
      <w:r>
        <w:rPr/>
        <w:t>即付宝</w:t>
      </w:r>
      <w:r>
        <w:rPr>
          <w:rFonts w:ascii="Times New Roman" w:hAnsi="Times New Roman" w:cs="Times New Roman" w:eastAsia="Times New Roman" w:hint="default"/>
          <w:w w:val="99"/>
        </w:rPr>
        <w:t>”AP</w:t>
      </w:r>
      <w:r>
        <w:rPr>
          <w:rFonts w:ascii="Times New Roman" w:hAnsi="Times New Roman" w:cs="Times New Roman" w:eastAsia="Times New Roman" w:hint="default"/>
          <w:spacing w:val="-1"/>
          <w:w w:val="99"/>
        </w:rPr>
        <w:t>P</w:t>
      </w:r>
      <w:r>
        <w:rPr/>
        <w:t>处于第</w:t>
      </w:r>
      <w:r>
        <w:rPr>
          <w:rFonts w:ascii="Times New Roman" w:hAnsi="Times New Roman" w:cs="Times New Roman" w:eastAsia="Times New Roman" w:hint="default"/>
        </w:rPr>
        <w:t>4</w:t>
      </w:r>
      <w:r>
        <w:rPr>
          <w:rFonts w:ascii="Times New Roman" w:hAnsi="Times New Roman" w:cs="Times New Roman" w:eastAsia="Times New Roman" w:hint="default"/>
          <w:spacing w:val="1"/>
        </w:rPr>
        <w:t>5</w:t>
      </w:r>
      <w:r>
        <w:rPr/>
        <w:t>位</w:t>
      </w:r>
      <w:r>
        <w:rPr>
          <w:spacing w:val="-75"/>
        </w:rPr>
        <w:t>；</w:t>
      </w:r>
      <w:r>
        <w:rPr/>
        <w:t>截</w:t>
      </w:r>
      <w:r>
        <w:rPr>
          <w:spacing w:val="-1"/>
        </w:rPr>
        <w:t>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75"/>
        </w:rPr>
        <w:t>，</w:t>
      </w:r>
      <w:r>
        <w:rPr/>
        <w:t>上海即富通过认证的注册小微商户累计达</w:t>
      </w:r>
      <w:r>
        <w:rPr>
          <w:rFonts w:ascii="Times New Roman" w:hAnsi="Times New Roman" w:cs="Times New Roman" w:eastAsia="Times New Roman" w:hint="default"/>
        </w:rPr>
        <w:t>980.7</w:t>
      </w:r>
      <w:r>
        <w:rPr>
          <w:rFonts w:ascii="Times New Roman" w:hAnsi="Times New Roman" w:cs="Times New Roman" w:eastAsia="Times New Roman" w:hint="default"/>
          <w:spacing w:val="-1"/>
        </w:rPr>
        <w:t>2</w:t>
      </w:r>
      <w:r>
        <w:rPr/>
        <w:t>万户</w:t>
      </w:r>
      <w:r>
        <w:rPr>
          <w:spacing w:val="-75"/>
        </w:rPr>
        <w:t>，</w:t>
      </w:r>
      <w:r>
        <w:rPr/>
        <w:t>累计售</w:t>
      </w:r>
      <w:r>
        <w:rPr>
          <w:spacing w:val="-1"/>
        </w:rPr>
        <w:t>出</w:t>
      </w:r>
      <w:r>
        <w:rPr>
          <w:rFonts w:ascii="Times New Roman" w:hAnsi="Times New Roman" w:cs="Times New Roman" w:eastAsia="Times New Roman" w:hint="default"/>
          <w:w w:val="99"/>
        </w:rPr>
        <w:t>M</w:t>
      </w:r>
      <w:r>
        <w:rPr>
          <w:rFonts w:ascii="Times New Roman" w:hAnsi="Times New Roman" w:cs="Times New Roman" w:eastAsia="Times New Roman" w:hint="default"/>
          <w:spacing w:val="-1"/>
          <w:w w:val="99"/>
        </w:rPr>
        <w:t>P</w:t>
      </w:r>
      <w:r>
        <w:rPr>
          <w:rFonts w:ascii="Times New Roman" w:hAnsi="Times New Roman" w:cs="Times New Roman" w:eastAsia="Times New Roman" w:hint="default"/>
          <w:w w:val="99"/>
        </w:rPr>
        <w:t>OS</w:t>
      </w:r>
      <w:r>
        <w:rPr>
          <w:rFonts w:ascii="Times New Roman" w:hAnsi="Times New Roman" w:cs="Times New Roman" w:eastAsia="Times New Roman" w:hint="default"/>
        </w:rPr>
      </w:r>
    </w:p>
    <w:p>
      <w:pPr>
        <w:pStyle w:val="BodyText"/>
        <w:spacing w:line="300" w:lineRule="auto" w:before="61"/>
        <w:ind w:left="511" w:right="0" w:hanging="358"/>
        <w:jc w:val="left"/>
      </w:pPr>
      <w:r>
        <w:rPr/>
        <w:t>支付终端</w:t>
      </w:r>
      <w:r>
        <w:rPr>
          <w:rFonts w:ascii="Times New Roman" w:hAnsi="Times New Roman" w:cs="Times New Roman" w:eastAsia="Times New Roman" w:hint="default"/>
        </w:rPr>
        <w:t>2,201.22</w:t>
      </w:r>
      <w:r>
        <w:rPr/>
        <w:t>万部，累计布放</w:t>
      </w:r>
      <w:r>
        <w:rPr>
          <w:rFonts w:ascii="Times New Roman" w:hAnsi="Times New Roman" w:cs="Times New Roman" w:eastAsia="Times New Roman" w:hint="default"/>
        </w:rPr>
        <w:t>POS</w:t>
      </w:r>
      <w:r>
        <w:rPr/>
        <w:t>支付终端</w:t>
      </w:r>
      <w:r>
        <w:rPr>
          <w:rFonts w:ascii="Times New Roman" w:hAnsi="Times New Roman" w:cs="Times New Roman" w:eastAsia="Times New Roman" w:hint="default"/>
        </w:rPr>
        <w:t>162.07</w:t>
      </w:r>
      <w:r>
        <w:rPr/>
        <w:t>万部。 </w:t>
      </w:r>
      <w:r>
        <w:rPr>
          <w:spacing w:val="-2"/>
        </w:rPr>
        <w:t>报告期内，上海即富围绕渠道拓展和区域扩张两个维度精耕细作，完成了对福建即富金服数据处理有限公司和浙江即富</w:t>
      </w:r>
    </w:p>
    <w:p>
      <w:pPr>
        <w:pStyle w:val="BodyText"/>
        <w:spacing w:line="319" w:lineRule="auto" w:before="31"/>
        <w:ind w:right="1131"/>
        <w:jc w:val="both"/>
      </w:pPr>
      <w:r>
        <w:rPr>
          <w:spacing w:val="-2"/>
        </w:rPr>
        <w:t>企业管理有限公司两家控股子公司少数股权的收购；面对国内日益激烈的市场竞争环境，上海即富进行香港及东南亚市场的</w:t>
      </w:r>
      <w:r>
        <w:rPr>
          <w:spacing w:val="-64"/>
        </w:rPr>
        <w:t> </w:t>
      </w:r>
      <w:r>
        <w:rPr>
          <w:spacing w:val="-64"/>
        </w:rPr>
      </w:r>
      <w:r>
        <w:rPr>
          <w:spacing w:val="-2"/>
        </w:rPr>
        <w:t>布局，这将为上海即富带来新的发展空间和潜在的利润增长点；同时，上海即富完成了对深圳市华阳信通科技发展有限公司</w:t>
      </w:r>
      <w:r>
        <w:rPr>
          <w:spacing w:val="-66"/>
        </w:rPr>
        <w:t> </w:t>
      </w:r>
      <w:r>
        <w:rPr>
          <w:spacing w:val="-66"/>
        </w:rPr>
      </w:r>
      <w:r>
        <w:rPr>
          <w:spacing w:val="-2"/>
        </w:rPr>
        <w:t>的参股投资和合作，牵手新零售行业，丰富支付场景、拓宽数据维度，在提升开店宝品牌影响力的同时获取高粘性的品牌商</w:t>
      </w:r>
      <w:r>
        <w:rPr>
          <w:spacing w:val="-66"/>
        </w:rPr>
        <w:t> </w:t>
      </w:r>
      <w:r>
        <w:rPr>
          <w:spacing w:val="-66"/>
        </w:rPr>
      </w:r>
      <w:r>
        <w:rPr/>
        <w:t>户，为公司金融科技板块业务的进一步拓疆辟土打下坚实基础。</w:t>
      </w:r>
    </w:p>
    <w:p>
      <w:pPr>
        <w:pStyle w:val="BodyText"/>
        <w:spacing w:line="316" w:lineRule="auto" w:before="17"/>
        <w:ind w:right="0" w:firstLine="357"/>
        <w:jc w:val="left"/>
      </w:pPr>
      <w:r>
        <w:rPr>
          <w:spacing w:val="-2"/>
        </w:rPr>
        <w:t>报告期内，公司在大数据业务及金融业务领域投资的公司业务发展情况良好。公司通过前期投资、合作、并购重组拓展</w:t>
      </w:r>
      <w:r>
        <w:rPr/>
        <w:t> </w:t>
      </w:r>
      <w:r>
        <w:rPr>
          <w:spacing w:val="-2"/>
        </w:rPr>
        <w:t>了在金融科技业务领域的布局，有效实现了客户范围和业务领域的拓展，优化、丰富了公司的收入结构，创造公司新的利润</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增长点。</w:t>
      </w:r>
    </w:p>
    <w:p>
      <w:pPr>
        <w:pStyle w:val="BodyText"/>
        <w:spacing w:line="300" w:lineRule="auto" w:before="76"/>
        <w:ind w:left="511" w:right="0"/>
        <w:jc w:val="left"/>
      </w:pPr>
      <w:r>
        <w:rPr>
          <w:rFonts w:ascii="Times New Roman" w:hAnsi="Times New Roman" w:cs="Times New Roman" w:eastAsia="Times New Roman" w:hint="default"/>
        </w:rPr>
        <w:t>3</w:t>
      </w:r>
      <w:r>
        <w:rPr/>
        <w:t>、加强内控体系建设，提升公司抗风险能力 </w:t>
      </w:r>
      <w:r>
        <w:rPr>
          <w:spacing w:val="-2"/>
        </w:rPr>
        <w:t>报告期内，公司按照上市公司对内部控制的要求，搭建、优化更加适合公司管理模式的内部控制体系，不断完善公司内</w:t>
      </w:r>
    </w:p>
    <w:p>
      <w:pPr>
        <w:pStyle w:val="BodyText"/>
        <w:spacing w:line="309" w:lineRule="auto" w:before="31"/>
        <w:ind w:right="0"/>
        <w:jc w:val="left"/>
      </w:pPr>
      <w:r>
        <w:rPr/>
        <w:t>部风险管控制度，并于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月完成了对公司制度的全面梳理及修订；公司财务部门在报告期内严格按照《会计准则》及</w:t>
      </w:r>
      <w:r>
        <w:rPr>
          <w:spacing w:val="-83"/>
        </w:rPr>
        <w:t> </w:t>
      </w:r>
      <w:r>
        <w:rPr>
          <w:spacing w:val="-83"/>
        </w:rPr>
      </w:r>
      <w:r>
        <w:rPr>
          <w:spacing w:val="-4"/>
        </w:rPr>
        <w:t>内控制度的要求，对公司发生的每一笔业务做好风险控制的把关工作；通过以上各环节的衔接以及公司全体员工的共同努力，</w:t>
      </w:r>
      <w:r>
        <w:rPr>
          <w:spacing w:val="-44"/>
        </w:rPr>
        <w:t> </w:t>
      </w:r>
      <w:r>
        <w:rPr>
          <w:spacing w:val="-44"/>
        </w:rPr>
      </w:r>
      <w:r>
        <w:rPr/>
        <w:t>保障了公司在报告期内的整体抗风险能力。</w:t>
      </w:r>
    </w:p>
    <w:p>
      <w:pPr>
        <w:pStyle w:val="BodyText"/>
        <w:spacing w:line="300" w:lineRule="auto" w:before="24"/>
        <w:ind w:left="511" w:right="0"/>
        <w:jc w:val="left"/>
      </w:pPr>
      <w:r>
        <w:rPr>
          <w:rFonts w:ascii="Times New Roman" w:hAnsi="Times New Roman" w:cs="Times New Roman" w:eastAsia="Times New Roman" w:hint="default"/>
        </w:rPr>
        <w:t>4</w:t>
      </w:r>
      <w:r>
        <w:rPr/>
        <w:t>、提升公司治理水平，保障公司规范、高效运营 </w:t>
      </w:r>
      <w:r>
        <w:rPr>
          <w:spacing w:val="-2"/>
        </w:rPr>
        <w:t>报告期内，公司严格按照《公司法》、《证券法》、《上市公司治理准则》、《深圳证券交易所股票上市规则》和中国</w:t>
      </w:r>
    </w:p>
    <w:p>
      <w:pPr>
        <w:pStyle w:val="BodyText"/>
        <w:spacing w:line="316" w:lineRule="auto" w:before="31"/>
        <w:ind w:right="0"/>
        <w:jc w:val="left"/>
      </w:pPr>
      <w:r>
        <w:rPr>
          <w:spacing w:val="-2"/>
        </w:rPr>
        <w:t>证监会、深圳证券交易所有关法律法规等的要求，不断完善公司治理结构，建立健全内部管理和控制制度，持续深入开展公</w:t>
      </w:r>
      <w:r>
        <w:rPr>
          <w:spacing w:val="-66"/>
        </w:rPr>
        <w:t> </w:t>
      </w:r>
      <w:r>
        <w:rPr>
          <w:spacing w:val="-66"/>
        </w:rPr>
      </w:r>
      <w:r>
        <w:rPr/>
        <w:t>司治理活动，保障公司规范、高效运营，提升公司治理水平。</w:t>
      </w:r>
    </w:p>
    <w:p>
      <w:pPr>
        <w:pStyle w:val="BodyText"/>
        <w:spacing w:line="316" w:lineRule="auto" w:before="19"/>
        <w:ind w:left="511" w:right="0"/>
        <w:jc w:val="left"/>
      </w:pPr>
      <w:r>
        <w:rPr/>
        <w:t>（三）报告期内经营情况分析 报告期内，公司实现营业总收入</w:t>
      </w:r>
      <w:r>
        <w:rPr>
          <w:rFonts w:ascii="Times New Roman" w:hAnsi="Times New Roman" w:cs="Times New Roman" w:eastAsia="Times New Roman" w:hint="default"/>
        </w:rPr>
        <w:t>393,347.47</w:t>
      </w:r>
      <w:r>
        <w:rPr/>
        <w:t>万元，较上年同期增长</w:t>
      </w:r>
      <w:r>
        <w:rPr>
          <w:rFonts w:ascii="Times New Roman" w:hAnsi="Times New Roman" w:cs="Times New Roman" w:eastAsia="Times New Roman" w:hint="default"/>
        </w:rPr>
        <w:t>279.64%</w:t>
      </w:r>
      <w:r>
        <w:rPr/>
        <w:t>；实现利润总额</w:t>
      </w:r>
      <w:r>
        <w:rPr>
          <w:rFonts w:ascii="Times New Roman" w:hAnsi="Times New Roman" w:cs="Times New Roman" w:eastAsia="Times New Roman" w:hint="default"/>
        </w:rPr>
        <w:t>40,613.75</w:t>
      </w:r>
      <w:r>
        <w:rPr/>
        <w:t>万元，较上年同期</w:t>
      </w:r>
    </w:p>
    <w:p>
      <w:pPr>
        <w:pStyle w:val="BodyText"/>
        <w:spacing w:line="300" w:lineRule="auto"/>
        <w:ind w:right="1128"/>
        <w:jc w:val="left"/>
      </w:pPr>
      <w:r>
        <w:rPr>
          <w:spacing w:val="-3"/>
        </w:rPr>
        <w:t>增加</w:t>
      </w:r>
      <w:r>
        <w:rPr>
          <w:rFonts w:ascii="Times New Roman" w:hAnsi="Times New Roman" w:cs="Times New Roman" w:eastAsia="Times New Roman" w:hint="default"/>
          <w:spacing w:val="-3"/>
        </w:rPr>
        <w:t>600.18%</w:t>
      </w:r>
      <w:r>
        <w:rPr>
          <w:spacing w:val="-3"/>
        </w:rPr>
        <w:t>；实现归属于上市公司股东的净利润</w:t>
      </w:r>
      <w:r>
        <w:rPr>
          <w:rFonts w:ascii="Times New Roman" w:hAnsi="Times New Roman" w:cs="Times New Roman" w:eastAsia="Times New Roman" w:hint="default"/>
          <w:spacing w:val="-3"/>
        </w:rPr>
        <w:t>10,002.64</w:t>
      </w:r>
      <w:r>
        <w:rPr>
          <w:spacing w:val="-3"/>
        </w:rPr>
        <w:t>万元，较上年同期增加</w:t>
      </w:r>
      <w:r>
        <w:rPr>
          <w:rFonts w:ascii="Times New Roman" w:hAnsi="Times New Roman" w:cs="Times New Roman" w:eastAsia="Times New Roman" w:hint="default"/>
          <w:spacing w:val="-3"/>
        </w:rPr>
        <w:t>510.82%</w:t>
      </w:r>
      <w:r>
        <w:rPr>
          <w:spacing w:val="-3"/>
        </w:rPr>
        <w:t>；公司报告期末总资产为</w:t>
      </w:r>
      <w:r>
        <w:rPr>
          <w:rFonts w:ascii="Times New Roman" w:hAnsi="Times New Roman" w:cs="Times New Roman" w:eastAsia="Times New Roman" w:hint="default"/>
          <w:spacing w:val="-3"/>
        </w:rPr>
        <w:t>316,458.77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万元，较期初增加</w:t>
      </w:r>
      <w:r>
        <w:rPr>
          <w:rFonts w:ascii="Times New Roman" w:hAnsi="Times New Roman" w:cs="Times New Roman" w:eastAsia="Times New Roman" w:hint="default"/>
        </w:rPr>
        <w:t>3.84%</w:t>
      </w:r>
      <w:r>
        <w:rPr/>
        <w:t>；归属于上市公司股东的所有者权益为</w:t>
      </w:r>
      <w:r>
        <w:rPr>
          <w:rFonts w:ascii="Times New Roman" w:hAnsi="Times New Roman" w:cs="Times New Roman" w:eastAsia="Times New Roman" w:hint="default"/>
        </w:rPr>
        <w:t>87,956.59</w:t>
      </w:r>
      <w:r>
        <w:rPr/>
        <w:t>万元，较期初增加</w:t>
      </w:r>
      <w:r>
        <w:rPr>
          <w:rFonts w:ascii="Times New Roman" w:hAnsi="Times New Roman" w:cs="Times New Roman" w:eastAsia="Times New Roman" w:hint="default"/>
        </w:rPr>
        <w:t>5.56%</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3,921,517,862.11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1,034,143,769.01</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278,503,458.71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185,171,681.24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319,102,725.69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258,725,453.39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23.34%</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3,319,299,295.18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587,143,101.13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465.33%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4,612,382.53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3,103,533.25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319,102,725.69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255,303,783.39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专网通信解决方案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278,503,458.71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185,171,681.24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50.40%</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2,726,733,699.03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573,168,515.81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375.73%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222,529,436.93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16,025,137.22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1,288.63%</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374,648,541.75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4,474,651.35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8,272.69%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3,965,566.19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20,621,990.02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70,362,722.19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69,385,253.69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3,499,280,613.76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709,024,866.16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159,553,724.67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51,883,455.24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207.52%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99,497,448.86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57,144,984.36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74.11%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53,018,560.31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82,395,527.16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35,839,226.13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43,687,692.38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-17.96%</w:t>
            </w:r>
          </w:p>
        </w:tc>
      </w:tr>
    </w:tbl>
    <w:p>
      <w:pPr>
        <w:pStyle w:val="BodyText"/>
        <w:spacing w:line="240" w:lineRule="auto" w:before="51"/>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6"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5"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697,318,554.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949,277,646.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1,091,136,71</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6.02</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2"/>
              <w:ind w:left="33" w:right="0"/>
              <w:jc w:val="left"/>
              <w:rPr>
                <w:rFonts w:ascii="Times New Roman" w:hAnsi="Times New Roman" w:cs="Times New Roman" w:eastAsia="Times New Roman" w:hint="default"/>
                <w:sz w:val="18"/>
                <w:szCs w:val="18"/>
              </w:rPr>
            </w:pPr>
            <w:r>
              <w:rPr>
                <w:rFonts w:ascii="Times New Roman"/>
                <w:sz w:val="18"/>
              </w:rPr>
              <w:t>1,183,784,94</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4.53</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58,343,293.8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157,609,487.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89,194,566.4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730,956,825.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r>
      <w:tr>
        <w:trPr>
          <w:trHeight w:val="391"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5"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17,440,900.8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18,812,831.4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24,619,929.1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39,152,773.1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-21,275,274.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-19,178,658.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-11,047,541.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27,153,302.2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1"/>
        <w:ind w:right="6612"/>
        <w:jc w:val="left"/>
      </w:pPr>
      <w:r>
        <w:rPr/>
        <w:t>说明经营季节性（或周期性）发生的原因及波动风险 公司经营不存在明显的季节性。</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560"/>
        <w:gridCol w:w="1416"/>
        <w:gridCol w:w="1134"/>
        <w:gridCol w:w="1277"/>
        <w:gridCol w:w="1276"/>
        <w:gridCol w:w="1207"/>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3"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5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278,503,458.71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247,916,488.11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交通行业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319,102,725.69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291,009,084.69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-3.69%</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3,319,299,295.18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2,015,787,000.54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465.33%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549.96%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-8.21%</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4,612,382.53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319,102,725.69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291,009,084.69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28.69%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专网通信解决方案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278,503,458.71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247,916,488.11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2"/>
        <w:gridCol w:w="1560"/>
        <w:gridCol w:w="1416"/>
        <w:gridCol w:w="1134"/>
        <w:gridCol w:w="1277"/>
        <w:gridCol w:w="1276"/>
        <w:gridCol w:w="1207"/>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2,726,733,699.03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1,771,977,843.15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222,529,436.93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238,490,210.27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1,288.63%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1,759.25%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374,648,541.75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5,318,947.12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43,412.83%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3,965,566.19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4,080,880.58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70,362,722.19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66,144,061.06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3,499,280,613.76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2,190,744,649.89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418.98%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159,553,724.67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115,061,848.38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322.56%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99,497,448.86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95,473,422.02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74.11%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53,018,560.31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48,952,214.70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35,839,226.13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34,255,496.72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4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0"/>
        <w:jc w:val="left"/>
      </w:pPr>
      <w:r>
        <w:rPr/>
        <w:t>软件与信息技术服务业</w:t>
      </w:r>
    </w:p>
    <w:p>
      <w:pPr>
        <w:pStyle w:val="BodyText"/>
        <w:spacing w:line="340" w:lineRule="auto" w:before="116"/>
        <w:ind w:right="182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单一销售合同金额占公司最近一个会计年度经审计营业收入</w:t>
      </w:r>
      <w:r>
        <w:rPr>
          <w:spacing w:val="-45"/>
        </w:rPr>
        <w:t> </w:t>
      </w:r>
      <w:r>
        <w:rPr>
          <w:rFonts w:ascii="Times New Roman" w:hAnsi="Times New Roman" w:cs="Times New Roman" w:eastAsia="Times New Roman" w:hint="default"/>
        </w:rPr>
        <w:t>30%</w:t>
      </w:r>
      <w:r>
        <w:rPr/>
        <w:t>以上且金额超过</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万元的正在履行的合同情况</w:t>
      </w:r>
    </w:p>
    <w:p>
      <w:pPr>
        <w:pStyle w:val="BodyText"/>
        <w:spacing w:line="240" w:lineRule="auto" w:before="1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553,866,171.29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234,458,330.71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171,943,560.01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140,930,700.00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1,828,902,842.04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319,067,100.00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473.20%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2,554,712,573.34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8" w:right="0"/>
              <w:jc w:val="lef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694,456,130.71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7" w:right="0"/>
              <w:jc w:val="lef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7" w:right="0"/>
              <w:jc w:val="left"/>
              <w:rPr>
                <w:rFonts w:ascii="Times New Roman" w:hAnsi="Times New Roman" w:cs="Times New Roman" w:eastAsia="Times New Roman" w:hint="default"/>
                <w:sz w:val="18"/>
                <w:szCs w:val="18"/>
              </w:rPr>
            </w:pPr>
            <w:r>
              <w:rPr>
                <w:rFonts w:ascii="Times New Roman"/>
                <w:sz w:val="18"/>
              </w:rPr>
              <w:t>267.87%</w:t>
            </w:r>
          </w:p>
        </w:tc>
      </w:tr>
    </w:tbl>
    <w:p>
      <w:pPr>
        <w:pStyle w:val="BodyText"/>
        <w:spacing w:line="240" w:lineRule="auto" w:before="51"/>
        <w:ind w:right="0"/>
        <w:jc w:val="left"/>
      </w:pPr>
      <w:r>
        <w:rPr/>
        <w:t>行业和产品分类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560"/>
        <w:gridCol w:w="1416"/>
        <w:gridCol w:w="1277"/>
        <w:gridCol w:w="1417"/>
        <w:gridCol w:w="1066"/>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206,756,891.07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139,884,500.00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电力行业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41,159,597.04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14,022,900.00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193.52%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108,619,069.95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81,734,430.71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171,943,560.01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140,930,700.00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10,446,454.73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7,744,700.00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238,490,210.27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12,839,400.00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1,757.49%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1,777,296,790.27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297,299,500.00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497.81%</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2,554,712,573.34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694,456,130.71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267.87%</w:t>
            </w: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560"/>
        <w:gridCol w:w="1416"/>
        <w:gridCol w:w="1277"/>
        <w:gridCol w:w="1417"/>
        <w:gridCol w:w="1066"/>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6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108,619,069.95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81,734,430.71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工程成本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171,943,560.01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140,930,700.00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22.01%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交通工程系统集成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10,446,454.73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7,744,700.00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专网通信解决方案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206,756,891.07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139,884,500.00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专网通信解决方案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41,159,597.04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14,022,900.00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193.52%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收单服务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1,771,977,843.15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297,287,276.14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496.05%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238,490,210.27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12,839,400.00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1,757.49%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5,318,947.12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12,223.86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43,412.83%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2,554,712,573.34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694,456,130.71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15</w:t>
      </w:r>
      <w:r>
        <w:rPr/>
        <w:t>家，比上年增加</w:t>
      </w:r>
      <w:r>
        <w:rPr>
          <w:rFonts w:ascii="Times New Roman" w:hAnsi="Times New Roman" w:cs="Times New Roman" w:eastAsia="Times New Roman" w:hint="default"/>
        </w:rPr>
        <w:t>1</w:t>
      </w:r>
      <w:r>
        <w:rPr/>
        <w:t>家（非同一控制下合并增加子公司</w:t>
      </w:r>
      <w:r>
        <w:rPr>
          <w:rFonts w:ascii="Times New Roman" w:hAnsi="Times New Roman" w:cs="Times New Roman" w:eastAsia="Times New Roman" w:hint="default"/>
        </w:rPr>
        <w:t>1</w:t>
      </w:r>
      <w:r>
        <w:rPr/>
        <w:t>家）。</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821"/>
        <w:gridCol w:w="4748"/>
      </w:tblGrid>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143,646,753.33</w:t>
            </w:r>
          </w:p>
        </w:tc>
      </w:tr>
      <w:tr>
        <w:trPr>
          <w:trHeight w:val="402"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3" w:hRule="exact"/>
        </w:trPr>
        <w:tc>
          <w:tcPr>
            <w:tcW w:w="4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36,947,656.56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30,778,502.37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30,648,255.90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26,388,704.55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18,883,633.95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0.48%</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143,646,753.33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w:t>
            </w:r>
          </w:p>
        </w:tc>
      </w:tr>
    </w:tbl>
    <w:p>
      <w:pPr>
        <w:pStyle w:val="BodyText"/>
        <w:spacing w:line="240" w:lineRule="auto" w:before="51"/>
        <w:ind w:right="0"/>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132,592,511.82</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34,188,034.20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32,272,673.39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25,065,561.40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20,807,672.38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20,258,570.45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132,592,511.82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10.13%</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23"/>
        <w:gridCol w:w="1430"/>
        <w:gridCol w:w="1418"/>
        <w:gridCol w:w="1276"/>
        <w:gridCol w:w="4323"/>
      </w:tblGrid>
      <w:tr>
        <w:trPr>
          <w:trHeight w:val="401"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60" w:right="0"/>
              <w:jc w:val="left"/>
              <w:rPr>
                <w:rFonts w:ascii="Times New Roman" w:hAnsi="Times New Roman" w:cs="Times New Roman" w:eastAsia="Times New Roman" w:hint="default"/>
                <w:sz w:val="18"/>
                <w:szCs w:val="18"/>
              </w:rPr>
            </w:pPr>
            <w:r>
              <w:rPr>
                <w:rFonts w:ascii="Times New Roman"/>
                <w:sz w:val="18"/>
              </w:rPr>
              <w:t>250,473,912.62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9" w:right="0"/>
              <w:jc w:val="left"/>
              <w:rPr>
                <w:rFonts w:ascii="Times New Roman" w:hAnsi="Times New Roman" w:cs="Times New Roman" w:eastAsia="Times New Roman" w:hint="default"/>
                <w:sz w:val="18"/>
                <w:szCs w:val="18"/>
              </w:rPr>
            </w:pPr>
            <w:r>
              <w:rPr>
                <w:rFonts w:ascii="Times New Roman"/>
                <w:sz w:val="18"/>
              </w:rPr>
              <w:t>65,695,809.05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8" w:right="0"/>
              <w:jc w:val="left"/>
              <w:rPr>
                <w:rFonts w:ascii="Times New Roman" w:hAnsi="Times New Roman" w:cs="Times New Roman" w:eastAsia="Times New Roman" w:hint="default"/>
                <w:sz w:val="18"/>
                <w:szCs w:val="18"/>
              </w:rPr>
            </w:pPr>
            <w:r>
              <w:rPr>
                <w:rFonts w:ascii="Times New Roman"/>
                <w:sz w:val="18"/>
              </w:rPr>
              <w:t>281.26%</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pacing w:val="-3"/>
                <w:sz w:val="18"/>
                <w:szCs w:val="18"/>
              </w:rPr>
              <w:t>主要系本报告期上海即富全年纳入公司合并范围，而去</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1418"/>
        <w:gridCol w:w="1276"/>
        <w:gridCol w:w="4323"/>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年同期只合并了上海即富第四季度。</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435,988,043.45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141,997,422.10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207.04%</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主要系本报告期上海即富全年纳入公司合并范围，而去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年同期只合并了上海即富第四季度。</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51,995,392.86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30,491,234.61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70.53%</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主要系本报告期全年承担了重大资产重组相关的并购 </w:t>
            </w:r>
            <w:r>
              <w:rPr>
                <w:rFonts w:ascii="宋体" w:hAnsi="宋体" w:cs="宋体" w:eastAsia="宋体" w:hint="default"/>
                <w:spacing w:val="-3"/>
                <w:sz w:val="18"/>
                <w:szCs w:val="18"/>
              </w:rPr>
              <w:t>贷利息，上年同期只有四季度承担了重大资产重组相关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的并购贷利息所致。</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124,975,816.39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37,622,585.95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232.18%</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3"/>
                <w:sz w:val="18"/>
                <w:szCs w:val="18"/>
              </w:rPr>
              <w:t>主要系本报告期上海即富全年纳入公司合并范围，而去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年同期只合并了上海即富第四季度。</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5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报告期内，公司研发支出为</w:t>
      </w:r>
      <w:r>
        <w:rPr>
          <w:rFonts w:ascii="Times New Roman" w:hAnsi="Times New Roman" w:cs="Times New Roman" w:eastAsia="Times New Roman" w:hint="default"/>
        </w:rPr>
        <w:t>124,975,816.39</w:t>
      </w:r>
      <w:r>
        <w:rPr/>
        <w:t>元，同比增加</w:t>
      </w:r>
      <w:r>
        <w:rPr>
          <w:rFonts w:ascii="Times New Roman" w:hAnsi="Times New Roman" w:cs="Times New Roman" w:eastAsia="Times New Roman" w:hint="default"/>
        </w:rPr>
        <w:t>232.18%</w:t>
      </w:r>
      <w:r>
        <w:rPr/>
        <w:t>。 公司研发投入情况</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954"/>
        <w:gridCol w:w="2280"/>
        <w:gridCol w:w="2127"/>
        <w:gridCol w:w="2196"/>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124,975,816.39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37,622,585.95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232.18%</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2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2421"/>
        <w:gridCol w:w="2268"/>
        <w:gridCol w:w="2196"/>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4,908,909,598.01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1,552,046,989.98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216.29%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4,053,101,342.89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1,535,786,972.45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163.91%</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855,808,255.12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16,260,017.53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5,163.27%</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534,471,430.76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170,765,199.09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212.99%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1,189,934,422.17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399,463,560.28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197.88%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-655,462,991.41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-228,698,361.19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-210.05%</w:t>
            </w:r>
            <w:r>
              <w:rPr>
                <w:rFonts w:ascii="Times New Roman"/>
                <w:sz w:val="18"/>
              </w:rPr>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453,189,474.92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1,370,807,229.18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2410"/>
        <w:gridCol w:w="2268"/>
        <w:gridCol w:w="2196"/>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937,762,616.14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1,227,841,763.22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-484,573,141.22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142,965,465.96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-438.94%</w:t>
            </w:r>
            <w:r>
              <w:rPr>
                <w:rFonts w:ascii="Times New Roman"/>
                <w:sz w:val="18"/>
              </w:rPr>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-283,997,537.29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-71,181,411.78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-298.98%</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1" w:firstLine="360"/>
        <w:jc w:val="both"/>
      </w:pPr>
      <w:r>
        <w:rPr>
          <w:rFonts w:ascii="Times New Roman" w:hAnsi="Times New Roman" w:cs="Times New Roman" w:eastAsia="Times New Roman" w:hint="default"/>
          <w:spacing w:val="-1"/>
        </w:rPr>
        <w:t>1</w:t>
      </w:r>
      <w:r>
        <w:rPr>
          <w:spacing w:val="-1"/>
        </w:rPr>
        <w:t>、报告期内，经营活动产生的现金流入小计同比增长</w:t>
      </w:r>
      <w:r>
        <w:rPr>
          <w:rFonts w:ascii="Times New Roman" w:hAnsi="Times New Roman" w:cs="Times New Roman" w:eastAsia="Times New Roman" w:hint="default"/>
          <w:spacing w:val="-1"/>
        </w:rPr>
        <w:t>216.29%</w:t>
      </w:r>
      <w:r>
        <w:rPr>
          <w:spacing w:val="-1"/>
        </w:rPr>
        <w:t>，经营活动产生的现金流出小计同比增长</w:t>
      </w:r>
      <w:r>
        <w:rPr>
          <w:rFonts w:ascii="Times New Roman" w:hAnsi="Times New Roman" w:cs="Times New Roman" w:eastAsia="Times New Roman" w:hint="default"/>
          <w:spacing w:val="-1"/>
        </w:rPr>
        <w:t>163.91%</w:t>
      </w:r>
      <w:r>
        <w:rPr>
          <w:spacing w:val="-1"/>
        </w:rPr>
        <w:t>，经营</w:t>
      </w:r>
      <w:r>
        <w:rPr/>
        <w:t> 活动产生的现金流量净额同比增长</w:t>
      </w:r>
      <w:r>
        <w:rPr>
          <w:rFonts w:ascii="Times New Roman" w:hAnsi="Times New Roman" w:cs="Times New Roman" w:eastAsia="Times New Roman" w:hint="default"/>
        </w:rPr>
        <w:t>5,163.27%</w:t>
      </w:r>
      <w:r>
        <w:rPr/>
        <w:t>，主要系本报告期上海即富实现了全年纳入上市公司合并报表，去年同期只有 第四季度纳入上市公司合并报表，上海即富对经营活动产生的现金流量贡献较大所致；</w:t>
      </w:r>
    </w:p>
    <w:p>
      <w:pPr>
        <w:pStyle w:val="BodyText"/>
        <w:spacing w:line="300" w:lineRule="auto" w:before="31"/>
        <w:ind w:right="0" w:firstLine="360"/>
        <w:jc w:val="left"/>
      </w:pPr>
      <w:r>
        <w:rPr>
          <w:rFonts w:ascii="Times New Roman" w:hAnsi="Times New Roman" w:cs="Times New Roman" w:eastAsia="Times New Roman" w:hint="default"/>
          <w:spacing w:val="-1"/>
        </w:rPr>
        <w:t>2</w:t>
      </w:r>
      <w:r>
        <w:rPr>
          <w:spacing w:val="-1"/>
        </w:rPr>
        <w:t>、报告期内，投资活动产生的现金流入小计同比增长</w:t>
      </w:r>
      <w:r>
        <w:rPr>
          <w:rFonts w:ascii="Times New Roman" w:hAnsi="Times New Roman" w:cs="Times New Roman" w:eastAsia="Times New Roman" w:hint="default"/>
          <w:spacing w:val="-1"/>
        </w:rPr>
        <w:t>212.99%</w:t>
      </w:r>
      <w:r>
        <w:rPr>
          <w:spacing w:val="-1"/>
        </w:rPr>
        <w:t>，投资活动产生的现金流出小计同比增长</w:t>
      </w:r>
      <w:r>
        <w:rPr>
          <w:rFonts w:ascii="Times New Roman" w:hAnsi="Times New Roman" w:cs="Times New Roman" w:eastAsia="Times New Roman" w:hint="default"/>
          <w:spacing w:val="-1"/>
        </w:rPr>
        <w:t>197.88%</w:t>
      </w:r>
      <w:r>
        <w:rPr>
          <w:spacing w:val="-1"/>
        </w:rPr>
        <w:t>，投资</w:t>
      </w:r>
      <w:r>
        <w:rPr/>
        <w:t> 活动产生的现金流量净额同比下降</w:t>
      </w:r>
      <w:r>
        <w:rPr>
          <w:rFonts w:ascii="Times New Roman" w:hAnsi="Times New Roman" w:cs="Times New Roman" w:eastAsia="Times New Roman" w:hint="default"/>
        </w:rPr>
        <w:t>210.05%</w:t>
      </w:r>
      <w:r>
        <w:rPr/>
        <w:t>，主要系本报告期上海即富构建较多固定资产所致；</w:t>
      </w:r>
    </w:p>
    <w:p>
      <w:pPr>
        <w:pStyle w:val="BodyText"/>
        <w:spacing w:line="319" w:lineRule="auto" w:before="13"/>
        <w:ind w:right="0" w:firstLine="360"/>
        <w:jc w:val="left"/>
      </w:pPr>
      <w:r>
        <w:rPr>
          <w:rFonts w:ascii="Times New Roman" w:hAnsi="Times New Roman" w:cs="Times New Roman" w:eastAsia="Times New Roman" w:hint="default"/>
          <w:spacing w:val="-1"/>
        </w:rPr>
        <w:t>3</w:t>
      </w:r>
      <w:r>
        <w:rPr>
          <w:spacing w:val="-1"/>
        </w:rPr>
        <w:t>、报告期内，筹资活动产生的现金流入小计同比下降</w:t>
      </w:r>
      <w:r>
        <w:rPr>
          <w:rFonts w:ascii="Times New Roman" w:hAnsi="Times New Roman" w:cs="Times New Roman" w:eastAsia="Times New Roman" w:hint="default"/>
          <w:spacing w:val="-1"/>
        </w:rPr>
        <w:t>66.94%</w:t>
      </w:r>
      <w:r>
        <w:rPr>
          <w:spacing w:val="-1"/>
        </w:rPr>
        <w:t>，筹资活动产生的现金流出小计同比下降</w:t>
      </w:r>
      <w:r>
        <w:rPr>
          <w:rFonts w:ascii="Times New Roman" w:hAnsi="Times New Roman" w:cs="Times New Roman" w:eastAsia="Times New Roman" w:hint="default"/>
          <w:spacing w:val="-1"/>
        </w:rPr>
        <w:t>23.63%</w:t>
      </w:r>
      <w:r>
        <w:rPr>
          <w:spacing w:val="-1"/>
        </w:rPr>
        <w:t>，筹资活</w:t>
      </w:r>
      <w:r>
        <w:rPr/>
        <w:t> 动产生的现金流量净额同比下降</w:t>
      </w:r>
      <w:r>
        <w:rPr>
          <w:rFonts w:ascii="Times New Roman" w:hAnsi="Times New Roman" w:cs="Times New Roman" w:eastAsia="Times New Roman" w:hint="default"/>
        </w:rPr>
        <w:t>438.94%</w:t>
      </w:r>
      <w:r>
        <w:rPr/>
        <w:t>，主要系本报告期上海即富分配利润所致。 报告期内公司经营活动产生的现金净流量与本年度净利润存在重大差异的原因说明</w:t>
      </w:r>
    </w:p>
    <w:p>
      <w:pPr>
        <w:pStyle w:val="BodyText"/>
        <w:spacing w:line="240" w:lineRule="auto" w:before="5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pict>
          <v:group style="position:absolute;margin-left:455.040009pt;margin-top:62.851723pt;width:78.8pt;height:19.650pt;mso-position-horizontal-relative:page;mso-position-vertical-relative:paragraph;z-index:-1028152" coordorigin="9101,1257" coordsize="1576,393">
            <v:shape style="position:absolute;left:9101;top:1257;width:1576;height:393" coordorigin="9101,1257" coordsize="1576,393" path="m9101,1649l10676,1649,10676,1257,9101,1257,9101,1649xe" filled="true" fillcolor="#ffffff" stroked="false">
              <v:path arrowok="t"/>
              <v:fill type="solid"/>
            </v:shape>
            <w10:wrap type="none"/>
          </v:group>
        </w:pict>
      </w: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12"/>
        <w:gridCol w:w="1287"/>
        <w:gridCol w:w="1419"/>
        <w:gridCol w:w="4110"/>
        <w:gridCol w:w="1631"/>
      </w:tblGrid>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11,870,285.65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主要系确认对合营企业的投资收益所致。</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可持续</w:t>
            </w: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70,945,017.32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17.47%</w:t>
            </w:r>
          </w:p>
        </w:tc>
        <w:tc>
          <w:tcPr>
            <w:tcW w:w="411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39"/>
              <w:jc w:val="left"/>
              <w:rPr>
                <w:rFonts w:ascii="宋体" w:hAnsi="宋体" w:cs="宋体" w:eastAsia="宋体" w:hint="default"/>
                <w:sz w:val="18"/>
                <w:szCs w:val="18"/>
              </w:rPr>
            </w:pPr>
            <w:r>
              <w:rPr>
                <w:rFonts w:ascii="宋体" w:hAnsi="宋体" w:cs="宋体" w:eastAsia="宋体" w:hint="default"/>
                <w:spacing w:val="-2"/>
                <w:sz w:val="18"/>
                <w:szCs w:val="18"/>
              </w:rPr>
              <w:t>主要系公司对部分应收款项全额计提坏账准备所致。</w:t>
            </w:r>
            <w:r>
              <w:rPr>
                <w:rFonts w:ascii="宋体" w:hAnsi="宋体" w:cs="宋体" w:eastAsia="宋体" w:hint="default"/>
                <w:sz w:val="18"/>
                <w:szCs w:val="18"/>
              </w:rPr>
            </w:r>
          </w:p>
        </w:tc>
        <w:tc>
          <w:tcPr>
            <w:tcW w:w="163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7,981,143.45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主要系公司收到与收益相关的政府补助所致。</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161"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91,846,776.76</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1" w:right="0"/>
              <w:jc w:val="left"/>
              <w:rPr>
                <w:rFonts w:ascii="Times New Roman" w:hAnsi="Times New Roman" w:cs="Times New Roman" w:eastAsia="Times New Roman" w:hint="default"/>
                <w:sz w:val="18"/>
                <w:szCs w:val="18"/>
              </w:rPr>
            </w:pPr>
            <w:r>
              <w:rPr>
                <w:rFonts w:ascii="Times New Roman"/>
                <w:sz w:val="18"/>
              </w:rPr>
              <w:t>22.61%</w:t>
            </w:r>
          </w:p>
        </w:tc>
        <w:tc>
          <w:tcPr>
            <w:tcW w:w="411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主要系公司退还以前年度政府补助及上海即富计提 超业绩奖励所致。</w:t>
            </w:r>
          </w:p>
        </w:tc>
        <w:tc>
          <w:tcPr>
            <w:tcW w:w="16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不可持续</w:t>
            </w:r>
          </w:p>
        </w:tc>
      </w:tr>
      <w:tr>
        <w:trPr>
          <w:trHeight w:val="392" w:hRule="exact"/>
        </w:trPr>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87"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4110" w:type="dxa"/>
            <w:vMerge/>
            <w:tcBorders>
              <w:left w:val="single" w:sz="4" w:space="0" w:color="000000"/>
              <w:right w:val="single" w:sz="4" w:space="0" w:color="000000"/>
            </w:tcBorders>
          </w:tcPr>
          <w:p>
            <w:pPr/>
          </w:p>
        </w:tc>
        <w:tc>
          <w:tcPr>
            <w:tcW w:w="1631" w:type="dxa"/>
            <w:vMerge/>
            <w:tcBorders>
              <w:left w:val="single" w:sz="4" w:space="0" w:color="000000"/>
              <w:right w:val="single" w:sz="4" w:space="0" w:color="000000"/>
            </w:tcBorders>
          </w:tcPr>
          <w:p>
            <w:pPr/>
          </w:p>
        </w:tc>
      </w:tr>
      <w:tr>
        <w:trPr>
          <w:trHeight w:val="161" w:hRule="exact"/>
        </w:trPr>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7"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4110" w:type="dxa"/>
            <w:vMerge/>
            <w:tcBorders>
              <w:left w:val="single" w:sz="4" w:space="0" w:color="000000"/>
              <w:bottom w:val="single" w:sz="4" w:space="0" w:color="000000"/>
              <w:right w:val="single" w:sz="4" w:space="0" w:color="000000"/>
            </w:tcBorders>
          </w:tcPr>
          <w:p>
            <w:pPr/>
          </w:p>
        </w:tc>
        <w:tc>
          <w:tcPr>
            <w:tcW w:w="1631"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65"/>
        <w:gridCol w:w="1256"/>
        <w:gridCol w:w="1063"/>
        <w:gridCol w:w="1196"/>
        <w:gridCol w:w="1063"/>
        <w:gridCol w:w="798"/>
        <w:gridCol w:w="2918"/>
      </w:tblGrid>
      <w:tr>
        <w:trPr>
          <w:trHeight w:val="379" w:hRule="exact"/>
        </w:trPr>
        <w:tc>
          <w:tcPr>
            <w:tcW w:w="1265"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265" w:type="dxa"/>
            <w:vMerge w:val="restart"/>
            <w:tcBorders>
              <w:top w:val="single" w:sz="14" w:space="0" w:color="FFFFFF"/>
              <w:left w:val="single" w:sz="4" w:space="0" w:color="000000"/>
              <w:right w:val="single" w:sz="4" w:space="0" w:color="000000"/>
            </w:tcBorders>
            <w:shd w:val="clear" w:color="auto" w:fill="D2D2D2"/>
          </w:tcPr>
          <w:p>
            <w:pPr/>
          </w:p>
        </w:tc>
        <w:tc>
          <w:tcPr>
            <w:tcW w:w="125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25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12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73"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433,092,568.64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13.69%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641,773,838.95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21.06%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-7.37%</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本期货币资金较上期比重减少 </w:t>
            </w:r>
            <w:r>
              <w:rPr>
                <w:rFonts w:ascii="Times New Roman" w:hAnsi="Times New Roman" w:cs="Times New Roman" w:eastAsia="Times New Roman" w:hint="default"/>
                <w:sz w:val="18"/>
                <w:szCs w:val="18"/>
              </w:rPr>
              <w:t>7.37%</w:t>
            </w:r>
            <w:r>
              <w:rPr>
                <w:rFonts w:ascii="宋体" w:hAnsi="宋体" w:cs="宋体" w:eastAsia="宋体" w:hint="default"/>
                <w:sz w:val="18"/>
                <w:szCs w:val="18"/>
              </w:rPr>
              <w:t>，主要系母公司支付了重大资 产重组交易款以及上海即富支付了 利润分配款所致。</w:t>
            </w:r>
          </w:p>
        </w:tc>
      </w:tr>
      <w:tr>
        <w:trPr>
          <w:trHeight w:val="393"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6"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2"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6"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609,175,008.49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564,166,361.08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94,034,711.31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110,446,806.36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-0.65%</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256"/>
        <w:gridCol w:w="1063"/>
        <w:gridCol w:w="1196"/>
        <w:gridCol w:w="1063"/>
        <w:gridCol w:w="798"/>
        <w:gridCol w:w="2918"/>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245,338,089.88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221,675,803.73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373,304,964.19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173,604,169.72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本期固定资产较上期增长</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6.1%</w:t>
            </w:r>
            <w:r>
              <w:rPr>
                <w:rFonts w:ascii="宋体" w:hAnsi="宋体" w:cs="宋体" w:eastAsia="宋体" w:hint="default"/>
                <w:spacing w:val="-12"/>
                <w:sz w:val="18"/>
                <w:szCs w:val="18"/>
              </w:rPr>
              <w:t>，主要</w:t>
            </w:r>
            <w:r>
              <w:rPr>
                <w:rFonts w:ascii="宋体" w:hAnsi="宋体" w:cs="宋体" w:eastAsia="宋体" w:hint="default"/>
                <w:sz w:val="18"/>
                <w:szCs w:val="18"/>
              </w:rPr>
              <w:t> 系上海即富构建较多的固定资产所 致。</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432,777,600.00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379,056,810.00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342,000,000.00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6810"/>
      </w:tblGrid>
      <w:tr>
        <w:trPr>
          <w:trHeight w:val="41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68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8"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0"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139,157,725.00</w:t>
            </w:r>
          </w:p>
        </w:tc>
        <w:tc>
          <w:tcPr>
            <w:tcW w:w="681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银行承兑汇票保证金、银行保函保证金、质押贷款定期存单等。</w:t>
            </w:r>
          </w:p>
        </w:tc>
      </w:tr>
      <w:tr>
        <w:trPr>
          <w:trHeight w:val="733"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Times New Roman"/>
                <w:sz w:val="18"/>
              </w:rPr>
              <w:t>38,342,647.29</w:t>
            </w:r>
          </w:p>
        </w:tc>
        <w:tc>
          <w:tcPr>
            <w:tcW w:w="6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招商银行股份有限公司深圳科技园支行年末存款</w:t>
            </w:r>
            <w:r>
              <w:rPr>
                <w:rFonts w:ascii="Times New Roman" w:hAnsi="Times New Roman" w:cs="Times New Roman" w:eastAsia="Times New Roman" w:hint="default"/>
                <w:sz w:val="18"/>
                <w:szCs w:val="18"/>
              </w:rPr>
              <w:t>38,342,647.29</w:t>
            </w:r>
            <w:r>
              <w:rPr>
                <w:rFonts w:ascii="宋体" w:hAnsi="宋体" w:cs="宋体" w:eastAsia="宋体" w:hint="default"/>
                <w:sz w:val="18"/>
                <w:szCs w:val="18"/>
              </w:rPr>
              <w:t>元，已被深南法仲保字第</w:t>
            </w:r>
          </w:p>
          <w:p>
            <w:pPr>
              <w:pStyle w:val="TableParagraph"/>
              <w:spacing w:line="240" w:lineRule="auto" w:before="6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w:t>
            </w:r>
            <w:r>
              <w:rPr>
                <w:rFonts w:ascii="宋体" w:hAnsi="宋体" w:cs="宋体" w:eastAsia="宋体" w:hint="default"/>
                <w:sz w:val="18"/>
                <w:szCs w:val="18"/>
              </w:rPr>
              <w:t>号冻结。</w:t>
            </w:r>
          </w:p>
        </w:tc>
      </w:tr>
      <w:tr>
        <w:trPr>
          <w:trHeight w:val="42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247,547.38</w:t>
            </w:r>
          </w:p>
        </w:tc>
        <w:tc>
          <w:tcPr>
            <w:tcW w:w="6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中国建设银行深圳高新园支行业务冻结款。</w:t>
            </w:r>
          </w:p>
        </w:tc>
      </w:tr>
      <w:tr>
        <w:trPr>
          <w:trHeight w:val="42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21,518,003.31</w:t>
            </w:r>
          </w:p>
        </w:tc>
        <w:tc>
          <w:tcPr>
            <w:tcW w:w="6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支付机构客户备付金。</w:t>
            </w:r>
          </w:p>
        </w:tc>
      </w:tr>
      <w:tr>
        <w:trPr>
          <w:trHeight w:val="42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1"/>
              <w:ind w:left="3" w:right="0"/>
              <w:jc w:val="left"/>
              <w:rPr>
                <w:rFonts w:ascii="Times New Roman" w:hAnsi="Times New Roman" w:cs="Times New Roman" w:eastAsia="Times New Roman" w:hint="default"/>
                <w:sz w:val="18"/>
                <w:szCs w:val="18"/>
              </w:rPr>
            </w:pPr>
            <w:r>
              <w:rPr>
                <w:rFonts w:ascii="Times New Roman"/>
                <w:sz w:val="18"/>
              </w:rPr>
              <w:t>23,641,861.42</w:t>
            </w:r>
          </w:p>
        </w:tc>
        <w:tc>
          <w:tcPr>
            <w:tcW w:w="6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东莞松山湖办公楼。</w:t>
            </w:r>
          </w:p>
        </w:tc>
      </w:tr>
      <w:tr>
        <w:trPr>
          <w:trHeight w:val="734" w:hRule="exact"/>
        </w:trPr>
        <w:tc>
          <w:tcPr>
            <w:tcW w:w="12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4"/>
              <w:ind w:left="5" w:right="0"/>
              <w:jc w:val="left"/>
              <w:rPr>
                <w:rFonts w:ascii="Times New Roman" w:hAnsi="Times New Roman" w:cs="Times New Roman" w:eastAsia="Times New Roman" w:hint="default"/>
                <w:sz w:val="18"/>
                <w:szCs w:val="18"/>
              </w:rPr>
            </w:pPr>
            <w:r>
              <w:rPr>
                <w:rFonts w:ascii="Times New Roman"/>
                <w:sz w:val="18"/>
              </w:rPr>
              <w:t>9,191,108.80</w:t>
            </w:r>
          </w:p>
        </w:tc>
        <w:tc>
          <w:tcPr>
            <w:tcW w:w="68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、长沙市轨道</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号线</w:t>
            </w:r>
            <w:r>
              <w:rPr>
                <w:rFonts w:ascii="Times New Roman" w:hAnsi="Times New Roman" w:cs="Times New Roman" w:eastAsia="Times New Roman" w:hint="default"/>
                <w:spacing w:val="-1"/>
                <w:sz w:val="18"/>
                <w:szCs w:val="18"/>
              </w:rPr>
              <w:t>KBGD-150901</w:t>
            </w:r>
            <w:r>
              <w:rPr>
                <w:rFonts w:ascii="宋体" w:hAnsi="宋体" w:cs="宋体" w:eastAsia="宋体" w:hint="default"/>
                <w:spacing w:val="-1"/>
                <w:sz w:val="18"/>
                <w:szCs w:val="18"/>
              </w:rPr>
              <w:t>项目质押给光大银行笋岗支行，截止</w:t>
            </w:r>
            <w:r>
              <w:rPr>
                <w:rFonts w:ascii="Times New Roman" w:hAnsi="Times New Roman" w:cs="Times New Roman" w:eastAsia="Times New Roman" w:hint="default"/>
                <w:spacing w:val="-1"/>
                <w:sz w:val="18"/>
                <w:szCs w:val="18"/>
              </w:rPr>
              <w:t>2018-12-31</w:t>
            </w:r>
            <w:r>
              <w:rPr>
                <w:rFonts w:ascii="宋体" w:hAnsi="宋体" w:cs="宋体" w:eastAsia="宋体" w:hint="default"/>
                <w:spacing w:val="-1"/>
                <w:sz w:val="18"/>
                <w:szCs w:val="18"/>
              </w:rPr>
              <w:t>对应</w:t>
            </w:r>
            <w:r>
              <w:rPr>
                <w:rFonts w:ascii="宋体" w:hAnsi="宋体" w:cs="宋体" w:eastAsia="宋体" w:hint="default"/>
                <w:spacing w:val="-65"/>
                <w:sz w:val="18"/>
                <w:szCs w:val="18"/>
              </w:rPr>
              <w:t> </w:t>
            </w:r>
            <w:r>
              <w:rPr>
                <w:rFonts w:ascii="宋体" w:hAnsi="宋体" w:cs="宋体" w:eastAsia="宋体" w:hint="default"/>
                <w:sz w:val="18"/>
                <w:szCs w:val="18"/>
              </w:rPr>
              <w:t>客户长沙市轨道交通集团有限公司的应收账款余额为</w:t>
            </w:r>
            <w:r>
              <w:rPr>
                <w:rFonts w:ascii="Times New Roman" w:hAnsi="Times New Roman" w:cs="Times New Roman" w:eastAsia="Times New Roman" w:hint="default"/>
                <w:sz w:val="18"/>
                <w:szCs w:val="18"/>
              </w:rPr>
              <w:t>9,191,108.80</w:t>
            </w:r>
            <w:r>
              <w:rPr>
                <w:rFonts w:ascii="宋体" w:hAnsi="宋体" w:cs="宋体" w:eastAsia="宋体" w:hint="default"/>
                <w:sz w:val="18"/>
                <w:szCs w:val="18"/>
              </w:rPr>
              <w:t>元；</w:t>
            </w:r>
          </w:p>
        </w:tc>
      </w:tr>
      <w:tr>
        <w:trPr>
          <w:trHeight w:val="734" w:hRule="exact"/>
        </w:trPr>
        <w:tc>
          <w:tcPr>
            <w:tcW w:w="1276" w:type="dxa"/>
            <w:vMerge/>
            <w:tcBorders>
              <w:left w:val="single" w:sz="4" w:space="0" w:color="000000"/>
              <w:bottom w:val="single" w:sz="4" w:space="0" w:color="000000"/>
              <w:right w:val="single" w:sz="4" w:space="0" w:color="000000"/>
            </w:tcBorders>
            <w:shd w:val="clear" w:color="auto" w:fill="D9D9D9"/>
          </w:tcPr>
          <w:p>
            <w:pPr/>
          </w:p>
        </w:tc>
        <w:tc>
          <w:tcPr>
            <w:tcW w:w="1560" w:type="dxa"/>
            <w:vMerge/>
            <w:tcBorders>
              <w:left w:val="single" w:sz="4" w:space="0" w:color="000000"/>
              <w:bottom w:val="single" w:sz="4" w:space="0" w:color="000000"/>
              <w:right w:val="single" w:sz="4" w:space="0" w:color="000000"/>
            </w:tcBorders>
          </w:tcPr>
          <w:p>
            <w:pPr/>
          </w:p>
        </w:tc>
        <w:tc>
          <w:tcPr>
            <w:tcW w:w="681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2"/>
              <w:ind w:left="4" w:right="5"/>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、深圳地铁</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号线项目质押给兴业银行文锦支行，截止</w:t>
            </w:r>
            <w:r>
              <w:rPr>
                <w:rFonts w:ascii="Times New Roman" w:hAnsi="Times New Roman" w:cs="Times New Roman" w:eastAsia="Times New Roman" w:hint="default"/>
                <w:spacing w:val="-2"/>
                <w:sz w:val="18"/>
                <w:szCs w:val="18"/>
              </w:rPr>
              <w:t>2018-12-31</w:t>
            </w:r>
            <w:r>
              <w:rPr>
                <w:rFonts w:ascii="宋体" w:hAnsi="宋体" w:cs="宋体" w:eastAsia="宋体" w:hint="default"/>
                <w:spacing w:val="-2"/>
                <w:sz w:val="18"/>
                <w:szCs w:val="18"/>
              </w:rPr>
              <w:t>对应客户的应收账款</w:t>
            </w:r>
            <w:r>
              <w:rPr>
                <w:rFonts w:ascii="宋体" w:hAnsi="宋体" w:cs="宋体" w:eastAsia="宋体" w:hint="default"/>
                <w:spacing w:val="-82"/>
                <w:sz w:val="18"/>
                <w:szCs w:val="18"/>
              </w:rPr>
              <w:t> </w:t>
            </w:r>
            <w:r>
              <w:rPr>
                <w:rFonts w:ascii="宋体" w:hAnsi="宋体" w:cs="宋体" w:eastAsia="宋体" w:hint="default"/>
                <w:sz w:val="18"/>
                <w:szCs w:val="18"/>
              </w:rPr>
              <w:t>余额</w:t>
            </w:r>
            <w:r>
              <w:rPr>
                <w:rFonts w:ascii="Times New Roman" w:hAnsi="Times New Roman" w:cs="Times New Roman" w:eastAsia="Times New Roman" w:hint="default"/>
                <w:sz w:val="18"/>
                <w:szCs w:val="18"/>
              </w:rPr>
              <w:t>0</w:t>
            </w:r>
            <w:r>
              <w:rPr>
                <w:rFonts w:ascii="宋体" w:hAnsi="宋体" w:cs="宋体" w:eastAsia="宋体" w:hint="default"/>
                <w:sz w:val="18"/>
                <w:szCs w:val="18"/>
              </w:rPr>
              <w:t>元，暂未确认收入。</w:t>
            </w:r>
          </w:p>
        </w:tc>
      </w:tr>
      <w:tr>
        <w:trPr>
          <w:trHeight w:val="421"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945,000,000.00</w:t>
            </w:r>
          </w:p>
        </w:tc>
        <w:tc>
          <w:tcPr>
            <w:tcW w:w="6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亚联发展持有上海即富</w:t>
            </w:r>
            <w:r>
              <w:rPr>
                <w:rFonts w:ascii="Times New Roman" w:hAnsi="Times New Roman" w:cs="Times New Roman" w:eastAsia="Times New Roman" w:hint="default"/>
                <w:sz w:val="18"/>
                <w:szCs w:val="18"/>
              </w:rPr>
              <w:t>45%</w:t>
            </w:r>
            <w:r>
              <w:rPr>
                <w:rFonts w:ascii="宋体" w:hAnsi="宋体" w:cs="宋体" w:eastAsia="宋体" w:hint="default"/>
                <w:sz w:val="18"/>
                <w:szCs w:val="18"/>
              </w:rPr>
              <w:t>的股权质押给建设银行深圳分行用于并购贷款。</w:t>
            </w:r>
          </w:p>
        </w:tc>
      </w:tr>
      <w:tr>
        <w:trPr>
          <w:trHeight w:val="422" w:hRule="exact"/>
        </w:trPr>
        <w:tc>
          <w:tcPr>
            <w:tcW w:w="1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1,177,098,893.20</w:t>
            </w:r>
          </w:p>
        </w:tc>
        <w:tc>
          <w:tcPr>
            <w:tcW w:w="68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170,500,000.00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975,452,916.95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4"/>
        <w:ind w:left="0" w:right="1136"/>
        <w:jc w:val="right"/>
      </w:pPr>
      <w:r>
        <w:rPr/>
        <w:pict>
          <v:shape style="position:absolute;margin-left:56.459999pt;margin-top:-32.048309pt;width:479.35pt;height:502.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54"/>
                    <w:gridCol w:w="622"/>
                    <w:gridCol w:w="568"/>
                    <w:gridCol w:w="709"/>
                    <w:gridCol w:w="566"/>
                    <w:gridCol w:w="568"/>
                    <w:gridCol w:w="284"/>
                    <w:gridCol w:w="426"/>
                    <w:gridCol w:w="708"/>
                    <w:gridCol w:w="708"/>
                    <w:gridCol w:w="709"/>
                    <w:gridCol w:w="710"/>
                    <w:gridCol w:w="283"/>
                    <w:gridCol w:w="709"/>
                    <w:gridCol w:w="1349"/>
                  </w:tblGrid>
                  <w:tr>
                    <w:trPr>
                      <w:trHeight w:val="1650"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9"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59" w:right="78"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8" w:right="9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5" w:right="47"/>
                          <w:jc w:val="both"/>
                          <w:rPr>
                            <w:rFonts w:ascii="宋体" w:hAnsi="宋体" w:cs="宋体" w:eastAsia="宋体" w:hint="default"/>
                            <w:sz w:val="18"/>
                            <w:szCs w:val="18"/>
                          </w:rPr>
                        </w:pPr>
                        <w:r>
                          <w:rPr>
                            <w:rFonts w:ascii="宋体" w:hAnsi="宋体" w:cs="宋体" w:eastAsia="宋体" w:hint="default"/>
                            <w:sz w:val="18"/>
                            <w:szCs w:val="18"/>
                          </w:rPr>
                          <w:t>合 作 方</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58" w:right="78"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0" w:right="77"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79" w:right="78"/>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 w:right="47"/>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7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7"/>
                          <w:jc w:val="center"/>
                          <w:rPr>
                            <w:rFonts w:ascii="宋体" w:hAnsi="宋体" w:cs="宋体" w:eastAsia="宋体" w:hint="default"/>
                            <w:sz w:val="18"/>
                            <w:szCs w:val="18"/>
                          </w:rPr>
                        </w:pPr>
                        <w:r>
                          <w:rPr>
                            <w:rFonts w:ascii="宋体" w:hAnsi="宋体" w:cs="宋体" w:eastAsia="宋体" w:hint="default"/>
                            <w:spacing w:val="-9"/>
                            <w:sz w:val="18"/>
                            <w:szCs w:val="18"/>
                          </w:rPr>
                          <w:t>披露索引（如有</w:t>
                        </w:r>
                      </w:p>
                    </w:tc>
                  </w:tr>
                  <w:tr>
                    <w:trPr>
                      <w:trHeight w:val="383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福建即 富金服 数据处 理有限 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终端设 备销售 及金融 数据服 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73"/>
                          <w:jc w:val="right"/>
                          <w:rPr>
                            <w:rFonts w:ascii="宋体" w:hAnsi="宋体" w:cs="宋体" w:eastAsia="宋体" w:hint="default"/>
                            <w:sz w:val="18"/>
                            <w:szCs w:val="18"/>
                          </w:rPr>
                        </w:pPr>
                        <w:r>
                          <w:rPr>
                            <w:rFonts w:ascii="宋体" w:hAnsi="宋体" w:cs="宋体" w:eastAsia="宋体" w:hint="default"/>
                            <w:sz w:val="18"/>
                            <w:szCs w:val="18"/>
                          </w:rPr>
                          <w:t>收购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46"/>
                          <w:jc w:val="center"/>
                          <w:rPr>
                            <w:rFonts w:ascii="宋体" w:hAnsi="宋体" w:cs="宋体" w:eastAsia="宋体" w:hint="default"/>
                            <w:sz w:val="18"/>
                            <w:szCs w:val="18"/>
                          </w:rPr>
                        </w:pPr>
                        <w:r>
                          <w:rPr>
                            <w:rFonts w:ascii="宋体" w:hAnsi="宋体" w:cs="宋体" w:eastAsia="宋体" w:hint="default"/>
                            <w:sz w:val="18"/>
                            <w:szCs w:val="18"/>
                          </w:rPr>
                          <w:t>无</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33"/>
                          <w:jc w:val="both"/>
                          <w:rPr>
                            <w:rFonts w:ascii="宋体" w:hAnsi="宋体" w:cs="宋体" w:eastAsia="宋体" w:hint="default"/>
                            <w:sz w:val="18"/>
                            <w:szCs w:val="18"/>
                          </w:rPr>
                        </w:pPr>
                        <w:r>
                          <w:rPr>
                            <w:rFonts w:ascii="宋体" w:hAnsi="宋体" w:cs="宋体" w:eastAsia="宋体" w:hint="default"/>
                            <w:sz w:val="18"/>
                            <w:szCs w:val="18"/>
                          </w:rPr>
                          <w:t>硬件销 售及提 供服务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33"/>
                          <w:jc w:val="left"/>
                          <w:rPr>
                            <w:rFonts w:ascii="宋体" w:hAnsi="宋体" w:cs="宋体" w:eastAsia="宋体" w:hint="default"/>
                            <w:sz w:val="18"/>
                            <w:szCs w:val="18"/>
                          </w:rPr>
                        </w:pPr>
                        <w:r>
                          <w:rPr>
                            <w:rFonts w:ascii="宋体" w:hAnsi="宋体" w:cs="宋体" w:eastAsia="宋体" w:hint="default"/>
                            <w:sz w:val="18"/>
                            <w:szCs w:val="18"/>
                          </w:rPr>
                          <w:t>已全部 转移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17,500,0</w:t>
                        </w:r>
                      </w:p>
                      <w:p>
                        <w:pPr>
                          <w:pStyle w:val="TableParagraph"/>
                          <w:spacing w:line="240" w:lineRule="auto" w:before="106"/>
                          <w:ind w:left="272"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18,069,8</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24.25</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33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（网址为： </w:t>
                        </w:r>
                        <w:r>
                          <w:rPr>
                            <w:rFonts w:ascii="Times New Roman" w:hAnsi="Times New Roman" w:cs="Times New Roman" w:eastAsia="Times New Roman" w:hint="default"/>
                            <w:sz w:val="18"/>
                            <w:szCs w:val="18"/>
                          </w:rPr>
                          <w:t>http://www.cninf </w:t>
                        </w:r>
                        <w:r>
                          <w:rPr>
                            <w:rFonts w:ascii="Times New Roman" w:hAnsi="Times New Roman" w:cs="Times New Roman" w:eastAsia="Times New Roman" w:hint="default"/>
                            <w:spacing w:val="-8"/>
                            <w:sz w:val="18"/>
                            <w:szCs w:val="18"/>
                          </w:rPr>
                          <w:t>o.com.cn</w:t>
                        </w:r>
                        <w:r>
                          <w:rPr>
                            <w:rFonts w:ascii="宋体" w:hAnsi="宋体" w:cs="宋体" w:eastAsia="宋体" w:hint="default"/>
                            <w:spacing w:val="-8"/>
                            <w:sz w:val="18"/>
                            <w:szCs w:val="18"/>
                          </w:rPr>
                          <w:t>）披露的</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《关于控股子公</w:t>
                        </w:r>
                      </w:p>
                      <w:p>
                        <w:pPr>
                          <w:pStyle w:val="TableParagraph"/>
                          <w:spacing w:line="312" w:lineRule="auto" w:before="76"/>
                          <w:ind w:left="22" w:right="40"/>
                          <w:jc w:val="both"/>
                          <w:rPr>
                            <w:rFonts w:ascii="宋体" w:hAnsi="宋体" w:cs="宋体" w:eastAsia="宋体" w:hint="default"/>
                            <w:sz w:val="18"/>
                            <w:szCs w:val="18"/>
                          </w:rPr>
                        </w:pPr>
                        <w:r>
                          <w:rPr>
                            <w:rFonts w:ascii="宋体" w:hAnsi="宋体" w:cs="宋体" w:eastAsia="宋体" w:hint="default"/>
                            <w:sz w:val="18"/>
                            <w:szCs w:val="18"/>
                          </w:rPr>
                          <w:t>司的全资子公司 收购浙江即富企 业管理有限公司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股权和福建 即富金服数据处 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 </w:t>
                        </w:r>
                        <w:r>
                          <w:rPr>
                            <w:rFonts w:ascii="宋体" w:hAnsi="宋体" w:cs="宋体" w:eastAsia="宋体" w:hint="default"/>
                            <w:spacing w:val="-13"/>
                            <w:sz w:val="18"/>
                            <w:szCs w:val="18"/>
                          </w:rPr>
                          <w:t>股权的公告》。</w:t>
                        </w:r>
                      </w:p>
                    </w:tc>
                  </w:tr>
                  <w:tr>
                    <w:trPr>
                      <w:trHeight w:val="3834"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81"/>
                          <w:jc w:val="both"/>
                          <w:rPr>
                            <w:rFonts w:ascii="宋体" w:hAnsi="宋体" w:cs="宋体" w:eastAsia="宋体" w:hint="default"/>
                            <w:sz w:val="18"/>
                            <w:szCs w:val="18"/>
                          </w:rPr>
                        </w:pPr>
                        <w:r>
                          <w:rPr>
                            <w:rFonts w:ascii="宋体" w:hAnsi="宋体" w:cs="宋体" w:eastAsia="宋体" w:hint="default"/>
                            <w:sz w:val="18"/>
                            <w:szCs w:val="18"/>
                          </w:rPr>
                          <w:t>浙江即 富企业 管理有 限公司</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终端设 备销售 及金融 数据服 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73"/>
                          <w:jc w:val="right"/>
                          <w:rPr>
                            <w:rFonts w:ascii="宋体" w:hAnsi="宋体" w:cs="宋体" w:eastAsia="宋体" w:hint="default"/>
                            <w:sz w:val="18"/>
                            <w:szCs w:val="18"/>
                          </w:rPr>
                        </w:pPr>
                        <w:r>
                          <w:rPr>
                            <w:rFonts w:ascii="宋体" w:hAnsi="宋体" w:cs="宋体" w:eastAsia="宋体" w:hint="default"/>
                            <w:sz w:val="18"/>
                            <w:szCs w:val="18"/>
                          </w:rPr>
                          <w:t>收购</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73,000,0</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46"/>
                          <w:jc w:val="center"/>
                          <w:rPr>
                            <w:rFonts w:ascii="宋体" w:hAnsi="宋体" w:cs="宋体" w:eastAsia="宋体" w:hint="default"/>
                            <w:sz w:val="18"/>
                            <w:szCs w:val="18"/>
                          </w:rPr>
                        </w:pPr>
                        <w:r>
                          <w:rPr>
                            <w:rFonts w:ascii="宋体" w:hAnsi="宋体" w:cs="宋体" w:eastAsia="宋体" w:hint="default"/>
                            <w:sz w:val="18"/>
                            <w:szCs w:val="18"/>
                          </w:rPr>
                          <w:t>无</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133"/>
                          <w:jc w:val="both"/>
                          <w:rPr>
                            <w:rFonts w:ascii="宋体" w:hAnsi="宋体" w:cs="宋体" w:eastAsia="宋体" w:hint="default"/>
                            <w:sz w:val="18"/>
                            <w:szCs w:val="18"/>
                          </w:rPr>
                        </w:pPr>
                        <w:r>
                          <w:rPr>
                            <w:rFonts w:ascii="宋体" w:hAnsi="宋体" w:cs="宋体" w:eastAsia="宋体" w:hint="default"/>
                            <w:sz w:val="18"/>
                            <w:szCs w:val="18"/>
                          </w:rPr>
                          <w:t>硬件销 售及提 供服务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33"/>
                          <w:jc w:val="left"/>
                          <w:rPr>
                            <w:rFonts w:ascii="宋体" w:hAnsi="宋体" w:cs="宋体" w:eastAsia="宋体" w:hint="default"/>
                            <w:sz w:val="18"/>
                            <w:szCs w:val="18"/>
                          </w:rPr>
                        </w:pPr>
                        <w:r>
                          <w:rPr>
                            <w:rFonts w:ascii="宋体" w:hAnsi="宋体" w:cs="宋体" w:eastAsia="宋体" w:hint="default"/>
                            <w:sz w:val="18"/>
                            <w:szCs w:val="18"/>
                          </w:rPr>
                          <w:t>已全部 转移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18,450,0</w:t>
                        </w:r>
                      </w:p>
                      <w:p>
                        <w:pPr>
                          <w:pStyle w:val="TableParagraph"/>
                          <w:spacing w:line="240" w:lineRule="auto" w:before="106"/>
                          <w:ind w:left="272"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18,828,5</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78.41</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68"/>
                          <w:jc w:val="righ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详见巨潮资讯网</w:t>
                        </w:r>
                      </w:p>
                      <w:p>
                        <w:pPr>
                          <w:pStyle w:val="TableParagraph"/>
                          <w:spacing w:line="336"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（网址为： </w:t>
                        </w:r>
                        <w:r>
                          <w:rPr>
                            <w:rFonts w:ascii="Times New Roman" w:hAnsi="Times New Roman" w:cs="Times New Roman" w:eastAsia="Times New Roman" w:hint="default"/>
                            <w:sz w:val="18"/>
                            <w:szCs w:val="18"/>
                          </w:rPr>
                          <w:t>http://www.cninf </w:t>
                        </w:r>
                        <w:r>
                          <w:rPr>
                            <w:rFonts w:ascii="Times New Roman" w:hAnsi="Times New Roman" w:cs="Times New Roman" w:eastAsia="Times New Roman" w:hint="default"/>
                            <w:spacing w:val="-8"/>
                            <w:sz w:val="18"/>
                            <w:szCs w:val="18"/>
                          </w:rPr>
                          <w:t>o.com.cn</w:t>
                        </w:r>
                        <w:r>
                          <w:rPr>
                            <w:rFonts w:ascii="宋体" w:hAnsi="宋体" w:cs="宋体" w:eastAsia="宋体" w:hint="default"/>
                            <w:spacing w:val="-8"/>
                            <w:sz w:val="18"/>
                            <w:szCs w:val="18"/>
                          </w:rPr>
                          <w:t>）披露的</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《关于控股子公</w:t>
                        </w:r>
                      </w:p>
                      <w:p>
                        <w:pPr>
                          <w:pStyle w:val="TableParagraph"/>
                          <w:spacing w:line="312" w:lineRule="auto" w:before="76"/>
                          <w:ind w:left="22" w:right="40"/>
                          <w:jc w:val="both"/>
                          <w:rPr>
                            <w:rFonts w:ascii="宋体" w:hAnsi="宋体" w:cs="宋体" w:eastAsia="宋体" w:hint="default"/>
                            <w:sz w:val="18"/>
                            <w:szCs w:val="18"/>
                          </w:rPr>
                        </w:pPr>
                        <w:r>
                          <w:rPr>
                            <w:rFonts w:ascii="宋体" w:hAnsi="宋体" w:cs="宋体" w:eastAsia="宋体" w:hint="default"/>
                            <w:sz w:val="18"/>
                            <w:szCs w:val="18"/>
                          </w:rPr>
                          <w:t>司的全资子公司 收购浙江即富企 业管理有限公司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股权和福建 即富金服数据处 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 </w:t>
                        </w:r>
                        <w:r>
                          <w:rPr>
                            <w:rFonts w:ascii="宋体" w:hAnsi="宋体" w:cs="宋体" w:eastAsia="宋体" w:hint="default"/>
                            <w:spacing w:val="-13"/>
                            <w:sz w:val="18"/>
                            <w:szCs w:val="18"/>
                          </w:rPr>
                          <w:t>股权的公告》。</w:t>
                        </w:r>
                      </w:p>
                    </w:tc>
                  </w:tr>
                  <w:tr>
                    <w:trPr>
                      <w:trHeight w:val="71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143,000,</w:t>
                        </w:r>
                      </w:p>
                      <w:p>
                        <w:pPr>
                          <w:pStyle w:val="TableParagraph"/>
                          <w:spacing w:line="240" w:lineRule="auto" w:before="106"/>
                          <w:ind w:left="158" w:right="0"/>
                          <w:jc w:val="center"/>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35,950,0</w:t>
                        </w:r>
                      </w:p>
                      <w:p>
                        <w:pPr>
                          <w:pStyle w:val="TableParagraph"/>
                          <w:spacing w:line="240" w:lineRule="auto" w:before="106"/>
                          <w:ind w:left="272" w:right="0"/>
                          <w:jc w:val="left"/>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36,898,4</w:t>
                        </w:r>
                      </w:p>
                      <w:p>
                        <w:pPr>
                          <w:pStyle w:val="TableParagraph"/>
                          <w:spacing w:line="240" w:lineRule="auto" w:before="106"/>
                          <w:ind w:left="271" w:right="0"/>
                          <w:jc w:val="left"/>
                          <w:rPr>
                            <w:rFonts w:ascii="Times New Roman" w:hAnsi="Times New Roman" w:cs="Times New Roman" w:eastAsia="Times New Roman" w:hint="default"/>
                            <w:sz w:val="18"/>
                            <w:szCs w:val="18"/>
                          </w:rPr>
                        </w:pPr>
                        <w:r>
                          <w:rPr>
                            <w:rFonts w:ascii="Times New Roman"/>
                            <w:sz w:val="18"/>
                          </w:rPr>
                          <w:t>02.66</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tabs>
          <w:tab w:pos="7390" w:val="left" w:leader="none"/>
        </w:tabs>
        <w:spacing w:line="705" w:lineRule="exact"/>
        <w:ind w:left="3845" w:right="0" w:firstLine="0"/>
        <w:rPr>
          <w:rFonts w:ascii="宋体" w:hAnsi="宋体" w:cs="宋体" w:eastAsia="宋体" w:hint="default"/>
          <w:sz w:val="20"/>
          <w:szCs w:val="20"/>
        </w:rPr>
      </w:pPr>
      <w:r>
        <w:rPr>
          <w:rFonts w:ascii="宋体"/>
          <w:position w:val="-13"/>
          <w:sz w:val="20"/>
        </w:rPr>
        <w:drawing>
          <wp:inline distT="0" distB="0" distL="0" distR="0">
            <wp:extent cx="173375" cy="44767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173375" cy="447675"/>
                    </a:xfrm>
                    <a:prstGeom prst="rect">
                      <a:avLst/>
                    </a:prstGeom>
                  </pic:spPr>
                </pic:pic>
              </a:graphicData>
            </a:graphic>
          </wp:inline>
        </w:drawing>
      </w:r>
      <w:r>
        <w:rPr>
          <w:rFonts w:ascii="宋体"/>
          <w:position w:val="-13"/>
          <w:sz w:val="20"/>
        </w:rPr>
      </w:r>
      <w:r>
        <w:rPr>
          <w:rFonts w:ascii="宋体"/>
          <w:position w:val="-13"/>
          <w:sz w:val="20"/>
        </w:rPr>
        <w:tab/>
      </w:r>
      <w:r>
        <w:rPr>
          <w:rFonts w:ascii="宋体"/>
          <w:position w:val="-13"/>
          <w:sz w:val="20"/>
        </w:rPr>
        <w:drawing>
          <wp:inline distT="0" distB="0" distL="0" distR="0">
            <wp:extent cx="173883" cy="4476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173883" cy="447675"/>
                    </a:xfrm>
                    <a:prstGeom prst="rect">
                      <a:avLst/>
                    </a:prstGeom>
                  </pic:spPr>
                </pic:pic>
              </a:graphicData>
            </a:graphic>
          </wp:inline>
        </w:drawing>
      </w:r>
      <w:r>
        <w:rPr>
          <w:rFonts w:ascii="宋体"/>
          <w:position w:val="-13"/>
          <w:sz w:val="20"/>
        </w:rPr>
      </w:r>
    </w:p>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公司报告期无募集资金使用情况。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1310"/>
        <w:gridCol w:w="1046"/>
        <w:gridCol w:w="1045"/>
        <w:gridCol w:w="1045"/>
        <w:gridCol w:w="1046"/>
        <w:gridCol w:w="1045"/>
        <w:gridCol w:w="104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上海即富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第三方支付业 务，小微商家数 据服务业务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885,818,893.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-33,050,503.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3,321,009,74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467,187,513.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384,985,838.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广州宽客投资管理有限公司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无明显影响。</w:t>
            </w:r>
          </w:p>
        </w:tc>
      </w:tr>
    </w:tbl>
    <w:p>
      <w:pPr>
        <w:pStyle w:val="BodyText"/>
        <w:spacing w:line="357" w:lineRule="auto" w:before="51"/>
        <w:ind w:left="514" w:right="0" w:hanging="360"/>
        <w:jc w:val="left"/>
      </w:pPr>
      <w:r>
        <w:rPr/>
        <w:t>主要控股参股公司情况说明 </w:t>
      </w:r>
      <w:r>
        <w:rPr>
          <w:spacing w:val="-2"/>
        </w:rPr>
        <w:t>公司的控股子公司上海即富本报告期实现了全年纳入上市公司合并范围，提升了公司的整体业绩，上海即富本报告期实</w:t>
      </w:r>
    </w:p>
    <w:p>
      <w:pPr>
        <w:pStyle w:val="BodyText"/>
        <w:spacing w:line="237" w:lineRule="exact"/>
        <w:ind w:right="0"/>
        <w:jc w:val="left"/>
      </w:pPr>
      <w:r>
        <w:rPr>
          <w:spacing w:val="2"/>
        </w:rPr>
        <w:t>现营业收入</w:t>
      </w:r>
      <w:r>
        <w:rPr>
          <w:rFonts w:ascii="Times New Roman" w:hAnsi="Times New Roman" w:cs="Times New Roman" w:eastAsia="Times New Roman" w:hint="default"/>
          <w:spacing w:val="2"/>
        </w:rPr>
        <w:t>3,321,009,741.70</w:t>
      </w:r>
      <w:r>
        <w:rPr>
          <w:spacing w:val="2"/>
        </w:rPr>
        <w:t>元，较去年同期增长</w:t>
      </w:r>
      <w:r>
        <w:rPr>
          <w:rFonts w:ascii="Times New Roman" w:hAnsi="Times New Roman" w:cs="Times New Roman" w:eastAsia="Times New Roman" w:hint="default"/>
          <w:spacing w:val="2"/>
        </w:rPr>
        <w:t>72.84%</w:t>
      </w:r>
      <w:r>
        <w:rPr>
          <w:spacing w:val="2"/>
        </w:rPr>
        <w:t>，公允价值调整后实现净利润</w:t>
      </w:r>
      <w:r>
        <w:rPr>
          <w:rFonts w:ascii="Times New Roman" w:hAnsi="Times New Roman" w:cs="Times New Roman" w:eastAsia="Times New Roman" w:hint="default"/>
          <w:spacing w:val="2"/>
        </w:rPr>
        <w:t>384,985,838.16</w:t>
      </w:r>
      <w:r>
        <w:rPr>
          <w:spacing w:val="2"/>
        </w:rPr>
        <w:t>元，较去年同期增长</w:t>
      </w:r>
    </w:p>
    <w:p>
      <w:pPr>
        <w:pStyle w:val="BodyText"/>
        <w:spacing w:line="300" w:lineRule="auto" w:before="63"/>
        <w:ind w:right="0"/>
        <w:jc w:val="left"/>
      </w:pPr>
      <w:r>
        <w:rPr>
          <w:rFonts w:ascii="Times New Roman" w:hAnsi="Times New Roman" w:cs="Times New Roman" w:eastAsia="Times New Roman" w:hint="default"/>
          <w:spacing w:val="-1"/>
        </w:rPr>
        <w:t>207.39%</w:t>
      </w:r>
      <w:r>
        <w:rPr>
          <w:spacing w:val="-1"/>
        </w:rPr>
        <w:t>，主要系上海即富在</w:t>
      </w:r>
      <w:r>
        <w:rPr>
          <w:rFonts w:ascii="Times New Roman" w:hAnsi="Times New Roman" w:cs="Times New Roman" w:eastAsia="Times New Roman" w:hint="default"/>
          <w:spacing w:val="-1"/>
        </w:rPr>
        <w:t>2018</w:t>
      </w:r>
      <w:r>
        <w:rPr>
          <w:spacing w:val="-1"/>
        </w:rPr>
        <w:t>年初推出多产品线分类营销政策，基于该政策优势在本报告期新增了大量的服务商与终端</w:t>
      </w:r>
      <w:r>
        <w:rPr>
          <w:spacing w:val="-39"/>
        </w:rPr>
        <w:t> </w:t>
      </w:r>
      <w:r>
        <w:rPr>
          <w:spacing w:val="-39"/>
        </w:rPr>
      </w:r>
      <w:r>
        <w:rPr/>
        <w:t>用户，交易量增长迅速所致。</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8"/>
        <w:rPr>
          <w:rFonts w:ascii="宋体" w:hAnsi="宋体" w:cs="宋体" w:eastAsia="宋体" w:hint="default"/>
          <w:b/>
          <w:bCs/>
          <w:sz w:val="26"/>
          <w:szCs w:val="26"/>
        </w:rPr>
      </w:pPr>
    </w:p>
    <w:p>
      <w:pPr>
        <w:pStyle w:val="Heading5"/>
        <w:spacing w:line="240" w:lineRule="auto" w:before="0"/>
        <w:ind w:right="0"/>
        <w:jc w:val="left"/>
        <w:rPr>
          <w:b w:val="0"/>
          <w:bCs w:val="0"/>
        </w:rPr>
      </w:pPr>
      <w:r>
        <w:rPr/>
        <w:t>（一）行业发展趋势</w:t>
      </w:r>
      <w:r>
        <w:rPr>
          <w:b w:val="0"/>
          <w:bCs w:val="0"/>
        </w:rPr>
      </w:r>
    </w:p>
    <w:p>
      <w:pPr>
        <w:pStyle w:val="BodyText"/>
        <w:spacing w:line="240" w:lineRule="auto" w:before="76"/>
        <w:ind w:left="511" w:right="0"/>
        <w:jc w:val="left"/>
      </w:pPr>
      <w:r>
        <w:rPr>
          <w:rFonts w:ascii="Times New Roman" w:hAnsi="Times New Roman" w:cs="Times New Roman" w:eastAsia="Times New Roman" w:hint="default"/>
        </w:rPr>
        <w:t>1</w:t>
      </w:r>
      <w:r>
        <w:rPr/>
        <w:t>、专网通信技术解决方案业务</w:t>
      </w:r>
    </w:p>
    <w:p>
      <w:pPr>
        <w:pStyle w:val="BodyText"/>
        <w:spacing w:line="240" w:lineRule="auto" w:before="63"/>
        <w:ind w:left="511" w:right="0"/>
        <w:jc w:val="left"/>
      </w:pPr>
      <w:r>
        <w:rPr/>
        <w:t>（</w:t>
      </w:r>
      <w:r>
        <w:rPr>
          <w:rFonts w:ascii="Times New Roman" w:hAnsi="Times New Roman" w:cs="Times New Roman" w:eastAsia="Times New Roman" w:hint="default"/>
        </w:rPr>
        <w:t>1</w:t>
      </w:r>
      <w:r>
        <w:rPr/>
        <w:t>）电力行业领域</w:t>
      </w:r>
    </w:p>
    <w:p>
      <w:pPr>
        <w:pStyle w:val="BodyText"/>
        <w:spacing w:line="240" w:lineRule="auto" w:before="63"/>
        <w:ind w:left="511" w:right="0"/>
        <w:jc w:val="left"/>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时期是我国全面建成小康社会的决胜期、全面深化改革的攻坚期。电力是关系国计民生的基础产业，电力供应</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和安全事关国家安全战略，事关经济社会发展全局，面临重要的发展机遇和挑战。面对新形势，党中央、国务院明确提出了</w:t>
      </w:r>
      <w:r>
        <w:rPr>
          <w:spacing w:val="-66"/>
        </w:rPr>
        <w:t> </w:t>
      </w:r>
      <w:r>
        <w:rPr>
          <w:spacing w:val="-66"/>
        </w:rPr>
      </w:r>
      <w:r>
        <w:rPr>
          <w:spacing w:val="-2"/>
        </w:rPr>
        <w:t>推动能源消费革命、能源供给革命、能源技术革命、能源体制革命和全方位加强国际合作的能源发展战略思想，同时十九大</w:t>
      </w:r>
      <w:r>
        <w:rPr>
          <w:spacing w:val="-65"/>
        </w:rPr>
        <w:t> </w:t>
      </w:r>
      <w:r>
        <w:rPr>
          <w:spacing w:val="-65"/>
        </w:rPr>
      </w:r>
      <w:r>
        <w:rPr>
          <w:spacing w:val="-2"/>
        </w:rPr>
        <w:t>报告中指出，继续推进能源生产和消费革命，构建清洁低碳、安全高效的能源体系，为电力工业持续健康发展提供了根本遵</w:t>
      </w:r>
      <w:r>
        <w:rPr>
          <w:spacing w:val="-66"/>
        </w:rPr>
        <w:t> </w:t>
      </w:r>
      <w:r>
        <w:rPr>
          <w:spacing w:val="-66"/>
        </w:rPr>
      </w:r>
      <w:r>
        <w:rPr/>
        <w:t>循。</w:t>
      </w:r>
    </w:p>
    <w:p>
      <w:pPr>
        <w:pStyle w:val="BodyText"/>
        <w:spacing w:line="300" w:lineRule="auto" w:before="19"/>
        <w:ind w:right="0" w:firstLine="357"/>
        <w:jc w:val="left"/>
      </w:pP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期间，为落实中央</w:t>
      </w:r>
      <w:r>
        <w:rPr>
          <w:rFonts w:ascii="Times New Roman" w:hAnsi="Times New Roman" w:cs="Times New Roman" w:eastAsia="Times New Roman" w:hint="default"/>
          <w:spacing w:val="-3"/>
        </w:rPr>
        <w:t>“</w:t>
      </w:r>
      <w:r>
        <w:rPr>
          <w:spacing w:val="-3"/>
        </w:rPr>
        <w:t>稳增长</w:t>
      </w:r>
      <w:r>
        <w:rPr>
          <w:rFonts w:ascii="Times New Roman" w:hAnsi="Times New Roman" w:cs="Times New Roman" w:eastAsia="Times New Roman" w:hint="default"/>
          <w:spacing w:val="-3"/>
        </w:rPr>
        <w:t>”</w:t>
      </w:r>
      <w:r>
        <w:rPr>
          <w:spacing w:val="-3"/>
        </w:rPr>
        <w:t>政策，需加快配电通信网建设，保障配电自动化建设，全面支撑配电网的快速发展。</w:t>
      </w:r>
      <w:r>
        <w:rPr/>
        <w:t> </w:t>
      </w:r>
      <w:r>
        <w:rPr>
          <w:spacing w:val="-2"/>
        </w:rPr>
        <w:t>配用电网投资规划，</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期间累计投资不低于</w:t>
      </w:r>
      <w:r>
        <w:rPr>
          <w:rFonts w:ascii="Times New Roman" w:hAnsi="Times New Roman" w:cs="Times New Roman" w:eastAsia="Times New Roman" w:hint="default"/>
          <w:spacing w:val="-2"/>
        </w:rPr>
        <w:t>1.7</w:t>
      </w:r>
      <w:r>
        <w:rPr>
          <w:spacing w:val="-2"/>
        </w:rPr>
        <w:t>万亿元。配网建设目标到</w:t>
      </w:r>
      <w:r>
        <w:rPr>
          <w:rFonts w:ascii="Times New Roman" w:hAnsi="Times New Roman" w:cs="Times New Roman" w:eastAsia="Times New Roman" w:hint="default"/>
          <w:spacing w:val="-2"/>
        </w:rPr>
        <w:t>2020</w:t>
      </w:r>
      <w:r>
        <w:rPr>
          <w:spacing w:val="-2"/>
        </w:rPr>
        <w:t>年，配电自动化覆盖率达到</w:t>
      </w:r>
      <w:r>
        <w:rPr>
          <w:rFonts w:ascii="Times New Roman" w:hAnsi="Times New Roman" w:cs="Times New Roman" w:eastAsia="Times New Roman" w:hint="default"/>
          <w:spacing w:val="-2"/>
        </w:rPr>
        <w:t>90%</w:t>
      </w:r>
      <w:r>
        <w:rPr>
          <w:spacing w:val="-2"/>
        </w:rPr>
        <w:t>，配电通</w:t>
      </w:r>
      <w:r>
        <w:rPr>
          <w:spacing w:val="-52"/>
        </w:rPr>
        <w:t> </w:t>
      </w:r>
      <w:r>
        <w:rPr>
          <w:spacing w:val="-52"/>
        </w:rPr>
      </w:r>
      <w:r>
        <w:rPr/>
        <w:t>信网覆盖率达到</w:t>
      </w:r>
      <w:r>
        <w:rPr>
          <w:rFonts w:ascii="Times New Roman" w:hAnsi="Times New Roman" w:cs="Times New Roman" w:eastAsia="Times New Roman" w:hint="default"/>
        </w:rPr>
        <w:t>95%</w:t>
      </w:r>
      <w:r>
        <w:rPr/>
        <w:t>。</w:t>
      </w:r>
    </w:p>
    <w:p>
      <w:pPr>
        <w:pStyle w:val="BodyText"/>
        <w:spacing w:line="309" w:lineRule="auto" w:before="13"/>
        <w:ind w:right="1130" w:firstLine="357"/>
        <w:jc w:val="both"/>
      </w:pPr>
      <w:r>
        <w:rPr>
          <w:spacing w:val="-2"/>
        </w:rPr>
        <w:t>同时十九大报告中指出，推进能源生产和消费革命，构建清洁低碳、安全高效的能源体系，发挥电网的枢纽作用，充分</w:t>
      </w:r>
      <w:r>
        <w:rPr/>
        <w:t> </w:t>
      </w:r>
      <w:r>
        <w:rPr>
          <w:spacing w:val="-2"/>
        </w:rPr>
        <w:t>利用网络属性，打造新业态新模式，树立开放共赢的共享理念，建设好坚强智能电网和泛在电力物联网，并规划到</w:t>
      </w:r>
      <w:r>
        <w:rPr>
          <w:rFonts w:ascii="Times New Roman" w:hAnsi="Times New Roman" w:cs="Times New Roman" w:eastAsia="Times New Roman" w:hint="default"/>
          <w:spacing w:val="-2"/>
        </w:rPr>
        <w:t>2021</w:t>
      </w:r>
      <w:r>
        <w:rPr>
          <w:spacing w:val="-2"/>
        </w:rPr>
        <w:t>年初</w:t>
      </w:r>
      <w:r>
        <w:rPr>
          <w:spacing w:val="-61"/>
        </w:rPr>
        <w:t> </w:t>
      </w:r>
      <w:r>
        <w:rPr/>
        <w:t>步建成泛在电力物联网，到</w:t>
      </w:r>
      <w:r>
        <w:rPr>
          <w:rFonts w:ascii="Times New Roman" w:hAnsi="Times New Roman" w:cs="Times New Roman" w:eastAsia="Times New Roman" w:hint="default"/>
        </w:rPr>
        <w:t>2024</w:t>
      </w:r>
      <w:r>
        <w:rPr/>
        <w:t>年全面建成泛在电力物联网。</w:t>
      </w:r>
    </w:p>
    <w:p>
      <w:pPr>
        <w:pStyle w:val="BodyText"/>
        <w:spacing w:line="240" w:lineRule="auto" w:before="5"/>
        <w:ind w:left="511" w:right="0"/>
        <w:jc w:val="left"/>
      </w:pPr>
      <w:r>
        <w:rPr/>
        <w:t>（</w:t>
      </w:r>
      <w:r>
        <w:rPr>
          <w:rFonts w:ascii="Times New Roman" w:hAnsi="Times New Roman" w:cs="Times New Roman" w:eastAsia="Times New Roman" w:hint="default"/>
        </w:rPr>
        <w:t>2</w:t>
      </w:r>
      <w:r>
        <w:rPr/>
        <w:t>）交通行业领域</w:t>
      </w:r>
    </w:p>
    <w:p>
      <w:pPr>
        <w:pStyle w:val="BodyText"/>
        <w:spacing w:line="240" w:lineRule="auto" w:before="63"/>
        <w:ind w:left="511" w:right="0"/>
        <w:jc w:val="left"/>
      </w:pPr>
      <w:r>
        <w:rPr/>
        <w:t>①轨道交通</w:t>
      </w:r>
    </w:p>
    <w:p>
      <w:pPr>
        <w:pStyle w:val="BodyText"/>
        <w:spacing w:line="240" w:lineRule="auto" w:before="76"/>
        <w:ind w:left="511" w:right="0"/>
        <w:jc w:val="left"/>
      </w:pPr>
      <w:r>
        <w:rPr/>
        <w:t>根据前瞻产业研究院发布的《</w:t>
      </w:r>
      <w:r>
        <w:rPr>
          <w:rFonts w:ascii="Times New Roman" w:hAnsi="Times New Roman" w:cs="Times New Roman" w:eastAsia="Times New Roman" w:hint="default"/>
        </w:rPr>
        <w:t>2018-2023</w:t>
      </w:r>
      <w:r>
        <w:rPr/>
        <w:t>年中国城市轨道交通行业市场前瞻与投资战略规划分析报告》数据显示：</w:t>
      </w:r>
    </w:p>
    <w:p>
      <w:pPr>
        <w:pStyle w:val="BodyText"/>
        <w:spacing w:line="300" w:lineRule="auto" w:before="63"/>
        <w:ind w:right="1169"/>
        <w:jc w:val="both"/>
      </w:pPr>
      <w:r>
        <w:rPr>
          <w:rFonts w:ascii="Times New Roman" w:hAnsi="Times New Roman" w:cs="Times New Roman" w:eastAsia="Times New Roman" w:hint="default"/>
        </w:rPr>
        <w:t>2011-2018</w:t>
      </w:r>
      <w:r>
        <w:rPr/>
        <w:t>年，我国城轨交通运营线路条数逐年增长。截至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日，中国大陆包括北京、上海、广州等</w:t>
      </w:r>
      <w:r>
        <w:rPr>
          <w:rFonts w:ascii="Times New Roman" w:hAnsi="Times New Roman" w:cs="Times New Roman" w:eastAsia="Times New Roman" w:hint="default"/>
        </w:rPr>
        <w:t>34</w:t>
      </w:r>
      <w:r>
        <w:rPr/>
        <w:t>座城市开 通运营轨道交通线路，共</w:t>
      </w:r>
      <w:r>
        <w:rPr>
          <w:rFonts w:ascii="Times New Roman" w:hAnsi="Times New Roman" w:cs="Times New Roman" w:eastAsia="Times New Roman" w:hint="default"/>
        </w:rPr>
        <w:t>171</w:t>
      </w:r>
      <w:r>
        <w:rPr/>
        <w:t>条线路，总里程高达</w:t>
      </w:r>
      <w:r>
        <w:rPr>
          <w:rFonts w:ascii="Times New Roman" w:hAnsi="Times New Roman" w:cs="Times New Roman" w:eastAsia="Times New Roman" w:hint="default"/>
        </w:rPr>
        <w:t>5,083.45</w:t>
      </w:r>
      <w:r>
        <w:rPr/>
        <w:t>公里，车站</w:t>
      </w:r>
      <w:r>
        <w:rPr>
          <w:rFonts w:ascii="Times New Roman" w:hAnsi="Times New Roman" w:cs="Times New Roman" w:eastAsia="Times New Roman" w:hint="default"/>
        </w:rPr>
        <w:t>3,269</w:t>
      </w:r>
      <w:r>
        <w:rPr/>
        <w:t>座；截止</w:t>
      </w:r>
      <w:r>
        <w:rPr>
          <w:rFonts w:ascii="Times New Roman" w:hAnsi="Times New Roman" w:cs="Times New Roman" w:eastAsia="Times New Roman" w:hint="default"/>
        </w:rPr>
        <w:t>2018</w:t>
      </w:r>
      <w:r>
        <w:rPr/>
        <w:t>年末，中国大陆累计有</w:t>
      </w:r>
      <w:r>
        <w:rPr>
          <w:rFonts w:ascii="Times New Roman" w:hAnsi="Times New Roman" w:cs="Times New Roman" w:eastAsia="Times New Roman" w:hint="default"/>
        </w:rPr>
        <w:t>37</w:t>
      </w:r>
      <w:r>
        <w:rPr/>
        <w:t>个城市开 通运营轨道交通线路，共</w:t>
      </w:r>
      <w:r>
        <w:rPr>
          <w:rFonts w:ascii="Times New Roman" w:hAnsi="Times New Roman" w:cs="Times New Roman" w:eastAsia="Times New Roman" w:hint="default"/>
        </w:rPr>
        <w:t>202</w:t>
      </w:r>
      <w:r>
        <w:rPr/>
        <w:t>条线路，</w:t>
      </w:r>
      <w:r>
        <w:rPr>
          <w:rFonts w:ascii="Times New Roman" w:hAnsi="Times New Roman" w:cs="Times New Roman" w:eastAsia="Times New Roman" w:hint="default"/>
        </w:rPr>
        <w:t>5,539.19</w:t>
      </w:r>
      <w:r>
        <w:rPr/>
        <w:t>公里，车站</w:t>
      </w:r>
      <w:r>
        <w:rPr>
          <w:rFonts w:ascii="Times New Roman" w:hAnsi="Times New Roman" w:cs="Times New Roman" w:eastAsia="Times New Roman" w:hint="default"/>
        </w:rPr>
        <w:t>3,447</w:t>
      </w:r>
      <w:r>
        <w:rPr/>
        <w:t>座。</w:t>
      </w:r>
    </w:p>
    <w:p>
      <w:pPr>
        <w:pStyle w:val="BodyText"/>
        <w:spacing w:line="307" w:lineRule="auto" w:before="13"/>
        <w:ind w:right="1132" w:firstLine="357"/>
        <w:jc w:val="both"/>
      </w:pPr>
      <w:r>
        <w:rPr>
          <w:spacing w:val="-2"/>
        </w:rPr>
        <w:t>随着城市化建设步伐的加快，中心城市不断向周边辐射，轨道交通建设的需求也在不断增加，中国已形成一个世界上规</w:t>
      </w:r>
      <w:r>
        <w:rPr/>
        <w:t> </w:t>
      </w:r>
      <w:r>
        <w:rPr>
          <w:spacing w:val="-3"/>
        </w:rPr>
        <w:t>模最大、发展最快的轨道交通建设市场。目前，随着大城市对轨道交通快速线路和中低运量层次的需求逐步增加，认为在</w:t>
      </w:r>
      <w:r>
        <w:rPr>
          <w:rFonts w:ascii="Times New Roman" w:hAnsi="Times New Roman" w:cs="Times New Roman" w:eastAsia="Times New Roman" w:hint="default"/>
          <w:spacing w:val="-3"/>
        </w:rPr>
        <w:t>“</w:t>
      </w:r>
      <w:r>
        <w:rPr>
          <w:spacing w:val="-3"/>
        </w:rPr>
        <w:t>十</w:t>
      </w:r>
      <w:r>
        <w:rPr/>
        <w:t> 三五</w:t>
      </w:r>
      <w:r>
        <w:rPr>
          <w:rFonts w:ascii="Times New Roman" w:hAnsi="Times New Roman" w:cs="Times New Roman" w:eastAsia="Times New Roman" w:hint="default"/>
        </w:rPr>
        <w:t>”</w:t>
      </w:r>
      <w:r>
        <w:rPr/>
        <w:t>期间，有轨电车和市域快轨这两种审批速度快、性价比较高的城市轨道交通制式将会得到快速优先发展。估计到</w:t>
      </w:r>
      <w:r>
        <w:rPr>
          <w:rFonts w:ascii="Times New Roman" w:hAnsi="Times New Roman" w:cs="Times New Roman" w:eastAsia="Times New Roman" w:hint="default"/>
        </w:rPr>
        <w:t>2020 </w:t>
      </w:r>
      <w:r>
        <w:rPr/>
        <w:t>年，中国将至少有</w:t>
      </w:r>
      <w:r>
        <w:rPr>
          <w:rFonts w:ascii="Times New Roman" w:hAnsi="Times New Roman" w:cs="Times New Roman" w:eastAsia="Times New Roman" w:hint="default"/>
        </w:rPr>
        <w:t>50</w:t>
      </w:r>
      <w:r>
        <w:rPr/>
        <w:t>个城市拥有轨道交通，潜在规划里程空间巨大。</w:t>
      </w:r>
    </w:p>
    <w:p>
      <w:pPr>
        <w:pStyle w:val="BodyText"/>
        <w:spacing w:line="316" w:lineRule="auto" w:before="7"/>
        <w:ind w:left="511" w:right="1118"/>
        <w:jc w:val="left"/>
      </w:pPr>
      <w:r>
        <w:rPr/>
        <w:t>②高速公路 </w:t>
      </w:r>
      <w:r>
        <w:rPr>
          <w:spacing w:val="-2"/>
        </w:rPr>
        <w:t>未来几年中国高速公路智能化系统行业仍将保持高速增长，主要基于两点：一是高速公路智能化系统行业是城市交通发</w:t>
      </w:r>
    </w:p>
    <w:p>
      <w:pPr>
        <w:pStyle w:val="BodyText"/>
        <w:spacing w:line="314" w:lineRule="auto" w:before="19"/>
        <w:ind w:right="1129"/>
        <w:jc w:val="both"/>
      </w:pPr>
      <w:r>
        <w:rPr>
          <w:spacing w:val="-2"/>
        </w:rPr>
        <w:t>展的必然结果。目前，我国城市交通发展仍处于基础建设高投入、快速建设阶段，交通管理部门在该阶段注重的仍是扩展管</w:t>
      </w:r>
      <w:r>
        <w:rPr>
          <w:spacing w:val="-66"/>
        </w:rPr>
        <w:t> </w:t>
      </w:r>
      <w:r>
        <w:rPr>
          <w:spacing w:val="-66"/>
        </w:rPr>
      </w:r>
      <w:r>
        <w:rPr>
          <w:spacing w:val="-2"/>
        </w:rPr>
        <w:t>理的空间范围。随着城市交通的发展，高速公路智能化系统行业亦将快速成长。二是投资政策体制较为稳定。由于各地情况</w:t>
      </w:r>
      <w:r>
        <w:rPr>
          <w:spacing w:val="-66"/>
        </w:rPr>
        <w:t> </w:t>
      </w:r>
      <w:r>
        <w:rPr>
          <w:spacing w:val="-66"/>
        </w:rPr>
      </w:r>
      <w:r>
        <w:rPr>
          <w:spacing w:val="-2"/>
        </w:rPr>
        <w:t>不同，高速公路智能化系统建设的资金来源也不同，但主要以各地财政出资为主，资金来源较为稳定。随着我国高速公路智</w:t>
      </w:r>
      <w:r>
        <w:rPr>
          <w:spacing w:val="-66"/>
        </w:rPr>
        <w:t> </w:t>
      </w:r>
      <w:r>
        <w:rPr>
          <w:spacing w:val="-66"/>
        </w:rPr>
      </w:r>
      <w:r>
        <w:rPr>
          <w:spacing w:val="-2"/>
        </w:rPr>
        <w:t>能化、信息化的大力建设，高速公路总里程的不断增加以及维护、升级改造的不断实施，预计，未来我国高速公路智能化行</w:t>
      </w:r>
      <w:r>
        <w:rPr>
          <w:spacing w:val="-66"/>
        </w:rPr>
        <w:t> </w:t>
      </w:r>
      <w:r>
        <w:rPr>
          <w:spacing w:val="-66"/>
        </w:rPr>
      </w:r>
      <w:r>
        <w:rPr>
          <w:spacing w:val="-4"/>
        </w:rPr>
        <w:t>业市场规模将不断增大。到</w:t>
      </w:r>
      <w:r>
        <w:rPr>
          <w:rFonts w:ascii="Times New Roman" w:hAnsi="Times New Roman" w:cs="Times New Roman" w:eastAsia="Times New Roman" w:hint="default"/>
          <w:spacing w:val="-4"/>
        </w:rPr>
        <w:t>2018</w:t>
      </w:r>
      <w:r>
        <w:rPr>
          <w:spacing w:val="-4"/>
        </w:rPr>
        <w:t>年，市场规模将达到</w:t>
      </w:r>
      <w:r>
        <w:rPr>
          <w:rFonts w:ascii="Times New Roman" w:hAnsi="Times New Roman" w:cs="Times New Roman" w:eastAsia="Times New Roman" w:hint="default"/>
          <w:spacing w:val="-4"/>
        </w:rPr>
        <w:t>478</w:t>
      </w:r>
      <w:r>
        <w:rPr>
          <w:spacing w:val="-4"/>
        </w:rPr>
        <w:t>亿元左右，到</w:t>
      </w:r>
      <w:r>
        <w:rPr>
          <w:rFonts w:ascii="Times New Roman" w:hAnsi="Times New Roman" w:cs="Times New Roman" w:eastAsia="Times New Roman" w:hint="default"/>
          <w:spacing w:val="-4"/>
        </w:rPr>
        <w:t>2023</w:t>
      </w:r>
      <w:r>
        <w:rPr>
          <w:spacing w:val="-4"/>
        </w:rPr>
        <w:t>年市场规模将接近</w:t>
      </w:r>
      <w:r>
        <w:rPr>
          <w:rFonts w:ascii="Times New Roman" w:hAnsi="Times New Roman" w:cs="Times New Roman" w:eastAsia="Times New Roman" w:hint="default"/>
          <w:spacing w:val="-4"/>
        </w:rPr>
        <w:t>900</w:t>
      </w:r>
      <w:r>
        <w:rPr>
          <w:spacing w:val="-4"/>
        </w:rPr>
        <w:t>亿元，年均复合增长率在</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25"/>
        </w:rPr>
        <w:t> </w:t>
      </w:r>
      <w:r>
        <w:rPr/>
        <w:t>左右。</w:t>
      </w:r>
    </w:p>
    <w:p>
      <w:pPr>
        <w:pStyle w:val="BodyText"/>
        <w:spacing w:line="316" w:lineRule="auto" w:before="20"/>
        <w:ind w:left="511" w:right="1035"/>
        <w:jc w:val="left"/>
      </w:pPr>
      <w:r>
        <w:rPr/>
        <w:t>③智能交通 在物联网、人工智能等新技术兴起之际，智能交通行业随之踏入市场需求快速成长和扩容阶段，并因良好的市场效益，</w:t>
      </w:r>
    </w:p>
    <w:p>
      <w:pPr>
        <w:pStyle w:val="BodyText"/>
        <w:spacing w:line="307" w:lineRule="auto" w:before="19"/>
        <w:ind w:right="1119"/>
        <w:jc w:val="left"/>
      </w:pPr>
      <w:r>
        <w:rPr>
          <w:spacing w:val="-2"/>
        </w:rPr>
        <w:t>被地方政府当作新的经济增长点。智能交通应用发展迅速，目前我国智能交通在集成应用方面已经跻身国际先进水平，且国</w:t>
      </w:r>
      <w:r>
        <w:rPr>
          <w:spacing w:val="-66"/>
        </w:rPr>
        <w:t> </w:t>
      </w:r>
      <w:r>
        <w:rPr>
          <w:spacing w:val="-66"/>
        </w:rPr>
      </w:r>
      <w:r>
        <w:rPr>
          <w:spacing w:val="-2"/>
        </w:rPr>
        <w:t>家政策扶持力度不断加大。智能交通体系不断完善，技术标准日益完善，智能交通产业初具规模。在技术标准上，我国初步</w:t>
      </w:r>
      <w:r>
        <w:rPr>
          <w:spacing w:val="-66"/>
        </w:rPr>
        <w:t> </w:t>
      </w:r>
      <w:r>
        <w:rPr>
          <w:spacing w:val="-66"/>
        </w:rPr>
      </w:r>
      <w:r>
        <w:rPr>
          <w:spacing w:val="-2"/>
        </w:rPr>
        <w:t>完成了国家智能交通系统的标准体系，为智能交通的规范化发展提供了有力保障；在市场规模上，经过多年发展，我国智能</w:t>
      </w:r>
      <w:r>
        <w:rPr>
          <w:spacing w:val="-66"/>
        </w:rPr>
        <w:t> </w:t>
      </w:r>
      <w:r>
        <w:rPr>
          <w:spacing w:val="-66"/>
        </w:rPr>
      </w:r>
      <w:r>
        <w:rPr/>
        <w:t>交通产业初具规模，目前市场规模已经超过</w:t>
      </w:r>
      <w:r>
        <w:rPr>
          <w:rFonts w:ascii="Times New Roman" w:hAnsi="Times New Roman" w:cs="Times New Roman" w:eastAsia="Times New Roman" w:hint="default"/>
        </w:rPr>
        <w:t>600</w:t>
      </w:r>
      <w:r>
        <w:rPr/>
        <w:t>亿元。智能交通作为一个新经济增长点的战略新兴产业，具有良好的市场效 益，其市场前景十分广阔。预计未来</w:t>
      </w:r>
      <w:r>
        <w:rPr>
          <w:rFonts w:ascii="Times New Roman" w:hAnsi="Times New Roman" w:cs="Times New Roman" w:eastAsia="Times New Roman" w:hint="default"/>
        </w:rPr>
        <w:t>5</w:t>
      </w:r>
      <w:r>
        <w:rPr/>
        <w:t>年中，中国将在</w:t>
      </w:r>
      <w:r>
        <w:rPr>
          <w:rFonts w:ascii="Times New Roman" w:hAnsi="Times New Roman" w:cs="Times New Roman" w:eastAsia="Times New Roman" w:hint="default"/>
        </w:rPr>
        <w:t>200</w:t>
      </w:r>
      <w:r>
        <w:rPr/>
        <w:t>个以上的大中型城市建立城市交通指挥中心。中心将集公安交通 </w:t>
      </w:r>
      <w:r>
        <w:rPr>
          <w:rFonts w:ascii="Times New Roman" w:hAnsi="Times New Roman" w:cs="Times New Roman" w:eastAsia="Times New Roman" w:hint="default"/>
        </w:rPr>
        <w:t>GIS</w:t>
      </w:r>
      <w:r>
        <w:rPr/>
        <w:t>综合业务管理、视频监控、信号控制、交通信息检测、</w:t>
      </w:r>
      <w:r>
        <w:rPr>
          <w:rFonts w:ascii="Times New Roman" w:hAnsi="Times New Roman" w:cs="Times New Roman" w:eastAsia="Times New Roman" w:hint="default"/>
        </w:rPr>
        <w:t>GPS</w:t>
      </w:r>
      <w:r>
        <w:rPr/>
        <w:t>车辆定位、通信调度指挥及交通信息发布等系统于一体。结 </w:t>
      </w:r>
      <w:r>
        <w:rPr>
          <w:spacing w:val="-1"/>
        </w:rPr>
        <w:t>合未来市场需求分析以及相关规划，未来几年我国智能交通行业有望保持</w:t>
      </w:r>
      <w:r>
        <w:rPr>
          <w:rFonts w:ascii="Times New Roman" w:hAnsi="Times New Roman" w:cs="Times New Roman" w:eastAsia="Times New Roman" w:hint="default"/>
          <w:spacing w:val="-1"/>
        </w:rPr>
        <w:t>20%</w:t>
      </w:r>
      <w:r>
        <w:rPr>
          <w:spacing w:val="-1"/>
        </w:rPr>
        <w:t>左右的市场规模增速，预计到</w:t>
      </w:r>
      <w:r>
        <w:rPr>
          <w:rFonts w:ascii="Times New Roman" w:hAnsi="Times New Roman" w:cs="Times New Roman" w:eastAsia="Times New Roman" w:hint="default"/>
          <w:spacing w:val="-1"/>
        </w:rPr>
        <w:t>2021</w:t>
      </w:r>
      <w:r>
        <w:rPr>
          <w:spacing w:val="-1"/>
        </w:rPr>
        <w:t>年的市场规</w:t>
      </w:r>
      <w:r>
        <w:rPr>
          <w:spacing w:val="-87"/>
        </w:rPr>
        <w:t> </w:t>
      </w:r>
      <w:r>
        <w:rPr/>
        <w:t>模将超过</w:t>
      </w:r>
      <w:r>
        <w:rPr>
          <w:rFonts w:ascii="Times New Roman" w:hAnsi="Times New Roman" w:cs="Times New Roman" w:eastAsia="Times New Roman" w:hint="default"/>
        </w:rPr>
        <w:t>880</w:t>
      </w:r>
      <w:r>
        <w:rPr/>
        <w:t>亿元。</w:t>
      </w:r>
    </w:p>
    <w:p>
      <w:pPr>
        <w:pStyle w:val="BodyText"/>
        <w:spacing w:line="300" w:lineRule="auto" w:before="7"/>
        <w:ind w:left="511" w:right="0"/>
        <w:jc w:val="left"/>
      </w:pPr>
      <w:r>
        <w:rPr>
          <w:rFonts w:ascii="Times New Roman" w:hAnsi="Times New Roman" w:cs="Times New Roman" w:eastAsia="Times New Roman" w:hint="default"/>
        </w:rPr>
        <w:t>2</w:t>
      </w:r>
      <w:r>
        <w:rPr/>
        <w:t>、第三方支付业务 </w:t>
      </w:r>
      <w:r>
        <w:rPr>
          <w:spacing w:val="-2"/>
        </w:rPr>
        <w:t>随着第三方支付规模的不断扩大，第三方支付市场主体的经营着力点已经从拓展渠道逐步转向快速提升客户规模、有效</w:t>
      </w:r>
    </w:p>
    <w:p>
      <w:pPr>
        <w:pStyle w:val="BodyText"/>
        <w:spacing w:line="316" w:lineRule="auto" w:before="32"/>
        <w:ind w:right="1032"/>
        <w:jc w:val="left"/>
      </w:pPr>
      <w:r>
        <w:rPr>
          <w:spacing w:val="-2"/>
        </w:rPr>
        <w:t>增加客户黏性上来。大部分收单机构通过自身技术研发或与聚合技术服务商合作已全面推出聚合支付产品和服务，并加快推</w:t>
      </w:r>
      <w:r>
        <w:rPr>
          <w:spacing w:val="-64"/>
        </w:rPr>
        <w:t> </w:t>
      </w:r>
      <w:r>
        <w:rPr>
          <w:spacing w:val="-64"/>
        </w:rPr>
      </w:r>
      <w:r>
        <w:rPr/>
        <w:t>动产品和服务创新，全面打造便民支付综合化服务体系，尝试为客户提供全业务第三方支付解决方案，不断优化业务流程， 提升客户支付体验，降低综合成本。</w:t>
      </w:r>
    </w:p>
    <w:p>
      <w:pPr>
        <w:pStyle w:val="BodyText"/>
        <w:spacing w:line="240" w:lineRule="auto" w:before="19"/>
        <w:ind w:left="454" w:right="0"/>
        <w:jc w:val="left"/>
      </w:pPr>
      <w:r>
        <w:rPr>
          <w:rFonts w:ascii="Times New Roman" w:hAnsi="Times New Roman" w:cs="Times New Roman" w:eastAsia="Times New Roman" w:hint="default"/>
        </w:rPr>
        <w:t>2018</w:t>
      </w:r>
      <w:r>
        <w:rPr/>
        <w:t>年全国银行卡发卡量保持稳步增长，据央行统计，截至</w:t>
      </w:r>
      <w:r>
        <w:rPr>
          <w:rFonts w:ascii="Times New Roman" w:hAnsi="Times New Roman" w:cs="Times New Roman" w:eastAsia="Times New Roman" w:hint="default"/>
        </w:rPr>
        <w:t>2018</w:t>
      </w:r>
      <w:r>
        <w:rPr/>
        <w:t>年末，全国银行卡在用发卡数量</w:t>
      </w:r>
      <w:r>
        <w:rPr>
          <w:rFonts w:ascii="Times New Roman" w:hAnsi="Times New Roman" w:cs="Times New Roman" w:eastAsia="Times New Roman" w:hint="default"/>
        </w:rPr>
        <w:t>75.97</w:t>
      </w:r>
      <w:r>
        <w:rPr/>
        <w:t>亿张，同比增长</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rFonts w:ascii="Times New Roman" w:hAnsi="Times New Roman" w:cs="Times New Roman" w:eastAsia="Times New Roman" w:hint="default"/>
          <w:spacing w:val="-2"/>
        </w:rPr>
        <w:t>13.51%</w:t>
      </w:r>
      <w:r>
        <w:rPr>
          <w:spacing w:val="-2"/>
        </w:rPr>
        <w:t>。银行卡受理市场环境不断完善，截至</w:t>
      </w:r>
      <w:r>
        <w:rPr>
          <w:rFonts w:ascii="Times New Roman" w:hAnsi="Times New Roman" w:cs="Times New Roman" w:eastAsia="Times New Roman" w:hint="default"/>
          <w:spacing w:val="-2"/>
        </w:rPr>
        <w:t>2018</w:t>
      </w:r>
      <w:r>
        <w:rPr>
          <w:spacing w:val="-2"/>
        </w:rPr>
        <w:t>年末，银行卡跨行支付系统联网商户</w:t>
      </w:r>
      <w:r>
        <w:rPr>
          <w:rFonts w:ascii="Times New Roman" w:hAnsi="Times New Roman" w:cs="Times New Roman" w:eastAsia="Times New Roman" w:hint="default"/>
          <w:spacing w:val="-2"/>
        </w:rPr>
        <w:t>2,733.00</w:t>
      </w:r>
      <w:r>
        <w:rPr>
          <w:spacing w:val="-2"/>
        </w:rPr>
        <w:t>万户、联网</w:t>
      </w:r>
      <w:r>
        <w:rPr>
          <w:rFonts w:ascii="Times New Roman" w:hAnsi="Times New Roman" w:cs="Times New Roman" w:eastAsia="Times New Roman" w:hint="default"/>
          <w:spacing w:val="-2"/>
        </w:rPr>
        <w:t>POS</w:t>
      </w:r>
      <w:r>
        <w:rPr>
          <w:spacing w:val="-2"/>
        </w:rPr>
        <w:t>机具</w:t>
      </w:r>
      <w:r>
        <w:rPr>
          <w:rFonts w:ascii="Times New Roman" w:hAnsi="Times New Roman" w:cs="Times New Roman" w:eastAsia="Times New Roman" w:hint="default"/>
          <w:spacing w:val="-2"/>
        </w:rPr>
        <w:t>3,414.82</w:t>
      </w:r>
      <w:r>
        <w:rPr>
          <w:rFonts w:ascii="Times New Roman" w:hAnsi="Times New Roman" w:cs="Times New Roman" w:eastAsia="Times New Roman" w:hint="default"/>
          <w:spacing w:val="16"/>
        </w:rPr>
        <w:t> </w:t>
      </w:r>
      <w:r>
        <w:rPr/>
        <w:t>万台，较上年末分别增加</w:t>
      </w:r>
      <w:r>
        <w:rPr>
          <w:rFonts w:ascii="Times New Roman" w:hAnsi="Times New Roman" w:cs="Times New Roman" w:eastAsia="Times New Roman" w:hint="default"/>
        </w:rPr>
        <w:t>140.40</w:t>
      </w:r>
      <w:r>
        <w:rPr/>
        <w:t>万户、</w:t>
      </w:r>
      <w:r>
        <w:rPr>
          <w:rFonts w:ascii="Times New Roman" w:hAnsi="Times New Roman" w:cs="Times New Roman" w:eastAsia="Times New Roman" w:hint="default"/>
        </w:rPr>
        <w:t>295.96</w:t>
      </w:r>
      <w:r>
        <w:rPr/>
        <w:t>万台。智能</w:t>
      </w:r>
      <w:r>
        <w:rPr>
          <w:rFonts w:ascii="Times New Roman" w:hAnsi="Times New Roman" w:cs="Times New Roman" w:eastAsia="Times New Roman" w:hint="default"/>
        </w:rPr>
        <w:t>POS</w:t>
      </w:r>
      <w:r>
        <w:rPr/>
        <w:t>作为能够聚合支付方式的硬件工具，结合消费者的消费需求与 倾向，集刷卡、扫码、</w:t>
      </w:r>
      <w:r>
        <w:rPr>
          <w:rFonts w:ascii="Times New Roman" w:hAnsi="Times New Roman" w:cs="Times New Roman" w:eastAsia="Times New Roman" w:hint="default"/>
        </w:rPr>
        <w:t>nfc</w:t>
      </w:r>
      <w:r>
        <w:rPr/>
        <w:t>等支付方式为一体，在为消费者带去消费方便的同时，其记录的支付数据也大大方便了商户的运 </w:t>
      </w:r>
      <w:r>
        <w:rPr>
          <w:spacing w:val="-3"/>
        </w:rPr>
        <w:t>营管理，同时也有利于收单机构利用支付数据进一步开展衍生业务，智能</w:t>
      </w:r>
      <w:r>
        <w:rPr>
          <w:rFonts w:ascii="Times New Roman" w:hAnsi="Times New Roman" w:cs="Times New Roman" w:eastAsia="Times New Roman" w:hint="default"/>
          <w:spacing w:val="-3"/>
        </w:rPr>
        <w:t>POS</w:t>
      </w:r>
      <w:r>
        <w:rPr>
          <w:spacing w:val="-3"/>
        </w:rPr>
        <w:t>丰富的线下布局，为收单业务带来了新的机会。</w:t>
      </w:r>
    </w:p>
    <w:p>
      <w:pPr>
        <w:pStyle w:val="BodyText"/>
        <w:spacing w:line="316" w:lineRule="auto" w:before="13"/>
        <w:ind w:left="511" w:right="0"/>
        <w:jc w:val="left"/>
      </w:pPr>
      <w:r>
        <w:rPr>
          <w:rFonts w:ascii="宋体" w:hAnsi="宋体" w:cs="宋体" w:eastAsia="宋体" w:hint="default"/>
          <w:b/>
          <w:bCs/>
        </w:rPr>
        <w:t>（二）公司未来发展战略</w:t>
      </w:r>
      <w:r>
        <w:rPr>
          <w:rFonts w:ascii="宋体" w:hAnsi="宋体" w:cs="宋体" w:eastAsia="宋体" w:hint="default"/>
          <w:b/>
          <w:bCs/>
          <w:w w:val="99"/>
        </w:rPr>
        <w:t> </w:t>
      </w:r>
      <w:r>
        <w:rPr>
          <w:spacing w:val="-2"/>
        </w:rPr>
        <w:t>在专网通信解决方案服务业务方面，公司将结合对所服务行业的深切理解以及行业需求的精准把握，通过不断将通信信</w:t>
      </w:r>
    </w:p>
    <w:p>
      <w:pPr>
        <w:pStyle w:val="BodyText"/>
        <w:spacing w:line="316" w:lineRule="auto" w:before="19"/>
        <w:ind w:right="1032"/>
        <w:jc w:val="left"/>
      </w:pPr>
      <w:r>
        <w:rPr>
          <w:spacing w:val="-2"/>
        </w:rPr>
        <w:t>息领域先进技术成果引入专网通信领域，加强专网通信技术及其应用技术的研发，满足专网用户更加精细化、个性化及多元</w:t>
      </w:r>
      <w:r>
        <w:rPr>
          <w:spacing w:val="-66"/>
        </w:rPr>
        <w:t> </w:t>
      </w:r>
      <w:r>
        <w:rPr>
          <w:spacing w:val="-66"/>
        </w:rPr>
      </w:r>
      <w:r>
        <w:rPr>
          <w:spacing w:val="-4"/>
        </w:rPr>
        <w:t>化的通信信息服务需求，提供更加专业的服务。在保持专网通信业务稳步发展的同时，公司将以金融科技业务作为发展重点，</w:t>
      </w:r>
      <w:r>
        <w:rPr>
          <w:spacing w:val="-44"/>
        </w:rPr>
        <w:t> </w:t>
      </w:r>
      <w:r>
        <w:rPr>
          <w:spacing w:val="-44"/>
        </w:rPr>
      </w:r>
      <w:r>
        <w:rPr/>
        <w:t>以第三方支付平台上海即富为核心，并在可能的情况下进一步围绕上海即富的产业链进行并购，以期扩大业务版图，同时， </w:t>
      </w:r>
      <w:r>
        <w:rPr>
          <w:spacing w:val="-2"/>
        </w:rPr>
        <w:t>通过上海即富与公司大数据及金融业务的协同效应，逐步形成以第三方支付为核心的金融科技生态体系，增强公司的可持续</w:t>
      </w:r>
      <w:r>
        <w:rPr>
          <w:spacing w:val="-64"/>
        </w:rPr>
        <w:t> </w:t>
      </w:r>
      <w:r>
        <w:rPr>
          <w:spacing w:val="-64"/>
        </w:rPr>
      </w:r>
      <w:r>
        <w:rPr/>
        <w:t>发展能力和综合竞争力，不断提升公司的盈利能力和长期抗风险能力。</w:t>
      </w:r>
    </w:p>
    <w:p>
      <w:pPr>
        <w:pStyle w:val="BodyText"/>
        <w:spacing w:line="309" w:lineRule="auto" w:before="19"/>
        <w:ind w:right="1131" w:firstLine="360"/>
        <w:jc w:val="both"/>
      </w:pPr>
      <w:r>
        <w:rPr>
          <w:spacing w:val="-2"/>
        </w:rPr>
        <w:t>未来，公司将依托专网通信业务和金融科技业务双轮驱动，在夯实专网通信业务的基础上，大力发展金融科技业务，紧</w:t>
      </w:r>
      <w:r>
        <w:rPr/>
        <w:t> </w:t>
      </w:r>
      <w:r>
        <w:rPr>
          <w:spacing w:val="-2"/>
        </w:rPr>
        <w:t>抓市场机遇，积极探索出一条高效能、差异化的产融协同发展之路，实现</w:t>
      </w:r>
      <w:r>
        <w:rPr>
          <w:rFonts w:ascii="Times New Roman" w:hAnsi="Times New Roman" w:cs="Times New Roman" w:eastAsia="Times New Roman" w:hint="default"/>
          <w:spacing w:val="-2"/>
        </w:rPr>
        <w:t>“</w:t>
      </w:r>
      <w:r>
        <w:rPr>
          <w:spacing w:val="-2"/>
        </w:rPr>
        <w:t>联结美好生活</w:t>
      </w:r>
      <w:r>
        <w:rPr>
          <w:rFonts w:ascii="Times New Roman" w:hAnsi="Times New Roman" w:cs="Times New Roman" w:eastAsia="Times New Roman" w:hint="default"/>
          <w:spacing w:val="-2"/>
        </w:rPr>
        <w:t>”</w:t>
      </w:r>
      <w:r>
        <w:rPr>
          <w:spacing w:val="-2"/>
        </w:rPr>
        <w:t>的企业使命，推动公司成为在金融</w:t>
      </w:r>
      <w:r>
        <w:rPr>
          <w:spacing w:val="-44"/>
        </w:rPr>
        <w:t> </w:t>
      </w:r>
      <w:r>
        <w:rPr>
          <w:spacing w:val="-44"/>
        </w:rPr>
      </w:r>
      <w:r>
        <w:rPr/>
        <w:t>科技及专网通信领域内具有代表性的服务提供商和行业的领先者。</w:t>
      </w:r>
    </w:p>
    <w:p>
      <w:pPr>
        <w:pStyle w:val="Heading5"/>
        <w:spacing w:line="240" w:lineRule="auto" w:before="24"/>
        <w:ind w:right="0"/>
        <w:jc w:val="left"/>
        <w:rPr>
          <w:b w:val="0"/>
          <w:bCs w:val="0"/>
        </w:rPr>
      </w:pPr>
      <w:r>
        <w:rPr/>
        <w:t>（三）公司经营计划</w:t>
      </w:r>
      <w:r>
        <w:rPr>
          <w:b w:val="0"/>
          <w:bCs w:val="0"/>
        </w:rPr>
      </w:r>
    </w:p>
    <w:p>
      <w:pPr>
        <w:pStyle w:val="BodyText"/>
        <w:spacing w:line="240" w:lineRule="auto" w:before="76"/>
        <w:ind w:left="514" w:right="0"/>
        <w:jc w:val="left"/>
      </w:pPr>
      <w:r>
        <w:rPr>
          <w:rFonts w:ascii="Times New Roman" w:hAnsi="Times New Roman" w:cs="Times New Roman" w:eastAsia="Times New Roman" w:hint="default"/>
        </w:rPr>
        <w:t>1</w:t>
      </w:r>
      <w:r>
        <w:rPr/>
        <w:t>、积极推动专网通信业务转型，保证业务稳步发展</w:t>
      </w:r>
    </w:p>
    <w:p>
      <w:pPr>
        <w:pStyle w:val="BodyText"/>
        <w:spacing w:line="316" w:lineRule="auto" w:before="63"/>
        <w:ind w:right="0" w:firstLine="360"/>
        <w:jc w:val="left"/>
      </w:pPr>
      <w:r>
        <w:rPr>
          <w:rFonts w:ascii="Times New Roman" w:hAnsi="Times New Roman" w:cs="Times New Roman" w:eastAsia="Times New Roman" w:hint="default"/>
          <w:spacing w:val="-2"/>
        </w:rPr>
        <w:t>2019</w:t>
      </w:r>
      <w:r>
        <w:rPr>
          <w:spacing w:val="-2"/>
        </w:rPr>
        <w:t>年，公司将积极推动专网通信业务由设备集成商向平台服务商的转型。在电力、轨道交通、高速公路、智能交通四</w:t>
      </w:r>
      <w:r>
        <w:rPr/>
        <w:t> </w:t>
      </w:r>
      <w:r>
        <w:rPr>
          <w:spacing w:val="-4"/>
        </w:rPr>
        <w:t>大行业的专网通信技术解决方案业务方面，公司将利用自身资源优势，大力加强公司的信用体系建设，树立严格的服务标准，</w:t>
      </w:r>
      <w:r>
        <w:rPr>
          <w:spacing w:val="-44"/>
        </w:rPr>
        <w:t> </w:t>
      </w:r>
      <w:r>
        <w:rPr>
          <w:spacing w:val="-44"/>
        </w:rPr>
      </w:r>
      <w:r>
        <w:rPr>
          <w:spacing w:val="-2"/>
        </w:rPr>
        <w:t>建立高效的交付体系和服务体系，降低项目执行成本，探索产业升级，提高利润空间。公司将不断探索新的技术、产品与解</w:t>
      </w:r>
      <w:r>
        <w:rPr>
          <w:spacing w:val="-66"/>
        </w:rPr>
        <w:t> </w:t>
      </w:r>
      <w:r>
        <w:rPr>
          <w:spacing w:val="-66"/>
        </w:rPr>
      </w:r>
      <w:r>
        <w:rPr>
          <w:spacing w:val="-2"/>
        </w:rPr>
        <w:t>决方案在专网通信领域应用的可行性，不断扩展产品线，并根据行业渗透的程度，积极配合产品制造商进行应用服务型的研</w:t>
      </w:r>
      <w:r>
        <w:rPr>
          <w:spacing w:val="-66"/>
        </w:rPr>
        <w:t> </w:t>
      </w:r>
      <w:r>
        <w:rPr>
          <w:spacing w:val="-66"/>
        </w:rPr>
      </w:r>
      <w:r>
        <w:rPr>
          <w:spacing w:val="-2"/>
        </w:rPr>
        <w:t>发，以不断地满足客户的差异化需求。公司会在巩固原有市场，维系现有客户的同时，不断拓展新的市场空间，并以《粤港</w:t>
      </w:r>
      <w:r>
        <w:rPr>
          <w:spacing w:val="-66"/>
        </w:rPr>
        <w:t> </w:t>
      </w:r>
      <w:r>
        <w:rPr>
          <w:spacing w:val="-66"/>
        </w:rPr>
      </w:r>
      <w:r>
        <w:rPr>
          <w:spacing w:val="-2"/>
        </w:rPr>
        <w:t>澳大湾区发展规划纲要》出台为契机，利用总部地处深圳的区位优势，加大在粤港澳大湾区基础设施建设、公共交通建设等</w:t>
      </w:r>
      <w:r>
        <w:rPr>
          <w:spacing w:val="-66"/>
        </w:rPr>
        <w:t> </w:t>
      </w:r>
      <w:r>
        <w:rPr>
          <w:spacing w:val="-66"/>
        </w:rPr>
      </w:r>
      <w:r>
        <w:rPr>
          <w:spacing w:val="-2"/>
        </w:rPr>
        <w:t>领域的投标力度，贡献自身经验，实现业务发展。同时，公司将积极探索如产融结合等新的业务模式、合作模式，使公司的</w:t>
      </w:r>
      <w:r>
        <w:rPr>
          <w:spacing w:val="-68"/>
        </w:rPr>
        <w:t> </w:t>
      </w:r>
      <w:r>
        <w:rPr>
          <w:spacing w:val="-68"/>
        </w:rPr>
      </w:r>
      <w:r>
        <w:rPr>
          <w:spacing w:val="-2"/>
        </w:rPr>
        <w:t>产业链运行更加顺畅，使供应、需求保持稳定，巩固公司在产业链中的核心地位，拓展专网通信业务体系的多元化，以能不</w:t>
      </w:r>
      <w:r>
        <w:rPr>
          <w:spacing w:val="-66"/>
        </w:rPr>
        <w:t> </w:t>
      </w:r>
      <w:r>
        <w:rPr>
          <w:spacing w:val="-66"/>
        </w:rPr>
      </w:r>
      <w:r>
        <w:rPr>
          <w:spacing w:val="-4"/>
        </w:rPr>
        <w:t>断吸引行业内最优秀、最有实力的创新团队为标准，吸引更多外部资源加入，增加平台粘合性，强化平台的竞争力和生命力，</w:t>
      </w:r>
      <w:r>
        <w:rPr>
          <w:spacing w:val="-46"/>
        </w:rPr>
        <w:t> </w:t>
      </w:r>
      <w:r>
        <w:rPr>
          <w:spacing w:val="-46"/>
        </w:rPr>
      </w:r>
      <w:r>
        <w:rPr/>
        <w:t>保证业务稳步发展。</w:t>
      </w:r>
    </w:p>
    <w:p>
      <w:pPr>
        <w:pStyle w:val="BodyText"/>
        <w:spacing w:line="240" w:lineRule="auto" w:before="19"/>
        <w:ind w:left="514" w:right="0"/>
        <w:jc w:val="left"/>
      </w:pPr>
      <w:r>
        <w:rPr>
          <w:rFonts w:ascii="Times New Roman" w:hAnsi="Times New Roman" w:cs="Times New Roman" w:eastAsia="Times New Roman" w:hint="default"/>
        </w:rPr>
        <w:t>2</w:t>
      </w:r>
      <w:r>
        <w:rPr/>
        <w:t>、重点发展金融科技业务，建设金融科技生态体系</w:t>
      </w:r>
    </w:p>
    <w:p>
      <w:pPr>
        <w:pStyle w:val="BodyText"/>
        <w:spacing w:line="307" w:lineRule="auto" w:before="63"/>
        <w:ind w:right="0" w:firstLine="360"/>
        <w:jc w:val="left"/>
      </w:pPr>
      <w:r>
        <w:rPr>
          <w:rFonts w:ascii="Times New Roman" w:hAnsi="Times New Roman" w:cs="Times New Roman" w:eastAsia="Times New Roman" w:hint="default"/>
          <w:spacing w:val="-4"/>
        </w:rPr>
        <w:t>2019</w:t>
      </w:r>
      <w:r>
        <w:rPr>
          <w:spacing w:val="-4"/>
        </w:rPr>
        <w:t>年，公司会继续将金融科技业务作为工作重点，立足金融科技，服务实体经济，以第三方支付平台上海即富为核心，</w:t>
      </w:r>
      <w:r>
        <w:rPr/>
        <w:t> </w:t>
      </w:r>
      <w:r>
        <w:rPr>
          <w:spacing w:val="-2"/>
        </w:rPr>
        <w:t>做大第三方支付业务的市场份额，并进一步提升公司在大数据和</w:t>
      </w:r>
      <w:r>
        <w:rPr>
          <w:rFonts w:ascii="Times New Roman" w:hAnsi="Times New Roman" w:cs="Times New Roman" w:eastAsia="Times New Roman" w:hint="default"/>
          <w:spacing w:val="-2"/>
        </w:rPr>
        <w:t>SaaS</w:t>
      </w:r>
      <w:r>
        <w:rPr>
          <w:spacing w:val="-2"/>
        </w:rPr>
        <w:t>云服务领域的技术及解决方案能力，为小微商家提供交</w:t>
      </w:r>
      <w:r>
        <w:rPr>
          <w:spacing w:val="-61"/>
        </w:rPr>
        <w:t> </w:t>
      </w:r>
      <w:r>
        <w:rPr>
          <w:spacing w:val="-61"/>
        </w:rPr>
      </w:r>
      <w:r>
        <w:rPr>
          <w:spacing w:val="-2"/>
        </w:rPr>
        <w:t>易过程中的一系列金融科技综合服务，打造基于第三方支付、圈子电商、大数据服务模式的金融科技平台。</w:t>
      </w:r>
      <w:r>
        <w:rPr>
          <w:rFonts w:ascii="Times New Roman" w:hAnsi="Times New Roman" w:cs="Times New Roman" w:eastAsia="Times New Roman" w:hint="default"/>
          <w:spacing w:val="-2"/>
        </w:rPr>
        <w:t>2019</w:t>
      </w:r>
      <w:r>
        <w:rPr>
          <w:spacing w:val="-2"/>
        </w:rPr>
        <w:t>年，上海即</w:t>
      </w:r>
      <w:r>
        <w:rPr>
          <w:spacing w:val="-61"/>
        </w:rPr>
        <w:t> </w:t>
      </w:r>
      <w:r>
        <w:rPr>
          <w:spacing w:val="-61"/>
        </w:rPr>
      </w:r>
      <w:r>
        <w:rPr>
          <w:spacing w:val="-2"/>
        </w:rPr>
        <w:t>富将继续围绕渠道拓展和区域扩张两个维度精耕细作，继续推进海外市场的业务布局和新零售等领域的业务扩展。同时，将</w:t>
      </w:r>
      <w:r>
        <w:rPr>
          <w:spacing w:val="-66"/>
        </w:rPr>
        <w:t> </w:t>
      </w:r>
      <w:r>
        <w:rPr>
          <w:spacing w:val="-66"/>
        </w:rPr>
      </w:r>
      <w:r>
        <w:rPr>
          <w:spacing w:val="-2"/>
        </w:rPr>
        <w:t>启动以支付为基础，以用户、账户体系为支撑的基于交易环节中间业务的新一代科技平台建设，预计于</w:t>
      </w:r>
      <w:r>
        <w:rPr>
          <w:rFonts w:ascii="Times New Roman" w:hAnsi="Times New Roman" w:cs="Times New Roman" w:eastAsia="Times New Roman" w:hint="default"/>
          <w:spacing w:val="-2"/>
        </w:rPr>
        <w:t>2020</w:t>
      </w:r>
      <w:r>
        <w:rPr>
          <w:spacing w:val="-2"/>
        </w:rPr>
        <w:t>年末完成，新一</w:t>
      </w:r>
      <w:r>
        <w:rPr>
          <w:spacing w:val="-61"/>
        </w:rPr>
        <w:t> </w:t>
      </w:r>
      <w:r>
        <w:rPr>
          <w:spacing w:val="-61"/>
        </w:rPr>
      </w:r>
      <w:r>
        <w:rPr>
          <w:spacing w:val="-2"/>
        </w:rPr>
        <w:t>代平台作为金融大数据布局中的基础性建设一环，将为公司现有及未来的金融科技业务发展提供强大的中后台支撑能力，提</w:t>
      </w:r>
      <w:r>
        <w:rPr>
          <w:spacing w:val="-64"/>
        </w:rPr>
        <w:t> </w:t>
      </w:r>
      <w:r>
        <w:rPr>
          <w:spacing w:val="-64"/>
        </w:rPr>
      </w:r>
      <w:r>
        <w:rPr>
          <w:spacing w:val="-4"/>
        </w:rPr>
        <w:t>供快速接入、资源共享、数据大集中的底层系统架构和输出能力。以技术创新、科技驱动业务的变革与创新，提升业务效率，</w:t>
      </w:r>
      <w:r>
        <w:rPr>
          <w:spacing w:val="-44"/>
        </w:rPr>
        <w:t> </w:t>
      </w:r>
      <w:r>
        <w:rPr>
          <w:spacing w:val="-44"/>
        </w:rPr>
      </w:r>
      <w:r>
        <w:rPr/>
        <w:t>改善客户体验，加强对外输出科技能力。</w:t>
      </w:r>
    </w:p>
    <w:p>
      <w:pPr>
        <w:pStyle w:val="BodyText"/>
        <w:spacing w:line="316" w:lineRule="auto" w:before="26"/>
        <w:ind w:right="1032" w:firstLine="360"/>
        <w:jc w:val="left"/>
      </w:pPr>
      <w:r>
        <w:rPr>
          <w:spacing w:val="-4"/>
        </w:rPr>
        <w:t>公司将在可能的情况下进一步围绕第三方支付产业链进行并购，并通过上海即富与公司先期投资的先锋基金、盈华小贷、</w:t>
      </w:r>
      <w:r>
        <w:rPr/>
        <w:t> </w:t>
      </w:r>
      <w:r>
        <w:rPr>
          <w:spacing w:val="-2"/>
        </w:rPr>
        <w:t>众惠相互、网信大数据等业务的协同效应，逐步形成以第三方支付为核心的金融科技生态体系，不断提升公司的盈利能力和</w:t>
      </w:r>
      <w:r>
        <w:rPr>
          <w:spacing w:val="-66"/>
        </w:rPr>
        <w:t> </w:t>
      </w:r>
      <w:r>
        <w:rPr>
          <w:spacing w:val="-66"/>
        </w:rPr>
      </w:r>
      <w:r>
        <w:rPr/>
        <w:t>综合竞争力。</w:t>
      </w:r>
    </w:p>
    <w:p>
      <w:pPr>
        <w:pStyle w:val="BodyText"/>
        <w:spacing w:line="300" w:lineRule="auto" w:before="19"/>
        <w:ind w:left="514" w:right="0"/>
        <w:jc w:val="left"/>
      </w:pPr>
      <w:r>
        <w:rPr>
          <w:rFonts w:ascii="Times New Roman" w:hAnsi="Times New Roman" w:cs="Times New Roman" w:eastAsia="Times New Roman" w:hint="default"/>
        </w:rPr>
        <w:t>3</w:t>
      </w:r>
      <w:r>
        <w:rPr/>
        <w:t>、加强内部管控，提升公司抗风险能力 </w:t>
      </w:r>
      <w:r>
        <w:rPr>
          <w:spacing w:val="-2"/>
        </w:rPr>
        <w:t>总部职能部门加强对子公司运营情况的动态跟踪和动态管理，不断优化内部控制制度，推进全员内部控制培训工作的持</w:t>
      </w:r>
    </w:p>
    <w:p>
      <w:pPr>
        <w:pStyle w:val="BodyText"/>
        <w:spacing w:line="312" w:lineRule="auto" w:before="32"/>
        <w:ind w:left="514" w:right="1032" w:hanging="360"/>
        <w:jc w:val="left"/>
      </w:pPr>
      <w:r>
        <w:rPr/>
        <w:t>续开展，通过强化规范运作意识，不断提高公司治理和规范运作水平，提升公司抗风险能力。 </w:t>
      </w:r>
      <w:r>
        <w:rPr>
          <w:rFonts w:ascii="Times New Roman" w:hAnsi="Times New Roman" w:cs="Times New Roman" w:eastAsia="Times New Roman" w:hint="default"/>
        </w:rPr>
        <w:t>4</w:t>
      </w:r>
      <w:r>
        <w:rPr/>
        <w:t>、加强品牌建设，提高员工专业化水平 公司将秉承诚信、精进、创新、共享的企业文化，更多地履行上市公司的社会责任，提升公司品牌形象和知名度。 公司将通过搭建学习平台，提升员工专业素养和技能水平，同时制定相应的绩效考核与激励政策，识别激励优秀人才，</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置换低绩效者。</w:t>
      </w:r>
    </w:p>
    <w:p>
      <w:pPr>
        <w:pStyle w:val="Heading5"/>
        <w:spacing w:line="240" w:lineRule="auto" w:before="76"/>
        <w:ind w:right="0"/>
        <w:jc w:val="left"/>
        <w:rPr>
          <w:b w:val="0"/>
          <w:bCs w:val="0"/>
        </w:rPr>
      </w:pPr>
      <w:r>
        <w:rPr/>
        <w:t>（四）可能面对的风险</w:t>
      </w:r>
      <w:r>
        <w:rPr>
          <w:b w:val="0"/>
          <w:bCs w:val="0"/>
        </w:rPr>
      </w:r>
    </w:p>
    <w:p>
      <w:pPr>
        <w:pStyle w:val="BodyText"/>
        <w:spacing w:line="300" w:lineRule="auto" w:before="76"/>
        <w:ind w:left="511" w:right="0"/>
        <w:jc w:val="left"/>
      </w:pPr>
      <w:r>
        <w:rPr>
          <w:rFonts w:ascii="Times New Roman" w:hAnsi="Times New Roman" w:cs="Times New Roman" w:eastAsia="Times New Roman" w:hint="default"/>
        </w:rPr>
        <w:t>1</w:t>
      </w:r>
      <w:r>
        <w:rPr/>
        <w:t>、宏观经济环境和政策风险 </w:t>
      </w:r>
      <w:r>
        <w:rPr>
          <w:spacing w:val="-2"/>
        </w:rPr>
        <w:t>公司从事的专网通信技术解决方案业务主要面向电力、交通行业，上述行业的固定资产投资规模与国家的行业政策和宏</w:t>
      </w:r>
    </w:p>
    <w:p>
      <w:pPr>
        <w:pStyle w:val="BodyText"/>
        <w:spacing w:line="316" w:lineRule="auto" w:before="32"/>
        <w:ind w:right="1131"/>
        <w:jc w:val="both"/>
      </w:pPr>
      <w:r>
        <w:rPr>
          <w:spacing w:val="-2"/>
        </w:rPr>
        <w:t>观调控政策紧密联系。第三方支付行业正处在快速发展期，行业监管政策逐步完善，政策变化可能改变行业竞争格局，公司</w:t>
      </w:r>
      <w:r>
        <w:rPr>
          <w:spacing w:val="-66"/>
        </w:rPr>
        <w:t> </w:t>
      </w:r>
      <w:r>
        <w:rPr>
          <w:spacing w:val="-66"/>
        </w:rPr>
      </w:r>
      <w:r>
        <w:rPr>
          <w:spacing w:val="-2"/>
        </w:rPr>
        <w:t>第三方支付业务可能受到因政策变化导致的不利影响。如果宏观经济环境和政策出现不利变化，将会对公司经营业绩产生影</w:t>
      </w:r>
      <w:r>
        <w:rPr>
          <w:spacing w:val="-64"/>
        </w:rPr>
        <w:t> </w:t>
      </w:r>
      <w:r>
        <w:rPr>
          <w:spacing w:val="-64"/>
        </w:rPr>
      </w:r>
      <w:r>
        <w:rPr/>
        <w:t>响。公司将持续关注政策动向，积极拥抱监管，严格遵守各项行业政策与制度。</w:t>
      </w:r>
    </w:p>
    <w:p>
      <w:pPr>
        <w:pStyle w:val="BodyText"/>
        <w:spacing w:line="300" w:lineRule="auto" w:before="19"/>
        <w:ind w:left="511" w:right="0"/>
        <w:jc w:val="left"/>
      </w:pPr>
      <w:r>
        <w:rPr>
          <w:rFonts w:ascii="Times New Roman" w:hAnsi="Times New Roman" w:cs="Times New Roman" w:eastAsia="Times New Roman" w:hint="default"/>
        </w:rPr>
        <w:t>2</w:t>
      </w:r>
      <w:r>
        <w:rPr/>
        <w:t>、市场竞争风险 </w:t>
      </w:r>
      <w:r>
        <w:rPr>
          <w:spacing w:val="-4"/>
        </w:rPr>
        <w:t>通信市场国内的格局已经发生的根本性改变，公司目前主要的竞争对手为行业内规模较大、技术水平较高的大中型企业，</w:t>
      </w:r>
    </w:p>
    <w:p>
      <w:pPr>
        <w:pStyle w:val="BodyText"/>
        <w:spacing w:line="316" w:lineRule="auto" w:before="31"/>
        <w:ind w:right="1131"/>
        <w:jc w:val="both"/>
      </w:pPr>
      <w:r>
        <w:rPr>
          <w:spacing w:val="-2"/>
        </w:rPr>
        <w:t>并拥有从有线到无线、从硬件软件、从设备到终端的全线通信产品线，产品在中国市场逐渐形成垄断优势，公司面临的竞争</w:t>
      </w:r>
      <w:r>
        <w:rPr>
          <w:spacing w:val="-66"/>
        </w:rPr>
        <w:t> </w:t>
      </w:r>
      <w:r>
        <w:rPr>
          <w:spacing w:val="-66"/>
        </w:rPr>
      </w:r>
      <w:r>
        <w:rPr>
          <w:spacing w:val="-2"/>
        </w:rPr>
        <w:t>压力较大。伴随着市场集中度的不断提高，竞争不断激烈，对公司的市场转型、服务差异化等方面都提出了更高的要求。如</w:t>
      </w:r>
      <w:r>
        <w:rPr>
          <w:spacing w:val="-66"/>
        </w:rPr>
        <w:t> </w:t>
      </w:r>
      <w:r>
        <w:rPr>
          <w:spacing w:val="-66"/>
        </w:rPr>
      </w:r>
      <w:r>
        <w:rPr/>
        <w:t>果公司不能继续强化自身的竞争优势，可能在日趋激烈的市场竞争中处于不利的地位。</w:t>
      </w:r>
    </w:p>
    <w:p>
      <w:pPr>
        <w:pStyle w:val="BodyText"/>
        <w:spacing w:line="316" w:lineRule="auto" w:before="19"/>
        <w:ind w:right="1132" w:firstLine="357"/>
        <w:jc w:val="both"/>
      </w:pPr>
      <w:r>
        <w:rPr>
          <w:spacing w:val="-2"/>
        </w:rPr>
        <w:t>经过多年的经营积累，上海即富及下属机构已经赢得了一定的市场声誉，与客户建立了良好的合作关系，形成一定的竞</w:t>
      </w:r>
      <w:r>
        <w:rPr/>
        <w:t> </w:t>
      </w:r>
      <w:r>
        <w:rPr>
          <w:spacing w:val="-2"/>
        </w:rPr>
        <w:t>争优势。目前，我国提供第三方支付相关产品或服务的企业较多，随着市场规模的扩大、新技术的出现、行业竞争的加剧以</w:t>
      </w:r>
      <w:r>
        <w:rPr>
          <w:spacing w:val="-65"/>
        </w:rPr>
        <w:t> </w:t>
      </w:r>
      <w:r>
        <w:rPr>
          <w:spacing w:val="-65"/>
        </w:rPr>
      </w:r>
      <w:r>
        <w:rPr>
          <w:spacing w:val="-2"/>
        </w:rPr>
        <w:t>及监管政策的逐步完善，市场竞争格局可能发生变化。如上海即富不能继续准确分析市场发展规律并保持前瞻性、加大服务</w:t>
      </w:r>
      <w:r>
        <w:rPr>
          <w:spacing w:val="-66"/>
        </w:rPr>
        <w:t> </w:t>
      </w:r>
      <w:r>
        <w:rPr>
          <w:spacing w:val="-66"/>
        </w:rPr>
      </w:r>
      <w:r>
        <w:rPr/>
        <w:t>创新和市场开发能力，不能在竞争中建立、保持和扩大自己的竞争优势，则可能导致业务拓展困难，影响经营业绩。</w:t>
      </w:r>
    </w:p>
    <w:p>
      <w:pPr>
        <w:pStyle w:val="BodyText"/>
        <w:spacing w:line="316" w:lineRule="auto" w:before="19"/>
        <w:ind w:right="1132" w:firstLine="357"/>
        <w:jc w:val="both"/>
      </w:pPr>
      <w:r>
        <w:rPr>
          <w:spacing w:val="-2"/>
        </w:rPr>
        <w:t>公司将密切关注市场环境与竞争格局情况，保持业务前瞻性，不断提升服务水平和市场开拓能力，以适应市场不断变化</w:t>
      </w:r>
      <w:r>
        <w:rPr/>
        <w:t> 的需求。</w:t>
      </w:r>
    </w:p>
    <w:p>
      <w:pPr>
        <w:pStyle w:val="BodyText"/>
        <w:spacing w:line="300" w:lineRule="auto" w:before="19"/>
        <w:ind w:left="511" w:right="0"/>
        <w:jc w:val="left"/>
      </w:pPr>
      <w:r>
        <w:rPr>
          <w:rFonts w:ascii="Times New Roman" w:hAnsi="Times New Roman" w:cs="Times New Roman" w:eastAsia="Times New Roman" w:hint="default"/>
        </w:rPr>
        <w:t>3</w:t>
      </w:r>
      <w:r>
        <w:rPr/>
        <w:t>、商誉减值风险 </w:t>
      </w:r>
      <w:r>
        <w:rPr>
          <w:spacing w:val="-3"/>
        </w:rPr>
        <w:t>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日，公司由于重大资产重组形成商誉</w:t>
      </w:r>
      <w:r>
        <w:rPr>
          <w:rFonts w:ascii="Times New Roman" w:hAnsi="Times New Roman" w:cs="Times New Roman" w:eastAsia="Times New Roman" w:hint="default"/>
          <w:spacing w:val="-3"/>
        </w:rPr>
        <w:t>8.59</w:t>
      </w:r>
      <w:r>
        <w:rPr>
          <w:spacing w:val="-3"/>
        </w:rPr>
        <w:t>亿元，占总资产比重为</w:t>
      </w:r>
      <w:r>
        <w:rPr>
          <w:rFonts w:ascii="Times New Roman" w:hAnsi="Times New Roman" w:cs="Times New Roman" w:eastAsia="Times New Roman" w:hint="default"/>
          <w:spacing w:val="-3"/>
        </w:rPr>
        <w:t>27.13%</w:t>
      </w:r>
      <w:r>
        <w:rPr>
          <w:spacing w:val="-3"/>
        </w:rPr>
        <w:t>。根据《企业会计准则》规定，</w:t>
      </w:r>
    </w:p>
    <w:p>
      <w:pPr>
        <w:pStyle w:val="BodyText"/>
        <w:spacing w:line="319" w:lineRule="auto" w:before="13"/>
        <w:ind w:right="1131"/>
        <w:jc w:val="both"/>
      </w:pPr>
      <w:r>
        <w:rPr>
          <w:spacing w:val="-2"/>
        </w:rPr>
        <w:t>本次重大资产重组形成的商誉不作摊销处理，但需在未来每年年度终了进行减值测试。如上海即富经营所处的经济、技术或</w:t>
      </w:r>
      <w:r>
        <w:rPr>
          <w:spacing w:val="-66"/>
        </w:rPr>
        <w:t> </w:t>
      </w:r>
      <w:r>
        <w:rPr>
          <w:spacing w:val="-66"/>
        </w:rPr>
      </w:r>
      <w:r>
        <w:rPr>
          <w:spacing w:val="-2"/>
        </w:rPr>
        <w:t>者法律等环境以及其所处的市场在当期或者将在近期发生重大不利变化，或者有证据表明其经营绩效已经低于或者将低于预</w:t>
      </w:r>
      <w:r>
        <w:rPr>
          <w:spacing w:val="-64"/>
        </w:rPr>
        <w:t> </w:t>
      </w:r>
      <w:r>
        <w:rPr>
          <w:spacing w:val="-64"/>
        </w:rPr>
      </w:r>
      <w:r>
        <w:rPr>
          <w:spacing w:val="-2"/>
        </w:rPr>
        <w:t>期，则公司存在商誉减值的风险。若该部分商誉发生减值，则可能对上市公司当期损益造成不利影响。公司将加强对上海即</w:t>
      </w:r>
      <w:r>
        <w:rPr>
          <w:spacing w:val="-66"/>
        </w:rPr>
        <w:t> </w:t>
      </w:r>
      <w:r>
        <w:rPr>
          <w:spacing w:val="-66"/>
        </w:rPr>
      </w:r>
      <w:r>
        <w:rPr>
          <w:spacing w:val="-2"/>
        </w:rPr>
        <w:t>富的内部控制与管理，促进其实现稳定经营与发展，并力争通过发挥业务板块的协同效应，提升上海即富的竞争力，降低商</w:t>
      </w:r>
      <w:r>
        <w:rPr>
          <w:spacing w:val="-66"/>
        </w:rPr>
        <w:t> </w:t>
      </w:r>
      <w:r>
        <w:rPr>
          <w:spacing w:val="-66"/>
        </w:rPr>
      </w:r>
      <w:r>
        <w:rPr/>
        <w:t>誉减值风险。</w:t>
      </w:r>
    </w:p>
    <w:p>
      <w:pPr>
        <w:pStyle w:val="BodyText"/>
        <w:spacing w:line="300" w:lineRule="auto" w:before="17"/>
        <w:ind w:left="511" w:right="0"/>
        <w:jc w:val="left"/>
      </w:pPr>
      <w:r>
        <w:rPr>
          <w:rFonts w:ascii="Times New Roman" w:hAnsi="Times New Roman" w:cs="Times New Roman" w:eastAsia="Times New Roman" w:hint="default"/>
        </w:rPr>
        <w:t>4</w:t>
      </w:r>
      <w:r>
        <w:rPr/>
        <w:t>、经营管理风险 </w:t>
      </w:r>
      <w:r>
        <w:rPr>
          <w:spacing w:val="-2"/>
        </w:rPr>
        <w:t>随着公司的快速发展，公司的资产规模、运营规模、人员规模等将可能进一步扩张，对于公司的人员素质、管理水平等</w:t>
      </w:r>
    </w:p>
    <w:p>
      <w:pPr>
        <w:pStyle w:val="BodyText"/>
        <w:spacing w:line="316" w:lineRule="auto" w:before="31"/>
        <w:ind w:right="1133"/>
        <w:jc w:val="both"/>
      </w:pPr>
      <w:r>
        <w:rPr>
          <w:spacing w:val="-2"/>
        </w:rPr>
        <w:t>方面提出了更高要求。如果公司管理水平和机制不能适应公司业务发展，将可能影响公司实际经营和市场竞争能力。公司将</w:t>
      </w:r>
      <w:r>
        <w:rPr>
          <w:spacing w:val="-66"/>
        </w:rPr>
        <w:t> </w:t>
      </w:r>
      <w:r>
        <w:rPr>
          <w:spacing w:val="-66"/>
        </w:rPr>
      </w:r>
      <w:r>
        <w:rPr/>
        <w:t>不断完善法人治理结构和组织架构，健全运营体系，加强风险管控，以降低经营管理风险。</w:t>
      </w:r>
    </w:p>
    <w:p>
      <w:pPr>
        <w:pStyle w:val="BodyText"/>
        <w:spacing w:line="300" w:lineRule="auto" w:before="19"/>
        <w:ind w:left="511" w:right="0"/>
        <w:jc w:val="left"/>
      </w:pPr>
      <w:r>
        <w:rPr>
          <w:rFonts w:ascii="Times New Roman" w:hAnsi="Times New Roman" w:cs="Times New Roman" w:eastAsia="Times New Roman" w:hint="default"/>
        </w:rPr>
        <w:t>5</w:t>
      </w:r>
      <w:r>
        <w:rPr/>
        <w:t>、应收账款和现金流的风险 </w:t>
      </w:r>
      <w:r>
        <w:rPr>
          <w:spacing w:val="-2"/>
        </w:rPr>
        <w:t>随着公司业务规模的扩大和销售收入的增加，公司应收账款也可能随之增长。如果出现应收账款无法收回而发生坏账的</w:t>
      </w:r>
    </w:p>
    <w:p>
      <w:pPr>
        <w:pStyle w:val="BodyText"/>
        <w:spacing w:line="316" w:lineRule="auto" w:before="31"/>
        <w:ind w:right="1131"/>
        <w:jc w:val="both"/>
      </w:pPr>
      <w:r>
        <w:rPr>
          <w:spacing w:val="-2"/>
        </w:rPr>
        <w:t>情况，将对公司业绩和生产经营产生不利影响。随着公司业务的快速发展，人员机构、投资项目不断增加，对公司现金流提</w:t>
      </w:r>
      <w:r>
        <w:rPr>
          <w:spacing w:val="-66"/>
        </w:rPr>
        <w:t> </w:t>
      </w:r>
      <w:r>
        <w:rPr>
          <w:spacing w:val="-66"/>
        </w:rPr>
      </w:r>
      <w:r>
        <w:rPr>
          <w:spacing w:val="-2"/>
        </w:rPr>
        <w:t>出了更高要求，同时，公司重大资产重组贷款一定程度上提高了公司的资产负债率，较高的资产负债率可能带来财务费用较</w:t>
      </w:r>
      <w:r>
        <w:rPr>
          <w:spacing w:val="-66"/>
        </w:rPr>
        <w:t> </w:t>
      </w:r>
      <w:r>
        <w:rPr>
          <w:spacing w:val="-66"/>
        </w:rPr>
      </w:r>
      <w:r>
        <w:rPr>
          <w:spacing w:val="-2"/>
        </w:rPr>
        <w:t>高、经营效率下降等风险，如果公司现金流不能支撑公司业务快速扩张将对公司造成很大财务风险，影响公司未来发展。公</w:t>
      </w:r>
      <w:r>
        <w:rPr>
          <w:spacing w:val="-66"/>
        </w:rPr>
        <w:t> </w:t>
      </w:r>
      <w:r>
        <w:rPr>
          <w:spacing w:val="-66"/>
        </w:rPr>
      </w:r>
      <w:r>
        <w:rPr/>
        <w:t>司将通过资本结构优化以及上海即富分红等方式回收部分现金，逐渐降低资产负债率和财务风险。</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11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根据中国证监会相关规定要求，公司已在《公司章程》中制定了利润分配政策，并制定了《未来三年（</w:t>
      </w:r>
      <w:r>
        <w:rPr>
          <w:rFonts w:ascii="Times New Roman" w:hAnsi="Times New Roman" w:cs="Times New Roman" w:eastAsia="Times New Roman" w:hint="default"/>
        </w:rPr>
        <w:t>2018-2020</w:t>
      </w:r>
      <w:r>
        <w:rPr/>
        <w:t>年）股东 回报规划》，公司能够严格遵照执行。</w:t>
      </w:r>
    </w:p>
    <w:tbl>
      <w:tblPr>
        <w:tblW w:w="0" w:type="auto"/>
        <w:jc w:val="left"/>
        <w:tblInd w:w="160" w:type="dxa"/>
        <w:tblLayout w:type="fixed"/>
        <w:tblCellMar>
          <w:top w:w="0" w:type="dxa"/>
          <w:left w:w="0" w:type="dxa"/>
          <w:bottom w:w="0" w:type="dxa"/>
          <w:right w:w="0" w:type="dxa"/>
        </w:tblCellMar>
        <w:tblLook w:val="01E0"/>
      </w:tblPr>
      <w:tblGrid>
        <w:gridCol w:w="6499"/>
        <w:gridCol w:w="3059"/>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319" w:lineRule="auto" w:before="58"/>
        <w:ind w:left="514" w:right="2747" w:hanging="360"/>
        <w:jc w:val="left"/>
      </w:pPr>
      <w:r>
        <w:rPr/>
        <w:t>公司近</w:t>
      </w:r>
      <w:r>
        <w:rPr>
          <w:spacing w:val="-31"/>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3"/>
        </w:rPr>
        <w:t>年（包括本报告期）的普通股股利分配方案（预案）、资本公积金转增股本方案（预案）情况</w:t>
      </w:r>
      <w:r>
        <w:rPr>
          <w:spacing w:val="-88"/>
        </w:rPr>
        <w:t> </w:t>
      </w:r>
      <w:r>
        <w:rPr>
          <w:spacing w:val="-8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年度利润分配及资本公积转增股本的方案 公司对</w:t>
      </w:r>
      <w:r>
        <w:rPr>
          <w:rFonts w:ascii="Times New Roman" w:hAnsi="Times New Roman" w:cs="Times New Roman" w:eastAsia="Times New Roman" w:hint="default"/>
        </w:rPr>
        <w:t>2016</w:t>
      </w:r>
      <w:r>
        <w:rPr/>
        <w:t>年度不派发现金红利，不送红股，不以公积金转增股本。</w:t>
      </w:r>
    </w:p>
    <w:p>
      <w:pPr>
        <w:pStyle w:val="BodyText"/>
        <w:spacing w:line="300" w:lineRule="auto"/>
        <w:ind w:left="514" w:right="4992"/>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年度利润分配及资本公积转增股本的方案 公司对</w:t>
      </w:r>
      <w:r>
        <w:rPr>
          <w:rFonts w:ascii="Times New Roman" w:hAnsi="Times New Roman" w:cs="Times New Roman" w:eastAsia="Times New Roman" w:hint="default"/>
        </w:rPr>
        <w:t>2017</w:t>
      </w:r>
      <w:r>
        <w:rPr/>
        <w:t>年度不派发现金红利，不送红股，不以公积金转增股本。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年度利润分配及资本公积转增股本的预案</w:t>
      </w:r>
    </w:p>
    <w:p>
      <w:pPr>
        <w:pStyle w:val="BodyText"/>
        <w:spacing w:line="300" w:lineRule="auto" w:before="13"/>
        <w:ind w:right="0" w:firstLine="360"/>
        <w:jc w:val="left"/>
      </w:pPr>
      <w:r>
        <w:rPr>
          <w:spacing w:val="-1"/>
        </w:rPr>
        <w:t>公司以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393,120,000</w:t>
      </w:r>
      <w:r>
        <w:rPr>
          <w:spacing w:val="-1"/>
        </w:rPr>
        <w:t>股为基数，向全体股东按每</w:t>
      </w:r>
      <w:r>
        <w:rPr>
          <w:rFonts w:ascii="Times New Roman" w:hAnsi="Times New Roman" w:cs="Times New Roman" w:eastAsia="Times New Roman" w:hint="default"/>
          <w:spacing w:val="-1"/>
        </w:rPr>
        <w:t>10</w:t>
      </w:r>
      <w:r>
        <w:rPr>
          <w:spacing w:val="-1"/>
        </w:rPr>
        <w:t>股派发现金红利人民币</w:t>
      </w:r>
      <w:r>
        <w:rPr>
          <w:rFonts w:ascii="Times New Roman" w:hAnsi="Times New Roman" w:cs="Times New Roman" w:eastAsia="Times New Roman" w:hint="default"/>
          <w:spacing w:val="-1"/>
        </w:rPr>
        <w:t>0.15</w:t>
      </w:r>
      <w:r>
        <w:rPr>
          <w:spacing w:val="-1"/>
        </w:rPr>
        <w:t>元（含税），共计派</w:t>
      </w:r>
      <w:r>
        <w:rPr/>
        <w:t> 发现金红利</w:t>
      </w:r>
      <w:r>
        <w:rPr>
          <w:rFonts w:ascii="Times New Roman" w:hAnsi="Times New Roman" w:cs="Times New Roman" w:eastAsia="Times New Roman" w:hint="default"/>
        </w:rPr>
        <w:t>5,896,800.00</w:t>
      </w:r>
      <w:r>
        <w:rPr/>
        <w:t>元，不送红股，不以公积金转增股本。</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1134"/>
        <w:gridCol w:w="1277"/>
        <w:gridCol w:w="1416"/>
        <w:gridCol w:w="852"/>
        <w:gridCol w:w="1559"/>
        <w:gridCol w:w="1145"/>
        <w:gridCol w:w="1322"/>
      </w:tblGrid>
      <w:tr>
        <w:trPr>
          <w:trHeight w:val="161" w:hRule="exact"/>
        </w:trPr>
        <w:tc>
          <w:tcPr>
            <w:tcW w:w="851"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4" w:space="0" w:color="000000"/>
              <w:right w:val="single" w:sz="4" w:space="0" w:color="000000"/>
            </w:tcBorders>
            <w:shd w:val="clear" w:color="auto" w:fill="D2D2D2"/>
          </w:tcPr>
          <w:p>
            <w:pPr/>
          </w:p>
        </w:tc>
        <w:tc>
          <w:tcPr>
            <w:tcW w:w="13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25" w:right="26"/>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2" w:right="92"/>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 w:right="59"/>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以其他方式现金分 红金额占合并报表 中归属于上市公司 普通股股东的净利 润的比例</w:t>
            </w:r>
          </w:p>
        </w:tc>
        <w:tc>
          <w:tcPr>
            <w:tcW w:w="1145"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33"/>
              <w:jc w:val="center"/>
              <w:rPr>
                <w:rFonts w:ascii="宋体" w:hAnsi="宋体" w:cs="宋体" w:eastAsia="宋体" w:hint="default"/>
                <w:sz w:val="18"/>
                <w:szCs w:val="18"/>
              </w:rPr>
            </w:pPr>
            <w:r>
              <w:rPr>
                <w:rFonts w:ascii="宋体" w:hAnsi="宋体" w:cs="宋体" w:eastAsia="宋体" w:hint="default"/>
                <w:sz w:val="18"/>
                <w:szCs w:val="18"/>
              </w:rPr>
              <w:t>现金分红总 额（含其他方 式）</w:t>
            </w:r>
          </w:p>
        </w:tc>
        <w:tc>
          <w:tcPr>
            <w:tcW w:w="1322"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392"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56" w:hRule="exact"/>
        </w:trPr>
        <w:tc>
          <w:tcPr>
            <w:tcW w:w="851"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56" w:hRule="exact"/>
        </w:trPr>
        <w:tc>
          <w:tcPr>
            <w:tcW w:w="851"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59" w:type="dxa"/>
            <w:vMerge/>
            <w:tcBorders>
              <w:left w:val="single" w:sz="4" w:space="0" w:color="000000"/>
              <w:right w:val="single" w:sz="4" w:space="0" w:color="000000"/>
            </w:tcBorders>
            <w:shd w:val="clear" w:color="auto" w:fill="D2D2D2"/>
          </w:tcPr>
          <w:p>
            <w:pPr/>
          </w:p>
        </w:tc>
        <w:tc>
          <w:tcPr>
            <w:tcW w:w="1145"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312" w:hRule="exact"/>
        </w:trPr>
        <w:tc>
          <w:tcPr>
            <w:tcW w:w="851"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559" w:type="dxa"/>
            <w:vMerge/>
            <w:tcBorders>
              <w:left w:val="single" w:sz="4" w:space="0" w:color="000000"/>
              <w:bottom w:val="nil" w:sz="6" w:space="0" w:color="auto"/>
              <w:right w:val="single" w:sz="4" w:space="0" w:color="000000"/>
            </w:tcBorders>
            <w:shd w:val="clear" w:color="auto" w:fill="D2D2D2"/>
          </w:tcPr>
          <w:p>
            <w:pPr/>
          </w:p>
        </w:tc>
        <w:tc>
          <w:tcPr>
            <w:tcW w:w="1145" w:type="dxa"/>
            <w:vMerge w:val="restart"/>
            <w:tcBorders>
              <w:top w:val="nil" w:sz="6" w:space="0" w:color="auto"/>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61" w:hRule="exact"/>
        </w:trPr>
        <w:tc>
          <w:tcPr>
            <w:tcW w:w="851"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5,896,800.00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100,026,434.62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5,896,800.00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-24,348,172.41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2,541,486.64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本报告期利润分配及资本公积金转增股本预案" w:id="62"/>
      <w:bookmarkEnd w:id="62"/>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373"/>
        <w:gridCol w:w="5184"/>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393,120,000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5,896,800.00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186,805,876.18</w:t>
            </w:r>
          </w:p>
        </w:tc>
      </w:tr>
      <w:tr>
        <w:trPr>
          <w:trHeight w:val="407"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1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96"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w:t>
            </w:r>
            <w:r>
              <w:rPr>
                <w:rFonts w:ascii="宋体" w:hAnsi="宋体" w:cs="宋体" w:eastAsia="宋体" w:hint="default"/>
                <w:spacing w:val="1"/>
                <w:sz w:val="18"/>
                <w:szCs w:val="18"/>
              </w:rPr>
              <w:t>股</w:t>
            </w:r>
            <w:r>
              <w:rPr>
                <w:rFonts w:ascii="宋体" w:hAnsi="宋体" w:cs="宋体" w:eastAsia="宋体" w:hint="default"/>
                <w:sz w:val="18"/>
                <w:szCs w:val="18"/>
              </w:rPr>
              <w:t>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393,120,000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0.15</w:t>
            </w:r>
            <w:r>
              <w:rPr>
                <w:rFonts w:ascii="Times New Roman" w:hAnsi="Times New Roman" w:cs="Times New Roman" w:eastAsia="Times New Roman" w:hint="default"/>
                <w:spacing w:val="-1"/>
                <w:sz w:val="18"/>
                <w:szCs w:val="18"/>
              </w:rPr>
              <w:t> </w:t>
            </w:r>
            <w:r>
              <w:rPr>
                <w:rFonts w:ascii="宋体" w:hAnsi="宋体" w:cs="宋体" w:eastAsia="宋体" w:hint="default"/>
                <w:spacing w:val="-24"/>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3"/>
                <w:sz w:val="18"/>
                <w:szCs w:val="18"/>
              </w:rPr>
              <w:t>，</w:t>
            </w:r>
            <w:r>
              <w:rPr>
                <w:rFonts w:ascii="宋体" w:hAnsi="宋体" w:cs="宋体" w:eastAsia="宋体" w:hint="default"/>
                <w:sz w:val="18"/>
                <w:szCs w:val="18"/>
              </w:rPr>
              <w:t>共计</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5,896,800.00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元，不送红股，不以公积金转增股本。</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83"/>
        <w:gridCol w:w="1134"/>
        <w:gridCol w:w="1416"/>
        <w:gridCol w:w="4255"/>
        <w:gridCol w:w="566"/>
        <w:gridCol w:w="568"/>
        <w:gridCol w:w="636"/>
      </w:tblGrid>
      <w:tr>
        <w:trPr>
          <w:trHeight w:val="161"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5"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21" w:right="42"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1"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2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636" w:type="dxa"/>
            <w:vMerge/>
            <w:tcBorders>
              <w:left w:val="single" w:sz="4" w:space="0" w:color="000000"/>
              <w:right w:val="single" w:sz="4" w:space="0" w:color="000000"/>
            </w:tcBorders>
            <w:shd w:val="clear" w:color="auto" w:fill="D2D2D2"/>
          </w:tcPr>
          <w:p>
            <w:pPr/>
          </w:p>
        </w:tc>
      </w:tr>
      <w:tr>
        <w:trPr>
          <w:trHeight w:val="161"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5"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122"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嘉兴乾德精一投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p>
        </w:tc>
        <w:tc>
          <w:tcPr>
            <w:tcW w:w="4255" w:type="dxa"/>
            <w:vMerge w:val="restart"/>
            <w:tcBorders>
              <w:top w:val="single" w:sz="4" w:space="0" w:color="000000"/>
              <w:left w:val="single" w:sz="4" w:space="0" w:color="000000"/>
              <w:right w:val="single" w:sz="4" w:space="0" w:color="000000"/>
            </w:tcBorders>
          </w:tcPr>
          <w:p>
            <w:pPr>
              <w:pStyle w:val="TableParagraph"/>
              <w:spacing w:line="314" w:lineRule="auto" w:before="52"/>
              <w:ind w:left="23" w:right="7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自本承诺函出具之日起直至本次交易完成后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内，本合伙企业保证不会以直接或间接方式减持在本 次交易前持有的上市公司股份，并保证上市公司的控 股股东在此期间不会因合伙企业自身原因发生变更。 若本合伙企业违反前述承诺，给上市公司或者投资者 造成损失的，本合伙企业将依法承担赔偿责任。</w:t>
            </w:r>
            <w:r>
              <w:rPr>
                <w:rFonts w:ascii="Times New Roman" w:hAnsi="Times New Roman" w:cs="Times New Roman" w:eastAsia="Times New Roman" w:hint="default"/>
                <w:sz w:val="18"/>
                <w:szCs w:val="18"/>
              </w:rPr>
              <w:t>"</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705"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134" w:type="dxa"/>
            <w:vMerge/>
            <w:tcBorders>
              <w:left w:val="single" w:sz="9" w:space="0" w:color="D2D2D2"/>
              <w:right w:val="single" w:sz="4" w:space="0" w:color="000000"/>
            </w:tcBorders>
          </w:tcPr>
          <w:p>
            <w:pPr/>
          </w:p>
        </w:tc>
        <w:tc>
          <w:tcPr>
            <w:tcW w:w="1416" w:type="dxa"/>
            <w:vMerge/>
            <w:tcBorders>
              <w:left w:val="single" w:sz="4" w:space="0" w:color="000000"/>
              <w:right w:val="single" w:sz="4" w:space="0" w:color="000000"/>
            </w:tcBorders>
          </w:tcPr>
          <w:p>
            <w:pPr/>
          </w:p>
        </w:tc>
        <w:tc>
          <w:tcPr>
            <w:tcW w:w="425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136"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986"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79"/>
              <w:jc w:val="left"/>
              <w:rPr>
                <w:rFonts w:ascii="宋体" w:hAnsi="宋体" w:cs="宋体" w:eastAsia="宋体" w:hint="default"/>
                <w:sz w:val="18"/>
                <w:szCs w:val="18"/>
              </w:rPr>
            </w:pPr>
            <w:r>
              <w:rPr>
                <w:rFonts w:ascii="宋体" w:hAnsi="宋体" w:cs="宋体" w:eastAsia="宋体" w:hint="default"/>
                <w:sz w:val="18"/>
                <w:szCs w:val="18"/>
              </w:rPr>
              <w:t>自本承诺函出具之日起直至本次交易完成后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内，本公司保证不会以直接或间接方式减持上市公司 股份。若本公司违反前述承诺，给上市公司或者投资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报告期 内，承 诺人严</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3.734009pt;margin-top:462.939972pt;width:61pt;height:116pt;mso-position-horizontal-relative:page;mso-position-vertical-relative:page;z-index:-10281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179" w:right="0" w:hanging="180"/>
                    <w:jc w:val="left"/>
                  </w:pPr>
                  <w:r>
                    <w:rPr/>
                    <w:t>黄喜胜、</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179" w:right="0"/>
                    <w:jc w:val="left"/>
                  </w:pPr>
                  <w:r>
                    <w:rPr/>
                    <w:t>人员、</w:t>
                  </w:r>
                </w:p>
              </w:txbxContent>
            </v:textbox>
            <w10:wrap type="none"/>
          </v:shape>
        </w:pict>
      </w:r>
      <w:r>
        <w:rPr/>
        <w:pict>
          <v:shape style="position:absolute;margin-left:350.657013pt;margin-top:645.339966pt;width:124.1pt;height:116pt;mso-position-horizontal-relative:page;mso-position-vertical-relative:page;z-index:-1028080" type="#_x0000_t202" filled="false" stroked="false">
            <v:textbox inset="0,0,0,0">
              <w:txbxContent>
                <w:p>
                  <w:pPr>
                    <w:pStyle w:val="BodyText"/>
                    <w:spacing w:line="240" w:lineRule="auto" w:before="146"/>
                    <w:ind w:left="0" w:right="0"/>
                    <w:jc w:val="left"/>
                  </w:pPr>
                  <w:r>
                    <w:rPr/>
                    <w:t>与本次交易不互为前提、</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1080" w:right="0"/>
                    <w:jc w:val="left"/>
                  </w:pPr>
                  <w:r>
                    <w:rPr/>
                    <w:t>或者安排；</w:t>
                  </w:r>
                </w:p>
              </w:txbxContent>
            </v:textbox>
            <w10:wrap type="none"/>
          </v:shape>
        </w:pict>
      </w:r>
      <w:r>
        <w:rPr/>
        <w:pict>
          <v:group style="position:absolute;margin-left:446.880005pt;margin-top:462.939972pt;width:27.85pt;height:116pt;mso-position-horizontal-relative:page;mso-position-vertical-relative:page;z-index:-1028056" coordorigin="8938,9259" coordsize="557,2320">
            <v:shape style="position:absolute;left:8938;top:9259;width:557;height:2320" coordorigin="8938,9259" coordsize="557,2320" path="m8938,11578l9494,11578,9494,9259,8938,9259,8938,11578xe" filled="true" fillcolor="#ffffff" stroked="false">
              <v:path arrowok="t"/>
              <v:fill type="solid"/>
            </v:shape>
            <w10:wrap type="none"/>
          </v:group>
        </w:pict>
      </w:r>
      <w:r>
        <w:rPr/>
        <w:pict>
          <v:group style="position:absolute;margin-left:446.880005pt;margin-top:645.339966pt;width:27.85pt;height:116pt;mso-position-horizontal-relative:page;mso-position-vertical-relative:page;z-index:-1028032" coordorigin="8938,12907" coordsize="557,2320">
            <v:shape style="position:absolute;left:8938;top:12907;width:557;height:2320" coordorigin="8938,12907" coordsize="557,2320" path="m8938,15227l9494,15227,9494,12907,8938,12907,8938,152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1416"/>
        <w:gridCol w:w="4255"/>
        <w:gridCol w:w="566"/>
        <w:gridCol w:w="568"/>
        <w:gridCol w:w="636"/>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者造成损失的，本公司将依法承担赔偿责任。上述承</w:t>
            </w: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格履行</w:t>
            </w: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诺与保证不可变更及撤销。</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了承</w:t>
            </w:r>
          </w:p>
        </w:tc>
      </w:tr>
      <w:tr>
        <w:trPr>
          <w:trHeight w:val="356"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19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6"/>
              <w:ind w:left="23" w:right="79"/>
              <w:jc w:val="left"/>
              <w:rPr>
                <w:rFonts w:ascii="宋体" w:hAnsi="宋体" w:cs="宋体" w:eastAsia="宋体" w:hint="default"/>
                <w:sz w:val="18"/>
                <w:szCs w:val="18"/>
              </w:rPr>
            </w:pPr>
            <w:r>
              <w:rPr>
                <w:rFonts w:ascii="宋体" w:hAnsi="宋体" w:cs="宋体" w:eastAsia="宋体" w:hint="default"/>
                <w:sz w:val="18"/>
                <w:szCs w:val="18"/>
              </w:rPr>
              <w:t>自本承诺函出具之日起直至本次交易完成后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内，本公司不会因发行股份等事项变更实际控制人。 上述承诺与保证不可变更及撤销。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关于不谋求上市公司控制权的承诺函自本承诺函出</w:t>
            </w: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2179"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0" w:lineRule="auto"/>
              <w:ind w:left="22" w:right="23"/>
              <w:jc w:val="left"/>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王雁铭</w:t>
            </w:r>
            <w:r>
              <w:rPr>
                <w:rFonts w:ascii="Times New Roman" w:hAnsi="Times New Roman" w:cs="Times New Roman" w:eastAsia="Times New Roman" w:hint="default"/>
                <w:sz w:val="18"/>
                <w:szCs w:val="18"/>
              </w:rPr>
              <w:t>;</w:t>
            </w:r>
            <w:r>
              <w:rPr>
                <w:rFonts w:ascii="宋体" w:hAnsi="宋体" w:cs="宋体" w:eastAsia="宋体" w:hint="default"/>
                <w:sz w:val="18"/>
                <w:szCs w:val="18"/>
              </w:rPr>
              <w:t>张 振新</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22"/>
              <w:jc w:val="left"/>
              <w:rPr>
                <w:rFonts w:ascii="宋体" w:hAnsi="宋体" w:cs="宋体" w:eastAsia="宋体" w:hint="default"/>
                <w:sz w:val="18"/>
                <w:szCs w:val="18"/>
              </w:rPr>
            </w:pPr>
            <w:r>
              <w:rPr>
                <w:rFonts w:ascii="宋体" w:hAnsi="宋体" w:cs="宋体" w:eastAsia="宋体" w:hint="default"/>
                <w:sz w:val="18"/>
                <w:szCs w:val="18"/>
              </w:rPr>
              <w:t>具之日起直至本次交易完成后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pacing w:val="-4"/>
                <w:sz w:val="18"/>
                <w:szCs w:val="18"/>
              </w:rPr>
              <w:t>个月内，本人不会以</w:t>
            </w:r>
            <w:r>
              <w:rPr>
                <w:rFonts w:ascii="宋体" w:hAnsi="宋体" w:cs="宋体" w:eastAsia="宋体" w:hint="default"/>
                <w:sz w:val="18"/>
                <w:szCs w:val="18"/>
              </w:rPr>
              <w:t> 直接或间接方式增持上市公司股份，不会以所持有的 上市公司股份单独或共同谋求上市公司的实际控制 权，亦不会以委托、征集投票权、协议、联合其他股 东以及其他任何方式单独或共同谋求上市公司的实际 控制权。若本人违反前述承诺，给上市公司或者投资 者造成损失的，本人将依法承担赔偿责任。上述承诺</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与保证不可变更及撤销。</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上市公司</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2"/>
              <w:jc w:val="both"/>
              <w:rPr>
                <w:rFonts w:ascii="宋体" w:hAnsi="宋体" w:cs="宋体" w:eastAsia="宋体" w:hint="default"/>
                <w:sz w:val="18"/>
                <w:szCs w:val="18"/>
              </w:rPr>
            </w:pPr>
            <w:r>
              <w:rPr>
                <w:rFonts w:ascii="宋体" w:hAnsi="宋体" w:cs="宋体" w:eastAsia="宋体" w:hint="default"/>
                <w:sz w:val="18"/>
                <w:szCs w:val="18"/>
              </w:rPr>
              <w:t>本公司作为专业从事专网通信技术解决方案业务的服 务商，主要为能源、交通等行业提供信息通信技术解 决方案。在本次交易完成之后的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个月内，本公司没 有将与前述主营业务相关的主要资产剥离的计划。上 述承诺与保证不可变更及撤销。</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鉴于键桥通讯技术有限公司（以下简称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香港键桥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向黄喜胜、王雁铭转让上市公司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万股和</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1,965.60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万股股份，占上市公司股份总额的比例为</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7.3%</w:t>
            </w:r>
            <w:r>
              <w:rPr>
                <w:rFonts w:ascii="宋体" w:hAnsi="宋体" w:cs="宋体" w:eastAsia="宋体" w:hint="default"/>
                <w:spacing w:val="-45"/>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5"/>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以</w:t>
            </w:r>
            <w:r>
              <w:rPr>
                <w:rFonts w:ascii="宋体" w:hAnsi="宋体" w:cs="宋体" w:eastAsia="宋体" w:hint="default"/>
                <w:sz w:val="18"/>
                <w:szCs w:val="18"/>
              </w:rPr>
              <w:t>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本次</w:t>
            </w:r>
            <w:r>
              <w:rPr>
                <w:rFonts w:ascii="宋体" w:hAnsi="宋体" w:cs="宋体" w:eastAsia="宋体" w:hint="default"/>
                <w:spacing w:val="1"/>
                <w:sz w:val="18"/>
                <w:szCs w:val="18"/>
              </w:rPr>
              <w:t>转</w:t>
            </w:r>
            <w:r>
              <w:rPr>
                <w:rFonts w:ascii="宋体" w:hAnsi="宋体" w:cs="宋体" w:eastAsia="宋体" w:hint="default"/>
                <w:sz w:val="18"/>
                <w:szCs w:val="18"/>
              </w:rPr>
              <w:t>让</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香港键桥、</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王雁铭作出如下不可撤销的承诺：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、本次转让前，承</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诺人互不存在关联关系，互不存在一致行动关系；本</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00" w:lineRule="auto"/>
              <w:ind w:left="22" w:right="71"/>
              <w:jc w:val="both"/>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键桥通讯 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 雁铭</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次转让后，承诺人也无意通过投资关系、协议、 资金安排等方式持有或者共同控制上市公司股份，或 者对上市公司董事、监事、高级管理人员人选及上市 公司对外投资、分红等重大事项投票达成包括但不限 于合作、协议、默契及其他一致行动安排，更无意通 </w:t>
            </w:r>
            <w:r>
              <w:rPr>
                <w:rFonts w:ascii="宋体" w:hAnsi="宋体" w:cs="宋体" w:eastAsia="宋体" w:hint="default"/>
                <w:spacing w:val="-2"/>
                <w:sz w:val="18"/>
                <w:szCs w:val="18"/>
              </w:rPr>
              <w:t>过一致行动安排谋取上市公司实际控制权；</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让与本次交易无关，本次转让</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0"/>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互为条件，承诺人相互之间不存在对上市公司有重大</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影响的其他正在签署或者谈判的合同、默契</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、如本次转让因涉嫌所提供或者披露的信息存在虚假</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记载、误导性陈述或者重大遗漏，被司法机关立案侦</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查或者被中国证监会立案调查的，在案件调查结论明</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确之前，将暂停转让承诺人在上市公司直接或间接拥</w:t>
            </w: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2.76001pt;margin-top:578.440002pt;width:52pt;height:178.4pt;mso-position-horizontal-relative:page;mso-position-vertical-relative:page;z-index:-10280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left="0" w:right="0"/>
                    <w:jc w:val="left"/>
                  </w:pPr>
                  <w:r>
                    <w:rPr/>
                    <w:t>亿元）</w:t>
                  </w:r>
                </w:p>
              </w:txbxContent>
            </v:textbox>
            <w10:wrap type="none"/>
          </v:shape>
        </w:pict>
      </w:r>
      <w:r>
        <w:rPr/>
        <w:pict>
          <v:group style="position:absolute;margin-left:446.880005pt;margin-top:578.440002pt;width:27.85pt;height:178.4pt;mso-position-horizontal-relative:page;mso-position-vertical-relative:page;z-index:-1027984" coordorigin="8938,11569" coordsize="557,3568">
            <v:shape style="position:absolute;left:8938;top:11569;width:557;height:3568" coordorigin="8938,11569" coordsize="557,3568" path="m8938,15137l9494,15137,9494,11569,8938,11569,8938,151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1416"/>
        <w:gridCol w:w="4255"/>
        <w:gridCol w:w="566"/>
        <w:gridCol w:w="568"/>
        <w:gridCol w:w="636"/>
      </w:tblGrid>
      <w:tr>
        <w:trPr>
          <w:trHeight w:val="36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有权益的股份。</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佰趣投资咨询（上海）有限公司、</w:t>
            </w:r>
            <w:r>
              <w:rPr>
                <w:rFonts w:ascii="Times New Roman" w:hAnsi="Times New Roman" w:cs="Times New Roman" w:eastAsia="Times New Roman" w:hint="default"/>
                <w:sz w:val="18"/>
                <w:szCs w:val="18"/>
              </w:rPr>
              <w:t>Maxcard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w:t>
            </w: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产生的一切义务、风险、损失，均由黄喜胜、</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2016</w:t>
            </w: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内，承</w:t>
            </w:r>
          </w:p>
        </w:tc>
      </w:tr>
      <w:tr>
        <w:trPr>
          <w:trHeight w:val="624"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王雁铭</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79"/>
              <w:jc w:val="left"/>
              <w:rPr>
                <w:rFonts w:ascii="宋体" w:hAnsi="宋体" w:cs="宋体" w:eastAsia="宋体" w:hint="default"/>
                <w:sz w:val="18"/>
                <w:szCs w:val="18"/>
              </w:rPr>
            </w:pPr>
            <w:r>
              <w:rPr>
                <w:rFonts w:ascii="宋体" w:hAnsi="宋体" w:cs="宋体" w:eastAsia="宋体" w:hint="default"/>
                <w:sz w:val="18"/>
                <w:szCs w:val="18"/>
              </w:rPr>
              <w:t>王雁铭负责协调解决；如对上海即富及其子公司造成 损失，则由黄喜胜、王雁铭对上海即富及其子公司进</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319" w:lineRule="auto" w:before="6"/>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61"/>
              <w:jc w:val="left"/>
              <w:rPr>
                <w:rFonts w:ascii="宋体" w:hAnsi="宋体" w:cs="宋体" w:eastAsia="宋体" w:hint="default"/>
                <w:sz w:val="18"/>
                <w:szCs w:val="18"/>
              </w:rPr>
            </w:pPr>
            <w:r>
              <w:rPr>
                <w:rFonts w:ascii="宋体" w:hAnsi="宋体" w:cs="宋体" w:eastAsia="宋体" w:hint="default"/>
                <w:sz w:val="18"/>
                <w:szCs w:val="18"/>
              </w:rPr>
              <w:t>诺人严 格履行</w:t>
            </w: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行补偿并承担无限连带责任。本人保证上海即富不会</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了承</w:t>
            </w:r>
          </w:p>
        </w:tc>
      </w:tr>
      <w:tr>
        <w:trPr>
          <w:trHeight w:val="356"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因上述事项收到任何实际损失。</w:t>
            </w: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关于保证上市公司控制权稳定性的承诺函自本承诺</w:t>
            </w: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2179"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21"/>
              <w:jc w:val="both"/>
              <w:rPr>
                <w:rFonts w:ascii="宋体" w:hAnsi="宋体" w:cs="宋体" w:eastAsia="宋体" w:hint="default"/>
                <w:sz w:val="18"/>
                <w:szCs w:val="18"/>
              </w:rPr>
            </w:pPr>
            <w:r>
              <w:rPr>
                <w:rFonts w:ascii="宋体" w:hAnsi="宋体" w:cs="宋体" w:eastAsia="宋体" w:hint="default"/>
                <w:sz w:val="18"/>
                <w:szCs w:val="18"/>
              </w:rPr>
              <w:t>函出具之日起直至本次交易完成后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pacing w:val="-5"/>
                <w:sz w:val="18"/>
                <w:szCs w:val="18"/>
              </w:rPr>
              <w:t>个月内，本人保</w:t>
            </w:r>
            <w:r>
              <w:rPr>
                <w:rFonts w:ascii="宋体" w:hAnsi="宋体" w:cs="宋体" w:eastAsia="宋体" w:hint="default"/>
                <w:sz w:val="18"/>
                <w:szCs w:val="18"/>
              </w:rPr>
              <w:t> 证不丧失对嘉兴乾德精一投资合伙企业（有限合伙） 的控制权，不会以直接或间接方式减持嘉兴乾德精一 投资合伙企业（有限合伙）在本次交易前持有的上市 公司股份，并保证上市公司的控股股东、实际控制人 在此期间不会因本人原因发生变更。若本人违反前述 承诺，给上市公司或者投资者造成损失的，本人将依</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2022</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法承担赔偿责任。上述承诺与保证不可变更及撤销。</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、纬诺投资、博铭投资、湖州同胜（以下简称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补偿</w:t>
            </w: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义务人</w:t>
            </w:r>
            <w:r>
              <w:rPr>
                <w:rFonts w:ascii="Times New Roman" w:hAnsi="Times New Roman" w:cs="Times New Roman" w:eastAsia="Times New Roman" w:hint="default"/>
                <w:sz w:val="18"/>
                <w:szCs w:val="18"/>
              </w:rPr>
              <w:t>”</w:t>
            </w:r>
            <w:r>
              <w:rPr>
                <w:rFonts w:ascii="宋体" w:hAnsi="宋体" w:cs="宋体" w:eastAsia="宋体" w:hint="default"/>
                <w:sz w:val="18"/>
                <w:szCs w:val="18"/>
              </w:rPr>
              <w:t>）就标的公司实现的盈利承诺期限为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w:t>
            </w:r>
            <w:r>
              <w:rPr>
                <w:rFonts w:ascii="宋体" w:hAnsi="宋体" w:cs="宋体" w:eastAsia="宋体" w:hint="default"/>
                <w:sz w:val="18"/>
                <w:szCs w:val="18"/>
              </w:rPr>
              <w:t>、标的公司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年度实</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现的净利润数额不低于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利润数额不低于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年度实现的净利润数额</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r>
              <w:rPr>
                <w:rFonts w:ascii="宋体" w:hAnsi="宋体" w:cs="宋体" w:eastAsia="宋体" w:hint="default"/>
                <w:spacing w:val="-78"/>
                <w:sz w:val="18"/>
                <w:szCs w:val="18"/>
              </w:rPr>
              <w:t>。</w:t>
            </w:r>
            <w:r>
              <w:rPr>
                <w:rFonts w:ascii="宋体" w:hAnsi="宋体" w:cs="宋体" w:eastAsia="宋体" w:hint="default"/>
                <w:sz w:val="18"/>
                <w:szCs w:val="18"/>
              </w:rPr>
              <w:t>上市公司应聘请经各方认可的具有证</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券期货相关业务资格的审计机构就标的公司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度、</w:t>
            </w:r>
            <w:r>
              <w:rPr>
                <w:rFonts w:ascii="Times New Roman" w:hAnsi="Times New Roman" w:cs="Times New Roman" w:eastAsia="Times New Roman" w:hint="default"/>
                <w:spacing w:val="-3"/>
                <w:sz w:val="18"/>
                <w:szCs w:val="18"/>
              </w:rPr>
              <w:t>2017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年度实现的净利润数额出具专项</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审计报告进行确认，专项审计报告应与上市公司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3" w:right="19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307" w:lineRule="auto" w:before="142"/>
              <w:ind w:left="22" w:right="20"/>
              <w:jc w:val="left"/>
              <w:rPr>
                <w:rFonts w:ascii="宋体" w:hAnsi="宋体" w:cs="宋体" w:eastAsia="宋体" w:hint="default"/>
                <w:sz w:val="18"/>
                <w:szCs w:val="18"/>
              </w:rPr>
            </w:pPr>
            <w:r>
              <w:rPr>
                <w:rFonts w:ascii="宋体" w:hAnsi="宋体" w:cs="宋体" w:eastAsia="宋体" w:hint="default"/>
                <w:sz w:val="18"/>
                <w:szCs w:val="18"/>
              </w:rPr>
              <w:t>湖州同胜信息技 </w:t>
            </w:r>
            <w:r>
              <w:rPr>
                <w:rFonts w:ascii="宋体" w:hAnsi="宋体" w:cs="宋体" w:eastAsia="宋体" w:hint="default"/>
                <w:spacing w:val="-10"/>
                <w:sz w:val="18"/>
                <w:szCs w:val="18"/>
              </w:rPr>
              <w:t>术合伙企业（有限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王 雁铭</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义乌市博铭 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 纬诺投资合伙企 业（有限合伙）</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3" w:right="21"/>
              <w:jc w:val="both"/>
              <w:rPr>
                <w:rFonts w:ascii="宋体" w:hAnsi="宋体" w:cs="宋体" w:eastAsia="宋体" w:hint="default"/>
                <w:sz w:val="18"/>
                <w:szCs w:val="18"/>
              </w:rPr>
            </w:pP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年度审计报告同时出具。</w:t>
            </w:r>
            <w:r>
              <w:rPr>
                <w:rFonts w:ascii="Times New Roman" w:hAnsi="Times New Roman" w:cs="Times New Roman" w:eastAsia="Times New Roman" w:hint="default"/>
                <w:sz w:val="18"/>
                <w:szCs w:val="18"/>
              </w:rPr>
              <w:t>3</w:t>
            </w:r>
            <w:r>
              <w:rPr>
                <w:rFonts w:ascii="宋体" w:hAnsi="宋体" w:cs="宋体" w:eastAsia="宋体" w:hint="default"/>
                <w:sz w:val="18"/>
                <w:szCs w:val="18"/>
              </w:rPr>
              <w:t>、 若标的公司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年度合计实 现的净利润数额低于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亿元（排除经上市公司同意后 标的公司对其核心管理人员实施股权激励而对标的公 </w:t>
            </w:r>
            <w:r>
              <w:rPr>
                <w:rFonts w:ascii="宋体" w:hAnsi="宋体" w:cs="宋体" w:eastAsia="宋体" w:hint="default"/>
                <w:spacing w:val="-6"/>
                <w:sz w:val="18"/>
                <w:szCs w:val="18"/>
              </w:rPr>
              <w:t>司造成的股份支付影响和超额业绩奖励影响），则补偿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义务人应于标的公司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年度专项审计报告出具后十 个工作日内，按照如下标准一次性对上市公司进行现 </w:t>
            </w:r>
            <w:r>
              <w:rPr>
                <w:rFonts w:ascii="宋体" w:hAnsi="宋体" w:cs="宋体" w:eastAsia="宋体" w:hint="default"/>
                <w:spacing w:val="-5"/>
                <w:w w:val="100"/>
                <w:sz w:val="18"/>
                <w:szCs w:val="18"/>
              </w:rPr>
              <w:t>金补偿（以下简称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承诺补偿金额</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）：应补偿现金数额</w:t>
            </w:r>
          </w:p>
          <w:p>
            <w:pPr>
              <w:pStyle w:val="TableParagraph"/>
              <w:spacing w:line="240" w:lineRule="auto" w:before="7"/>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－盈利承诺期限内累积实现的净利润数</w:t>
            </w:r>
            <w:r>
              <w:rPr>
                <w:rFonts w:ascii="宋体" w:hAnsi="宋体" w:cs="宋体" w:eastAsia="宋体" w:hint="default"/>
                <w:spacing w:val="2"/>
                <w:sz w:val="18"/>
                <w:szCs w:val="18"/>
              </w:rPr>
              <w:t>额</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6</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标的资产的交易总价为避免疑义，尽管有上述计算公</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式，在任何情况下，各补偿义务人的应补偿现金数额</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将不超过其因本次交易取得的实际税后收益。补偿义</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务人应以无限连带责任方式对上市公司承担补偿义</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务，补偿义务人内部应按照本次交易前其持有的标的</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公司相对股权比例确定各自应分担的赔偿金额。受限</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于协议约定，若补偿义务人无法按时足额履行前述现</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金补偿义务，则每逾期一日，应按照欠付补偿金额的</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万分之三的标准，另行向上市公司支付延迟履行违约</w:t>
            </w: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4.657013pt;margin-top:72.47998pt;width:70.1pt;height:485.7pt;mso-position-horizontal-relative:page;mso-position-vertical-relative:page;z-index:-1027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2"/>
                      <w:szCs w:val="22"/>
                    </w:rPr>
                  </w:pPr>
                </w:p>
                <w:p>
                  <w:pPr>
                    <w:pStyle w:val="BodyText"/>
                    <w:spacing w:line="240" w:lineRule="auto"/>
                    <w:ind w:left="0" w:right="0"/>
                    <w:jc w:val="left"/>
                  </w:pPr>
                  <w:r>
                    <w:rPr/>
                    <w:t>则黄喜胜、</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1416"/>
        <w:gridCol w:w="4255"/>
        <w:gridCol w:w="566"/>
        <w:gridCol w:w="568"/>
        <w:gridCol w:w="638"/>
      </w:tblGrid>
      <w:tr>
        <w:trPr>
          <w:trHeight w:val="9723"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1"/>
              <w:jc w:val="both"/>
              <w:rPr>
                <w:rFonts w:ascii="宋体" w:hAnsi="宋体" w:cs="宋体" w:eastAsia="宋体" w:hint="default"/>
                <w:sz w:val="18"/>
                <w:szCs w:val="18"/>
              </w:rPr>
            </w:pPr>
            <w:r>
              <w:rPr>
                <w:rFonts w:ascii="宋体" w:hAnsi="宋体" w:cs="宋体" w:eastAsia="宋体" w:hint="default"/>
                <w:spacing w:val="-2"/>
                <w:sz w:val="18"/>
                <w:szCs w:val="18"/>
              </w:rPr>
              <w:t>金。</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、黄喜胜应对纬诺投资和湖州同胜的上述业绩补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偿承诺义务承担连带保证责任；王雁铭应对博铭投资 </w:t>
            </w:r>
            <w:r>
              <w:rPr>
                <w:rFonts w:ascii="宋体" w:hAnsi="宋体" w:cs="宋体" w:eastAsia="宋体" w:hint="default"/>
                <w:spacing w:val="-2"/>
                <w:sz w:val="18"/>
                <w:szCs w:val="18"/>
              </w:rPr>
              <w:t>的上述业绩补偿承诺义务承担连带保证责任。</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、黄喜</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胜自愿承诺，自其受让的上市公司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2,869.211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万股股份</w:t>
            </w:r>
          </w:p>
          <w:p>
            <w:pPr>
              <w:pStyle w:val="TableParagraph"/>
              <w:spacing w:line="304" w:lineRule="auto" w:before="7"/>
              <w:ind w:left="23" w:right="21"/>
              <w:jc w:val="left"/>
              <w:rPr>
                <w:rFonts w:ascii="宋体" w:hAnsi="宋体" w:cs="宋体" w:eastAsia="宋体" w:hint="default"/>
                <w:sz w:val="18"/>
                <w:szCs w:val="18"/>
              </w:rPr>
            </w:pPr>
            <w:r>
              <w:rPr>
                <w:rFonts w:ascii="宋体" w:hAnsi="宋体" w:cs="宋体" w:eastAsia="宋体" w:hint="default"/>
                <w:spacing w:val="-3"/>
                <w:sz w:val="18"/>
                <w:szCs w:val="18"/>
              </w:rPr>
              <w:t>登记至黄喜胜名下之日起，至标的公司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年度审计</w:t>
            </w:r>
            <w:r>
              <w:rPr>
                <w:rFonts w:ascii="宋体" w:hAnsi="宋体" w:cs="宋体" w:eastAsia="宋体" w:hint="default"/>
                <w:spacing w:val="-88"/>
                <w:sz w:val="18"/>
                <w:szCs w:val="18"/>
              </w:rPr>
              <w:t> </w:t>
            </w:r>
            <w:r>
              <w:rPr>
                <w:rFonts w:ascii="宋体" w:hAnsi="宋体" w:cs="宋体" w:eastAsia="宋体" w:hint="default"/>
                <w:sz w:val="18"/>
                <w:szCs w:val="18"/>
              </w:rPr>
              <w:t>报告出具之日（或点佰持有的《支付业务许可证》有 </w:t>
            </w:r>
            <w:r>
              <w:rPr>
                <w:rFonts w:ascii="宋体" w:hAnsi="宋体" w:cs="宋体" w:eastAsia="宋体" w:hint="default"/>
                <w:spacing w:val="-8"/>
                <w:w w:val="100"/>
                <w:sz w:val="18"/>
                <w:szCs w:val="18"/>
              </w:rPr>
              <w:t>效期续展完成之日，孰晚）止（以下简称</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锁定期</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w:t>
            </w:r>
            <w:r>
              <w:rPr>
                <w:rFonts w:ascii="宋体" w:hAnsi="宋体" w:cs="宋体" w:eastAsia="宋体" w:hint="default"/>
                <w:sz w:val="18"/>
                <w:szCs w:val="18"/>
              </w:rPr>
              <w:t>不转让其持有的上市公司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2,869.211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万股股份（以下简</w:t>
            </w:r>
            <w:r>
              <w:rPr>
                <w:rFonts w:ascii="宋体" w:hAnsi="宋体" w:cs="宋体" w:eastAsia="宋体" w:hint="default"/>
                <w:sz w:val="18"/>
                <w:szCs w:val="18"/>
              </w:rPr>
              <w:t> </w:t>
            </w:r>
            <w:r>
              <w:rPr>
                <w:rFonts w:ascii="宋体" w:hAnsi="宋体" w:cs="宋体" w:eastAsia="宋体" w:hint="default"/>
                <w:spacing w:val="-5"/>
                <w:w w:val="100"/>
                <w:sz w:val="18"/>
                <w:szCs w:val="18"/>
              </w:rPr>
              <w:t>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锁定股份</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）；王雁铭自愿承诺，自其受让的上市公</w:t>
            </w:r>
            <w:r>
              <w:rPr>
                <w:rFonts w:ascii="宋体" w:hAnsi="宋体" w:cs="宋体" w:eastAsia="宋体" w:hint="default"/>
                <w:spacing w:val="-69"/>
                <w:w w:val="100"/>
                <w:sz w:val="18"/>
                <w:szCs w:val="18"/>
              </w:rPr>
              <w:t> </w:t>
            </w:r>
            <w:r>
              <w:rPr>
                <w:rFonts w:ascii="宋体" w:hAnsi="宋体" w:cs="宋体" w:eastAsia="宋体" w:hint="default"/>
                <w:spacing w:val="-69"/>
                <w:w w:val="100"/>
                <w:sz w:val="18"/>
                <w:szCs w:val="18"/>
              </w:rPr>
            </w: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1,965.60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万股股份登记至王雁铭名下之日起，至标</w:t>
            </w:r>
          </w:p>
          <w:p>
            <w:pPr>
              <w:pStyle w:val="TableParagraph"/>
              <w:spacing w:line="304" w:lineRule="auto" w:before="9"/>
              <w:ind w:left="23" w:right="22"/>
              <w:jc w:val="both"/>
              <w:rPr>
                <w:rFonts w:ascii="宋体" w:hAnsi="宋体" w:cs="宋体" w:eastAsia="宋体" w:hint="default"/>
                <w:sz w:val="18"/>
                <w:szCs w:val="18"/>
              </w:rPr>
            </w:pPr>
            <w:r>
              <w:rPr>
                <w:rFonts w:ascii="宋体" w:hAnsi="宋体" w:cs="宋体" w:eastAsia="宋体" w:hint="default"/>
                <w:sz w:val="18"/>
                <w:szCs w:val="18"/>
              </w:rPr>
              <w:t>的公司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pacing w:val="-10"/>
                <w:sz w:val="18"/>
                <w:szCs w:val="18"/>
              </w:rPr>
              <w:t>年度审计报告出具之日（或点佰持有的《支</w:t>
            </w:r>
            <w:r>
              <w:rPr>
                <w:rFonts w:ascii="宋体" w:hAnsi="宋体" w:cs="宋体" w:eastAsia="宋体" w:hint="default"/>
                <w:sz w:val="18"/>
                <w:szCs w:val="18"/>
              </w:rPr>
              <w:t> 付业务许可证》有效期续展完成之日，孰晚）止（以 </w:t>
            </w:r>
            <w:r>
              <w:rPr>
                <w:rFonts w:ascii="宋体" w:hAnsi="宋体" w:cs="宋体" w:eastAsia="宋体" w:hint="default"/>
                <w:spacing w:val="-5"/>
                <w:w w:val="100"/>
                <w:sz w:val="18"/>
                <w:szCs w:val="18"/>
              </w:rPr>
              <w:t>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锁定期</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），不转让其持有的上市公司</w:t>
            </w:r>
            <w:r>
              <w:rPr>
                <w:rFonts w:ascii="宋体" w:hAnsi="宋体" w:cs="宋体" w:eastAsia="宋体" w:hint="default"/>
                <w:spacing w:val="-39"/>
                <w:w w:val="100"/>
                <w:sz w:val="18"/>
                <w:szCs w:val="18"/>
              </w:rPr>
              <w:t> </w:t>
            </w:r>
            <w:r>
              <w:rPr>
                <w:rFonts w:ascii="Times New Roman" w:hAnsi="Times New Roman" w:cs="Times New Roman" w:eastAsia="Times New Roman" w:hint="default"/>
                <w:sz w:val="18"/>
                <w:szCs w:val="18"/>
              </w:rPr>
              <w:t>1,965.60</w:t>
            </w:r>
            <w:r>
              <w:rPr>
                <w:rFonts w:ascii="Times New Roman" w:hAnsi="Times New Roman" w:cs="Times New Roman" w:eastAsia="Times New Roman" w:hint="default"/>
                <w:spacing w:val="-38"/>
                <w:sz w:val="18"/>
                <w:szCs w:val="18"/>
              </w:rPr>
              <w:t> </w:t>
            </w:r>
            <w:r>
              <w:rPr>
                <w:rFonts w:ascii="宋体" w:hAnsi="宋体" w:cs="宋体" w:eastAsia="宋体" w:hint="default"/>
                <w:spacing w:val="-5"/>
                <w:w w:val="100"/>
                <w:sz w:val="18"/>
                <w:szCs w:val="18"/>
              </w:rPr>
              <w:t>万股股份（以下简称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锁定股份</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）；之后，则按以下比</w:t>
            </w:r>
            <w:r>
              <w:rPr>
                <w:rFonts w:ascii="宋体" w:hAnsi="宋体" w:cs="宋体" w:eastAsia="宋体" w:hint="default"/>
                <w:spacing w:val="-71"/>
                <w:w w:val="100"/>
                <w:sz w:val="18"/>
                <w:szCs w:val="18"/>
              </w:rPr>
              <w:t> </w:t>
            </w:r>
            <w:r>
              <w:rPr>
                <w:rFonts w:ascii="宋体" w:hAnsi="宋体" w:cs="宋体" w:eastAsia="宋体" w:hint="default"/>
                <w:spacing w:val="-71"/>
                <w:w w:val="100"/>
                <w:sz w:val="18"/>
                <w:szCs w:val="18"/>
              </w:rPr>
            </w:r>
            <w:r>
              <w:rPr>
                <w:rFonts w:ascii="宋体" w:hAnsi="宋体" w:cs="宋体" w:eastAsia="宋体" w:hint="default"/>
                <w:spacing w:val="-3"/>
                <w:sz w:val="18"/>
                <w:szCs w:val="18"/>
              </w:rPr>
              <w:t>例分批解锁：①若标的公司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年度实现的净利润数</w:t>
            </w:r>
          </w:p>
          <w:p>
            <w:pPr>
              <w:pStyle w:val="TableParagraph"/>
              <w:spacing w:line="300" w:lineRule="auto" w:before="9"/>
              <w:ind w:left="23" w:right="21"/>
              <w:jc w:val="both"/>
              <w:rPr>
                <w:rFonts w:ascii="宋体" w:hAnsi="宋体" w:cs="宋体" w:eastAsia="宋体" w:hint="default"/>
                <w:sz w:val="18"/>
                <w:szCs w:val="18"/>
              </w:rPr>
            </w:pPr>
            <w:r>
              <w:rPr>
                <w:rFonts w:ascii="宋体" w:hAnsi="宋体" w:cs="宋体" w:eastAsia="宋体" w:hint="default"/>
                <w:sz w:val="18"/>
                <w:szCs w:val="18"/>
              </w:rPr>
              <w:t>额不低于人民币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亿元，则于锁定期满之次日，可解</w:t>
            </w:r>
            <w:r>
              <w:rPr>
                <w:rFonts w:ascii="宋体" w:hAnsi="宋体" w:cs="宋体" w:eastAsia="宋体" w:hint="default"/>
                <w:sz w:val="18"/>
                <w:szCs w:val="18"/>
              </w:rPr>
              <w:t> 锁</w:t>
            </w:r>
            <w:r>
              <w:rPr>
                <w:rFonts w:ascii="Times New Roman" w:hAnsi="Times New Roman" w:cs="Times New Roman" w:eastAsia="Times New Roman" w:hint="default"/>
                <w:sz w:val="18"/>
                <w:szCs w:val="18"/>
              </w:rPr>
              <w:t>“</w:t>
            </w:r>
            <w:r>
              <w:rPr>
                <w:rFonts w:ascii="宋体" w:hAnsi="宋体" w:cs="宋体" w:eastAsia="宋体" w:hint="default"/>
                <w:sz w:val="18"/>
                <w:szCs w:val="18"/>
              </w:rPr>
              <w:t>锁定股份</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；②若标的公司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年度合计实现的净利润数额不低于人民币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pacing w:val="-20"/>
                <w:sz w:val="18"/>
                <w:szCs w:val="18"/>
              </w:rPr>
              <w:t>亿元，则</w:t>
            </w:r>
          </w:p>
          <w:p>
            <w:pPr>
              <w:pStyle w:val="TableParagraph"/>
              <w:spacing w:line="300" w:lineRule="auto" w:before="13"/>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于标的公司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pacing w:val="-6"/>
                <w:w w:val="100"/>
                <w:sz w:val="18"/>
                <w:szCs w:val="18"/>
              </w:rPr>
              <w:t>年度审计报告出具之次日，可解锁</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锁</w:t>
            </w:r>
            <w:r>
              <w:rPr>
                <w:rFonts w:ascii="宋体" w:hAnsi="宋体" w:cs="宋体" w:eastAsia="宋体" w:hint="default"/>
                <w:sz w:val="18"/>
                <w:szCs w:val="18"/>
              </w:rPr>
              <w:t> 定股份</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58.33%</w:t>
            </w:r>
            <w:r>
              <w:rPr>
                <w:rFonts w:ascii="宋体" w:hAnsi="宋体" w:cs="宋体" w:eastAsia="宋体" w:hint="default"/>
                <w:sz w:val="18"/>
                <w:szCs w:val="18"/>
              </w:rPr>
              <w:t>；③若标的公司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 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年度合计实现的净利润数额不低于人民币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309" w:lineRule="auto" w:before="13"/>
              <w:ind w:left="23"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亿元，则于标的公司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年度审计报告出具之次日， </w:t>
            </w:r>
            <w:r>
              <w:rPr>
                <w:rFonts w:ascii="宋体" w:hAnsi="宋体" w:cs="宋体" w:eastAsia="宋体" w:hint="default"/>
                <w:spacing w:val="-3"/>
                <w:sz w:val="18"/>
                <w:szCs w:val="18"/>
              </w:rPr>
              <w:t>可全部解锁。若标的公司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年度合计实现的净利润数额未达到人民币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亿元，则 于补偿义务人及黄喜胜、王雁铭足额履行现金补偿义 务之次日，可全部解锁。</w:t>
            </w:r>
            <w:r>
              <w:rPr>
                <w:rFonts w:ascii="Times New Roman" w:hAnsi="Times New Roman" w:cs="Times New Roman" w:eastAsia="Times New Roman" w:hint="default"/>
                <w:sz w:val="18"/>
                <w:szCs w:val="18"/>
              </w:rPr>
              <w:t>6</w:t>
            </w:r>
            <w:r>
              <w:rPr>
                <w:rFonts w:ascii="宋体" w:hAnsi="宋体" w:cs="宋体" w:eastAsia="宋体" w:hint="default"/>
                <w:sz w:val="18"/>
                <w:szCs w:val="18"/>
              </w:rPr>
              <w:t>、若补偿义务人及黄喜胜、 王雁铭均无法按时足额履行现金补偿义务， 王雁铭同意，自补偿义务人逾期履行补偿义务之日起 十个工作日内，无条件处置（包括转让</w:t>
            </w:r>
            <w:r>
              <w:rPr>
                <w:rFonts w:ascii="Times New Roman" w:hAnsi="Times New Roman" w:cs="Times New Roman" w:eastAsia="Times New Roman" w:hint="default"/>
                <w:sz w:val="18"/>
                <w:szCs w:val="18"/>
              </w:rPr>
              <w:t>/</w:t>
            </w:r>
            <w:r>
              <w:rPr>
                <w:rFonts w:ascii="宋体" w:hAnsi="宋体" w:cs="宋体" w:eastAsia="宋体" w:hint="default"/>
                <w:sz w:val="18"/>
                <w:szCs w:val="18"/>
              </w:rPr>
              <w:t>质押等方式） 其持有的等额上市公司股份，以保障补偿义务人能足 额向上市公司支付现金补偿及延迟履行违约金。</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971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3"/>
                <w:sz w:val="20"/>
                <w:szCs w:val="20"/>
              </w:rPr>
              <w:pict>
                <v:group style="width:27.85pt;height:485.7pt;mso-position-horizontal-relative:char;mso-position-vertical-relative:line" coordorigin="0,0" coordsize="557,9714">
                  <v:group style="position:absolute;left:0;top:0;width:557;height:9714" coordorigin="0,0" coordsize="557,9714">
                    <v:shape style="position:absolute;left:0;top:0;width:557;height:9714" coordorigin="0,0" coordsize="557,9714" path="m0,9714l557,9714,557,0,0,0,0,9714xe" filled="true" fillcolor="#ffffff" stroked="false">
                      <v:path arrowok="t"/>
                      <v:fill type="solid"/>
                    </v:shape>
                  </v:group>
                </v:group>
              </w:pict>
            </w:r>
            <w:r>
              <w:rPr>
                <w:rFonts w:ascii="Times New Roman" w:hAnsi="Times New Roman" w:cs="Times New Roman" w:eastAsia="Times New Roman" w:hint="default"/>
                <w:position w:val="-193"/>
                <w:sz w:val="20"/>
                <w:szCs w:val="20"/>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107"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7" w:lineRule="auto"/>
              <w:ind w:left="22" w:right="71"/>
              <w:jc w:val="both"/>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嘉兴乾德 精一投资合伙企 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刘辉</w:t>
            </w:r>
            <w:r>
              <w:rPr>
                <w:rFonts w:ascii="Times New Roman" w:hAnsi="Times New Roman" w:cs="Times New Roman" w:eastAsia="Times New Roman" w:hint="default"/>
                <w:sz w:val="18"/>
                <w:szCs w:val="18"/>
              </w:rPr>
              <w:t>;</w:t>
            </w:r>
            <w:r>
              <w:rPr>
                <w:rFonts w:ascii="宋体" w:hAnsi="宋体" w:cs="宋体" w:eastAsia="宋体" w:hint="default"/>
                <w:sz w:val="18"/>
                <w:szCs w:val="18"/>
              </w:rPr>
              <w:t>王雁铭</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、公司控股股东乾德精一、实际控制人刘辉出具《关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于避免同业竞争的承诺函》，具体如下：截至承诺函签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署日，乾德精一、刘辉及其控制的其他公司、企业或 者其他经济组织未从事与上市公司、上海即富及其控 制的其他公司、企业或者其他经济组织存在同业竞争 关系的业务。在作为上市公司的控股股东、实际控制 人期间，乾德精一、刘辉及其控制的其他公司、企业 或者其他经济组织将避免从事任何与上市公司、上海 即富及其控制的其他公司、企业或者其他经济组织相 同或相似且构成或可能构成竞争关系的业务，亦不从 事任何可能损害上市公司、上海即富及其控制的其他 公司、企业或者其他经济组织利益的活动。如乾德精 一、刘辉及其控制的其他公司、企业或者其他经济组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64"/>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1.666016pt;margin-top:72.47998pt;width:133.1pt;height:236.1pt;mso-position-horizontal-relative:page;mso-position-vertical-relative:page;z-index:-1027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t>将承担因此而给上市公司、</w:t>
                  </w:r>
                </w:p>
              </w:txbxContent>
            </v:textbox>
            <w10:wrap type="none"/>
          </v:shape>
        </w:pict>
      </w:r>
      <w:r>
        <w:rPr/>
        <w:pict>
          <v:shape style="position:absolute;margin-left:413.683014pt;margin-top:309.019989pt;width:61.05pt;height:101.4pt;mso-position-horizontal-relative:page;mso-position-vertical-relative:page;z-index:-10278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pStyle w:val="BodyText"/>
                    <w:spacing w:line="240" w:lineRule="auto"/>
                    <w:ind w:left="0" w:right="0"/>
                    <w:jc w:val="left"/>
                  </w:pPr>
                  <w:r>
                    <w:rPr/>
                    <w:t>本公司、</w:t>
                  </w:r>
                </w:p>
              </w:txbxContent>
            </v:textbox>
            <w10:wrap type="none"/>
          </v:shape>
        </w:pict>
      </w:r>
      <w:r>
        <w:rPr/>
        <w:pict>
          <v:shape style="position:absolute;margin-left:296.657013pt;margin-top:476.859985pt;width:178.1pt;height:101.4pt;mso-position-horizontal-relative:page;mso-position-vertical-relative:page;z-index:-1027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将利用对所控制的其他企业的控制权，</w:t>
                  </w:r>
                </w:p>
              </w:txbxContent>
            </v:textbox>
            <w10:wrap type="none"/>
          </v:shape>
        </w:pict>
      </w:r>
      <w:r>
        <w:rPr/>
        <w:pict>
          <v:shape style="position:absolute;margin-left:350.657013pt;margin-top:706.559998pt;width:124.1pt;height:61.4pt;mso-position-horizontal-relative:page;mso-position-vertical-relative:page;z-index:-1027840" type="#_x0000_t202" filled="false" stroked="false">
            <v:textbox inset="0,0,0,0">
              <w:txbxContent>
                <w:p>
                  <w:pPr>
                    <w:pStyle w:val="BodyText"/>
                    <w:spacing w:line="226" w:lineRule="exact"/>
                    <w:ind w:left="0" w:right="0"/>
                    <w:jc w:val="left"/>
                  </w:pPr>
                  <w:r>
                    <w:rPr/>
                    <w:t>理的市场价格进行交易，</w:t>
                  </w:r>
                </w:p>
              </w:txbxContent>
            </v:textbox>
            <w10:wrap type="none"/>
          </v:shape>
        </w:pict>
      </w:r>
      <w:r>
        <w:rPr/>
        <w:pict>
          <v:group style="position:absolute;margin-left:446.880005pt;margin-top:72.47998pt;width:27.85pt;height:337.95pt;mso-position-horizontal-relative:page;mso-position-vertical-relative:page;z-index:-1027816" coordorigin="8938,1450" coordsize="557,6759">
            <v:group style="position:absolute;left:8938;top:1450;width:557;height:4722" coordorigin="8938,1450" coordsize="557,4722">
              <v:shape style="position:absolute;left:8938;top:1450;width:557;height:4722" coordorigin="8938,1450" coordsize="557,4722" path="m8938,6171l9494,6171,9494,1450,8938,1450,8938,6171xe" filled="true" fillcolor="#ffffff" stroked="false">
                <v:path arrowok="t"/>
                <v:fill type="solid"/>
              </v:shape>
            </v:group>
            <v:group style="position:absolute;left:8938;top:6180;width:557;height:2028" coordorigin="8938,6180" coordsize="557,2028">
              <v:shape style="position:absolute;left:8938;top:6180;width:557;height:2028" coordorigin="8938,6180" coordsize="557,2028" path="m8938,8208l9494,8208,9494,6180,8938,6180,8938,8208xe" filled="true" fillcolor="#ffffff" stroked="false">
                <v:path arrowok="t"/>
                <v:fill type="solid"/>
              </v:shape>
            </v:group>
            <w10:wrap type="none"/>
          </v:group>
        </w:pict>
      </w:r>
      <w:r>
        <w:rPr/>
        <w:pict>
          <v:group style="position:absolute;margin-left:446.880005pt;margin-top:476.859985pt;width:27.85pt;height:101.4pt;mso-position-horizontal-relative:page;mso-position-vertical-relative:page;z-index:-1027792" coordorigin="8938,9537" coordsize="557,2028">
            <v:shape style="position:absolute;left:8938;top:9537;width:557;height:2028" coordorigin="8938,9537" coordsize="557,2028" path="m8938,11565l9494,11565,9494,9537,8938,9537,8938,11565xe" filled="true" fillcolor="#ffffff" stroked="false">
              <v:path arrowok="t"/>
              <v:fill type="solid"/>
            </v:shape>
            <w10:wrap type="none"/>
          </v:group>
        </w:pict>
      </w:r>
      <w:r>
        <w:rPr/>
        <w:pict>
          <v:group style="position:absolute;margin-left:446.880005pt;margin-top:706.559998pt;width:27.85pt;height:61.4pt;mso-position-horizontal-relative:page;mso-position-vertical-relative:page;z-index:-1027768" coordorigin="8938,14131" coordsize="557,1228">
            <v:shape style="position:absolute;left:8938;top:14131;width:557;height:1228" coordorigin="8938,14131" coordsize="557,1228" path="m8938,15359l9494,15359,9494,14131,8938,14131,8938,153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1416"/>
        <w:gridCol w:w="4255"/>
        <w:gridCol w:w="566"/>
        <w:gridCol w:w="568"/>
        <w:gridCol w:w="636"/>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织遇到上市公司、上海即富及其控制的其他公司、企</w:t>
            </w:r>
          </w:p>
        </w:tc>
        <w:tc>
          <w:tcPr>
            <w:tcW w:w="566"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业或者其他经济组织主营业务范围内的业务机会，乾</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德精一、刘辉及其控制的其他公司、企业或者其他经</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济组织应将该等合作机会让予上市公司、上海即富及</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其控制的其他公司、企业或者其他经济组织。乾德精</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一、刘辉若违反上述承诺，</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上海即富及其控制的其他公司、企业或者其他经济组</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织造成的损失。</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、黄喜胜、王雁铭分别出具《关于避</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9"/>
              <w:jc w:val="left"/>
              <w:rPr>
                <w:rFonts w:ascii="宋体" w:hAnsi="宋体" w:cs="宋体" w:eastAsia="宋体" w:hint="default"/>
                <w:sz w:val="18"/>
                <w:szCs w:val="18"/>
              </w:rPr>
            </w:pPr>
            <w:r>
              <w:rPr>
                <w:rFonts w:ascii="宋体" w:hAnsi="宋体" w:cs="宋体" w:eastAsia="宋体" w:hint="default"/>
                <w:sz w:val="18"/>
                <w:szCs w:val="18"/>
              </w:rPr>
              <w:t>免同业竞争的承诺函</w:t>
            </w:r>
            <w:r>
              <w:rPr>
                <w:rFonts w:ascii="宋体" w:hAnsi="宋体" w:cs="宋体" w:eastAsia="宋体" w:hint="default"/>
                <w:spacing w:val="-90"/>
                <w:sz w:val="18"/>
                <w:szCs w:val="18"/>
              </w:rPr>
              <w:t>》</w:t>
            </w:r>
            <w:r>
              <w:rPr>
                <w:rFonts w:ascii="宋体" w:hAnsi="宋体" w:cs="宋体" w:eastAsia="宋体" w:hint="default"/>
                <w:sz w:val="18"/>
                <w:szCs w:val="18"/>
              </w:rPr>
              <w:t>，具体如下：本次交易完成后，</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在担任上海即富持股</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以上的股东、董事、监事、高</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级管理人员期间内：黄喜胜、王雁铭及其实际控制的</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企业不会参与或进行与上市公司及其控股子公司实际</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从事的业务存在竞争的业务活动。黄喜胜、王雁铭若</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违反上述承诺，将承担因此给上市公司及其控制的其</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他企业造成的一切损失。</w:t>
            </w:r>
            <w:r>
              <w:rPr>
                <w:rFonts w:ascii="Times New Roman" w:hAnsi="Times New Roman" w:cs="Times New Roman" w:eastAsia="Times New Roman" w:hint="default"/>
                <w:sz w:val="18"/>
                <w:szCs w:val="18"/>
              </w:rPr>
              <w:t>"</w:t>
            </w:r>
          </w:p>
        </w:tc>
        <w:tc>
          <w:tcPr>
            <w:tcW w:w="56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关于避免资金占用的承诺函：</w:t>
            </w:r>
            <w:r>
              <w:rPr>
                <w:rFonts w:ascii="Times New Roman" w:hAnsi="Times New Roman" w:cs="Times New Roman" w:eastAsia="Times New Roman" w:hint="default"/>
                <w:sz w:val="18"/>
                <w:szCs w:val="18"/>
              </w:rPr>
              <w:t>1</w:t>
            </w:r>
            <w:r>
              <w:rPr>
                <w:rFonts w:ascii="宋体" w:hAnsi="宋体" w:cs="宋体" w:eastAsia="宋体" w:hint="default"/>
                <w:sz w:val="18"/>
                <w:szCs w:val="18"/>
              </w:rPr>
              <w:t>、除正常经营性往来</w:t>
            </w: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外，本人、本公司、本企业及本人、本公司、本企业</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所控制的其他企业目前不存在违规占用上海即富的资</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43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7" w:lineRule="auto"/>
              <w:ind w:left="22" w:right="20"/>
              <w:jc w:val="left"/>
              <w:rPr>
                <w:rFonts w:ascii="宋体" w:hAnsi="宋体" w:cs="宋体" w:eastAsia="宋体" w:hint="default"/>
                <w:sz w:val="18"/>
                <w:szCs w:val="18"/>
              </w:rPr>
            </w:pPr>
            <w:r>
              <w:rPr>
                <w:rFonts w:ascii="宋体" w:hAnsi="宋体" w:cs="宋体" w:eastAsia="宋体" w:hint="default"/>
                <w:sz w:val="18"/>
                <w:szCs w:val="18"/>
              </w:rPr>
              <w:t>湖州同胜信息技 </w:t>
            </w:r>
            <w:r>
              <w:rPr>
                <w:rFonts w:ascii="宋体" w:hAnsi="宋体" w:cs="宋体" w:eastAsia="宋体" w:hint="default"/>
                <w:spacing w:val="-10"/>
                <w:sz w:val="18"/>
                <w:szCs w:val="18"/>
              </w:rPr>
              <w:t>术合伙企业（有限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上 海复星工业技术 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 雁铭</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义乌市博铭 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 纬诺投资合伙企 业（有限合伙）</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金，或采用预收款、应付款等形式违规变相占用上海 </w:t>
            </w:r>
            <w:r>
              <w:rPr>
                <w:rFonts w:ascii="宋体" w:hAnsi="宋体" w:cs="宋体" w:eastAsia="宋体" w:hint="default"/>
                <w:spacing w:val="-5"/>
                <w:sz w:val="18"/>
                <w:szCs w:val="18"/>
              </w:rPr>
              <w:t>即富资金的情况。</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、本次交易完成后，本人、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本企业及本人、本公司、本企业所控制的其他企业将 严格遵守国家有关法律、法规、规范性文件以及上海 即富、上市公司相关规章制度的规定，坚决预防和杜 绝本人、本公司、本企业及其所控制的其他企业对上 海即富的非经营性占用资金情况发生，不以任何方式 违规占用或使用上海即富的资金或其他资产、资源， 不以任何直接或者间接的方式从事损害或可能损害上 海即富、上市公司及其他股东利益的行为。</w:t>
            </w:r>
            <w:r>
              <w:rPr>
                <w:rFonts w:ascii="Times New Roman" w:hAnsi="Times New Roman" w:cs="Times New Roman" w:eastAsia="Times New Roman" w:hint="default"/>
                <w:sz w:val="18"/>
                <w:szCs w:val="18"/>
              </w:rPr>
              <w:t>3</w:t>
            </w:r>
            <w:r>
              <w:rPr>
                <w:rFonts w:ascii="宋体" w:hAnsi="宋体" w:cs="宋体" w:eastAsia="宋体" w:hint="default"/>
                <w:sz w:val="18"/>
                <w:szCs w:val="18"/>
              </w:rPr>
              <w:t>、本人、 </w:t>
            </w:r>
            <w:r>
              <w:rPr>
                <w:rFonts w:ascii="宋体" w:hAnsi="宋体" w:cs="宋体" w:eastAsia="宋体" w:hint="default"/>
                <w:spacing w:val="-5"/>
                <w:sz w:val="18"/>
                <w:szCs w:val="18"/>
              </w:rPr>
              <w:t>本公司、本企业</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促使该企业按照同样的标准遵守上述承诺。本人、本</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公司、本企业若违反上述承诺，将承担因此给上海即</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富、上市公司造成的一切损失。</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、公司控股股东乾德精一、实际控制人刘辉出具《关</w:t>
            </w: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于减少和规范关联交易的承诺函</w:t>
            </w:r>
            <w:r>
              <w:rPr>
                <w:rFonts w:ascii="宋体" w:hAnsi="宋体" w:cs="宋体" w:eastAsia="宋体" w:hint="default"/>
                <w:spacing w:val="-90"/>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具体如下</w:t>
            </w:r>
            <w:r>
              <w:rPr>
                <w:rFonts w:ascii="宋体" w:hAnsi="宋体" w:cs="宋体" w:eastAsia="宋体" w:hint="default"/>
                <w:spacing w:val="-17"/>
                <w:sz w:val="18"/>
                <w:szCs w:val="18"/>
              </w:rPr>
              <w:t>：</w:t>
            </w:r>
            <w:r>
              <w:rPr>
                <w:rFonts w:ascii="宋体" w:hAnsi="宋体" w:cs="宋体" w:eastAsia="宋体" w:hint="default"/>
                <w:sz w:val="18"/>
                <w:szCs w:val="18"/>
              </w:rPr>
              <w:t>在作为</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上市公司的控股股东、实际控制人期间，乾德精一、</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嘉兴乾德</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刘辉及其控制的其他公司、企业或者其他经济组织将</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精一投资合伙企</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尽量减少并规范与上市公司、上海即富及其控制的其</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2016</w:t>
            </w: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内，承</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争、关联交</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业（有限合伙）</w:t>
            </w:r>
            <w:r>
              <w:rPr>
                <w:rFonts w:ascii="Times New Roman" w:hAnsi="Times New Roman" w:cs="Times New Roman" w:eastAsia="Times New Roman" w:hint="default"/>
                <w:sz w:val="18"/>
                <w:szCs w:val="18"/>
              </w:rPr>
              <w:t>;</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他公司、企业或者其他经济组织之间的关联交易。对</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诺人严</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易、资金占用</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于无法避免或有合理原因而发生的关联交易，乾徳精</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格履行</w:t>
            </w: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刘辉</w:t>
            </w:r>
            <w:r>
              <w:rPr>
                <w:rFonts w:ascii="Times New Roman" w:hAnsi="Times New Roman" w:cs="Times New Roman" w:eastAsia="Times New Roman" w:hint="default"/>
                <w:sz w:val="18"/>
                <w:szCs w:val="18"/>
              </w:rPr>
              <w:t>;</w:t>
            </w:r>
            <w:r>
              <w:rPr>
                <w:rFonts w:ascii="宋体" w:hAnsi="宋体" w:cs="宋体" w:eastAsia="宋体" w:hint="default"/>
                <w:sz w:val="18"/>
                <w:szCs w:val="18"/>
              </w:rPr>
              <w:t>王雁</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一、刘辉及其控制的其他公司、企业或者其他经济组</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了承</w:t>
            </w:r>
          </w:p>
        </w:tc>
      </w:tr>
      <w:tr>
        <w:trPr>
          <w:trHeight w:val="321"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铭</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pacing w:val="-3"/>
                <w:sz w:val="18"/>
                <w:szCs w:val="18"/>
              </w:rPr>
              <w:t>织将遵循市场原则以公允、合</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并根据有关法律、法规及规范性文件的规定履行关联</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交易决策程序，依法履行信息披露义务和办理有关报</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批程序，不利用重要股东地位损害上市公司及其他股</w:t>
            </w: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3.720001pt;margin-top:72.47998pt;width:61pt;height:470.1pt;mso-position-horizontal-relative:page;mso-position-vertical-relative:page;z-index:-1027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1"/>
                      <w:szCs w:val="21"/>
                    </w:rPr>
                  </w:pPr>
                </w:p>
                <w:p>
                  <w:pPr>
                    <w:pStyle w:val="BodyText"/>
                    <w:spacing w:line="240" w:lineRule="auto"/>
                    <w:ind w:left="0" w:right="0" w:firstLine="54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6"/>
                      <w:szCs w:val="26"/>
                    </w:rPr>
                  </w:pPr>
                </w:p>
                <w:p>
                  <w:pPr>
                    <w:pStyle w:val="BodyText"/>
                    <w:spacing w:line="240" w:lineRule="auto"/>
                    <w:ind w:left="0" w:right="0"/>
                    <w:jc w:val="left"/>
                  </w:pPr>
                  <w:r>
                    <w:rPr/>
                    <w:t>黄喜胜、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1416"/>
        <w:gridCol w:w="4255"/>
        <w:gridCol w:w="566"/>
        <w:gridCol w:w="568"/>
        <w:gridCol w:w="636"/>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东的合法权益。乾徳精一、刘辉若违反上述承诺，将</w:t>
            </w:r>
          </w:p>
        </w:tc>
        <w:tc>
          <w:tcPr>
            <w:tcW w:w="566" w:type="dxa"/>
            <w:vMerge w:val="restart"/>
            <w:tcBorders>
              <w:top w:val="single" w:sz="4" w:space="0" w:color="000000"/>
              <w:left w:val="single" w:sz="4" w:space="0" w:color="000000"/>
              <w:right w:val="single" w:sz="4" w:space="0" w:color="000000"/>
            </w:tcBorders>
          </w:tcPr>
          <w:p>
            <w:pPr>
              <w:pStyle w:val="TableParagraph"/>
              <w:spacing w:line="94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7"/>
                <w:sz w:val="20"/>
                <w:szCs w:val="20"/>
              </w:rPr>
              <w:pict>
                <v:group style="width:27.85pt;height:470.1pt;mso-position-horizontal-relative:char;mso-position-vertical-relative:line" coordorigin="0,0" coordsize="557,9402">
                  <v:group style="position:absolute;left:0;top:0;width:557;height:9402" coordorigin="0,0" coordsize="557,9402">
                    <v:shape style="position:absolute;left:0;top:0;width:557;height:9402" coordorigin="0,0" coordsize="557,9402" path="m0,9402l557,9402,557,0,0,0,0,9402xe" filled="true" fillcolor="#ffffff" stroked="false">
                      <v:path arrowok="t"/>
                      <v:fill type="solid"/>
                    </v:shape>
                  </v:group>
                </v:group>
              </w:pict>
            </w:r>
            <w:r>
              <w:rPr>
                <w:rFonts w:ascii="Times New Roman" w:hAnsi="Times New Roman" w:cs="Times New Roman" w:eastAsia="Times New Roman" w:hint="default"/>
                <w:position w:val="-187"/>
                <w:sz w:val="20"/>
                <w:szCs w:val="20"/>
              </w:rPr>
            </w:r>
          </w:p>
        </w:tc>
        <w:tc>
          <w:tcPr>
            <w:tcW w:w="56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承担因此而给上市公司、上海即富及其控制的其他公</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司、企业或者其他经济组织造成的损失。</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、公司持股</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以上的股东香港键桥出具《关于减少和规范关联交</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易的承诺函</w:t>
            </w:r>
            <w:r>
              <w:rPr>
                <w:rFonts w:ascii="宋体" w:hAnsi="宋体" w:cs="宋体" w:eastAsia="宋体" w:hint="default"/>
                <w:spacing w:val="-90"/>
                <w:sz w:val="18"/>
                <w:szCs w:val="18"/>
              </w:rPr>
              <w:t>》</w:t>
            </w:r>
            <w:r>
              <w:rPr>
                <w:rFonts w:ascii="宋体" w:hAnsi="宋体" w:cs="宋体" w:eastAsia="宋体" w:hint="default"/>
                <w:sz w:val="18"/>
                <w:szCs w:val="18"/>
              </w:rPr>
              <w:t>，具体如下：在作为上市公司的持股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以上的股东期间，香港键桥及其控制的其他公司、企</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业或者其他经济组织将尽量减少并规范与上市公司、</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上海即富及其控制的其他公司、企业或者其他经济组</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织之间的关联交易。对于无法避免或有合理原因而发</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生的关联交易，香港键桥及其控制的其他公司、企业</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或者其他经济组织将遵循市场原则以公允、合理的市</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场价格进行交易，并根据有关法律、法规及规范性文</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件的规定履行关联交易决策程序，依法履行信息披露</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义务和办理有关报批程序，不利用重要股东地位损害</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上市公司及其他股东的合法权益。香港键桥若违反上</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述承诺，将承担因此而给上市公司、上海即富及其控</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制的其他公司、企业或者其他经济组织造成的损失。</w:t>
            </w:r>
            <w:r>
              <w:rPr>
                <w:rFonts w:ascii="Times New Roman" w:hAnsi="Times New Roman" w:cs="Times New Roman" w:eastAsia="Times New Roman" w:hint="default"/>
                <w:spacing w:val="-6"/>
                <w:sz w:val="18"/>
                <w:szCs w:val="18"/>
              </w:rPr>
              <w:t>3</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黄喜胜、王雁铭分别出具《关于减少和规范关联交易</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具体如下</w:t>
            </w:r>
            <w:r>
              <w:rPr>
                <w:rFonts w:ascii="宋体" w:hAnsi="宋体" w:cs="宋体" w:eastAsia="宋体" w:hint="default"/>
                <w:spacing w:val="-11"/>
                <w:sz w:val="18"/>
                <w:szCs w:val="18"/>
              </w:rPr>
              <w:t>：</w:t>
            </w:r>
            <w:r>
              <w:rPr>
                <w:rFonts w:ascii="宋体" w:hAnsi="宋体" w:cs="宋体" w:eastAsia="宋体" w:hint="default"/>
                <w:sz w:val="18"/>
                <w:szCs w:val="18"/>
              </w:rPr>
              <w:t>本次交易完成后</w:t>
            </w:r>
            <w:r>
              <w:rPr>
                <w:rFonts w:ascii="宋体" w:hAnsi="宋体" w:cs="宋体" w:eastAsia="宋体" w:hint="default"/>
                <w:spacing w:val="-11"/>
                <w:sz w:val="18"/>
                <w:szCs w:val="18"/>
              </w:rPr>
              <w:t>，</w:t>
            </w:r>
            <w:r>
              <w:rPr>
                <w:rFonts w:ascii="宋体" w:hAnsi="宋体" w:cs="宋体" w:eastAsia="宋体" w:hint="default"/>
                <w:sz w:val="18"/>
                <w:szCs w:val="18"/>
              </w:rPr>
              <w:t>在担任上市</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公司持股</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以上的股东、董事、监事、高级管理人员</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等关联方期间，黄喜胜、王雁铭及其控制的企业将减</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少并规范与上市公司及其控制的企业之间的关联交</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易。对于无法避免或有合理原因而发生的关联交易，</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黄喜胜、王雁铭及其控制的企业将遵循市场原则以公</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允、合理的市场价格进行，根据有关法律、法规及规</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范性文件的规定履行关联交易决策程序，依法履行信</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息披露义务和办理有关报批手续，不损害上市公司及</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其控制的企业以及前述企业股东的合法权益。</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王雁铭若违反上述承诺，将承担因此而给上市公司及</w:t>
            </w: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其控制的企业造成的一切损失。</w:t>
            </w:r>
            <w:r>
              <w:rPr>
                <w:rFonts w:ascii="Times New Roman" w:hAnsi="Times New Roman" w:cs="Times New Roman" w:eastAsia="Times New Roman" w:hint="default"/>
                <w:sz w:val="18"/>
                <w:szCs w:val="18"/>
              </w:rPr>
              <w:t>"</w:t>
            </w:r>
          </w:p>
        </w:tc>
        <w:tc>
          <w:tcPr>
            <w:tcW w:w="56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白涛</w:t>
            </w:r>
            <w:r>
              <w:rPr>
                <w:rFonts w:ascii="Times New Roman" w:hAnsi="Times New Roman" w:cs="Times New Roman" w:eastAsia="Times New Roman" w:hint="default"/>
                <w:sz w:val="18"/>
                <w:szCs w:val="18"/>
              </w:rPr>
              <w:t>;</w:t>
            </w:r>
            <w:r>
              <w:rPr>
                <w:rFonts w:ascii="宋体" w:hAnsi="宋体" w:cs="宋体" w:eastAsia="宋体" w:hint="default"/>
                <w:sz w:val="18"/>
                <w:szCs w:val="18"/>
              </w:rPr>
              <w:t>陈道军</w:t>
            </w:r>
            <w:r>
              <w:rPr>
                <w:rFonts w:ascii="Times New Roman" w:hAnsi="Times New Roman" w:cs="Times New Roman" w:eastAsia="Times New Roman" w:hint="default"/>
                <w:sz w:val="18"/>
                <w:szCs w:val="18"/>
              </w:rPr>
              <w:t>;</w:t>
            </w:r>
            <w:r>
              <w:rPr>
                <w:rFonts w:ascii="宋体" w:hAnsi="宋体" w:cs="宋体" w:eastAsia="宋体" w:hint="default"/>
                <w:sz w:val="18"/>
                <w:szCs w:val="18"/>
              </w:rPr>
              <w:t>程启</w:t>
            </w:r>
          </w:p>
        </w:tc>
        <w:tc>
          <w:tcPr>
            <w:tcW w:w="425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29"/>
              <w:jc w:val="center"/>
              <w:rPr>
                <w:rFonts w:ascii="Times New Roman" w:hAnsi="Times New Roman" w:cs="Times New Roman" w:eastAsia="Times New Roman" w:hint="default"/>
                <w:sz w:val="18"/>
                <w:szCs w:val="18"/>
              </w:rPr>
            </w:pPr>
            <w:r>
              <w:rPr>
                <w:rFonts w:ascii="宋体" w:hAnsi="宋体" w:cs="宋体" w:eastAsia="宋体" w:hint="default"/>
                <w:sz w:val="18"/>
                <w:szCs w:val="18"/>
              </w:rPr>
              <w:t>北</w:t>
            </w:r>
            <w:r>
              <w:rPr>
                <w:rFonts w:ascii="Times New Roman" w:hAnsi="Times New Roman" w:cs="Times New Roman" w:eastAsia="Times New Roman" w:hint="default"/>
                <w:sz w:val="18"/>
                <w:szCs w:val="18"/>
              </w:rPr>
              <w:t>;</w:t>
            </w:r>
            <w:r>
              <w:rPr>
                <w:rFonts w:ascii="宋体" w:hAnsi="宋体" w:cs="宋体" w:eastAsia="宋体" w:hint="default"/>
                <w:sz w:val="18"/>
                <w:szCs w:val="18"/>
              </w:rPr>
              <w:t>丛丰森</w:t>
            </w:r>
            <w:r>
              <w:rPr>
                <w:rFonts w:ascii="Times New Roman" w:hAnsi="Times New Roman" w:cs="Times New Roman" w:eastAsia="Times New Roman" w:hint="default"/>
                <w:sz w:val="18"/>
                <w:szCs w:val="18"/>
              </w:rPr>
              <w:t>;</w:t>
            </w:r>
            <w:r>
              <w:rPr>
                <w:rFonts w:ascii="宋体" w:hAnsi="宋体" w:cs="宋体" w:eastAsia="宋体" w:hint="default"/>
                <w:sz w:val="18"/>
                <w:szCs w:val="18"/>
              </w:rPr>
              <w:t>杜军</w:t>
            </w:r>
            <w:r>
              <w:rPr>
                <w:rFonts w:ascii="Times New Roman" w:hAnsi="Times New Roman" w:cs="Times New Roman" w:eastAsia="Times New Roman" w:hint="default"/>
                <w:sz w:val="18"/>
                <w:szCs w:val="18"/>
              </w:rPr>
              <w:t>;</w:t>
            </w:r>
          </w:p>
        </w:tc>
        <w:tc>
          <w:tcPr>
            <w:tcW w:w="425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48"/>
              <w:jc w:val="center"/>
              <w:rPr>
                <w:rFonts w:ascii="宋体" w:hAnsi="宋体" w:cs="宋体" w:eastAsia="宋体" w:hint="default"/>
                <w:sz w:val="18"/>
                <w:szCs w:val="18"/>
              </w:rPr>
            </w:pPr>
            <w:r>
              <w:rPr>
                <w:rFonts w:ascii="宋体" w:hAnsi="宋体" w:cs="宋体" w:eastAsia="宋体" w:hint="default"/>
                <w:sz w:val="18"/>
                <w:szCs w:val="18"/>
              </w:rPr>
              <w:t>高岩</w:t>
            </w:r>
            <w:r>
              <w:rPr>
                <w:rFonts w:ascii="Times New Roman" w:hAnsi="Times New Roman" w:cs="Times New Roman" w:eastAsia="Times New Roman" w:hint="default"/>
                <w:sz w:val="18"/>
                <w:szCs w:val="18"/>
              </w:rPr>
              <w:t>;</w:t>
            </w:r>
            <w:r>
              <w:rPr>
                <w:rFonts w:ascii="宋体" w:hAnsi="宋体" w:cs="宋体" w:eastAsia="宋体" w:hint="default"/>
                <w:sz w:val="18"/>
                <w:szCs w:val="18"/>
              </w:rPr>
              <w:t>湖州同胜信</w:t>
            </w:r>
          </w:p>
        </w:tc>
        <w:tc>
          <w:tcPr>
            <w:tcW w:w="425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8"/>
              <w:jc w:val="center"/>
              <w:rPr>
                <w:rFonts w:ascii="宋体" w:hAnsi="宋体" w:cs="宋体" w:eastAsia="宋体" w:hint="default"/>
                <w:sz w:val="18"/>
                <w:szCs w:val="18"/>
              </w:rPr>
            </w:pPr>
            <w:r>
              <w:rPr>
                <w:rFonts w:ascii="宋体" w:hAnsi="宋体" w:cs="宋体" w:eastAsia="宋体" w:hint="default"/>
                <w:sz w:val="18"/>
                <w:szCs w:val="18"/>
              </w:rPr>
              <w:t>息技术合伙企业</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不存在泄露上市公司本次交易的相关内幕信息及利用</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48"/>
              <w:jc w:val="center"/>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该内幕信息进行内幕交易的情形，不存在因涉嫌本次</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48"/>
              <w:jc w:val="center"/>
              <w:rPr>
                <w:rFonts w:ascii="宋体" w:hAnsi="宋体" w:cs="宋体" w:eastAsia="宋体" w:hint="default"/>
                <w:sz w:val="18"/>
                <w:szCs w:val="18"/>
              </w:rPr>
            </w:pPr>
            <w:r>
              <w:rPr>
                <w:rFonts w:ascii="宋体" w:hAnsi="宋体" w:cs="宋体" w:eastAsia="宋体" w:hint="default"/>
                <w:sz w:val="18"/>
                <w:szCs w:val="18"/>
              </w:rPr>
              <w:t>喜胜</w:t>
            </w:r>
            <w:r>
              <w:rPr>
                <w:rFonts w:ascii="Times New Roman" w:hAnsi="Times New Roman" w:cs="Times New Roman" w:eastAsia="Times New Roman" w:hint="default"/>
                <w:sz w:val="18"/>
                <w:szCs w:val="18"/>
              </w:rPr>
              <w:t>;</w:t>
            </w:r>
            <w:r>
              <w:rPr>
                <w:rFonts w:ascii="宋体" w:hAnsi="宋体" w:cs="宋体" w:eastAsia="宋体" w:hint="default"/>
                <w:sz w:val="18"/>
                <w:szCs w:val="18"/>
              </w:rPr>
              <w:t>嘉兴乾德精</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交易相关的内幕交易被立案调查或者立案侦查的情</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18"/>
                <w:szCs w:val="18"/>
              </w:rPr>
            </w:pPr>
            <w:r>
              <w:rPr>
                <w:rFonts w:ascii="Times New Roman"/>
                <w:sz w:val="18"/>
              </w:rPr>
              <w:t>2016</w:t>
            </w: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内，承</w:t>
            </w:r>
          </w:p>
        </w:tc>
      </w:tr>
      <w:tr>
        <w:trPr>
          <w:trHeight w:val="624"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一投资合伙企业</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键</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形，不存在因涉嫌本次交易相关的内幕交易而被中国 证监会作出行政处罚或者被司法机关依法追究刑事责</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诺人严 格履行</w:t>
            </w: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98"/>
              <w:jc w:val="center"/>
              <w:rPr>
                <w:rFonts w:ascii="宋体" w:hAnsi="宋体" w:cs="宋体" w:eastAsia="宋体" w:hint="default"/>
                <w:sz w:val="18"/>
                <w:szCs w:val="18"/>
              </w:rPr>
            </w:pPr>
            <w:r>
              <w:rPr>
                <w:rFonts w:ascii="宋体" w:hAnsi="宋体" w:cs="宋体" w:eastAsia="宋体" w:hint="default"/>
                <w:sz w:val="18"/>
                <w:szCs w:val="18"/>
              </w:rPr>
              <w:t>桥通讯技术有限</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任的情形，不存在《关于加强与上市公司重大资产重</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了承</w:t>
            </w:r>
          </w:p>
        </w:tc>
      </w:tr>
      <w:tr>
        <w:trPr>
          <w:trHeight w:val="318"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179"/>
              <w:jc w:val="center"/>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蒋华良</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组相关股票异常交易监管的暂行规定》第十三条规定</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21"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79"/>
              <w:jc w:val="center"/>
              <w:rPr>
                <w:rFonts w:ascii="宋体" w:hAnsi="宋体" w:cs="宋体" w:eastAsia="宋体" w:hint="default"/>
                <w:sz w:val="18"/>
                <w:szCs w:val="18"/>
              </w:rPr>
            </w:pPr>
            <w:r>
              <w:rPr>
                <w:rFonts w:ascii="宋体" w:hAnsi="宋体" w:cs="宋体" w:eastAsia="宋体" w:hint="default"/>
                <w:sz w:val="18"/>
                <w:szCs w:val="18"/>
              </w:rPr>
              <w:t>辉</w:t>
            </w:r>
            <w:r>
              <w:rPr>
                <w:rFonts w:ascii="Times New Roman" w:hAnsi="Times New Roman" w:cs="Times New Roman" w:eastAsia="Times New Roman" w:hint="default"/>
                <w:sz w:val="18"/>
                <w:szCs w:val="18"/>
              </w:rPr>
              <w:t>;</w:t>
            </w:r>
            <w:r>
              <w:rPr>
                <w:rFonts w:ascii="宋体" w:hAnsi="宋体" w:cs="宋体" w:eastAsia="宋体" w:hint="default"/>
                <w:sz w:val="18"/>
                <w:szCs w:val="18"/>
              </w:rPr>
              <w:t>刘永泽</w:t>
            </w:r>
            <w:r>
              <w:rPr>
                <w:rFonts w:ascii="Times New Roman" w:hAnsi="Times New Roman" w:cs="Times New Roman" w:eastAsia="Times New Roman" w:hint="default"/>
                <w:sz w:val="18"/>
                <w:szCs w:val="18"/>
              </w:rPr>
              <w:t>;</w:t>
            </w:r>
            <w:r>
              <w:rPr>
                <w:rFonts w:ascii="宋体" w:hAnsi="宋体" w:cs="宋体" w:eastAsia="宋体" w:hint="default"/>
                <w:sz w:val="18"/>
                <w:szCs w:val="18"/>
              </w:rPr>
              <w:t>刘煜</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3" w:right="0"/>
              <w:jc w:val="left"/>
              <w:rPr>
                <w:rFonts w:ascii="宋体" w:hAnsi="宋体" w:cs="宋体" w:eastAsia="宋体" w:hint="default"/>
                <w:sz w:val="18"/>
                <w:szCs w:val="18"/>
              </w:rPr>
            </w:pPr>
            <w:r>
              <w:rPr>
                <w:rFonts w:ascii="宋体" w:hAnsi="宋体" w:cs="宋体" w:eastAsia="宋体" w:hint="default"/>
                <w:sz w:val="18"/>
                <w:szCs w:val="18"/>
              </w:rPr>
              <w:t>的不得参与上市公司重大资产重组的情形。</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辉</w:t>
            </w:r>
            <w:r>
              <w:rPr>
                <w:rFonts w:ascii="Times New Roman" w:hAnsi="Times New Roman" w:cs="Times New Roman" w:eastAsia="Times New Roman" w:hint="default"/>
                <w:sz w:val="18"/>
                <w:szCs w:val="18"/>
              </w:rPr>
              <w:t>;</w:t>
            </w:r>
            <w:r>
              <w:rPr>
                <w:rFonts w:ascii="宋体" w:hAnsi="宋体" w:cs="宋体" w:eastAsia="宋体" w:hint="default"/>
                <w:sz w:val="18"/>
                <w:szCs w:val="18"/>
              </w:rPr>
              <w:t>孟令章</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上海复</w:t>
            </w:r>
          </w:p>
        </w:tc>
        <w:tc>
          <w:tcPr>
            <w:tcW w:w="425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8"/>
              <w:jc w:val="center"/>
              <w:rPr>
                <w:rFonts w:ascii="宋体" w:hAnsi="宋体" w:cs="宋体" w:eastAsia="宋体" w:hint="default"/>
                <w:sz w:val="18"/>
                <w:szCs w:val="18"/>
              </w:rPr>
            </w:pPr>
            <w:r>
              <w:rPr>
                <w:rFonts w:ascii="宋体" w:hAnsi="宋体" w:cs="宋体" w:eastAsia="宋体" w:hint="default"/>
                <w:sz w:val="18"/>
                <w:szCs w:val="18"/>
              </w:rPr>
              <w:t>星工业技术发展</w:t>
            </w:r>
          </w:p>
        </w:tc>
        <w:tc>
          <w:tcPr>
            <w:tcW w:w="425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48"/>
              <w:jc w:val="center"/>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w:t>
            </w:r>
          </w:p>
        </w:tc>
        <w:tc>
          <w:tcPr>
            <w:tcW w:w="425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0.720001pt;margin-top:168.61998pt;width:124pt;height:132.6pt;mso-position-horizontal-relative:page;mso-position-vertical-relative:page;z-index:-1027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3"/>
                      <w:szCs w:val="23"/>
                    </w:rPr>
                  </w:pPr>
                </w:p>
                <w:p>
                  <w:pPr>
                    <w:pStyle w:val="BodyText"/>
                    <w:spacing w:line="240" w:lineRule="auto"/>
                    <w:ind w:left="0" w:right="0"/>
                    <w:jc w:val="left"/>
                  </w:pPr>
                  <w:r>
                    <w:rPr/>
                    <w:t>《关于不存在关联关系、</w:t>
                  </w:r>
                </w:p>
              </w:txbxContent>
            </v:textbox>
            <w10:wrap type="none"/>
          </v:shape>
        </w:pict>
      </w:r>
      <w:r>
        <w:rPr/>
        <w:pict>
          <v:shape style="position:absolute;margin-left:296.657013pt;margin-top:367.639984pt;width:178.1pt;height:132.65pt;mso-position-horizontal-relative:page;mso-position-vertical-relative:page;z-index:-1027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left="0" w:right="0"/>
                    <w:jc w:val="left"/>
                  </w:pPr>
                  <w:r>
                    <w:rPr/>
                    <w:t>诺投资与湖州同胜构成一致行动关系；</w:t>
                  </w:r>
                </w:p>
              </w:txbxContent>
            </v:textbox>
            <w10:wrap type="none"/>
          </v:shape>
        </w:pict>
      </w:r>
      <w:r>
        <w:rPr/>
        <w:pict>
          <v:group style="position:absolute;margin-left:446.880005pt;margin-top:168.61998pt;width:27.85pt;height:132.6pt;mso-position-horizontal-relative:page;mso-position-vertical-relative:page;z-index:-1027648" coordorigin="8938,3372" coordsize="557,2652">
            <v:shape style="position:absolute;left:8938;top:3372;width:557;height:2652" coordorigin="8938,3372" coordsize="557,2652" path="m8938,6024l9494,6024,9494,3372,8938,3372,8938,6024xe" filled="true" fillcolor="#ffffff" stroked="false">
              <v:path arrowok="t"/>
              <v:fill type="solid"/>
            </v:shape>
            <w10:wrap type="none"/>
          </v:group>
        </w:pict>
      </w:r>
      <w:r>
        <w:rPr/>
        <w:pict>
          <v:group style="position:absolute;margin-left:446.880005pt;margin-top:367.639984pt;width:27.85pt;height:132.65pt;mso-position-horizontal-relative:page;mso-position-vertical-relative:page;z-index:-1027624" coordorigin="8938,7353" coordsize="557,2653">
            <v:shape style="position:absolute;left:8938;top:7353;width:557;height:2653" coordorigin="8938,7353" coordsize="557,2653" path="m8938,10005l9494,10005,9494,7353,8938,7353,8938,1000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1416"/>
        <w:gridCol w:w="4255"/>
        <w:gridCol w:w="566"/>
        <w:gridCol w:w="568"/>
        <w:gridCol w:w="636"/>
      </w:tblGrid>
      <w:tr>
        <w:trPr>
          <w:trHeight w:val="317"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来美居贸易有限</w:t>
            </w:r>
          </w:p>
        </w:tc>
        <w:tc>
          <w:tcPr>
            <w:tcW w:w="4255"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陶艳艳</w:t>
            </w:r>
            <w:r>
              <w:rPr>
                <w:rFonts w:ascii="Times New Roman" w:hAnsi="Times New Roman" w:cs="Times New Roman" w:eastAsia="Times New Roman" w:hint="default"/>
                <w:sz w:val="18"/>
                <w:szCs w:val="18"/>
              </w:rPr>
              <w:t>;</w:t>
            </w:r>
            <w:r>
              <w:rPr>
                <w:rFonts w:ascii="宋体" w:hAnsi="宋体" w:cs="宋体" w:eastAsia="宋体" w:hint="default"/>
                <w:sz w:val="18"/>
                <w:szCs w:val="18"/>
              </w:rPr>
              <w:t>王雁</w:t>
            </w:r>
          </w:p>
        </w:tc>
        <w:tc>
          <w:tcPr>
            <w:tcW w:w="425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铭</w:t>
            </w:r>
            <w:r>
              <w:rPr>
                <w:rFonts w:ascii="Times New Roman" w:hAnsi="Times New Roman" w:cs="Times New Roman" w:eastAsia="Times New Roman" w:hint="default"/>
                <w:sz w:val="18"/>
                <w:szCs w:val="18"/>
              </w:rPr>
              <w:t>;</w:t>
            </w:r>
            <w:r>
              <w:rPr>
                <w:rFonts w:ascii="宋体" w:hAnsi="宋体" w:cs="宋体" w:eastAsia="宋体" w:hint="default"/>
                <w:sz w:val="18"/>
                <w:szCs w:val="18"/>
              </w:rPr>
              <w:t>王永彬</w:t>
            </w:r>
            <w:r>
              <w:rPr>
                <w:rFonts w:ascii="Times New Roman" w:hAnsi="Times New Roman" w:cs="Times New Roman" w:eastAsia="Times New Roman" w:hint="default"/>
                <w:sz w:val="18"/>
                <w:szCs w:val="18"/>
              </w:rPr>
              <w:t>;</w:t>
            </w:r>
            <w:r>
              <w:rPr>
                <w:rFonts w:ascii="宋体" w:hAnsi="宋体" w:cs="宋体" w:eastAsia="宋体" w:hint="default"/>
                <w:sz w:val="18"/>
                <w:szCs w:val="18"/>
              </w:rPr>
              <w:t>易欢</w:t>
            </w:r>
          </w:p>
        </w:tc>
        <w:tc>
          <w:tcPr>
            <w:tcW w:w="425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欢</w:t>
            </w:r>
            <w:r>
              <w:rPr>
                <w:rFonts w:ascii="Times New Roman" w:hAnsi="Times New Roman" w:cs="Times New Roman" w:eastAsia="Times New Roman" w:hint="default"/>
                <w:sz w:val="18"/>
                <w:szCs w:val="18"/>
              </w:rPr>
              <w:t>;</w:t>
            </w:r>
            <w:r>
              <w:rPr>
                <w:rFonts w:ascii="宋体" w:hAnsi="宋体" w:cs="宋体" w:eastAsia="宋体" w:hint="default"/>
                <w:sz w:val="18"/>
                <w:szCs w:val="18"/>
              </w:rPr>
              <w:t>袁训明</w:t>
            </w:r>
            <w:r>
              <w:rPr>
                <w:rFonts w:ascii="Times New Roman" w:hAnsi="Times New Roman" w:cs="Times New Roman" w:eastAsia="Times New Roman" w:hint="default"/>
                <w:sz w:val="18"/>
                <w:szCs w:val="18"/>
              </w:rPr>
              <w:t>;</w:t>
            </w:r>
            <w:r>
              <w:rPr>
                <w:rFonts w:ascii="宋体" w:hAnsi="宋体" w:cs="宋体" w:eastAsia="宋体" w:hint="default"/>
                <w:sz w:val="18"/>
                <w:szCs w:val="18"/>
              </w:rPr>
              <w:t>中国信</w:t>
            </w:r>
          </w:p>
        </w:tc>
        <w:tc>
          <w:tcPr>
            <w:tcW w:w="425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贷科技控股有限</w:t>
            </w:r>
          </w:p>
        </w:tc>
        <w:tc>
          <w:tcPr>
            <w:tcW w:w="4255"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25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、乾德精一、刘辉出具《关于不存在关联关系、不</w:t>
            </w: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10"/>
              <w:jc w:val="left"/>
              <w:rPr>
                <w:rFonts w:ascii="宋体" w:hAnsi="宋体" w:cs="宋体" w:eastAsia="宋体" w:hint="default"/>
                <w:sz w:val="18"/>
                <w:szCs w:val="18"/>
              </w:rPr>
            </w:pPr>
            <w:r>
              <w:rPr>
                <w:rFonts w:ascii="宋体" w:hAnsi="宋体" w:cs="宋体" w:eastAsia="宋体" w:hint="default"/>
                <w:sz w:val="18"/>
                <w:szCs w:val="18"/>
              </w:rPr>
              <w:t>互为一致行动人的承诺函</w:t>
            </w:r>
            <w:r>
              <w:rPr>
                <w:rFonts w:ascii="宋体" w:hAnsi="宋体" w:cs="宋体" w:eastAsia="宋体" w:hint="default"/>
                <w:spacing w:val="-90"/>
                <w:sz w:val="18"/>
                <w:szCs w:val="18"/>
              </w:rPr>
              <w:t>》</w:t>
            </w:r>
            <w:r>
              <w:rPr>
                <w:rFonts w:ascii="宋体" w:hAnsi="宋体" w:cs="宋体" w:eastAsia="宋体" w:hint="default"/>
                <w:sz w:val="18"/>
                <w:szCs w:val="18"/>
              </w:rPr>
              <w:t>，具体如下：本次交易前，</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白涛</w:t>
            </w:r>
            <w:r>
              <w:rPr>
                <w:rFonts w:ascii="Times New Roman" w:hAnsi="Times New Roman" w:cs="Times New Roman" w:eastAsia="Times New Roman" w:hint="default"/>
                <w:sz w:val="18"/>
                <w:szCs w:val="18"/>
              </w:rPr>
              <w:t>;</w:t>
            </w:r>
            <w:r>
              <w:rPr>
                <w:rFonts w:ascii="宋体" w:hAnsi="宋体" w:cs="宋体" w:eastAsia="宋体" w:hint="default"/>
                <w:sz w:val="18"/>
                <w:szCs w:val="18"/>
              </w:rPr>
              <w:t>湖州同胜信</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乾德精一、刘辉与纬诺投资、博铭投资、黄喜胜、王</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息技术合伙企业</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雁铭、湖州同胜、复兴工业、白涛不存在任何关联关</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系，亦不存在《上市公司收购管理办法》第八十三条</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喜胜</w:t>
            </w:r>
            <w:r>
              <w:rPr>
                <w:rFonts w:ascii="Times New Roman" w:hAnsi="Times New Roman" w:cs="Times New Roman" w:eastAsia="Times New Roman" w:hint="default"/>
                <w:sz w:val="18"/>
                <w:szCs w:val="18"/>
              </w:rPr>
              <w:t>;</w:t>
            </w:r>
            <w:r>
              <w:rPr>
                <w:rFonts w:ascii="宋体" w:hAnsi="宋体" w:cs="宋体" w:eastAsia="宋体" w:hint="default"/>
                <w:sz w:val="18"/>
                <w:szCs w:val="18"/>
              </w:rPr>
              <w:t>嘉兴乾德精</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所定义的构成一致行动关系的情形。</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、纬诺投资、博</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一投资合伙企业</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铭投资、黄喜胜、王雁铭出具</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189"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302" w:lineRule="auto" w:before="10"/>
              <w:ind w:left="22" w:right="61"/>
              <w:jc w:val="both"/>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刘 辉</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上海复星工业 技术发展有限公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深圳市来美居 贸易有限公司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 雁铭</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义乌市博铭 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3" w:right="20"/>
              <w:jc w:val="both"/>
              <w:rPr>
                <w:rFonts w:ascii="宋体" w:hAnsi="宋体" w:cs="宋体" w:eastAsia="宋体" w:hint="default"/>
                <w:sz w:val="18"/>
                <w:szCs w:val="18"/>
              </w:rPr>
            </w:pPr>
            <w:r>
              <w:rPr>
                <w:rFonts w:ascii="宋体" w:hAnsi="宋体" w:cs="宋体" w:eastAsia="宋体" w:hint="default"/>
                <w:spacing w:val="-6"/>
                <w:sz w:val="18"/>
                <w:szCs w:val="18"/>
              </w:rPr>
              <w:t>不互为一致行动人的承诺函》，具体如下：本次交易前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纬诺投资、博铭投资、黄喜胜、王雁铭与乾德精一及 其主要出资人、实际控制人刘辉除已公开披露的信息 外，不存在任何关联关系，亦不存在《上市公司收购 管理办法》第八十三条所定义的构成一致行动关系的 </w:t>
            </w:r>
            <w:r>
              <w:rPr>
                <w:rFonts w:ascii="宋体" w:hAnsi="宋体" w:cs="宋体" w:eastAsia="宋体" w:hint="default"/>
                <w:spacing w:val="-2"/>
                <w:sz w:val="18"/>
                <w:szCs w:val="18"/>
              </w:rPr>
              <w:t>情形。</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、上海即富全体股东、黄喜胜、王雁铭、中国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信贷科技出具《关于不互为一致行动人的承诺函》，具</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体如下：本次交易对方中，纬诺投资和湖州同胜均为</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纬诺投资合伙企</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黄喜胜控制，纬</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业（有限合伙）</w:t>
            </w:r>
            <w:r>
              <w:rPr>
                <w:rFonts w:ascii="Times New Roman" w:hAnsi="Times New Roman" w:cs="Times New Roman" w:eastAsia="Times New Roman" w:hint="default"/>
                <w:sz w:val="18"/>
                <w:szCs w:val="18"/>
              </w:rPr>
              <w:t>;</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复星工业与白涛构成一致行动关系。除此之外，上海</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中国信贷科技控</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即富其他股东不存在任何亲属关系或其他关联关系，</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股有限公司</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亦不存在通过协议或其他安排在上海即富的经营管</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理、决策、提案和股权收益等方面形成一致行动关系</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的情形。</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1254"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嘉兴乾德精一投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刘辉</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312" w:lineRule="auto" w:before="11"/>
              <w:ind w:left="23" w:right="2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关于保证独立性的承诺函保证上市公司、上海即富的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人员、机构、业务、财务独立，资产独立、完整，若 违反上述承诺，将承担因此而给上市公司、上海即富 造成的损失。</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1"/>
              <w:jc w:val="both"/>
              <w:rPr>
                <w:rFonts w:ascii="宋体" w:hAnsi="宋体" w:cs="宋体" w:eastAsia="宋体" w:hint="default"/>
                <w:sz w:val="18"/>
                <w:szCs w:val="18"/>
              </w:rPr>
            </w:pPr>
            <w:r>
              <w:rPr>
                <w:rFonts w:ascii="宋体" w:hAnsi="宋体" w:cs="宋体" w:eastAsia="宋体" w:hint="default"/>
                <w:sz w:val="18"/>
                <w:szCs w:val="18"/>
              </w:rPr>
              <w:t>内，承 诺人严 格履行 了承</w:t>
            </w:r>
          </w:p>
        </w:tc>
      </w:tr>
      <w:tr>
        <w:trPr>
          <w:trHeight w:val="351"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62"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42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关于任职期限及竞业禁止的承诺包括黄喜胜、史恩、</w:t>
            </w:r>
          </w:p>
        </w:tc>
        <w:tc>
          <w:tcPr>
            <w:tcW w:w="566"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邵叶佳、刘杨芸和沈航惠在内的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名标的公司主要管</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理人员在标的资产交割完成后五个工作日内与标的公</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司签订服务期至少至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日的劳动合同。</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2016</w:t>
            </w: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内，承</w:t>
            </w:r>
          </w:p>
        </w:tc>
      </w:tr>
      <w:tr>
        <w:trPr>
          <w:trHeight w:val="624"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302" w:lineRule="auto"/>
              <w:ind w:left="22" w:right="23"/>
              <w:jc w:val="left"/>
              <w:rPr>
                <w:rFonts w:ascii="宋体" w:hAnsi="宋体" w:cs="宋体" w:eastAsia="宋体" w:hint="default"/>
                <w:sz w:val="18"/>
                <w:szCs w:val="18"/>
              </w:rPr>
            </w:pPr>
            <w:r>
              <w:rPr>
                <w:rFonts w:ascii="宋体" w:hAnsi="宋体" w:cs="宋体" w:eastAsia="宋体" w:hint="default"/>
                <w:sz w:val="18"/>
                <w:szCs w:val="18"/>
              </w:rPr>
              <w:t>黄喜胜</w:t>
            </w:r>
            <w:r>
              <w:rPr>
                <w:rFonts w:ascii="Times New Roman" w:hAnsi="Times New Roman" w:cs="Times New Roman" w:eastAsia="Times New Roman" w:hint="default"/>
                <w:sz w:val="18"/>
                <w:szCs w:val="18"/>
              </w:rPr>
              <w:t>;</w:t>
            </w:r>
            <w:r>
              <w:rPr>
                <w:rFonts w:ascii="宋体" w:hAnsi="宋体" w:cs="宋体" w:eastAsia="宋体" w:hint="default"/>
                <w:sz w:val="18"/>
                <w:szCs w:val="18"/>
              </w:rPr>
              <w:t>刘杨芸</w:t>
            </w:r>
            <w:r>
              <w:rPr>
                <w:rFonts w:ascii="Times New Roman" w:hAnsi="Times New Roman" w:cs="Times New Roman" w:eastAsia="Times New Roman" w:hint="default"/>
                <w:sz w:val="18"/>
                <w:szCs w:val="18"/>
              </w:rPr>
              <w:t>;</w:t>
            </w:r>
            <w:r>
              <w:rPr>
                <w:rFonts w:ascii="宋体" w:hAnsi="宋体" w:cs="宋体" w:eastAsia="宋体" w:hint="default"/>
                <w:sz w:val="18"/>
                <w:szCs w:val="18"/>
              </w:rPr>
              <w:t>邵 叶佳</w:t>
            </w:r>
            <w:r>
              <w:rPr>
                <w:rFonts w:ascii="Times New Roman" w:hAnsi="Times New Roman" w:cs="Times New Roman" w:eastAsia="Times New Roman" w:hint="default"/>
                <w:sz w:val="18"/>
                <w:szCs w:val="18"/>
              </w:rPr>
              <w:t>;</w:t>
            </w:r>
            <w:r>
              <w:rPr>
                <w:rFonts w:ascii="宋体" w:hAnsi="宋体" w:cs="宋体" w:eastAsia="宋体" w:hint="default"/>
                <w:sz w:val="18"/>
                <w:szCs w:val="18"/>
              </w:rPr>
              <w:t>沈航惠</w:t>
            </w:r>
            <w:r>
              <w:rPr>
                <w:rFonts w:ascii="Times New Roman" w:hAnsi="Times New Roman" w:cs="Times New Roman" w:eastAsia="Times New Roman" w:hint="default"/>
                <w:sz w:val="18"/>
                <w:szCs w:val="18"/>
              </w:rPr>
              <w:t>;</w:t>
            </w:r>
            <w:r>
              <w:rPr>
                <w:rFonts w:ascii="宋体" w:hAnsi="宋体" w:cs="宋体" w:eastAsia="宋体" w:hint="default"/>
                <w:sz w:val="18"/>
                <w:szCs w:val="18"/>
              </w:rPr>
              <w:t>史恩</w:t>
            </w: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自协议签署日至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日前，除非因法定事</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由或经上市公司书面同意，前述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名标的公司主要管</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诺人严 格履行</w:t>
            </w: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理人员不得离职，且标的公司主要管理人员在标的公</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了承</w:t>
            </w:r>
          </w:p>
        </w:tc>
      </w:tr>
      <w:tr>
        <w:trPr>
          <w:trHeight w:val="326"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司任职期间及离职后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年内，不得在与标的公司及其</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425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控制的企业从事相同或相似业务的公司任职，不得直</w:t>
            </w:r>
          </w:p>
        </w:tc>
        <w:tc>
          <w:tcPr>
            <w:tcW w:w="566"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42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接或间接从事、经营、投资与标的公司及其控制的企</w:t>
            </w:r>
          </w:p>
        </w:tc>
        <w:tc>
          <w:tcPr>
            <w:tcW w:w="566"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1416"/>
        <w:gridCol w:w="4255"/>
        <w:gridCol w:w="566"/>
        <w:gridCol w:w="568"/>
        <w:gridCol w:w="636"/>
      </w:tblGrid>
      <w:tr>
        <w:trPr>
          <w:trHeight w:val="3171"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78"/>
              <w:jc w:val="both"/>
              <w:rPr>
                <w:rFonts w:ascii="Times New Roman" w:hAnsi="Times New Roman" w:cs="Times New Roman" w:eastAsia="Times New Roman" w:hint="default"/>
                <w:sz w:val="18"/>
                <w:szCs w:val="18"/>
              </w:rPr>
            </w:pPr>
            <w:r>
              <w:rPr>
                <w:rFonts w:ascii="宋体" w:hAnsi="宋体" w:cs="宋体" w:eastAsia="宋体" w:hint="default"/>
                <w:sz w:val="18"/>
                <w:szCs w:val="18"/>
              </w:rPr>
              <w:t>业相同或相似的业务，不得以标的公司以外的名义为 标的公司现有客户提供相同或类似服务。若前述标的 公司的任何一名主要管理人员在标的公司任职期间及 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年内，在与标的公司及其控制的企业从事相 同或相似业务的公司任职，直接或间接从事、经营、 投资与标的公司及其控制的企业相同或相似的业务， 以标的公司以外的名义为标的公司现有客户提供相同 或类似服务，该等人员违反上述义务所获收益归标的 公司所有，且其应向标的公司承担赔偿责任（包括赔 </w:t>
            </w:r>
            <w:r>
              <w:rPr>
                <w:rFonts w:ascii="宋体" w:hAnsi="宋体" w:cs="宋体" w:eastAsia="宋体" w:hint="default"/>
                <w:spacing w:val="-5"/>
                <w:w w:val="99"/>
                <w:sz w:val="18"/>
                <w:szCs w:val="18"/>
              </w:rPr>
              <w:t>偿守约方为避免损失而支出的合理费用）。</w:t>
            </w:r>
            <w:r>
              <w:rPr>
                <w:rFonts w:ascii="Times New Roman" w:hAnsi="Times New Roman" w:cs="Times New Roman" w:eastAsia="Times New Roman" w:hint="default"/>
                <w:spacing w:val="-5"/>
                <w:w w:val="99"/>
                <w:sz w:val="18"/>
                <w:szCs w:val="18"/>
              </w:rPr>
              <w:t>"</w:t>
            </w:r>
            <w:r>
              <w:rPr>
                <w:rFonts w:ascii="Times New Roman" w:hAnsi="Times New Roman" w:cs="Times New Roman" w:eastAsia="Times New Roman" w:hint="default"/>
                <w:spacing w:val="-5"/>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陈道军</w:t>
            </w:r>
            <w:r>
              <w:rPr>
                <w:rFonts w:ascii="Times New Roman" w:hAnsi="Times New Roman" w:cs="Times New Roman" w:eastAsia="Times New Roman" w:hint="default"/>
                <w:sz w:val="18"/>
                <w:szCs w:val="18"/>
              </w:rPr>
              <w:t>;</w:t>
            </w:r>
            <w:r>
              <w:rPr>
                <w:rFonts w:ascii="宋体" w:hAnsi="宋体" w:cs="宋体" w:eastAsia="宋体" w:hint="default"/>
                <w:sz w:val="18"/>
                <w:szCs w:val="18"/>
              </w:rPr>
              <w:t>程启北</w:t>
            </w:r>
            <w:r>
              <w:rPr>
                <w:rFonts w:ascii="Times New Roman" w:hAnsi="Times New Roman" w:cs="Times New Roman" w:eastAsia="Times New Roman" w:hint="default"/>
                <w:sz w:val="18"/>
                <w:szCs w:val="18"/>
              </w:rPr>
              <w:t>;</w:t>
            </w:r>
            <w:r>
              <w:rPr>
                <w:rFonts w:ascii="宋体" w:hAnsi="宋体" w:cs="宋体" w:eastAsia="宋体" w:hint="default"/>
                <w:sz w:val="18"/>
                <w:szCs w:val="18"/>
              </w:rPr>
              <w:t>丛 丰森</w:t>
            </w:r>
            <w:r>
              <w:rPr>
                <w:rFonts w:ascii="Times New Roman" w:hAnsi="Times New Roman" w:cs="Times New Roman" w:eastAsia="Times New Roman" w:hint="default"/>
                <w:sz w:val="18"/>
                <w:szCs w:val="18"/>
              </w:rPr>
              <w:t>;</w:t>
            </w:r>
            <w:r>
              <w:rPr>
                <w:rFonts w:ascii="宋体" w:hAnsi="宋体" w:cs="宋体" w:eastAsia="宋体" w:hint="default"/>
                <w:sz w:val="18"/>
                <w:szCs w:val="18"/>
              </w:rPr>
              <w:t>杜军</w:t>
            </w:r>
            <w:r>
              <w:rPr>
                <w:rFonts w:ascii="Times New Roman" w:hAnsi="Times New Roman" w:cs="Times New Roman" w:eastAsia="Times New Roman" w:hint="default"/>
                <w:sz w:val="18"/>
                <w:szCs w:val="18"/>
              </w:rPr>
              <w:t>;</w:t>
            </w:r>
            <w:r>
              <w:rPr>
                <w:rFonts w:ascii="宋体" w:hAnsi="宋体" w:cs="宋体" w:eastAsia="宋体" w:hint="default"/>
                <w:sz w:val="18"/>
                <w:szCs w:val="18"/>
              </w:rPr>
              <w:t>高岩</w:t>
            </w:r>
            <w:r>
              <w:rPr>
                <w:rFonts w:ascii="Times New Roman" w:hAnsi="Times New Roman" w:cs="Times New Roman" w:eastAsia="Times New Roman" w:hint="default"/>
                <w:sz w:val="18"/>
                <w:szCs w:val="18"/>
              </w:rPr>
              <w:t>; </w:t>
            </w:r>
            <w:r>
              <w:rPr>
                <w:rFonts w:ascii="宋体" w:hAnsi="宋体" w:cs="宋体" w:eastAsia="宋体" w:hint="default"/>
                <w:sz w:val="18"/>
                <w:szCs w:val="18"/>
              </w:rPr>
              <w:t>嘉兴乾德精一投 </w:t>
            </w:r>
            <w:r>
              <w:rPr>
                <w:rFonts w:ascii="宋体" w:hAnsi="宋体" w:cs="宋体" w:eastAsia="宋体" w:hint="default"/>
                <w:spacing w:val="-10"/>
                <w:sz w:val="18"/>
                <w:szCs w:val="18"/>
              </w:rPr>
              <w:t>资合伙企业（有限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w:t>
            </w:r>
            <w:r>
              <w:rPr>
                <w:rFonts w:ascii="宋体" w:hAnsi="宋体" w:cs="宋体" w:eastAsia="宋体" w:hint="default"/>
                <w:sz w:val="18"/>
                <w:szCs w:val="18"/>
              </w:rPr>
              <w:t>键桥通讯 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蒋 华良</w:t>
            </w:r>
            <w:r>
              <w:rPr>
                <w:rFonts w:ascii="Times New Roman" w:hAnsi="Times New Roman" w:cs="Times New Roman" w:eastAsia="Times New Roman" w:hint="default"/>
                <w:sz w:val="18"/>
                <w:szCs w:val="18"/>
              </w:rPr>
              <w:t>;</w:t>
            </w:r>
            <w:r>
              <w:rPr>
                <w:rFonts w:ascii="宋体" w:hAnsi="宋体" w:cs="宋体" w:eastAsia="宋体" w:hint="default"/>
                <w:sz w:val="18"/>
                <w:szCs w:val="18"/>
              </w:rPr>
              <w:t>刘辉</w:t>
            </w:r>
            <w:r>
              <w:rPr>
                <w:rFonts w:ascii="Times New Roman" w:hAnsi="Times New Roman" w:cs="Times New Roman" w:eastAsia="Times New Roman" w:hint="default"/>
                <w:sz w:val="18"/>
                <w:szCs w:val="18"/>
              </w:rPr>
              <w:t>;</w:t>
            </w:r>
            <w:r>
              <w:rPr>
                <w:rFonts w:ascii="宋体" w:hAnsi="宋体" w:cs="宋体" w:eastAsia="宋体" w:hint="default"/>
                <w:sz w:val="18"/>
                <w:szCs w:val="18"/>
              </w:rPr>
              <w:t>刘永 泽</w:t>
            </w:r>
            <w:r>
              <w:rPr>
                <w:rFonts w:ascii="Times New Roman" w:hAnsi="Times New Roman" w:cs="Times New Roman" w:eastAsia="Times New Roman" w:hint="default"/>
                <w:sz w:val="18"/>
                <w:szCs w:val="18"/>
              </w:rPr>
              <w:t>;</w:t>
            </w:r>
            <w:r>
              <w:rPr>
                <w:rFonts w:ascii="宋体" w:hAnsi="宋体" w:cs="宋体" w:eastAsia="宋体" w:hint="default"/>
                <w:sz w:val="18"/>
                <w:szCs w:val="18"/>
              </w:rPr>
              <w:t>刘煜辉</w:t>
            </w:r>
            <w:r>
              <w:rPr>
                <w:rFonts w:ascii="Times New Roman" w:hAnsi="Times New Roman" w:cs="Times New Roman" w:eastAsia="Times New Roman" w:hint="default"/>
                <w:sz w:val="18"/>
                <w:szCs w:val="18"/>
              </w:rPr>
              <w:t>;</w:t>
            </w:r>
            <w:r>
              <w:rPr>
                <w:rFonts w:ascii="宋体" w:hAnsi="宋体" w:cs="宋体" w:eastAsia="宋体" w:hint="default"/>
                <w:sz w:val="18"/>
                <w:szCs w:val="18"/>
              </w:rPr>
              <w:t>孟令 章</w:t>
            </w:r>
            <w:r>
              <w:rPr>
                <w:rFonts w:ascii="Times New Roman" w:hAnsi="Times New Roman" w:cs="Times New Roman" w:eastAsia="Times New Roman" w:hint="default"/>
                <w:sz w:val="18"/>
                <w:szCs w:val="18"/>
              </w:rPr>
              <w:t>;</w:t>
            </w:r>
            <w:r>
              <w:rPr>
                <w:rFonts w:ascii="宋体" w:hAnsi="宋体" w:cs="宋体" w:eastAsia="宋体" w:hint="default"/>
                <w:sz w:val="18"/>
                <w:szCs w:val="18"/>
              </w:rPr>
              <w:t>陶艳艳</w:t>
            </w:r>
            <w:r>
              <w:rPr>
                <w:rFonts w:ascii="Times New Roman" w:hAnsi="Times New Roman" w:cs="Times New Roman" w:eastAsia="Times New Roman" w:hint="default"/>
                <w:sz w:val="18"/>
                <w:szCs w:val="18"/>
              </w:rPr>
              <w:t>;</w:t>
            </w:r>
            <w:r>
              <w:rPr>
                <w:rFonts w:ascii="宋体" w:hAnsi="宋体" w:cs="宋体" w:eastAsia="宋体" w:hint="default"/>
                <w:sz w:val="18"/>
                <w:szCs w:val="18"/>
              </w:rPr>
              <w:t>王永 彬</w:t>
            </w:r>
            <w:r>
              <w:rPr>
                <w:rFonts w:ascii="Times New Roman" w:hAnsi="Times New Roman" w:cs="Times New Roman" w:eastAsia="Times New Roman" w:hint="default"/>
                <w:sz w:val="18"/>
                <w:szCs w:val="18"/>
              </w:rPr>
              <w:t>;</w:t>
            </w:r>
            <w:r>
              <w:rPr>
                <w:rFonts w:ascii="宋体" w:hAnsi="宋体" w:cs="宋体" w:eastAsia="宋体" w:hint="default"/>
                <w:sz w:val="18"/>
                <w:szCs w:val="18"/>
              </w:rPr>
              <w:t>易欢欢</w:t>
            </w:r>
            <w:r>
              <w:rPr>
                <w:rFonts w:ascii="Times New Roman" w:hAnsi="Times New Roman" w:cs="Times New Roman" w:eastAsia="Times New Roman" w:hint="default"/>
                <w:sz w:val="18"/>
                <w:szCs w:val="18"/>
              </w:rPr>
              <w:t>;</w:t>
            </w:r>
            <w:r>
              <w:rPr>
                <w:rFonts w:ascii="宋体" w:hAnsi="宋体" w:cs="宋体" w:eastAsia="宋体" w:hint="default"/>
                <w:sz w:val="18"/>
                <w:szCs w:val="18"/>
              </w:rPr>
              <w:t>袁训明</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关于提供信息真实性、准确性和完整性的承诺函本次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重组的信息披露和申请文件不存在虚假记载、误导性 陈述或者重大遗漏。如本次重组因涉嫌所提供或者披 露的信息存在虚假记载、误导性陈述或者重大遗漏， 被司法机关立案侦查或者被中国证监会立案调查的， 在案件调查结论明确之前，将暂停转让其在上市公司 直接或间接拥有权益的股份。</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4458"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白涛</w:t>
            </w:r>
            <w:r>
              <w:rPr>
                <w:rFonts w:ascii="Times New Roman" w:hAnsi="Times New Roman" w:cs="Times New Roman" w:eastAsia="Times New Roman" w:hint="default"/>
                <w:sz w:val="18"/>
                <w:szCs w:val="18"/>
              </w:rPr>
              <w:t>;</w:t>
            </w:r>
            <w:r>
              <w:rPr>
                <w:rFonts w:ascii="宋体" w:hAnsi="宋体" w:cs="宋体" w:eastAsia="宋体" w:hint="default"/>
                <w:sz w:val="18"/>
                <w:szCs w:val="18"/>
              </w:rPr>
              <w:t>湖州同胜信 息技术合伙企业</w:t>
            </w:r>
          </w:p>
          <w:p>
            <w:pPr>
              <w:pStyle w:val="TableParagraph"/>
              <w:spacing w:line="307" w:lineRule="auto" w:before="32"/>
              <w:ind w:left="22" w:right="21"/>
              <w:jc w:val="left"/>
              <w:rPr>
                <w:rFonts w:ascii="宋体" w:hAnsi="宋体" w:cs="宋体" w:eastAsia="宋体"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黄 喜胜</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上海复星工 业技术发展有限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深圳市来美 居贸易有限公司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王雁铭</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义乌市博 铭投资合伙企业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义乌 市纬诺投资合伙 </w:t>
            </w:r>
            <w:r>
              <w:rPr>
                <w:rFonts w:ascii="宋体" w:hAnsi="宋体" w:cs="宋体" w:eastAsia="宋体" w:hint="default"/>
                <w:spacing w:val="-15"/>
                <w:sz w:val="18"/>
                <w:szCs w:val="18"/>
              </w:rPr>
              <w:t>企业（有限合伙）</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中国信贷科技控 股有限公司</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2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关于提供资料真实、准确、完整的承诺函将及时向上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市公司提供本次交易的相关信息，保证所提供的相关 信息真实、准确、完整，如因提供或披露的信息存在 虚假记载、误导性陈述或者重大遗漏，给上市公司或 者投资者造成损失的，将依法承担赔偿责任；如本次 交易因涉嫌所提供或披露的信息存在虚假记载、误导 性陈述或者重大遗漏，被司法机关立案侦查或者被中 国证监会立案调查的，在案件调查结论明确之前，将 暂停转让其在上市公司拥有权益的股份。</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2859"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白涛</w:t>
            </w:r>
            <w:r>
              <w:rPr>
                <w:rFonts w:ascii="Times New Roman" w:hAnsi="Times New Roman" w:cs="Times New Roman" w:eastAsia="Times New Roman" w:hint="default"/>
                <w:sz w:val="18"/>
                <w:szCs w:val="18"/>
              </w:rPr>
              <w:t>;</w:t>
            </w:r>
            <w:r>
              <w:rPr>
                <w:rFonts w:ascii="宋体" w:hAnsi="宋体" w:cs="宋体" w:eastAsia="宋体" w:hint="default"/>
                <w:sz w:val="18"/>
                <w:szCs w:val="18"/>
              </w:rPr>
              <w:t>湖州同胜信 息技术合伙企业</w:t>
            </w:r>
          </w:p>
          <w:p>
            <w:pPr>
              <w:pStyle w:val="TableParagraph"/>
              <w:spacing w:line="309" w:lineRule="auto" w:before="31"/>
              <w:ind w:left="22"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 海复星工业技术 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圳市来美居贸易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义乌市 博铭投资合伙企 业（有限合伙）</w:t>
            </w:r>
            <w:r>
              <w:rPr>
                <w:rFonts w:ascii="Times New Roman" w:hAnsi="Times New Roman" w:cs="Times New Roman" w:eastAsia="Times New Roman" w:hint="default"/>
                <w:sz w:val="18"/>
                <w:szCs w:val="18"/>
              </w:rPr>
              <w:t>;</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关于资产权属的承诺函：</w:t>
            </w:r>
            <w:r>
              <w:rPr>
                <w:rFonts w:ascii="Times New Roman" w:hAnsi="Times New Roman" w:cs="Times New Roman" w:eastAsia="Times New Roman" w:hint="default"/>
                <w:sz w:val="18"/>
                <w:szCs w:val="18"/>
              </w:rPr>
              <w:t>1</w:t>
            </w:r>
            <w:r>
              <w:rPr>
                <w:rFonts w:ascii="宋体" w:hAnsi="宋体" w:cs="宋体" w:eastAsia="宋体" w:hint="default"/>
                <w:sz w:val="18"/>
                <w:szCs w:val="18"/>
              </w:rPr>
              <w:t>、作为上海即富的股东， 合法持有上海即富股权；已经依法履行对上海即富的 出资义务，不存在任何虚假出资、延期出资、抽逃出 资等违反作为上海即富股东所应承担的义务及责任的 行为，不存在可能影响上海即富合法存续的情况。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 所持有的上海即富股权为本公司合法财产，为其最终 权益所有人，不存在权属纠纷，不存在信托、委托持 股或者类似安排，不存在禁止转让、限制转让的承诺 或安排，亦不存在质押、冻结、查封、财产保全或其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1416"/>
        <w:gridCol w:w="4255"/>
        <w:gridCol w:w="566"/>
        <w:gridCol w:w="568"/>
        <w:gridCol w:w="636"/>
      </w:tblGrid>
      <w:tr>
        <w:trPr>
          <w:trHeight w:val="1298"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义乌市纬诺投资 </w:t>
            </w:r>
            <w:r>
              <w:rPr>
                <w:rFonts w:ascii="宋体" w:hAnsi="宋体" w:cs="宋体" w:eastAsia="宋体" w:hint="default"/>
                <w:spacing w:val="-10"/>
                <w:sz w:val="18"/>
                <w:szCs w:val="18"/>
              </w:rPr>
              <w:t>合伙企业（有限合</w:t>
            </w:r>
            <w:r>
              <w:rPr>
                <w:rFonts w:ascii="宋体" w:hAnsi="宋体" w:cs="宋体" w:eastAsia="宋体" w:hint="default"/>
                <w:sz w:val="18"/>
                <w:szCs w:val="18"/>
              </w:rPr>
              <w:t> 伙）</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2"/>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他权利限制的情形。</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、上海即富及其控制的下属企业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未因涉嫌犯罪被司法机关立案侦查或者涉嫌违法违规 被中国证监会立案调查，未受到任何重大行政处罚， 亦未受到任何刑事处罚。</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1"/>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键桥通讯技术有限公司承诺：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、本公司目前没有直 接或间接地从事任何与股份公司营业执照所列明经营 </w:t>
            </w:r>
            <w:r>
              <w:rPr>
                <w:rFonts w:ascii="宋体" w:hAnsi="宋体" w:cs="宋体" w:eastAsia="宋体" w:hint="default"/>
                <w:spacing w:val="-2"/>
                <w:sz w:val="18"/>
                <w:szCs w:val="18"/>
              </w:rPr>
              <w:t>范围内的业务存在竞争的任何业务活动。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证现时及将来均不会以任何方式（包括但不限于独资 经营，合资经营，联营和拥有在其他公司或企业的股 票或权益）从事与股份公司的业务有竞争或可能构成 竞争的业务或活动。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、承诺期限：长期有效。</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1962"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6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1"/>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4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9"/>
              <w:jc w:val="both"/>
              <w:rPr>
                <w:rFonts w:ascii="宋体" w:hAnsi="宋体" w:cs="宋体" w:eastAsia="宋体" w:hint="default"/>
                <w:sz w:val="18"/>
                <w:szCs w:val="18"/>
              </w:rPr>
            </w:pPr>
            <w:r>
              <w:rPr>
                <w:rFonts w:ascii="宋体" w:hAnsi="宋体" w:cs="宋体" w:eastAsia="宋体" w:hint="default"/>
                <w:sz w:val="18"/>
                <w:szCs w:val="18"/>
              </w:rPr>
              <w:t>对于公司享有的企业所得税税收优惠事项，公司控股 股东键桥通讯技术有限公司承诺：如今后公司因税收 优惠被税务机关撤销而产生额外税项和费用时，将及 时、无条件、全额承担公司补缴的税款以及因此所产 生的所有相关费用。</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报告期 内，承 诺人严 格履行 了承 诺。</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16" w:type="dxa"/>
            <w:tcBorders>
              <w:top w:val="single" w:sz="4" w:space="0" w:color="000000"/>
              <w:left w:val="single" w:sz="4" w:space="0" w:color="000000"/>
              <w:bottom w:val="single" w:sz="4" w:space="0" w:color="000000"/>
              <w:right w:val="single" w:sz="4" w:space="0" w:color="000000"/>
            </w:tcBorders>
          </w:tcPr>
          <w:p>
            <w:pPr/>
          </w:p>
        </w:tc>
        <w:tc>
          <w:tcPr>
            <w:tcW w:w="425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如承诺超期 未履行完毕 的，应当详 细说明未完 成履行的具 体原因及下 一步的工作 计划</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991"/>
        <w:gridCol w:w="993"/>
        <w:gridCol w:w="992"/>
        <w:gridCol w:w="992"/>
        <w:gridCol w:w="708"/>
        <w:gridCol w:w="2762"/>
      </w:tblGrid>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1" w:right="111"/>
              <w:jc w:val="center"/>
              <w:rPr>
                <w:rFonts w:ascii="宋体" w:hAnsi="宋体" w:cs="宋体" w:eastAsia="宋体" w:hint="default"/>
                <w:sz w:val="18"/>
                <w:szCs w:val="18"/>
              </w:rPr>
            </w:pPr>
            <w:r>
              <w:rPr>
                <w:rFonts w:ascii="宋体" w:hAnsi="宋体" w:cs="宋体" w:eastAsia="宋体" w:hint="default"/>
                <w:sz w:val="18"/>
                <w:szCs w:val="18"/>
              </w:rPr>
              <w:t>盈利预测资 产或项目名 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 w:right="41"/>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7" w:right="78"/>
              <w:jc w:val="center"/>
              <w:rPr>
                <w:rFonts w:ascii="宋体" w:hAnsi="宋体" w:cs="宋体" w:eastAsia="宋体" w:hint="default"/>
                <w:sz w:val="18"/>
                <w:szCs w:val="18"/>
              </w:rPr>
            </w:pPr>
            <w:r>
              <w:rPr>
                <w:rFonts w:ascii="宋体" w:hAnsi="宋体" w:cs="宋体" w:eastAsia="宋体" w:hint="default"/>
                <w:sz w:val="18"/>
                <w:szCs w:val="18"/>
              </w:rPr>
              <w:t>原预测 披露日 期</w:t>
            </w:r>
          </w:p>
        </w:tc>
        <w:tc>
          <w:tcPr>
            <w:tcW w:w="2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745"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1"/>
              <w:jc w:val="left"/>
              <w:rPr>
                <w:rFonts w:ascii="宋体" w:hAnsi="宋体" w:cs="宋体" w:eastAsia="宋体" w:hint="default"/>
                <w:sz w:val="18"/>
                <w:szCs w:val="18"/>
              </w:rPr>
            </w:pPr>
            <w:r>
              <w:rPr>
                <w:rFonts w:ascii="宋体" w:hAnsi="宋体" w:cs="宋体" w:eastAsia="宋体" w:hint="default"/>
                <w:sz w:val="18"/>
                <w:szCs w:val="18"/>
              </w:rPr>
              <w:t>上海即富盈 利预测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15,667.72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详见公司于巨潮资讯网（网址为</w:t>
            </w:r>
          </w:p>
          <w:p>
            <w:pPr>
              <w:pStyle w:val="TableParagraph"/>
              <w:spacing w:line="240" w:lineRule="auto" w:before="76"/>
              <w:ind w:left="22"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994"/>
        <w:gridCol w:w="991"/>
        <w:gridCol w:w="993"/>
        <w:gridCol w:w="992"/>
        <w:gridCol w:w="992"/>
        <w:gridCol w:w="708"/>
        <w:gridCol w:w="2762"/>
      </w:tblGrid>
      <w:tr>
        <w:trPr>
          <w:trHeight w:val="1298"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7"/>
              <w:jc w:val="left"/>
              <w:rPr>
                <w:rFonts w:ascii="宋体" w:hAnsi="宋体" w:cs="宋体" w:eastAsia="宋体" w:hint="default"/>
                <w:sz w:val="18"/>
                <w:szCs w:val="18"/>
              </w:rPr>
            </w:pPr>
            <w:r>
              <w:rPr>
                <w:rFonts w:ascii="宋体" w:hAnsi="宋体" w:cs="宋体" w:eastAsia="宋体" w:hint="default"/>
                <w:sz w:val="18"/>
                <w:szCs w:val="18"/>
              </w:rPr>
              <w:t>《第四届董事会第十二次会议决议 </w:t>
            </w:r>
            <w:r>
              <w:rPr>
                <w:rFonts w:ascii="宋体" w:hAnsi="宋体" w:cs="宋体" w:eastAsia="宋体" w:hint="default"/>
                <w:spacing w:val="-13"/>
                <w:sz w:val="18"/>
                <w:szCs w:val="18"/>
              </w:rPr>
              <w:t>的公告》（编号</w:t>
            </w:r>
            <w:r>
              <w:rPr>
                <w:rFonts w:ascii="宋体" w:hAnsi="宋体" w:cs="宋体" w:eastAsia="宋体" w:hint="default"/>
                <w:spacing w:val="-45"/>
                <w:sz w:val="18"/>
                <w:szCs w:val="18"/>
              </w:rPr>
              <w:t> </w:t>
            </w:r>
            <w:r>
              <w:rPr>
                <w:rFonts w:ascii="Times New Roman" w:hAnsi="Times New Roman" w:cs="Times New Roman" w:eastAsia="Times New Roman" w:hint="default"/>
                <w:spacing w:val="-14"/>
                <w:sz w:val="18"/>
                <w:szCs w:val="18"/>
              </w:rPr>
              <w:t>2016-095</w:t>
            </w:r>
            <w:r>
              <w:rPr>
                <w:rFonts w:ascii="宋体" w:hAnsi="宋体" w:cs="宋体" w:eastAsia="宋体" w:hint="default"/>
                <w:spacing w:val="-14"/>
                <w:sz w:val="18"/>
                <w:szCs w:val="18"/>
              </w:rPr>
              <w:t>）、《重大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资产购买暨关联交易报告书（草 </w:t>
            </w:r>
            <w:r>
              <w:rPr>
                <w:rFonts w:ascii="宋体" w:hAnsi="宋体" w:cs="宋体" w:eastAsia="宋体" w:hint="default"/>
                <w:spacing w:val="-13"/>
                <w:sz w:val="18"/>
                <w:szCs w:val="18"/>
              </w:rPr>
              <w:t>案）》及摘要。</w:t>
            </w:r>
          </w:p>
        </w:tc>
      </w:tr>
      <w:tr>
        <w:trPr>
          <w:trHeight w:val="196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上海即富盈 利预测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27,642.28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详见公司于巨潮资讯网（网址为</w:t>
            </w:r>
          </w:p>
          <w:p>
            <w:pPr>
              <w:pStyle w:val="TableParagraph"/>
              <w:spacing w:line="240" w:lineRule="auto" w:before="75"/>
              <w:ind w:left="22"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w:t>
            </w:r>
          </w:p>
          <w:p>
            <w:pPr>
              <w:pStyle w:val="TableParagraph"/>
              <w:spacing w:line="312" w:lineRule="auto" w:before="63"/>
              <w:ind w:left="22" w:right="27"/>
              <w:jc w:val="left"/>
              <w:rPr>
                <w:rFonts w:ascii="宋体" w:hAnsi="宋体" w:cs="宋体" w:eastAsia="宋体" w:hint="default"/>
                <w:sz w:val="18"/>
                <w:szCs w:val="18"/>
              </w:rPr>
            </w:pPr>
            <w:r>
              <w:rPr>
                <w:rFonts w:ascii="宋体" w:hAnsi="宋体" w:cs="宋体" w:eastAsia="宋体" w:hint="default"/>
                <w:sz w:val="18"/>
                <w:szCs w:val="18"/>
              </w:rPr>
              <w:t>《第四届董事会第十二次会议决议 </w:t>
            </w:r>
            <w:r>
              <w:rPr>
                <w:rFonts w:ascii="宋体" w:hAnsi="宋体" w:cs="宋体" w:eastAsia="宋体" w:hint="default"/>
                <w:spacing w:val="-13"/>
                <w:sz w:val="18"/>
                <w:szCs w:val="18"/>
              </w:rPr>
              <w:t>的公告》（编号</w:t>
            </w:r>
            <w:r>
              <w:rPr>
                <w:rFonts w:ascii="宋体" w:hAnsi="宋体" w:cs="宋体" w:eastAsia="宋体" w:hint="default"/>
                <w:spacing w:val="-45"/>
                <w:sz w:val="18"/>
                <w:szCs w:val="18"/>
              </w:rPr>
              <w:t> </w:t>
            </w:r>
            <w:r>
              <w:rPr>
                <w:rFonts w:ascii="Times New Roman" w:hAnsi="Times New Roman" w:cs="Times New Roman" w:eastAsia="Times New Roman" w:hint="default"/>
                <w:spacing w:val="-14"/>
                <w:sz w:val="18"/>
                <w:szCs w:val="18"/>
              </w:rPr>
              <w:t>2016-095</w:t>
            </w:r>
            <w:r>
              <w:rPr>
                <w:rFonts w:ascii="宋体" w:hAnsi="宋体" w:cs="宋体" w:eastAsia="宋体" w:hint="default"/>
                <w:spacing w:val="-14"/>
                <w:sz w:val="18"/>
                <w:szCs w:val="18"/>
              </w:rPr>
              <w:t>）、《重大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资产购买暨关联交易报告书（草 </w:t>
            </w:r>
            <w:r>
              <w:rPr>
                <w:rFonts w:ascii="宋体" w:hAnsi="宋体" w:cs="宋体" w:eastAsia="宋体" w:hint="default"/>
                <w:spacing w:val="-13"/>
                <w:sz w:val="18"/>
                <w:szCs w:val="18"/>
              </w:rPr>
              <w:t>案）》及摘要。</w:t>
            </w:r>
          </w:p>
        </w:tc>
      </w:tr>
      <w:tr>
        <w:trPr>
          <w:trHeight w:val="196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上海即富盈 利预测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38,757.1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详见公司于巨潮资讯网（网址为</w:t>
            </w:r>
          </w:p>
          <w:p>
            <w:pPr>
              <w:pStyle w:val="TableParagraph"/>
              <w:spacing w:line="240" w:lineRule="auto" w:before="75"/>
              <w:ind w:left="22"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w:t>
            </w:r>
          </w:p>
          <w:p>
            <w:pPr>
              <w:pStyle w:val="TableParagraph"/>
              <w:spacing w:line="312" w:lineRule="auto" w:before="63"/>
              <w:ind w:left="22" w:right="27"/>
              <w:jc w:val="left"/>
              <w:rPr>
                <w:rFonts w:ascii="宋体" w:hAnsi="宋体" w:cs="宋体" w:eastAsia="宋体" w:hint="default"/>
                <w:sz w:val="18"/>
                <w:szCs w:val="18"/>
              </w:rPr>
            </w:pPr>
            <w:r>
              <w:rPr>
                <w:rFonts w:ascii="宋体" w:hAnsi="宋体" w:cs="宋体" w:eastAsia="宋体" w:hint="default"/>
                <w:sz w:val="18"/>
                <w:szCs w:val="18"/>
              </w:rPr>
              <w:t>《第四届董事会第十二次会议决议 </w:t>
            </w:r>
            <w:r>
              <w:rPr>
                <w:rFonts w:ascii="宋体" w:hAnsi="宋体" w:cs="宋体" w:eastAsia="宋体" w:hint="default"/>
                <w:spacing w:val="-13"/>
                <w:sz w:val="18"/>
                <w:szCs w:val="18"/>
              </w:rPr>
              <w:t>的公告》（编号</w:t>
            </w:r>
            <w:r>
              <w:rPr>
                <w:rFonts w:ascii="宋体" w:hAnsi="宋体" w:cs="宋体" w:eastAsia="宋体" w:hint="default"/>
                <w:spacing w:val="-45"/>
                <w:sz w:val="18"/>
                <w:szCs w:val="18"/>
              </w:rPr>
              <w:t> </w:t>
            </w:r>
            <w:r>
              <w:rPr>
                <w:rFonts w:ascii="Times New Roman" w:hAnsi="Times New Roman" w:cs="Times New Roman" w:eastAsia="Times New Roman" w:hint="default"/>
                <w:spacing w:val="-14"/>
                <w:sz w:val="18"/>
                <w:szCs w:val="18"/>
              </w:rPr>
              <w:t>2016-095</w:t>
            </w:r>
            <w:r>
              <w:rPr>
                <w:rFonts w:ascii="宋体" w:hAnsi="宋体" w:cs="宋体" w:eastAsia="宋体" w:hint="default"/>
                <w:spacing w:val="-14"/>
                <w:sz w:val="18"/>
                <w:szCs w:val="18"/>
              </w:rPr>
              <w:t>）、《重大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资产购买暨关联交易报告书（草 </w:t>
            </w:r>
            <w:r>
              <w:rPr>
                <w:rFonts w:ascii="宋体" w:hAnsi="宋体" w:cs="宋体" w:eastAsia="宋体" w:hint="default"/>
                <w:spacing w:val="-13"/>
                <w:sz w:val="18"/>
                <w:szCs w:val="18"/>
              </w:rPr>
              <w:t>案）》及摘要。</w:t>
            </w:r>
          </w:p>
        </w:tc>
      </w:tr>
    </w:tbl>
    <w:p>
      <w:pPr>
        <w:pStyle w:val="BodyText"/>
        <w:spacing w:line="240" w:lineRule="auto" w:before="51"/>
        <w:ind w:right="0"/>
        <w:jc w:val="left"/>
      </w:pPr>
      <w:r>
        <w:rPr/>
        <w:t>公司股东、交易对手方在报告年度经营业绩做出的承诺情况</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根据公司与相关方签署的《附条件生效的股权收购协议》，纬诺投资、博铭投资、湖州同胜承诺，上海即富</w:t>
      </w:r>
      <w:r>
        <w:rPr>
          <w:rFonts w:ascii="Times New Roman" w:hAnsi="Times New Roman" w:cs="Times New Roman" w:eastAsia="Times New Roman" w:hint="default"/>
          <w:spacing w:val="-2"/>
        </w:rPr>
        <w:t>2016</w:t>
      </w:r>
      <w:r>
        <w:rPr>
          <w:spacing w:val="-2"/>
        </w:rPr>
        <w:t>年度实</w:t>
      </w:r>
    </w:p>
    <w:p>
      <w:pPr>
        <w:pStyle w:val="BodyText"/>
        <w:spacing w:line="230" w:lineRule="exact"/>
        <w:ind w:right="0"/>
        <w:jc w:val="left"/>
      </w:pPr>
      <w:r>
        <w:rPr/>
        <w:t>现的净利润数额不低于人民币</w:t>
      </w:r>
      <w:r>
        <w:rPr>
          <w:rFonts w:ascii="Times New Roman" w:hAnsi="Times New Roman" w:cs="Times New Roman" w:eastAsia="Times New Roman" w:hint="default"/>
        </w:rPr>
        <w:t>1.5</w:t>
      </w:r>
      <w:r>
        <w:rPr/>
        <w:t>亿元、</w:t>
      </w:r>
      <w:r>
        <w:rPr>
          <w:rFonts w:ascii="Times New Roman" w:hAnsi="Times New Roman" w:cs="Times New Roman" w:eastAsia="Times New Roman" w:hint="default"/>
        </w:rPr>
        <w:t>2017</w:t>
      </w:r>
      <w:r>
        <w:rPr/>
        <w:t>年度实现的净利润数额不低于人民币</w:t>
      </w:r>
      <w:r>
        <w:rPr>
          <w:rFonts w:ascii="Times New Roman" w:hAnsi="Times New Roman" w:cs="Times New Roman" w:eastAsia="Times New Roman" w:hint="default"/>
        </w:rPr>
        <w:t>2</w:t>
      </w:r>
      <w:r>
        <w:rPr/>
        <w:t>亿元、</w:t>
      </w:r>
      <w:r>
        <w:rPr>
          <w:rFonts w:ascii="Times New Roman" w:hAnsi="Times New Roman" w:cs="Times New Roman" w:eastAsia="Times New Roman" w:hint="default"/>
        </w:rPr>
        <w:t>2018</w:t>
      </w:r>
      <w:r>
        <w:rPr/>
        <w:t>年度实现的净利润数额不低于</w:t>
      </w:r>
    </w:p>
    <w:p>
      <w:pPr>
        <w:pStyle w:val="BodyText"/>
        <w:spacing w:line="340" w:lineRule="auto" w:before="63"/>
        <w:ind w:right="6972"/>
        <w:jc w:val="left"/>
      </w:pPr>
      <w:r>
        <w:rPr/>
        <w:t>人民币</w:t>
      </w:r>
      <w:r>
        <w:rPr>
          <w:rFonts w:ascii="Times New Roman" w:hAnsi="Times New Roman" w:cs="Times New Roman" w:eastAsia="Times New Roman" w:hint="default"/>
        </w:rPr>
        <w:t>2.5</w:t>
      </w:r>
      <w:r>
        <w:rPr/>
        <w:t>亿元。 业绩承诺的完成情况及其对商誉减值测试的影响</w:t>
      </w:r>
    </w:p>
    <w:p>
      <w:pPr>
        <w:pStyle w:val="BodyText"/>
        <w:spacing w:line="240" w:lineRule="auto" w:before="40"/>
        <w:ind w:left="514" w:right="0"/>
        <w:jc w:val="left"/>
      </w:pPr>
      <w:r>
        <w:rPr>
          <w:rFonts w:ascii="Times New Roman" w:hAnsi="Times New Roman" w:cs="Times New Roman" w:eastAsia="Times New Roman" w:hint="default"/>
          <w:spacing w:val="10"/>
        </w:rPr>
        <w:t>1</w:t>
      </w:r>
      <w:r>
        <w:rPr>
          <w:spacing w:val="10"/>
        </w:rPr>
        <w:t>、根据信永中和会计师事务所（特殊普通合伙）出具的《上海即富信息技术服务有限公司</w:t>
      </w:r>
      <w:r>
        <w:rPr>
          <w:spacing w:val="-46"/>
        </w:rPr>
        <w:t> </w:t>
      </w:r>
      <w:r>
        <w:rPr>
          <w:rFonts w:ascii="Times New Roman" w:hAnsi="Times New Roman" w:cs="Times New Roman" w:eastAsia="Times New Roman" w:hint="default"/>
          <w:spacing w:val="6"/>
        </w:rPr>
        <w:t>2016</w:t>
      </w:r>
      <w:r>
        <w:rPr>
          <w:spacing w:val="6"/>
        </w:rPr>
        <w:t>年度审计报告》</w:t>
      </w:r>
    </w:p>
    <w:p>
      <w:pPr>
        <w:pStyle w:val="BodyText"/>
        <w:spacing w:line="300" w:lineRule="auto" w:before="63"/>
        <w:ind w:right="1097"/>
        <w:jc w:val="left"/>
      </w:pPr>
      <w:r>
        <w:rPr/>
        <w:t>（</w:t>
      </w:r>
      <w:r>
        <w:rPr>
          <w:rFonts w:ascii="Times New Roman" w:hAnsi="Times New Roman" w:cs="Times New Roman" w:eastAsia="Times New Roman" w:hint="default"/>
        </w:rPr>
        <w:t>XYZH/2017JNA10096</w:t>
      </w:r>
      <w:r>
        <w:rPr/>
        <w:t>）。经审计，上海即富</w:t>
      </w:r>
      <w:r>
        <w:rPr>
          <w:rFonts w:ascii="Times New Roman" w:hAnsi="Times New Roman" w:cs="Times New Roman" w:eastAsia="Times New Roman" w:hint="default"/>
        </w:rPr>
        <w:t>2016</w:t>
      </w:r>
      <w:r>
        <w:rPr/>
        <w:t>年度归母净利润为</w:t>
      </w:r>
      <w:r>
        <w:rPr>
          <w:rFonts w:ascii="Times New Roman" w:hAnsi="Times New Roman" w:cs="Times New Roman" w:eastAsia="Times New Roman" w:hint="default"/>
        </w:rPr>
        <w:t>156,677,213.70</w:t>
      </w:r>
      <w:r>
        <w:rPr/>
        <w:t>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日，纬诺投资、 博铭投资和湖州同胜承诺的上海即富</w:t>
      </w:r>
      <w:r>
        <w:rPr>
          <w:rFonts w:ascii="Times New Roman" w:hAnsi="Times New Roman" w:cs="Times New Roman" w:eastAsia="Times New Roman" w:hint="default"/>
        </w:rPr>
        <w:t>2016</w:t>
      </w:r>
      <w:r>
        <w:rPr/>
        <w:t>年度业绩已完成。</w:t>
      </w:r>
    </w:p>
    <w:p>
      <w:pPr>
        <w:pStyle w:val="BodyText"/>
        <w:spacing w:line="300" w:lineRule="auto" w:before="13"/>
        <w:ind w:right="0" w:firstLine="360"/>
        <w:jc w:val="left"/>
      </w:pPr>
      <w:r>
        <w:rPr>
          <w:rFonts w:ascii="Times New Roman" w:hAnsi="Times New Roman" w:cs="Times New Roman" w:eastAsia="Times New Roman" w:hint="default"/>
          <w:spacing w:val="-4"/>
        </w:rPr>
        <w:t>2</w:t>
      </w:r>
      <w:r>
        <w:rPr>
          <w:spacing w:val="-4"/>
        </w:rPr>
        <w:t>、根据中喜会计师事务所（特殊普通合伙）出具的《上海即富信息技术服务有限公司</w:t>
      </w:r>
      <w:r>
        <w:rPr>
          <w:rFonts w:ascii="Times New Roman" w:hAnsi="Times New Roman" w:cs="Times New Roman" w:eastAsia="Times New Roman" w:hint="default"/>
          <w:spacing w:val="-4"/>
        </w:rPr>
        <w:t>2017</w:t>
      </w:r>
      <w:r>
        <w:rPr>
          <w:spacing w:val="-4"/>
        </w:rPr>
        <w:t>年度财务报表审计报告》（中</w:t>
      </w:r>
      <w:r>
        <w:rPr/>
        <w:t> </w:t>
      </w:r>
      <w:r>
        <w:rPr>
          <w:spacing w:val="-1"/>
        </w:rPr>
        <w:t>喜审字【</w:t>
      </w:r>
      <w:r>
        <w:rPr>
          <w:rFonts w:ascii="Times New Roman" w:hAnsi="Times New Roman" w:cs="Times New Roman" w:eastAsia="Times New Roman" w:hint="default"/>
          <w:spacing w:val="-1"/>
        </w:rPr>
        <w:t>2018</w:t>
      </w:r>
      <w:r>
        <w:rPr>
          <w:spacing w:val="-1"/>
        </w:rPr>
        <w:t>】第</w:t>
      </w:r>
      <w:r>
        <w:rPr>
          <w:rFonts w:ascii="Times New Roman" w:hAnsi="Times New Roman" w:cs="Times New Roman" w:eastAsia="Times New Roman" w:hint="default"/>
          <w:spacing w:val="-1"/>
        </w:rPr>
        <w:t>1258</w:t>
      </w:r>
      <w:r>
        <w:rPr>
          <w:spacing w:val="-1"/>
        </w:rPr>
        <w:t>号）。经审计，上海即富</w:t>
      </w:r>
      <w:r>
        <w:rPr>
          <w:rFonts w:ascii="Times New Roman" w:hAnsi="Times New Roman" w:cs="Times New Roman" w:eastAsia="Times New Roman" w:hint="default"/>
          <w:spacing w:val="-1"/>
        </w:rPr>
        <w:t>2017</w:t>
      </w:r>
      <w:r>
        <w:rPr>
          <w:spacing w:val="-1"/>
        </w:rPr>
        <w:t>年度归母净利润为</w:t>
      </w:r>
      <w:r>
        <w:rPr>
          <w:rFonts w:ascii="Times New Roman" w:hAnsi="Times New Roman" w:cs="Times New Roman" w:eastAsia="Times New Roman" w:hint="default"/>
          <w:spacing w:val="-1"/>
        </w:rPr>
        <w:t>276,422,790.85</w:t>
      </w:r>
      <w:r>
        <w:rPr>
          <w:spacing w:val="-1"/>
        </w:rPr>
        <w:t>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日，纬诺投资、</w:t>
      </w:r>
      <w:r>
        <w:rPr>
          <w:spacing w:val="-60"/>
        </w:rPr>
        <w:t> </w:t>
      </w:r>
      <w:r>
        <w:rPr>
          <w:spacing w:val="-60"/>
        </w:rPr>
      </w:r>
      <w:r>
        <w:rPr/>
        <w:t>博铭投资和湖州同胜承诺的上海即富</w:t>
      </w:r>
      <w:r>
        <w:rPr>
          <w:rFonts w:ascii="Times New Roman" w:hAnsi="Times New Roman" w:cs="Times New Roman" w:eastAsia="Times New Roman" w:hint="default"/>
        </w:rPr>
        <w:t>2017</w:t>
      </w:r>
      <w:r>
        <w:rPr/>
        <w:t>年度业绩已完成。</w:t>
      </w:r>
    </w:p>
    <w:p>
      <w:pPr>
        <w:pStyle w:val="BodyText"/>
        <w:spacing w:line="300" w:lineRule="auto" w:before="13"/>
        <w:ind w:right="0" w:firstLine="360"/>
        <w:jc w:val="left"/>
      </w:pPr>
      <w:r>
        <w:rPr>
          <w:rFonts w:ascii="Times New Roman" w:hAnsi="Times New Roman" w:cs="Times New Roman" w:eastAsia="Times New Roman" w:hint="default"/>
          <w:spacing w:val="-4"/>
        </w:rPr>
        <w:t>3</w:t>
      </w:r>
      <w:r>
        <w:rPr>
          <w:spacing w:val="-4"/>
        </w:rPr>
        <w:t>、根据中喜会计师事务所（特殊普通合伙）出具的《上海即富信息技术服务有限公司</w:t>
      </w:r>
      <w:r>
        <w:rPr>
          <w:rFonts w:ascii="Times New Roman" w:hAnsi="Times New Roman" w:cs="Times New Roman" w:eastAsia="Times New Roman" w:hint="default"/>
          <w:spacing w:val="-4"/>
        </w:rPr>
        <w:t>2018</w:t>
      </w:r>
      <w:r>
        <w:rPr>
          <w:spacing w:val="-4"/>
        </w:rPr>
        <w:t>年度财务报表审计报告》（中</w:t>
      </w:r>
      <w:r>
        <w:rPr/>
        <w:t> </w:t>
      </w:r>
      <w:r>
        <w:rPr>
          <w:spacing w:val="-1"/>
        </w:rPr>
        <w:t>喜审字【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0611</w:t>
      </w:r>
      <w:r>
        <w:rPr>
          <w:spacing w:val="-1"/>
        </w:rPr>
        <w:t>号）。经审计，上海即富</w:t>
      </w:r>
      <w:r>
        <w:rPr>
          <w:rFonts w:ascii="Times New Roman" w:hAnsi="Times New Roman" w:cs="Times New Roman" w:eastAsia="Times New Roman" w:hint="default"/>
          <w:spacing w:val="-1"/>
        </w:rPr>
        <w:t>2018</w:t>
      </w:r>
      <w:r>
        <w:rPr>
          <w:spacing w:val="-1"/>
        </w:rPr>
        <w:t>年度归母净利润为</w:t>
      </w:r>
      <w:r>
        <w:rPr>
          <w:rFonts w:ascii="Times New Roman" w:hAnsi="Times New Roman" w:cs="Times New Roman" w:eastAsia="Times New Roman" w:hint="default"/>
          <w:spacing w:val="-1"/>
        </w:rPr>
        <w:t>387,571,014.97</w:t>
      </w:r>
      <w:r>
        <w:rPr>
          <w:spacing w:val="-1"/>
        </w:rPr>
        <w:t>元。截至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日，纬诺投资、</w:t>
      </w:r>
      <w:r>
        <w:rPr>
          <w:spacing w:val="-60"/>
        </w:rPr>
        <w:t> </w:t>
      </w:r>
      <w:r>
        <w:rPr>
          <w:spacing w:val="-60"/>
        </w:rPr>
      </w:r>
      <w:r>
        <w:rPr/>
        <w:t>博铭投资和湖州同胜承诺的上海即富</w:t>
      </w:r>
      <w:r>
        <w:rPr>
          <w:rFonts w:ascii="Times New Roman" w:hAnsi="Times New Roman" w:cs="Times New Roman" w:eastAsia="Times New Roman" w:hint="default"/>
        </w:rPr>
        <w:t>2018</w:t>
      </w:r>
      <w:r>
        <w:rPr/>
        <w:t>年度业绩已完成。</w:t>
      </w:r>
    </w:p>
    <w:p>
      <w:pPr>
        <w:pStyle w:val="BodyText"/>
        <w:spacing w:line="316" w:lineRule="auto" w:before="13"/>
        <w:ind w:left="514" w:right="0"/>
        <w:jc w:val="left"/>
      </w:pPr>
      <w:r>
        <w:rPr/>
        <w:t>上海即富商誉减值测试过程、参数及商誉减值损失的确认方法 资产组认定：公司以上海即富与商誉相关的资产组进行商誉减值测试。 </w:t>
      </w:r>
      <w:r>
        <w:rPr>
          <w:spacing w:val="-2"/>
        </w:rPr>
        <w:t>资产组的可收回金额：按照资产组的预计未来现金流量的现值确定。根据管理层批准的上述资产组的财务预算为基础预</w:t>
      </w:r>
    </w:p>
    <w:p>
      <w:pPr>
        <w:pStyle w:val="BodyText"/>
        <w:spacing w:line="300" w:lineRule="auto" w:before="19"/>
        <w:ind w:right="0"/>
        <w:jc w:val="left"/>
      </w:pPr>
      <w:r>
        <w:rPr/>
        <w:t>计未来现金流量，五年以后的永续现金流量按照预测第六年的水平确定。计算现值的折现率为</w:t>
      </w:r>
      <w:r>
        <w:rPr>
          <w:rFonts w:ascii="Times New Roman" w:hAnsi="Times New Roman" w:cs="Times New Roman" w:eastAsia="Times New Roman" w:hint="default"/>
        </w:rPr>
        <w:t>15.80%</w:t>
      </w:r>
      <w:r>
        <w:rPr/>
        <w:t>，为反映相关资产组</w:t>
      </w:r>
      <w:r>
        <w:rPr>
          <w:spacing w:val="-17"/>
        </w:rPr>
        <w:t> </w:t>
      </w:r>
      <w:r>
        <w:rPr>
          <w:spacing w:val="-17"/>
        </w:rPr>
      </w:r>
      <w:r>
        <w:rPr/>
        <w:t>特定风险的税前折现率。</w:t>
      </w:r>
    </w:p>
    <w:p>
      <w:pPr>
        <w:pStyle w:val="BodyText"/>
        <w:spacing w:line="240" w:lineRule="auto" w:before="31"/>
        <w:ind w:left="514" w:right="0"/>
        <w:jc w:val="left"/>
      </w:pPr>
      <w:r>
        <w:rPr/>
        <w:t>经测试收购上海即富确认的商誉于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日不存在减值，无需计提减值准备。</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1122"/>
        <w:jc w:val="left"/>
      </w:pPr>
      <w:r>
        <w:rPr/>
        <w:t>（</w:t>
      </w:r>
      <w:r>
        <w:rPr>
          <w:rFonts w:ascii="Times New Roman" w:hAnsi="Times New Roman" w:cs="Times New Roman" w:eastAsia="Times New Roman" w:hint="default"/>
        </w:rPr>
        <w:t>1</w:t>
      </w:r>
      <w:r>
        <w:rPr/>
        <w:t>）会计政策变更 财政部于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日发布了《关于修订印发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15</w:t>
      </w:r>
      <w:r>
        <w:rPr/>
        <w:t>号），对一</w:t>
      </w:r>
    </w:p>
    <w:p>
      <w:pPr>
        <w:pStyle w:val="BodyText"/>
        <w:spacing w:line="304" w:lineRule="auto" w:before="13"/>
        <w:ind w:right="1128"/>
        <w:jc w:val="both"/>
      </w:pPr>
      <w:r>
        <w:rPr/>
        <w:t>般企业财务报表格式进行了修订，归并部分资产负债表项目，拆分部分利润表项目；并于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日发布了《关于</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年度一般企业财务报表格式有关问题的解读》，明确要求代扣个人所得税手续费返还在</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列报，实际收到的政府补</w:t>
      </w:r>
      <w:r>
        <w:rPr>
          <w:spacing w:val="-44"/>
        </w:rPr>
        <w:t> </w:t>
      </w:r>
      <w:r>
        <w:rPr>
          <w:spacing w:val="-44"/>
        </w:rPr>
      </w:r>
      <w:r>
        <w:rPr>
          <w:spacing w:val="-2"/>
        </w:rPr>
        <w:t>助，无论是与资产相关还是与收益相关，在编制现金流量表时均作为经营活动产生的现金流量列报等。本公司已经根据新的</w:t>
      </w:r>
      <w:r>
        <w:rPr>
          <w:spacing w:val="-65"/>
        </w:rPr>
        <w:t> </w:t>
      </w:r>
      <w:r>
        <w:rPr>
          <w:spacing w:val="-65"/>
        </w:rPr>
      </w:r>
      <w:r>
        <w:rPr>
          <w:spacing w:val="-2"/>
        </w:rPr>
        <w:t>企业财务报表格式的要求编制财务报表，财务报表的列报项目因此发生变更的，已经按照《企业会计准则第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w:t>
      </w:r>
      <w:r>
        <w:rPr>
          <w:spacing w:val="-63"/>
        </w:rPr>
        <w:t> </w:t>
      </w:r>
      <w:r>
        <w:rPr/>
        <w:t>表列报》等的相关规定，对可比期间的比较数据进行调整。</w:t>
      </w:r>
    </w:p>
    <w:p>
      <w:pPr>
        <w:pStyle w:val="BodyText"/>
        <w:spacing w:line="240" w:lineRule="auto" w:before="28"/>
        <w:ind w:left="514" w:right="0"/>
        <w:jc w:val="left"/>
      </w:pPr>
      <w:r>
        <w:rPr/>
        <w:t>对可比期间的财务报表列报项目及金额的影响如下：</w:t>
      </w:r>
    </w:p>
    <w:p>
      <w:pPr>
        <w:pStyle w:val="BodyText"/>
        <w:spacing w:line="240" w:lineRule="auto" w:before="76"/>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374" w:type="dxa"/>
        <w:tblLayout w:type="fixed"/>
        <w:tblCellMar>
          <w:top w:w="0" w:type="dxa"/>
          <w:left w:w="0" w:type="dxa"/>
          <w:bottom w:w="0" w:type="dxa"/>
          <w:right w:w="0" w:type="dxa"/>
        </w:tblCellMar>
        <w:tblLook w:val="01E0"/>
      </w:tblPr>
      <w:tblGrid>
        <w:gridCol w:w="2798"/>
        <w:gridCol w:w="2552"/>
        <w:gridCol w:w="1419"/>
        <w:gridCol w:w="2410"/>
      </w:tblGrid>
      <w:tr>
        <w:trPr>
          <w:trHeight w:val="352" w:hRule="exact"/>
        </w:trPr>
        <w:tc>
          <w:tcPr>
            <w:tcW w:w="279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5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日之前列报金额</w:t>
            </w:r>
          </w:p>
        </w:tc>
        <w:tc>
          <w:tcPr>
            <w:tcW w:w="14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日经重列后金额</w:t>
            </w: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5,592,449.12</w:t>
            </w:r>
          </w:p>
        </w:tc>
        <w:tc>
          <w:tcPr>
            <w:tcW w:w="1419"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5,592,449.12</w:t>
            </w: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564,166,361.08</w:t>
            </w:r>
          </w:p>
        </w:tc>
        <w:tc>
          <w:tcPr>
            <w:tcW w:w="1419"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564,166,361.08</w:t>
            </w:r>
          </w:p>
        </w:tc>
      </w:tr>
      <w:tr>
        <w:trPr>
          <w:trHeight w:val="353"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52"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569,758,810.20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569,758,810.20</w:t>
            </w: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应收利息</w:t>
            </w:r>
          </w:p>
        </w:tc>
        <w:tc>
          <w:tcPr>
            <w:tcW w:w="2552"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552"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113,684,798.90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113,684,798.90</w:t>
            </w: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173,604,169.72</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173,604,169.72</w:t>
            </w: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34,031,514.02</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-34,031,514.02</w:t>
            </w:r>
          </w:p>
        </w:tc>
        <w:tc>
          <w:tcPr>
            <w:tcW w:w="2410"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424,448,288.05</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-424,448,288.05</w:t>
            </w:r>
          </w:p>
        </w:tc>
        <w:tc>
          <w:tcPr>
            <w:tcW w:w="2410"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52"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458,479,802.07</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458,479,802.07</w:t>
            </w: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1,221,878.06</w:t>
            </w:r>
          </w:p>
        </w:tc>
        <w:tc>
          <w:tcPr>
            <w:tcW w:w="1419"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1,221,878.06</w:t>
            </w:r>
          </w:p>
        </w:tc>
      </w:tr>
      <w:tr>
        <w:trPr>
          <w:trHeight w:val="353"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2,702,879.65</w:t>
            </w:r>
          </w:p>
        </w:tc>
        <w:tc>
          <w:tcPr>
            <w:tcW w:w="1419"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2,702,879.65</w:t>
            </w: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604,410,297.09</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3,924,757.71</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608,335,054.80</w:t>
            </w: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2552"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1,484,027.56</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1,484,027.56</w:t>
            </w:r>
          </w:p>
        </w:tc>
      </w:tr>
      <w:tr>
        <w:trPr>
          <w:trHeight w:val="353"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专项应付款</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1,484,027.56</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-1,484,027.56</w:t>
            </w:r>
          </w:p>
        </w:tc>
        <w:tc>
          <w:tcPr>
            <w:tcW w:w="2410"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179,620,008.05</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-37,622,585.95</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141,997,422.10</w:t>
            </w:r>
          </w:p>
        </w:tc>
      </w:tr>
      <w:tr>
        <w:trPr>
          <w:trHeight w:val="352"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552" w:type="dxa"/>
            <w:tcBorders>
              <w:top w:val="single" w:sz="8" w:space="0" w:color="000000"/>
              <w:left w:val="single" w:sz="8" w:space="0" w:color="000000"/>
              <w:bottom w:val="single" w:sz="8" w:space="0" w:color="000000"/>
              <w:right w:val="single" w:sz="8" w:space="0" w:color="000000"/>
            </w:tcBorders>
          </w:tcPr>
          <w:p>
            <w:pP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37,622,585.95</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37,622,585.95</w:t>
            </w:r>
          </w:p>
        </w:tc>
      </w:tr>
      <w:tr>
        <w:trPr>
          <w:trHeight w:val="353"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16,260,017.53</w:t>
            </w:r>
          </w:p>
        </w:tc>
        <w:tc>
          <w:tcPr>
            <w:tcW w:w="1419"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16,260,017.53</w:t>
            </w:r>
          </w:p>
        </w:tc>
      </w:tr>
      <w:tr>
        <w:trPr>
          <w:trHeight w:val="353" w:hRule="exact"/>
        </w:trPr>
        <w:tc>
          <w:tcPr>
            <w:tcW w:w="2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1,423,080.52</w:t>
            </w:r>
          </w:p>
        </w:tc>
        <w:tc>
          <w:tcPr>
            <w:tcW w:w="1419"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1,423,080.52</w:t>
            </w:r>
          </w:p>
        </w:tc>
      </w:tr>
    </w:tbl>
    <w:p>
      <w:pPr>
        <w:pStyle w:val="BodyText"/>
        <w:spacing w:line="300" w:lineRule="auto" w:before="10"/>
        <w:ind w:left="634" w:right="8862" w:hanging="120"/>
        <w:jc w:val="left"/>
      </w:pPr>
      <w:r>
        <w:rPr/>
        <w:t>（</w:t>
      </w:r>
      <w:r>
        <w:rPr>
          <w:rFonts w:ascii="Times New Roman" w:hAnsi="Times New Roman" w:cs="Times New Roman" w:eastAsia="Times New Roman" w:hint="default"/>
        </w:rPr>
        <w:t>2</w:t>
      </w:r>
      <w:r>
        <w:rPr/>
        <w:t>）会计估计变更 无。</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jc w:val="left"/>
      </w:pPr>
      <w:r>
        <w:rPr/>
        <w:t>（</w:t>
      </w:r>
      <w:r>
        <w:rPr>
          <w:rFonts w:ascii="Times New Roman" w:hAnsi="Times New Roman" w:cs="Times New Roman" w:eastAsia="Times New Roman" w:hint="default"/>
        </w:rPr>
        <w:t>1</w:t>
      </w:r>
      <w:r>
        <w:rPr/>
        <w:t>）前期会计差错更正的内容、批准处理情况。 </w:t>
      </w:r>
      <w:r>
        <w:rPr>
          <w:spacing w:val="-1"/>
        </w:rPr>
        <w:t>公司通过财务自查，发现</w:t>
      </w:r>
      <w:r>
        <w:rPr>
          <w:rFonts w:ascii="Times New Roman" w:hAnsi="Times New Roman" w:cs="Times New Roman" w:eastAsia="Times New Roman" w:hint="default"/>
          <w:spacing w:val="-1"/>
        </w:rPr>
        <w:t>2015</w:t>
      </w:r>
      <w:r>
        <w:rPr>
          <w:spacing w:val="-1"/>
        </w:rPr>
        <w:t>年有</w:t>
      </w:r>
      <w:r>
        <w:rPr>
          <w:rFonts w:ascii="Times New Roman" w:hAnsi="Times New Roman" w:cs="Times New Roman" w:eastAsia="Times New Roman" w:hint="default"/>
          <w:spacing w:val="-1"/>
        </w:rPr>
        <w:t>3</w:t>
      </w:r>
      <w:r>
        <w:rPr>
          <w:spacing w:val="-1"/>
        </w:rPr>
        <w:t>个单位的部分采购发票上的进项税额</w:t>
      </w:r>
      <w:r>
        <w:rPr>
          <w:rFonts w:ascii="Times New Roman" w:hAnsi="Times New Roman" w:cs="Times New Roman" w:eastAsia="Times New Roman" w:hint="default"/>
          <w:spacing w:val="-1"/>
        </w:rPr>
        <w:t>2,033,644.53</w:t>
      </w:r>
      <w:r>
        <w:rPr>
          <w:spacing w:val="-1"/>
        </w:rPr>
        <w:t>元计入了货物采购成本，由于该批</w:t>
      </w:r>
    </w:p>
    <w:p>
      <w:pPr>
        <w:pStyle w:val="BodyText"/>
        <w:spacing w:line="300" w:lineRule="auto" w:before="13"/>
        <w:ind w:right="1167"/>
        <w:jc w:val="left"/>
      </w:pPr>
      <w:r>
        <w:rPr/>
        <w:t>货物</w:t>
      </w:r>
      <w:r>
        <w:rPr>
          <w:rFonts w:ascii="Times New Roman" w:hAnsi="Times New Roman" w:cs="Times New Roman" w:eastAsia="Times New Roman" w:hint="default"/>
        </w:rPr>
        <w:t>2015</w:t>
      </w:r>
      <w:r>
        <w:rPr/>
        <w:t>年已全部对外销售，导致营业成本增加</w:t>
      </w:r>
      <w:r>
        <w:rPr>
          <w:rFonts w:ascii="Times New Roman" w:hAnsi="Times New Roman" w:cs="Times New Roman" w:eastAsia="Times New Roman" w:hint="default"/>
        </w:rPr>
        <w:t>2,033,644.53</w:t>
      </w:r>
      <w:r>
        <w:rPr/>
        <w:t>元。根据《企业会计准则第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 和会计差错更正》，公司对以上进项税的账务处理进行追溯重述。</w:t>
      </w:r>
    </w:p>
    <w:p>
      <w:pPr>
        <w:pStyle w:val="BodyText"/>
        <w:spacing w:line="240" w:lineRule="auto" w:before="32"/>
        <w:ind w:left="514" w:right="0"/>
        <w:jc w:val="left"/>
      </w:pPr>
      <w:r>
        <w:rPr/>
        <w:t>公司第四届董事会第三十六次会议审议通过了《关于公司前期会计差错更正的议案》。</w:t>
      </w:r>
    </w:p>
    <w:p>
      <w:pPr>
        <w:pStyle w:val="BodyText"/>
        <w:spacing w:line="300" w:lineRule="auto" w:before="76"/>
        <w:ind w:left="454" w:right="1131"/>
        <w:jc w:val="left"/>
      </w:pPr>
      <w:r>
        <w:rPr/>
        <w:t>（</w:t>
      </w:r>
      <w:r>
        <w:rPr>
          <w:rFonts w:ascii="Times New Roman" w:hAnsi="Times New Roman" w:cs="Times New Roman" w:eastAsia="Times New Roman" w:hint="default"/>
        </w:rPr>
        <w:t>2</w:t>
      </w:r>
      <w:r>
        <w:rPr/>
        <w:t>）受影响的各个比较期间报表项目名称和累计影响数。 </w:t>
      </w:r>
      <w:r>
        <w:rPr>
          <w:spacing w:val="-2"/>
        </w:rPr>
        <w:t>本公司对上述会计差错事项已按照追溯重述法进行了更正。更正后，调增</w:t>
      </w:r>
      <w:r>
        <w:rPr>
          <w:rFonts w:ascii="Times New Roman" w:hAnsi="Times New Roman" w:cs="Times New Roman" w:eastAsia="Times New Roman" w:hint="default"/>
          <w:spacing w:val="-2"/>
        </w:rPr>
        <w:t>2015-2017</w:t>
      </w:r>
      <w:r>
        <w:rPr>
          <w:spacing w:val="-2"/>
        </w:rPr>
        <w:t>年度归属于母公司所有者的净利润及</w:t>
      </w:r>
    </w:p>
    <w:p>
      <w:pPr>
        <w:pStyle w:val="BodyText"/>
        <w:spacing w:line="240" w:lineRule="auto" w:before="13"/>
        <w:ind w:right="0"/>
        <w:jc w:val="left"/>
      </w:pPr>
      <w:r>
        <w:rPr/>
        <w:t>留存收益</w:t>
      </w:r>
      <w:r>
        <w:rPr>
          <w:rFonts w:ascii="Times New Roman" w:hAnsi="Times New Roman" w:cs="Times New Roman" w:eastAsia="Times New Roman" w:hint="default"/>
        </w:rPr>
        <w:t>1,728,597.85</w:t>
      </w:r>
      <w:r>
        <w:rPr/>
        <w:t>元。</w:t>
      </w:r>
    </w:p>
    <w:p>
      <w:pPr>
        <w:pStyle w:val="BodyText"/>
        <w:spacing w:line="240" w:lineRule="auto" w:before="63"/>
        <w:ind w:left="454" w:right="0"/>
        <w:jc w:val="left"/>
      </w:pPr>
      <w:r>
        <w:rPr/>
        <w:t>①对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日合并资产负债表的影响：</w:t>
      </w:r>
    </w:p>
    <w:p>
      <w:pPr>
        <w:pStyle w:val="BodyText"/>
        <w:spacing w:line="240" w:lineRule="auto" w:before="63"/>
        <w:ind w:left="0" w:right="1130"/>
        <w:jc w:val="right"/>
      </w:pPr>
      <w:r>
        <w:rPr/>
        <w:t>单位：元</w:t>
      </w:r>
    </w:p>
    <w:p>
      <w:pPr>
        <w:spacing w:line="240" w:lineRule="auto" w:before="8"/>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2846"/>
        <w:gridCol w:w="2268"/>
        <w:gridCol w:w="1985"/>
        <w:gridCol w:w="2268"/>
      </w:tblGrid>
      <w:tr>
        <w:trPr>
          <w:trHeight w:val="331" w:hRule="exact"/>
        </w:trPr>
        <w:tc>
          <w:tcPr>
            <w:tcW w:w="28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73" w:right="0"/>
              <w:jc w:val="left"/>
              <w:rPr>
                <w:rFonts w:ascii="宋体" w:hAnsi="宋体" w:cs="宋体" w:eastAsia="宋体" w:hint="default"/>
                <w:sz w:val="18"/>
                <w:szCs w:val="18"/>
              </w:rPr>
            </w:pPr>
            <w:r>
              <w:rPr>
                <w:rFonts w:ascii="宋体" w:hAnsi="宋体" w:cs="宋体" w:eastAsia="宋体" w:hint="default"/>
                <w:sz w:val="18"/>
                <w:szCs w:val="18"/>
              </w:rPr>
              <w:t>追溯重述前</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22" w:right="0"/>
              <w:jc w:val="left"/>
              <w:rPr>
                <w:rFonts w:ascii="宋体" w:hAnsi="宋体" w:cs="宋体" w:eastAsia="宋体" w:hint="default"/>
                <w:sz w:val="18"/>
                <w:szCs w:val="18"/>
              </w:rPr>
            </w:pPr>
            <w:r>
              <w:rPr>
                <w:rFonts w:ascii="宋体" w:hAnsi="宋体" w:cs="宋体" w:eastAsia="宋体" w:hint="default"/>
                <w:sz w:val="18"/>
                <w:szCs w:val="18"/>
              </w:rPr>
              <w:t>重述金额</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
              <w:ind w:left="673" w:right="0"/>
              <w:jc w:val="left"/>
              <w:rPr>
                <w:rFonts w:ascii="宋体" w:hAnsi="宋体" w:cs="宋体" w:eastAsia="宋体" w:hint="default"/>
                <w:sz w:val="18"/>
                <w:szCs w:val="18"/>
              </w:rPr>
            </w:pPr>
            <w:r>
              <w:rPr>
                <w:rFonts w:ascii="宋体" w:hAnsi="宋体" w:cs="宋体" w:eastAsia="宋体" w:hint="default"/>
                <w:sz w:val="18"/>
                <w:szCs w:val="18"/>
              </w:rPr>
              <w:t>追溯重述后</w:t>
            </w:r>
          </w:p>
        </w:tc>
      </w:tr>
      <w:tr>
        <w:trPr>
          <w:trHeight w:val="353" w:hRule="exact"/>
        </w:trPr>
        <w:tc>
          <w:tcPr>
            <w:tcW w:w="2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61,658,515.36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59,929,917.51</w:t>
            </w:r>
          </w:p>
        </w:tc>
      </w:tr>
      <w:tr>
        <w:trPr>
          <w:trHeight w:val="352" w:hRule="exact"/>
        </w:trPr>
        <w:tc>
          <w:tcPr>
            <w:tcW w:w="2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1,975,617,595.96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1,973,888,998.11</w:t>
            </w:r>
          </w:p>
        </w:tc>
      </w:tr>
      <w:tr>
        <w:trPr>
          <w:trHeight w:val="352" w:hRule="exact"/>
        </w:trPr>
        <w:tc>
          <w:tcPr>
            <w:tcW w:w="2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34,529,199.69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172,859.79</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34,702,059.48</w:t>
            </w:r>
          </w:p>
        </w:tc>
      </w:tr>
      <w:tr>
        <w:trPr>
          <w:trHeight w:val="353" w:hRule="exact"/>
        </w:trPr>
        <w:tc>
          <w:tcPr>
            <w:tcW w:w="2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156,547,852.13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1,555,738.06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158,103,590.19</w:t>
            </w:r>
          </w:p>
        </w:tc>
      </w:tr>
      <w:tr>
        <w:trPr>
          <w:trHeight w:val="352" w:hRule="exact"/>
        </w:trPr>
        <w:tc>
          <w:tcPr>
            <w:tcW w:w="2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831,479,938.84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833,208,536.69</w:t>
            </w:r>
          </w:p>
        </w:tc>
      </w:tr>
      <w:tr>
        <w:trPr>
          <w:trHeight w:val="353" w:hRule="exact"/>
        </w:trPr>
        <w:tc>
          <w:tcPr>
            <w:tcW w:w="28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1,072,017,465.99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1,073,746,063.84</w:t>
            </w:r>
          </w:p>
        </w:tc>
      </w:tr>
    </w:tbl>
    <w:p>
      <w:pPr>
        <w:pStyle w:val="BodyText"/>
        <w:spacing w:line="240" w:lineRule="auto" w:before="10"/>
        <w:ind w:left="634" w:right="0"/>
        <w:jc w:val="left"/>
      </w:pPr>
      <w:r>
        <w:rPr/>
        <w:t>②对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日母公司资产负债表的影响：</w:t>
      </w:r>
    </w:p>
    <w:p>
      <w:pPr>
        <w:pStyle w:val="BodyText"/>
        <w:spacing w:line="240" w:lineRule="auto" w:before="63"/>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06"/>
        <w:gridCol w:w="2208"/>
        <w:gridCol w:w="1985"/>
        <w:gridCol w:w="2268"/>
      </w:tblGrid>
      <w:tr>
        <w:trPr>
          <w:trHeight w:val="352" w:hRule="exact"/>
        </w:trPr>
        <w:tc>
          <w:tcPr>
            <w:tcW w:w="290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43" w:right="0"/>
              <w:jc w:val="left"/>
              <w:rPr>
                <w:rFonts w:ascii="宋体" w:hAnsi="宋体" w:cs="宋体" w:eastAsia="宋体" w:hint="default"/>
                <w:sz w:val="18"/>
                <w:szCs w:val="18"/>
              </w:rPr>
            </w:pPr>
            <w:r>
              <w:rPr>
                <w:rFonts w:ascii="宋体" w:hAnsi="宋体" w:cs="宋体" w:eastAsia="宋体" w:hint="default"/>
                <w:sz w:val="18"/>
                <w:szCs w:val="18"/>
              </w:rPr>
              <w:t>追溯重述前</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22" w:right="0"/>
              <w:jc w:val="left"/>
              <w:rPr>
                <w:rFonts w:ascii="宋体" w:hAnsi="宋体" w:cs="宋体" w:eastAsia="宋体" w:hint="default"/>
                <w:sz w:val="18"/>
                <w:szCs w:val="18"/>
              </w:rPr>
            </w:pPr>
            <w:r>
              <w:rPr>
                <w:rFonts w:ascii="宋体" w:hAnsi="宋体" w:cs="宋体" w:eastAsia="宋体" w:hint="default"/>
                <w:sz w:val="18"/>
                <w:szCs w:val="18"/>
              </w:rPr>
              <w:t>重述金额</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追溯重述后</w:t>
            </w:r>
          </w:p>
        </w:tc>
      </w:tr>
      <w:tr>
        <w:trPr>
          <w:trHeight w:val="353" w:hRule="exact"/>
        </w:trPr>
        <w:tc>
          <w:tcPr>
            <w:tcW w:w="2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9,378,497.31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7,649,899.46</w:t>
            </w:r>
          </w:p>
        </w:tc>
      </w:tr>
      <w:tr>
        <w:trPr>
          <w:trHeight w:val="352" w:hRule="exact"/>
        </w:trPr>
        <w:tc>
          <w:tcPr>
            <w:tcW w:w="2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1,527,369,723.26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1,525,641,125.41</w:t>
            </w:r>
          </w:p>
        </w:tc>
      </w:tr>
      <w:tr>
        <w:trPr>
          <w:trHeight w:val="352" w:hRule="exact"/>
        </w:trPr>
        <w:tc>
          <w:tcPr>
            <w:tcW w:w="2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34,529,199.69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172,859.79</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34,702,059.48</w:t>
            </w:r>
          </w:p>
        </w:tc>
      </w:tr>
      <w:tr>
        <w:trPr>
          <w:trHeight w:val="353" w:hRule="exact"/>
        </w:trPr>
        <w:tc>
          <w:tcPr>
            <w:tcW w:w="2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136,008,222.80</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1,555,738.06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137,563,960.86</w:t>
            </w:r>
          </w:p>
        </w:tc>
      </w:tr>
      <w:tr>
        <w:trPr>
          <w:trHeight w:val="353" w:hRule="exact"/>
        </w:trPr>
        <w:tc>
          <w:tcPr>
            <w:tcW w:w="29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22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811,342,035.41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813,070,633.26</w:t>
            </w:r>
          </w:p>
        </w:tc>
      </w:tr>
    </w:tbl>
    <w:p>
      <w:pPr>
        <w:pStyle w:val="BodyText"/>
        <w:spacing w:line="240" w:lineRule="auto" w:before="10"/>
        <w:ind w:left="634" w:right="0"/>
        <w:jc w:val="left"/>
      </w:pPr>
      <w:r>
        <w:rPr/>
        <w:t>③对</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日合并资产负债表的影响：</w:t>
      </w:r>
    </w:p>
    <w:p>
      <w:pPr>
        <w:pStyle w:val="BodyText"/>
        <w:spacing w:line="240" w:lineRule="auto" w:before="63"/>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87"/>
        <w:gridCol w:w="2127"/>
        <w:gridCol w:w="1985"/>
        <w:gridCol w:w="2268"/>
      </w:tblGrid>
      <w:tr>
        <w:trPr>
          <w:trHeight w:val="352" w:hRule="exact"/>
        </w:trPr>
        <w:tc>
          <w:tcPr>
            <w:tcW w:w="298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sz w:val="18"/>
                <w:szCs w:val="18"/>
              </w:rPr>
              <w:t>追溯重述前</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22" w:right="0"/>
              <w:jc w:val="left"/>
              <w:rPr>
                <w:rFonts w:ascii="宋体" w:hAnsi="宋体" w:cs="宋体" w:eastAsia="宋体" w:hint="default"/>
                <w:sz w:val="18"/>
                <w:szCs w:val="18"/>
              </w:rPr>
            </w:pPr>
            <w:r>
              <w:rPr>
                <w:rFonts w:ascii="宋体" w:hAnsi="宋体" w:cs="宋体" w:eastAsia="宋体" w:hint="default"/>
                <w:sz w:val="18"/>
                <w:szCs w:val="18"/>
              </w:rPr>
              <w:t>重述金额</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追溯重述后</w:t>
            </w:r>
          </w:p>
        </w:tc>
      </w:tr>
      <w:tr>
        <w:trPr>
          <w:trHeight w:val="352" w:hRule="exact"/>
        </w:trPr>
        <w:tc>
          <w:tcPr>
            <w:tcW w:w="298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25,585,408.25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23,856,810.40</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1,243,895,422.49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1,242,166,824.64</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34,529,199.69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172,859.79</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34,702,059.48</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180,896,024.54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1,555,738.06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182,451,762.60</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857,479,601.79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859,208,199.64</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850,939,836.26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852,668,434.11</w:t>
            </w:r>
          </w:p>
        </w:tc>
      </w:tr>
    </w:tbl>
    <w:p>
      <w:pPr>
        <w:pStyle w:val="BodyText"/>
        <w:spacing w:line="240" w:lineRule="auto" w:before="10"/>
        <w:ind w:left="634" w:right="0"/>
        <w:jc w:val="left"/>
      </w:pPr>
      <w:r>
        <w:rPr/>
        <w:t>④对</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日母公司资产负债表的影响：</w:t>
      </w:r>
    </w:p>
    <w:p>
      <w:pPr>
        <w:pStyle w:val="BodyText"/>
        <w:spacing w:line="240" w:lineRule="auto" w:before="63"/>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87"/>
        <w:gridCol w:w="2127"/>
        <w:gridCol w:w="1985"/>
        <w:gridCol w:w="2268"/>
      </w:tblGrid>
      <w:tr>
        <w:trPr>
          <w:trHeight w:val="352" w:hRule="exact"/>
        </w:trPr>
        <w:tc>
          <w:tcPr>
            <w:tcW w:w="298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sz w:val="18"/>
                <w:szCs w:val="18"/>
              </w:rPr>
              <w:t>追溯重述前</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22" w:right="0"/>
              <w:jc w:val="left"/>
              <w:rPr>
                <w:rFonts w:ascii="宋体" w:hAnsi="宋体" w:cs="宋体" w:eastAsia="宋体" w:hint="default"/>
                <w:sz w:val="18"/>
                <w:szCs w:val="18"/>
              </w:rPr>
            </w:pPr>
            <w:r>
              <w:rPr>
                <w:rFonts w:ascii="宋体" w:hAnsi="宋体" w:cs="宋体" w:eastAsia="宋体" w:hint="default"/>
                <w:sz w:val="18"/>
                <w:szCs w:val="18"/>
              </w:rPr>
              <w:t>重述金额</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追溯重述后</w:t>
            </w:r>
          </w:p>
        </w:tc>
      </w:tr>
      <w:tr>
        <w:trPr>
          <w:trHeight w:val="352" w:hRule="exact"/>
        </w:trPr>
        <w:tc>
          <w:tcPr>
            <w:tcW w:w="298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14,037,720.77</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12,309,122.92</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1,245,202,690.53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1,243,474,092.68</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34,529,199.69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172,859.79</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34,702,059.48</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202,687,649.53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1,555,738.06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204,243,387.59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2987"/>
        <w:gridCol w:w="2127"/>
        <w:gridCol w:w="1985"/>
        <w:gridCol w:w="2273"/>
      </w:tblGrid>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94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983" w:right="-1"/>
              <w:jc w:val="left"/>
              <w:rPr>
                <w:rFonts w:ascii="Times New Roman" w:hAnsi="Times New Roman" w:cs="Times New Roman" w:eastAsia="Times New Roman" w:hint="default"/>
                <w:sz w:val="18"/>
                <w:szCs w:val="18"/>
              </w:rPr>
            </w:pPr>
            <w:r>
              <w:rPr>
                <w:rFonts w:ascii="Times New Roman"/>
                <w:sz w:val="18"/>
              </w:rPr>
              <w:t>878,021,462.14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021" w:right="-1"/>
              <w:jc w:val="left"/>
              <w:rPr>
                <w:rFonts w:ascii="Times New Roman" w:hAnsi="Times New Roman" w:cs="Times New Roman" w:eastAsia="Times New Roman" w:hint="default"/>
                <w:sz w:val="18"/>
                <w:szCs w:val="18"/>
              </w:rPr>
            </w:pPr>
            <w:r>
              <w:rPr>
                <w:rFonts w:ascii="Times New Roman"/>
                <w:sz w:val="18"/>
              </w:rPr>
              <w:t>1,728,597.85</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123" w:right="0"/>
              <w:jc w:val="left"/>
              <w:rPr>
                <w:rFonts w:ascii="Times New Roman" w:hAnsi="Times New Roman" w:cs="Times New Roman" w:eastAsia="Times New Roman" w:hint="default"/>
                <w:sz w:val="18"/>
                <w:szCs w:val="18"/>
              </w:rPr>
            </w:pPr>
            <w:r>
              <w:rPr>
                <w:rFonts w:ascii="Times New Roman"/>
                <w:sz w:val="18"/>
              </w:rPr>
              <w:t>879,750,059.99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00" w:lineRule="auto" w:before="10"/>
        <w:ind w:left="634" w:right="-20"/>
        <w:jc w:val="left"/>
      </w:pPr>
      <w:r>
        <w:rPr/>
        <w:t>⑤对</w:t>
      </w:r>
      <w:r>
        <w:rPr>
          <w:rFonts w:ascii="Times New Roman" w:hAnsi="Times New Roman" w:cs="Times New Roman" w:eastAsia="Times New Roman" w:hint="default"/>
        </w:rPr>
        <w:t>2015</w:t>
      </w:r>
      <w:r>
        <w:rPr/>
        <w:t>年度合并财务报表的影响： 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633" w:right="0"/>
        <w:jc w:val="left"/>
      </w:pPr>
      <w:r>
        <w:rPr/>
        <w:t>单位：元</w:t>
      </w:r>
    </w:p>
    <w:p>
      <w:pPr>
        <w:spacing w:after="0" w:line="240" w:lineRule="auto"/>
        <w:jc w:val="left"/>
        <w:sectPr>
          <w:type w:val="continuous"/>
          <w:pgSz w:w="11910" w:h="16840"/>
          <w:pgMar w:top="1060" w:bottom="1160" w:left="980" w:right="0"/>
          <w:cols w:num="2" w:equalWidth="0">
            <w:col w:w="3515" w:space="4925"/>
            <w:col w:w="2490"/>
          </w:cols>
        </w:sectPr>
      </w:pP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87"/>
        <w:gridCol w:w="2127"/>
        <w:gridCol w:w="1985"/>
        <w:gridCol w:w="2268"/>
      </w:tblGrid>
      <w:tr>
        <w:trPr>
          <w:trHeight w:val="352" w:hRule="exact"/>
        </w:trPr>
        <w:tc>
          <w:tcPr>
            <w:tcW w:w="298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sz w:val="18"/>
                <w:szCs w:val="18"/>
              </w:rPr>
              <w:t>追溯重述前</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22" w:right="0"/>
              <w:jc w:val="left"/>
              <w:rPr>
                <w:rFonts w:ascii="宋体" w:hAnsi="宋体" w:cs="宋体" w:eastAsia="宋体" w:hint="default"/>
                <w:sz w:val="18"/>
                <w:szCs w:val="18"/>
              </w:rPr>
            </w:pPr>
            <w:r>
              <w:rPr>
                <w:rFonts w:ascii="宋体" w:hAnsi="宋体" w:cs="宋体" w:eastAsia="宋体" w:hint="default"/>
                <w:sz w:val="18"/>
                <w:szCs w:val="18"/>
              </w:rPr>
              <w:t>重述金额</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追溯重述后</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62,584,954.19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60,856,356.34</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1,102,169,188.74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1,100,440,590.89</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31,825,824.06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172,859.79</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31,998,683.85</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184,989,113.53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1,555,738.06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186,544,851.59</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857,560,501.83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859,289,099.68</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858,262,983.93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859,991,581.78</w:t>
            </w:r>
          </w:p>
        </w:tc>
      </w:tr>
    </w:tbl>
    <w:p>
      <w:pPr>
        <w:pStyle w:val="BodyText"/>
        <w:spacing w:line="240" w:lineRule="auto" w:before="10"/>
        <w:ind w:left="634" w:right="0"/>
        <w:jc w:val="left"/>
      </w:pPr>
      <w:r>
        <w:rPr/>
        <w:t>利润表</w:t>
      </w:r>
    </w:p>
    <w:p>
      <w:pPr>
        <w:pStyle w:val="BodyText"/>
        <w:spacing w:line="240" w:lineRule="auto" w:before="76"/>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87"/>
        <w:gridCol w:w="2127"/>
        <w:gridCol w:w="1985"/>
        <w:gridCol w:w="2268"/>
      </w:tblGrid>
      <w:tr>
        <w:trPr>
          <w:trHeight w:val="352" w:hRule="exact"/>
        </w:trPr>
        <w:tc>
          <w:tcPr>
            <w:tcW w:w="298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sz w:val="18"/>
                <w:szCs w:val="18"/>
              </w:rPr>
              <w:t>追溯重述前</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22" w:right="0"/>
              <w:jc w:val="left"/>
              <w:rPr>
                <w:rFonts w:ascii="宋体" w:hAnsi="宋体" w:cs="宋体" w:eastAsia="宋体" w:hint="default"/>
                <w:sz w:val="18"/>
                <w:szCs w:val="18"/>
              </w:rPr>
            </w:pPr>
            <w:r>
              <w:rPr>
                <w:rFonts w:ascii="宋体" w:hAnsi="宋体" w:cs="宋体" w:eastAsia="宋体" w:hint="default"/>
                <w:sz w:val="18"/>
                <w:szCs w:val="18"/>
              </w:rPr>
              <w:t>重述金额</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追溯重述后</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682,796,720.16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-2,033,644.53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680,763,075.63</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r>
              <w:rPr>
                <w:rFonts w:ascii="宋体" w:hAnsi="宋体" w:cs="宋体" w:eastAsia="宋体" w:hint="default"/>
                <w:spacing w:val="-19"/>
                <w:sz w:val="18"/>
                <w:szCs w:val="18"/>
              </w:rPr>
              <w:t> </w:t>
            </w:r>
            <w:r>
              <w:rPr>
                <w:rFonts w:ascii="宋体" w:hAnsi="宋体" w:cs="宋体" w:eastAsia="宋体" w:hint="default"/>
                <w:sz w:val="18"/>
                <w:szCs w:val="18"/>
              </w:rPr>
              <w:t>填列）</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17,990,981.05</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2,033,644.53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20,024,625.58</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1,358,462.94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305,046.68</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1,663,509.62</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16,632,518.11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18,361,115.96</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23,139,733.68</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24,868,331.53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00" w:lineRule="auto" w:before="10"/>
        <w:ind w:left="634" w:right="-20"/>
        <w:jc w:val="left"/>
      </w:pPr>
      <w:r>
        <w:rPr/>
        <w:t>⑥对</w:t>
      </w:r>
      <w:r>
        <w:rPr>
          <w:rFonts w:ascii="Times New Roman" w:hAnsi="Times New Roman" w:cs="Times New Roman" w:eastAsia="Times New Roman" w:hint="default"/>
        </w:rPr>
        <w:t>2015</w:t>
      </w:r>
      <w:r>
        <w:rPr/>
        <w:t>年度母公司财务报表的影响： 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633" w:right="0"/>
        <w:jc w:val="left"/>
      </w:pPr>
      <w:r>
        <w:rPr/>
        <w:t>单位：元</w:t>
      </w:r>
    </w:p>
    <w:p>
      <w:pPr>
        <w:spacing w:after="0" w:line="240" w:lineRule="auto"/>
        <w:jc w:val="left"/>
        <w:sectPr>
          <w:type w:val="continuous"/>
          <w:pgSz w:w="11910" w:h="16840"/>
          <w:pgMar w:top="1060" w:bottom="1160" w:left="980" w:right="0"/>
          <w:cols w:num="2" w:equalWidth="0">
            <w:col w:w="3695" w:space="4745"/>
            <w:col w:w="2490"/>
          </w:cols>
        </w:sectPr>
      </w:pP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87"/>
        <w:gridCol w:w="2127"/>
        <w:gridCol w:w="1985"/>
        <w:gridCol w:w="2268"/>
      </w:tblGrid>
      <w:tr>
        <w:trPr>
          <w:trHeight w:val="352" w:hRule="exact"/>
        </w:trPr>
        <w:tc>
          <w:tcPr>
            <w:tcW w:w="298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sz w:val="18"/>
                <w:szCs w:val="18"/>
              </w:rPr>
              <w:t>追溯重述前</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22" w:right="0"/>
              <w:jc w:val="left"/>
              <w:rPr>
                <w:rFonts w:ascii="宋体" w:hAnsi="宋体" w:cs="宋体" w:eastAsia="宋体" w:hint="default"/>
                <w:sz w:val="18"/>
                <w:szCs w:val="18"/>
              </w:rPr>
            </w:pPr>
            <w:r>
              <w:rPr>
                <w:rFonts w:ascii="宋体" w:hAnsi="宋体" w:cs="宋体" w:eastAsia="宋体" w:hint="default"/>
                <w:sz w:val="18"/>
                <w:szCs w:val="18"/>
              </w:rPr>
              <w:t>重述金额</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追溯重述后</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55,018,576.13</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53,289,978.28</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966,459,458.82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964,730,860.97</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31,825,824.06</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172,859.79</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31,998,683.85</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182,288,916.91</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1,555,738.06</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183,844,654.97</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854,778,904.99</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856,507,502.84</w:t>
            </w:r>
          </w:p>
        </w:tc>
      </w:tr>
    </w:tbl>
    <w:p>
      <w:pPr>
        <w:pStyle w:val="BodyText"/>
        <w:spacing w:line="240" w:lineRule="auto" w:before="10"/>
        <w:ind w:left="634" w:right="0"/>
        <w:jc w:val="left"/>
      </w:pPr>
      <w:r>
        <w:rPr/>
        <w:t>利润表</w:t>
      </w:r>
    </w:p>
    <w:p>
      <w:pPr>
        <w:pStyle w:val="BodyText"/>
        <w:spacing w:line="240" w:lineRule="auto" w:before="76"/>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2987"/>
        <w:gridCol w:w="2127"/>
        <w:gridCol w:w="1985"/>
        <w:gridCol w:w="2268"/>
      </w:tblGrid>
      <w:tr>
        <w:trPr>
          <w:trHeight w:val="332" w:hRule="exact"/>
        </w:trPr>
        <w:tc>
          <w:tcPr>
            <w:tcW w:w="298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03" w:right="0"/>
              <w:jc w:val="left"/>
              <w:rPr>
                <w:rFonts w:ascii="宋体" w:hAnsi="宋体" w:cs="宋体" w:eastAsia="宋体" w:hint="default"/>
                <w:sz w:val="18"/>
                <w:szCs w:val="18"/>
              </w:rPr>
            </w:pPr>
            <w:r>
              <w:rPr>
                <w:rFonts w:ascii="宋体" w:hAnsi="宋体" w:cs="宋体" w:eastAsia="宋体" w:hint="default"/>
                <w:sz w:val="18"/>
                <w:szCs w:val="18"/>
              </w:rPr>
              <w:t>追溯重述前</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22" w:right="0"/>
              <w:jc w:val="left"/>
              <w:rPr>
                <w:rFonts w:ascii="宋体" w:hAnsi="宋体" w:cs="宋体" w:eastAsia="宋体" w:hint="default"/>
                <w:sz w:val="18"/>
                <w:szCs w:val="18"/>
              </w:rPr>
            </w:pPr>
            <w:r>
              <w:rPr>
                <w:rFonts w:ascii="宋体" w:hAnsi="宋体" w:cs="宋体" w:eastAsia="宋体" w:hint="default"/>
                <w:sz w:val="18"/>
                <w:szCs w:val="18"/>
              </w:rPr>
              <w:t>重述金额</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追溯重述后</w:t>
            </w:r>
          </w:p>
        </w:tc>
      </w:tr>
      <w:tr>
        <w:trPr>
          <w:trHeight w:val="372" w:hRule="exact"/>
        </w:trPr>
        <w:tc>
          <w:tcPr>
            <w:tcW w:w="298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6"/>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12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408,148,349.11</w:t>
            </w:r>
          </w:p>
        </w:tc>
        <w:tc>
          <w:tcPr>
            <w:tcW w:w="19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6"/>
              <w:ind w:right="-1"/>
              <w:jc w:val="right"/>
              <w:rPr>
                <w:rFonts w:ascii="Times New Roman" w:hAnsi="Times New Roman" w:cs="Times New Roman" w:eastAsia="Times New Roman" w:hint="default"/>
                <w:sz w:val="18"/>
                <w:szCs w:val="18"/>
              </w:rPr>
            </w:pPr>
            <w:r>
              <w:rPr>
                <w:rFonts w:ascii="Times New Roman"/>
                <w:spacing w:val="-1"/>
                <w:sz w:val="18"/>
              </w:rPr>
              <w:t>-2,033,644.53</w:t>
            </w:r>
          </w:p>
        </w:tc>
        <w:tc>
          <w:tcPr>
            <w:tcW w:w="22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76"/>
              <w:ind w:right="0"/>
              <w:jc w:val="right"/>
              <w:rPr>
                <w:rFonts w:ascii="Times New Roman" w:hAnsi="Times New Roman" w:cs="Times New Roman" w:eastAsia="Times New Roman" w:hint="default"/>
                <w:sz w:val="18"/>
                <w:szCs w:val="18"/>
              </w:rPr>
            </w:pPr>
            <w:r>
              <w:rPr>
                <w:rFonts w:ascii="Times New Roman"/>
                <w:spacing w:val="-1"/>
                <w:sz w:val="18"/>
              </w:rPr>
              <w:t>406,114,704.58</w:t>
            </w:r>
          </w:p>
        </w:tc>
      </w:tr>
      <w:tr>
        <w:trPr>
          <w:trHeight w:val="352"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利润总额（亏损总额以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54,860,471.04</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2,033,644.53</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56,894,115.57</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11,326,132.42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305,046.68</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11,631,179.10</w:t>
            </w:r>
          </w:p>
        </w:tc>
      </w:tr>
      <w:tr>
        <w:trPr>
          <w:trHeight w:val="353" w:hRule="exact"/>
        </w:trPr>
        <w:tc>
          <w:tcPr>
            <w:tcW w:w="2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净利润（净亏损以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43,534,338.62</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1,728,597.85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45,262,936.47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15</w:t>
      </w:r>
      <w:r>
        <w:rPr/>
        <w:t>家，比上年增加</w:t>
      </w:r>
      <w:r>
        <w:rPr>
          <w:rFonts w:ascii="Times New Roman" w:hAnsi="Times New Roman" w:cs="Times New Roman" w:eastAsia="Times New Roman" w:hint="default"/>
        </w:rPr>
        <w:t>1</w:t>
      </w:r>
      <w:r>
        <w:rPr/>
        <w:t>家（非同一控制下合并增加子公司</w:t>
      </w:r>
      <w:r>
        <w:rPr>
          <w:rFonts w:ascii="Times New Roman" w:hAnsi="Times New Roman" w:cs="Times New Roman" w:eastAsia="Times New Roman" w:hint="default"/>
        </w:rPr>
        <w:t>1</w:t>
      </w:r>
      <w:r>
        <w:rPr/>
        <w:t>家）。</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中喜会计师事务所（特殊普通合伙）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饶世旗、周香萍</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本年度，公司聘请中喜会计师事务所（特殊普通合伙）对亚联发展公司截至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日与财务报表相关的内部控制</w:t>
      </w:r>
    </w:p>
    <w:p>
      <w:pPr>
        <w:pStyle w:val="BodyText"/>
        <w:spacing w:line="231" w:lineRule="exact"/>
        <w:ind w:right="0"/>
        <w:jc w:val="left"/>
      </w:pPr>
      <w:r>
        <w:rPr/>
        <w:t>的有效性发表鉴证意见，出具内控鉴证报告，期间共支付审计费</w:t>
      </w:r>
      <w:r>
        <w:rPr>
          <w:rFonts w:ascii="Times New Roman" w:hAnsi="Times New Roman" w:cs="Times New Roman" w:eastAsia="Times New Roman" w:hint="default"/>
        </w:rPr>
        <w:t>50</w:t>
      </w:r>
      <w:r>
        <w:rPr/>
        <w:t>万元。</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1559"/>
        <w:gridCol w:w="1985"/>
        <w:gridCol w:w="1203"/>
        <w:gridCol w:w="924"/>
        <w:gridCol w:w="1204"/>
      </w:tblGrid>
      <w:tr>
        <w:trPr>
          <w:trHeight w:val="71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30" w:right="71"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基本情况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896" w:right="26" w:hanging="87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 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46" w:right="84"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9"/>
              <w:jc w:val="left"/>
              <w:rPr>
                <w:rFonts w:ascii="宋体" w:hAnsi="宋体" w:cs="宋体" w:eastAsia="宋体" w:hint="default"/>
                <w:sz w:val="18"/>
                <w:szCs w:val="18"/>
              </w:rPr>
            </w:pPr>
            <w:r>
              <w:rPr>
                <w:rFonts w:ascii="宋体" w:hAnsi="宋体" w:cs="宋体" w:eastAsia="宋体" w:hint="default"/>
                <w:sz w:val="18"/>
                <w:szCs w:val="18"/>
              </w:rPr>
              <w:t>借款合同纠 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3,864.26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中止审理仲裁案 件，待中院案件作 出生效审理结果 后，再恢复审理。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无影响。</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暂无判决。</w:t>
            </w:r>
          </w:p>
        </w:tc>
        <w:tc>
          <w:tcPr>
            <w:tcW w:w="92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借款合同纠 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2,167.7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84"/>
              <w:jc w:val="left"/>
              <w:rPr>
                <w:rFonts w:ascii="宋体" w:hAnsi="宋体" w:cs="宋体" w:eastAsia="宋体" w:hint="default"/>
                <w:sz w:val="18"/>
                <w:szCs w:val="18"/>
              </w:rPr>
            </w:pPr>
            <w:r>
              <w:rPr>
                <w:rFonts w:ascii="宋体" w:hAnsi="宋体" w:cs="宋体" w:eastAsia="宋体" w:hint="default"/>
                <w:sz w:val="18"/>
                <w:szCs w:val="18"/>
              </w:rPr>
              <w:t>一审已结案，二审 审理中。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8"/>
              <w:jc w:val="left"/>
              <w:rPr>
                <w:rFonts w:ascii="宋体" w:hAnsi="宋体" w:cs="宋体" w:eastAsia="宋体" w:hint="default"/>
                <w:sz w:val="18"/>
                <w:szCs w:val="18"/>
              </w:rPr>
            </w:pPr>
            <w:r>
              <w:rPr>
                <w:rFonts w:ascii="宋体" w:hAnsi="宋体" w:cs="宋体" w:eastAsia="宋体" w:hint="default"/>
                <w:sz w:val="18"/>
                <w:szCs w:val="18"/>
              </w:rPr>
              <w:t>公司在本案中为第三人， 审理结果对公司无影响。 深圳市中级人民法院判 决：</w:t>
            </w:r>
            <w:r>
              <w:rPr>
                <w:rFonts w:ascii="Times New Roman" w:hAnsi="Times New Roman" w:cs="Times New Roman" w:eastAsia="Times New Roman" w:hint="default"/>
                <w:sz w:val="18"/>
                <w:szCs w:val="18"/>
              </w:rPr>
              <w:t>1</w:t>
            </w:r>
            <w:r>
              <w:rPr>
                <w:rFonts w:ascii="宋体" w:hAnsi="宋体" w:cs="宋体" w:eastAsia="宋体" w:hint="default"/>
                <w:sz w:val="18"/>
                <w:szCs w:val="18"/>
              </w:rPr>
              <w:t>、确认原告徐书林 与被告郑燕辉之间的人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万元借款合同 法律关系合法有效；</w:t>
            </w:r>
            <w:r>
              <w:rPr>
                <w:rFonts w:ascii="Times New Roman" w:hAnsi="Times New Roman" w:cs="Times New Roman" w:eastAsia="Times New Roman" w:hint="default"/>
                <w:sz w:val="18"/>
                <w:szCs w:val="18"/>
              </w:rPr>
              <w:t>2</w:t>
            </w:r>
            <w:r>
              <w:rPr>
                <w:rFonts w:ascii="宋体" w:hAnsi="宋体" w:cs="宋体" w:eastAsia="宋体" w:hint="default"/>
                <w:sz w:val="18"/>
                <w:szCs w:val="18"/>
              </w:rPr>
              <w:t>、 驳回原告徐书林的其他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759" w:lineRule="exact"/>
              <w:ind w:right="-51"/>
              <w:jc w:val="left"/>
              <w:rPr>
                <w:rFonts w:ascii="宋体" w:hAnsi="宋体" w:cs="宋体" w:eastAsia="宋体" w:hint="default"/>
                <w:sz w:val="20"/>
                <w:szCs w:val="20"/>
              </w:rPr>
            </w:pPr>
            <w:r>
              <w:rPr>
                <w:rFonts w:ascii="宋体" w:hAnsi="宋体" w:cs="宋体" w:eastAsia="宋体" w:hint="default"/>
                <w:position w:val="-14"/>
                <w:sz w:val="20"/>
                <w:szCs w:val="20"/>
              </w:rPr>
              <w:pict>
                <v:group style="width:59.7pt;height:38pt;mso-position-horizontal-relative:char;mso-position-vertical-relative:line" coordorigin="0,0" coordsize="1194,760">
                  <v:group style="position:absolute;left:0;top:0;width:1194;height:760" coordorigin="0,0" coordsize="1194,760">
                    <v:shape style="position:absolute;left:0;top:0;width:1194;height:760" coordorigin="0,0" coordsize="1194,760" path="m0,760l1193,760,1193,0,0,0,0,760xe" filled="true" fillcolor="#ffffff" stroked="false">
                      <v:path arrowok="t"/>
                      <v:fill type="solid"/>
                    </v:shape>
                  </v:group>
                </v:group>
              </w:pict>
            </w:r>
            <w:r>
              <w:rPr>
                <w:rFonts w:ascii="宋体" w:hAnsi="宋体" w:cs="宋体" w:eastAsia="宋体" w:hint="default"/>
                <w:position w:val="-14"/>
                <w:sz w:val="20"/>
                <w:szCs w:val="20"/>
              </w:rPr>
            </w:r>
          </w:p>
          <w:p>
            <w:pPr>
              <w:pStyle w:val="TableParagraph"/>
              <w:spacing w:line="319" w:lineRule="auto" w:before="52"/>
              <w:ind w:left="22" w:right="88"/>
              <w:jc w:val="both"/>
              <w:rPr>
                <w:rFonts w:ascii="宋体" w:hAnsi="宋体" w:cs="宋体" w:eastAsia="宋体" w:hint="default"/>
                <w:sz w:val="18"/>
                <w:szCs w:val="18"/>
              </w:rPr>
            </w:pPr>
            <w:r>
              <w:rPr>
                <w:rFonts w:ascii="宋体" w:hAnsi="宋体" w:cs="宋体" w:eastAsia="宋体" w:hint="default"/>
                <w:sz w:val="18"/>
                <w:szCs w:val="18"/>
              </w:rPr>
              <w:t>一审后被告上 诉，二审尚未 判决。</w:t>
            </w:r>
          </w:p>
        </w:tc>
        <w:tc>
          <w:tcPr>
            <w:tcW w:w="92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1559"/>
        <w:gridCol w:w="1985"/>
        <w:gridCol w:w="1203"/>
        <w:gridCol w:w="924"/>
        <w:gridCol w:w="1204"/>
      </w:tblGrid>
      <w:tr>
        <w:trPr>
          <w:trHeight w:val="36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诉讼请求。</w:t>
            </w:r>
          </w:p>
        </w:tc>
        <w:tc>
          <w:tcPr>
            <w:tcW w:w="1203"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59"/>
              <w:jc w:val="both"/>
              <w:rPr>
                <w:rFonts w:ascii="宋体" w:hAnsi="宋体" w:cs="宋体" w:eastAsia="宋体" w:hint="default"/>
                <w:sz w:val="18"/>
                <w:szCs w:val="18"/>
              </w:rPr>
            </w:pPr>
            <w:r>
              <w:rPr>
                <w:rFonts w:ascii="宋体" w:hAnsi="宋体" w:cs="宋体" w:eastAsia="宋体" w:hint="default"/>
                <w:sz w:val="18"/>
                <w:szCs w:val="18"/>
              </w:rPr>
              <w:t>中国移动通 信集团山东 有限公司合 同纠纷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0"/>
              <w:jc w:val="right"/>
              <w:rPr>
                <w:rFonts w:ascii="Times New Roman" w:hAnsi="Times New Roman" w:cs="Times New Roman" w:eastAsia="Times New Roman" w:hint="default"/>
                <w:sz w:val="18"/>
                <w:szCs w:val="18"/>
              </w:rPr>
            </w:pPr>
            <w:r>
              <w:rPr>
                <w:rFonts w:ascii="Times New Roman"/>
                <w:sz w:val="18"/>
              </w:rPr>
              <w:t>4,238.3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暂无判决。</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5"/>
              <w:ind w:left="22" w:right="89"/>
              <w:jc w:val="left"/>
              <w:rPr>
                <w:rFonts w:ascii="宋体" w:hAnsi="宋体" w:cs="宋体" w:eastAsia="宋体" w:hint="default"/>
                <w:sz w:val="18"/>
                <w:szCs w:val="18"/>
              </w:rPr>
            </w:pPr>
            <w:r>
              <w:rPr>
                <w:rFonts w:ascii="宋体" w:hAnsi="宋体" w:cs="宋体" w:eastAsia="宋体" w:hint="default"/>
                <w:sz w:val="18"/>
                <w:szCs w:val="18"/>
              </w:rPr>
              <w:t>《中国证券 </w:t>
            </w:r>
            <w:r>
              <w:rPr>
                <w:rFonts w:ascii="宋体" w:hAnsi="宋体" w:cs="宋体" w:eastAsia="宋体" w:hint="default"/>
                <w:spacing w:val="-26"/>
                <w:sz w:val="18"/>
                <w:szCs w:val="18"/>
              </w:rPr>
              <w:t>报》、《上海证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6"/>
                <w:sz w:val="18"/>
                <w:szCs w:val="18"/>
              </w:rPr>
              <w:t>券报》、《证券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日报》和巨潮 资讯网（网址 为：</w:t>
            </w:r>
          </w:p>
          <w:p>
            <w:pPr>
              <w:pStyle w:val="TableParagraph"/>
              <w:spacing w:line="316" w:lineRule="auto" w:before="58"/>
              <w:ind w:left="22" w:right="9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http://www.cni</w:t>
            </w:r>
            <w:r>
              <w:rPr>
                <w:rFonts w:ascii="Times New Roman" w:hAnsi="Times New Roman" w:cs="Times New Roman" w:eastAsia="Times New Roman" w:hint="default"/>
                <w:sz w:val="18"/>
                <w:szCs w:val="18"/>
              </w:rPr>
              <w:t> nfo.com.cn</w:t>
            </w:r>
            <w:r>
              <w:rPr>
                <w:rFonts w:ascii="宋体" w:hAnsi="宋体" w:cs="宋体" w:eastAsia="宋体" w:hint="default"/>
                <w:sz w:val="18"/>
                <w:szCs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进行中。</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基本无影响。</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暂无判决。</w:t>
            </w:r>
          </w:p>
        </w:tc>
        <w:tc>
          <w:tcPr>
            <w:tcW w:w="92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39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报告期内，公司及其控股股东、实际控制人不存在未履行法院生效判决、所负数额较大的债务到期未清偿等情况。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无。</w:t>
      </w:r>
    </w:p>
    <w:p>
      <w:pPr>
        <w:pStyle w:val="BodyText"/>
        <w:spacing w:line="240" w:lineRule="auto" w:before="43"/>
        <w:ind w:right="0"/>
        <w:jc w:val="left"/>
      </w:pPr>
      <w:r>
        <w:rPr/>
        <w:t>公司报告期无股权激励计划、员工持股计划或其他员工激励措施及其实施情况。</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40" w:lineRule="auto" w:before="39"/>
        <w:ind w:left="454" w:right="0"/>
        <w:jc w:val="left"/>
      </w:pPr>
      <w:r>
        <w:rPr/>
        <w:t>主要租金收益情况：</w:t>
      </w:r>
    </w:p>
    <w:p>
      <w:pPr>
        <w:pStyle w:val="BodyText"/>
        <w:spacing w:line="300" w:lineRule="auto" w:before="76"/>
        <w:ind w:right="1122" w:firstLine="360"/>
        <w:jc w:val="left"/>
      </w:pPr>
      <w:r>
        <w:rPr/>
        <w:t>①公司将位于东莞市松山湖科技产业园区新竹路</w:t>
      </w:r>
      <w:r>
        <w:rPr>
          <w:rFonts w:ascii="Times New Roman" w:hAnsi="Times New Roman" w:cs="Times New Roman" w:eastAsia="Times New Roman" w:hint="default"/>
        </w:rPr>
        <w:t>4</w:t>
      </w:r>
      <w:r>
        <w:rPr/>
        <w:t>号新竹苑</w:t>
      </w:r>
      <w:r>
        <w:rPr>
          <w:rFonts w:ascii="Times New Roman" w:hAnsi="Times New Roman" w:cs="Times New Roman" w:eastAsia="Times New Roman" w:hint="default"/>
        </w:rPr>
        <w:t>6</w:t>
      </w:r>
      <w:r>
        <w:rPr/>
        <w:t>幢办公</w:t>
      </w:r>
      <w:r>
        <w:rPr>
          <w:rFonts w:ascii="Times New Roman" w:hAnsi="Times New Roman" w:cs="Times New Roman" w:eastAsia="Times New Roman" w:hint="default"/>
        </w:rPr>
        <w:t>101</w:t>
      </w:r>
      <w:r>
        <w:rPr/>
        <w:t>、</w:t>
      </w:r>
      <w:r>
        <w:rPr>
          <w:rFonts w:ascii="Times New Roman" w:hAnsi="Times New Roman" w:cs="Times New Roman" w:eastAsia="Times New Roman" w:hint="default"/>
        </w:rPr>
        <w:t>201</w:t>
      </w:r>
      <w:r>
        <w:rPr/>
        <w:t>、</w:t>
      </w:r>
      <w:r>
        <w:rPr>
          <w:rFonts w:ascii="Times New Roman" w:hAnsi="Times New Roman" w:cs="Times New Roman" w:eastAsia="Times New Roman" w:hint="default"/>
        </w:rPr>
        <w:t>301</w:t>
      </w:r>
      <w:r>
        <w:rPr/>
        <w:t>、</w:t>
      </w:r>
      <w:r>
        <w:rPr>
          <w:rFonts w:ascii="Times New Roman" w:hAnsi="Times New Roman" w:cs="Times New Roman" w:eastAsia="Times New Roman" w:hint="default"/>
        </w:rPr>
        <w:t>401</w:t>
      </w:r>
      <w:r>
        <w:rPr/>
        <w:t>、</w:t>
      </w:r>
      <w:r>
        <w:rPr>
          <w:rFonts w:ascii="Times New Roman" w:hAnsi="Times New Roman" w:cs="Times New Roman" w:eastAsia="Times New Roman" w:hint="default"/>
        </w:rPr>
        <w:t>501</w:t>
      </w:r>
      <w:r>
        <w:rPr/>
        <w:t>分别出租，报告期内租赁 收益合计</w:t>
      </w:r>
      <w:r>
        <w:rPr>
          <w:rFonts w:ascii="Times New Roman" w:hAnsi="Times New Roman" w:cs="Times New Roman" w:eastAsia="Times New Roman" w:hint="default"/>
        </w:rPr>
        <w:t>1,618,216.93</w:t>
      </w:r>
      <w:r>
        <w:rPr/>
        <w:t>元；</w:t>
      </w:r>
    </w:p>
    <w:p>
      <w:pPr>
        <w:pStyle w:val="BodyText"/>
        <w:spacing w:line="240" w:lineRule="auto" w:before="13"/>
        <w:ind w:left="514" w:right="0"/>
        <w:jc w:val="left"/>
      </w:pPr>
      <w:r>
        <w:rPr/>
        <w:t>②公司将位于宁波市江北区长阳东路</w:t>
      </w:r>
      <w:r>
        <w:rPr>
          <w:rFonts w:ascii="Times New Roman" w:hAnsi="Times New Roman" w:cs="Times New Roman" w:eastAsia="Times New Roman" w:hint="default"/>
        </w:rPr>
        <w:t>165</w:t>
      </w:r>
      <w:r>
        <w:rPr/>
        <w:t>弄</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1007</w:t>
      </w:r>
      <w:r>
        <w:rPr/>
        <w:t>室、</w:t>
      </w:r>
      <w:r>
        <w:rPr>
          <w:rFonts w:ascii="Times New Roman" w:hAnsi="Times New Roman" w:cs="Times New Roman" w:eastAsia="Times New Roman" w:hint="default"/>
        </w:rPr>
        <w:t>1008</w:t>
      </w:r>
      <w:r>
        <w:rPr/>
        <w:t>室、</w:t>
      </w:r>
      <w:r>
        <w:rPr>
          <w:rFonts w:ascii="Times New Roman" w:hAnsi="Times New Roman" w:cs="Times New Roman" w:eastAsia="Times New Roman" w:hint="default"/>
        </w:rPr>
        <w:t>1009</w:t>
      </w:r>
      <w:r>
        <w:rPr/>
        <w:t>室分别出租，报告期内租赁收益合计</w:t>
      </w:r>
      <w:r>
        <w:rPr>
          <w:rFonts w:ascii="Times New Roman" w:hAnsi="Times New Roman" w:cs="Times New Roman" w:eastAsia="Times New Roman" w:hint="default"/>
        </w:rPr>
        <w:t>84,804.59</w:t>
      </w:r>
      <w:r>
        <w:rPr/>
        <w:t>元；</w:t>
      </w:r>
    </w:p>
    <w:p>
      <w:pPr>
        <w:pStyle w:val="BodyText"/>
        <w:spacing w:line="240" w:lineRule="auto" w:before="63"/>
        <w:ind w:left="514" w:right="0"/>
        <w:jc w:val="left"/>
      </w:pPr>
      <w:r>
        <w:rPr/>
        <w:t>③公司将位于武汉市东湖开发区巴黎豪庭</w:t>
      </w:r>
      <w:r>
        <w:rPr>
          <w:rFonts w:ascii="Times New Roman" w:hAnsi="Times New Roman" w:cs="Times New Roman" w:eastAsia="Times New Roman" w:hint="default"/>
        </w:rPr>
        <w:t>21</w:t>
      </w:r>
      <w:r>
        <w:rPr/>
        <w:t>栋</w:t>
      </w:r>
      <w:r>
        <w:rPr>
          <w:rFonts w:ascii="Times New Roman" w:hAnsi="Times New Roman" w:cs="Times New Roman" w:eastAsia="Times New Roman" w:hint="default"/>
        </w:rPr>
        <w:t>2</w:t>
      </w:r>
      <w:r>
        <w:rPr/>
        <w:t>层</w:t>
      </w:r>
      <w:r>
        <w:rPr>
          <w:rFonts w:ascii="Times New Roman" w:hAnsi="Times New Roman" w:cs="Times New Roman" w:eastAsia="Times New Roman" w:hint="default"/>
        </w:rPr>
        <w:t>01</w:t>
      </w:r>
      <w:r>
        <w:rPr/>
        <w:t>号出租，报告期内租赁收益</w:t>
      </w:r>
      <w:r>
        <w:rPr>
          <w:rFonts w:ascii="Times New Roman" w:hAnsi="Times New Roman" w:cs="Times New Roman" w:eastAsia="Times New Roman" w:hint="default"/>
        </w:rPr>
        <w:t>38,009.84</w:t>
      </w:r>
      <w:r>
        <w:rPr/>
        <w:t>元；</w:t>
      </w:r>
    </w:p>
    <w:p>
      <w:pPr>
        <w:pStyle w:val="BodyText"/>
        <w:spacing w:line="240" w:lineRule="auto" w:before="63"/>
        <w:ind w:left="514" w:right="0"/>
        <w:jc w:val="left"/>
      </w:pPr>
      <w:r>
        <w:rPr/>
        <w:t>④公司将位于重庆市北部新区金开大道</w:t>
      </w:r>
      <w:r>
        <w:rPr>
          <w:rFonts w:ascii="Times New Roman" w:hAnsi="Times New Roman" w:cs="Times New Roman" w:eastAsia="Times New Roman" w:hint="default"/>
        </w:rPr>
        <w:t>68</w:t>
      </w:r>
      <w:r>
        <w:rPr/>
        <w:t>号</w:t>
      </w:r>
      <w:r>
        <w:rPr>
          <w:rFonts w:ascii="Times New Roman" w:hAnsi="Times New Roman" w:cs="Times New Roman" w:eastAsia="Times New Roman" w:hint="default"/>
        </w:rPr>
        <w:t>4</w:t>
      </w:r>
      <w:r>
        <w:rPr/>
        <w:t>幢</w:t>
      </w:r>
      <w:r>
        <w:rPr>
          <w:rFonts w:ascii="Times New Roman" w:hAnsi="Times New Roman" w:cs="Times New Roman" w:eastAsia="Times New Roman" w:hint="default"/>
        </w:rPr>
        <w:t>16-1</w:t>
      </w:r>
      <w:r>
        <w:rPr/>
        <w:t>出租，报告期内租赁收益</w:t>
      </w:r>
      <w:r>
        <w:rPr>
          <w:rFonts w:ascii="Times New Roman" w:hAnsi="Times New Roman" w:cs="Times New Roman" w:eastAsia="Times New Roman" w:hint="default"/>
        </w:rPr>
        <w:t>191,523.16</w:t>
      </w:r>
      <w:r>
        <w:rPr/>
        <w:t>元；</w:t>
      </w:r>
    </w:p>
    <w:p>
      <w:pPr>
        <w:pStyle w:val="BodyText"/>
        <w:spacing w:line="240" w:lineRule="auto" w:before="63"/>
        <w:ind w:left="514" w:right="0"/>
        <w:jc w:val="left"/>
      </w:pPr>
      <w:r>
        <w:rPr/>
        <w:t>⑤公司将成都市高新区天仁路</w:t>
      </w:r>
      <w:r>
        <w:rPr>
          <w:rFonts w:ascii="Times New Roman" w:hAnsi="Times New Roman" w:cs="Times New Roman" w:eastAsia="Times New Roman" w:hint="default"/>
        </w:rPr>
        <w:t>387</w:t>
      </w:r>
      <w:r>
        <w:rPr/>
        <w:t>号</w:t>
      </w:r>
      <w:r>
        <w:rPr>
          <w:rFonts w:ascii="Times New Roman" w:hAnsi="Times New Roman" w:cs="Times New Roman" w:eastAsia="Times New Roman" w:hint="default"/>
        </w:rPr>
        <w:t>2</w:t>
      </w:r>
      <w:r>
        <w:rPr/>
        <w:t>栋</w:t>
      </w:r>
      <w:r>
        <w:rPr>
          <w:rFonts w:ascii="Times New Roman" w:hAnsi="Times New Roman" w:cs="Times New Roman" w:eastAsia="Times New Roman" w:hint="default"/>
        </w:rPr>
        <w:t>21</w:t>
      </w:r>
      <w:r>
        <w:rPr/>
        <w:t>层</w:t>
      </w:r>
      <w:r>
        <w:rPr>
          <w:rFonts w:ascii="Times New Roman" w:hAnsi="Times New Roman" w:cs="Times New Roman" w:eastAsia="Times New Roman" w:hint="default"/>
        </w:rPr>
        <w:t>2105</w:t>
      </w:r>
      <w:r>
        <w:rPr/>
        <w:t>号出租，报告期内租赁收益</w:t>
      </w:r>
      <w:r>
        <w:rPr>
          <w:rFonts w:ascii="Times New Roman" w:hAnsi="Times New Roman" w:cs="Times New Roman" w:eastAsia="Times New Roman" w:hint="default"/>
        </w:rPr>
        <w:t>117,810.24</w:t>
      </w:r>
      <w:r>
        <w:rPr/>
        <w:t>元；</w:t>
      </w:r>
    </w:p>
    <w:p>
      <w:pPr>
        <w:pStyle w:val="BodyText"/>
        <w:spacing w:line="240" w:lineRule="auto" w:before="63"/>
        <w:ind w:left="514" w:right="0"/>
        <w:jc w:val="left"/>
      </w:pPr>
      <w:r>
        <w:rPr/>
        <w:t>⑥公司将西安市高新区高新路</w:t>
      </w:r>
      <w:r>
        <w:rPr>
          <w:rFonts w:ascii="Times New Roman" w:hAnsi="Times New Roman" w:cs="Times New Roman" w:eastAsia="Times New Roman" w:hint="default"/>
        </w:rPr>
        <w:t>80</w:t>
      </w:r>
      <w:r>
        <w:rPr/>
        <w:t>号望庭国际</w:t>
      </w:r>
      <w:r>
        <w:rPr>
          <w:rFonts w:ascii="Times New Roman" w:hAnsi="Times New Roman" w:cs="Times New Roman" w:eastAsia="Times New Roman" w:hint="default"/>
        </w:rPr>
        <w:t>1-1-1702</w:t>
      </w:r>
      <w:r>
        <w:rPr/>
        <w:t>、</w:t>
      </w:r>
      <w:r>
        <w:rPr>
          <w:rFonts w:ascii="Times New Roman" w:hAnsi="Times New Roman" w:cs="Times New Roman" w:eastAsia="Times New Roman" w:hint="default"/>
        </w:rPr>
        <w:t>1703</w:t>
      </w:r>
      <w:r>
        <w:rPr/>
        <w:t>室分别出租，报告期内租赁收益合计</w:t>
      </w:r>
      <w:r>
        <w:rPr>
          <w:rFonts w:ascii="Times New Roman" w:hAnsi="Times New Roman" w:cs="Times New Roman" w:eastAsia="Times New Roman" w:hint="default"/>
        </w:rPr>
        <w:t>77,189.24</w:t>
      </w:r>
      <w:r>
        <w:rPr/>
        <w:t>元；</w:t>
      </w:r>
    </w:p>
    <w:p>
      <w:pPr>
        <w:pStyle w:val="BodyText"/>
        <w:spacing w:line="240" w:lineRule="auto" w:before="63"/>
        <w:ind w:left="514" w:right="0"/>
        <w:jc w:val="left"/>
      </w:pPr>
      <w:r>
        <w:rPr/>
        <w:t>⑦公司将西海岸大厦</w:t>
      </w:r>
      <w:r>
        <w:rPr>
          <w:rFonts w:ascii="Times New Roman" w:hAnsi="Times New Roman" w:cs="Times New Roman" w:eastAsia="Times New Roman" w:hint="default"/>
        </w:rPr>
        <w:t>13</w:t>
      </w:r>
      <w:r>
        <w:rPr/>
        <w:t>楼出租，报告期内租赁收益为</w:t>
      </w:r>
      <w:r>
        <w:rPr>
          <w:rFonts w:ascii="Times New Roman" w:hAnsi="Times New Roman" w:cs="Times New Roman" w:eastAsia="Times New Roman" w:hint="default"/>
        </w:rPr>
        <w:t>770,085.89</w:t>
      </w:r>
      <w:r>
        <w:rPr/>
        <w:t>元；</w:t>
      </w:r>
    </w:p>
    <w:p>
      <w:pPr>
        <w:pStyle w:val="BodyText"/>
        <w:spacing w:line="300" w:lineRule="auto" w:before="63"/>
        <w:ind w:right="1032" w:firstLine="360"/>
        <w:jc w:val="left"/>
      </w:pPr>
      <w:r>
        <w:rPr/>
        <w:t>⑧公司将位于浙江省湖州市吴兴区红丰路</w:t>
      </w:r>
      <w:r>
        <w:rPr>
          <w:rFonts w:ascii="Times New Roman" w:hAnsi="Times New Roman" w:cs="Times New Roman" w:eastAsia="Times New Roman" w:hint="default"/>
        </w:rPr>
        <w:t>1366</w:t>
      </w:r>
      <w:r>
        <w:rPr/>
        <w:t>号</w:t>
      </w:r>
      <w:r>
        <w:rPr>
          <w:rFonts w:ascii="Times New Roman" w:hAnsi="Times New Roman" w:cs="Times New Roman" w:eastAsia="Times New Roman" w:hint="default"/>
        </w:rPr>
        <w:t>6</w:t>
      </w:r>
      <w:r>
        <w:rPr/>
        <w:t>幢</w:t>
      </w:r>
      <w:r>
        <w:rPr>
          <w:rFonts w:ascii="Times New Roman" w:hAnsi="Times New Roman" w:cs="Times New Roman" w:eastAsia="Times New Roman" w:hint="default"/>
        </w:rPr>
        <w:t>9</w:t>
      </w:r>
      <w:r>
        <w:rPr/>
        <w:t>楼办公楼东区加洽谈室、中区两个办公室及大厅</w:t>
      </w:r>
      <w:r>
        <w:rPr>
          <w:rFonts w:ascii="Times New Roman" w:hAnsi="Times New Roman" w:cs="Times New Roman" w:eastAsia="Times New Roman" w:hint="default"/>
        </w:rPr>
        <w:t>12</w:t>
      </w:r>
      <w:r>
        <w:rPr/>
        <w:t>个办公位出租， 报告期内租赁收益合计</w:t>
      </w:r>
      <w:r>
        <w:rPr>
          <w:rFonts w:ascii="Times New Roman" w:hAnsi="Times New Roman" w:cs="Times New Roman" w:eastAsia="Times New Roman" w:hint="default"/>
        </w:rPr>
        <w:t>306,573.62</w:t>
      </w:r>
      <w:r>
        <w:rPr/>
        <w:t>元；</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⑨公司将位于上海市金科路</w:t>
      </w:r>
      <w:r>
        <w:rPr>
          <w:rFonts w:ascii="Times New Roman" w:hAnsi="Times New Roman" w:cs="Times New Roman" w:eastAsia="Times New Roman" w:hint="default"/>
        </w:rPr>
        <w:t>2463-2557</w:t>
      </w:r>
      <w:r>
        <w:rPr/>
        <w:t>号的中国芯科技园内</w:t>
      </w:r>
      <w:r>
        <w:rPr>
          <w:rFonts w:ascii="Times New Roman" w:hAnsi="Times New Roman" w:cs="Times New Roman" w:eastAsia="Times New Roman" w:hint="default"/>
        </w:rPr>
        <w:t>B</w:t>
      </w:r>
      <w:r>
        <w:rPr/>
        <w:t>幢（</w:t>
      </w:r>
      <w:r>
        <w:rPr>
          <w:rFonts w:ascii="Times New Roman" w:hAnsi="Times New Roman" w:cs="Times New Roman" w:eastAsia="Times New Roman" w:hint="default"/>
        </w:rPr>
        <w:t>2537</w:t>
      </w:r>
      <w:r>
        <w:rPr/>
        <w:t>号）办公楼</w:t>
      </w:r>
      <w:r>
        <w:rPr>
          <w:rFonts w:ascii="Times New Roman" w:hAnsi="Times New Roman" w:cs="Times New Roman" w:eastAsia="Times New Roman" w:hint="default"/>
        </w:rPr>
        <w:t>2</w:t>
      </w:r>
      <w:r>
        <w:rPr/>
        <w:t>楼出租，报告期内租赁收益合计</w:t>
      </w:r>
    </w:p>
    <w:p>
      <w:pPr>
        <w:pStyle w:val="BodyText"/>
        <w:spacing w:line="240" w:lineRule="auto" w:before="63"/>
        <w:ind w:right="0"/>
        <w:jc w:val="left"/>
      </w:pPr>
      <w:r>
        <w:rPr>
          <w:rFonts w:ascii="Times New Roman" w:hAnsi="Times New Roman" w:cs="Times New Roman" w:eastAsia="Times New Roman" w:hint="default"/>
        </w:rPr>
        <w:t>843,885.58</w:t>
      </w:r>
      <w:r>
        <w:rPr/>
        <w:t>元；</w:t>
      </w:r>
    </w:p>
    <w:p>
      <w:pPr>
        <w:pStyle w:val="BodyText"/>
        <w:spacing w:line="300" w:lineRule="auto" w:before="63"/>
        <w:ind w:left="514" w:right="2382"/>
        <w:jc w:val="left"/>
      </w:pPr>
      <w:r>
        <w:rPr/>
        <w:t>⑩位于上海市张江高科技区祖冲之路</w:t>
      </w:r>
      <w:r>
        <w:rPr>
          <w:rFonts w:ascii="Times New Roman" w:hAnsi="Times New Roman" w:cs="Times New Roman" w:eastAsia="Times New Roman" w:hint="default"/>
        </w:rPr>
        <w:t>1077</w:t>
      </w:r>
      <w:r>
        <w:rPr/>
        <w:t>号</w:t>
      </w:r>
      <w:r>
        <w:rPr>
          <w:rFonts w:ascii="Times New Roman" w:hAnsi="Times New Roman" w:cs="Times New Roman" w:eastAsia="Times New Roman" w:hint="default"/>
        </w:rPr>
        <w:t>2</w:t>
      </w:r>
      <w:r>
        <w:rPr/>
        <w:t>幢</w:t>
      </w:r>
      <w:r>
        <w:rPr>
          <w:rFonts w:ascii="Times New Roman" w:hAnsi="Times New Roman" w:cs="Times New Roman" w:eastAsia="Times New Roman" w:hint="default"/>
        </w:rPr>
        <w:t>5</w:t>
      </w:r>
      <w:r>
        <w:rPr/>
        <w:t>楼</w:t>
      </w:r>
      <w:r>
        <w:rPr>
          <w:rFonts w:ascii="Times New Roman" w:hAnsi="Times New Roman" w:cs="Times New Roman" w:eastAsia="Times New Roman" w:hint="default"/>
        </w:rPr>
        <w:t>2501</w:t>
      </w:r>
      <w:r>
        <w:rPr/>
        <w:t>室出租，报告期内租赁收益合计</w:t>
      </w:r>
      <w:r>
        <w:rPr>
          <w:rFonts w:ascii="Times New Roman" w:hAnsi="Times New Roman" w:cs="Times New Roman" w:eastAsia="Times New Roman" w:hint="default"/>
        </w:rPr>
        <w:t>559,987.32</w:t>
      </w:r>
      <w:r>
        <w:rPr/>
        <w:t>元。 公司本报告期租赁收益合计：</w:t>
      </w:r>
      <w:r>
        <w:rPr>
          <w:rFonts w:ascii="Times New Roman" w:hAnsi="Times New Roman" w:cs="Times New Roman" w:eastAsia="Times New Roman" w:hint="default"/>
        </w:rPr>
        <w:t>4,612,382.53</w:t>
      </w:r>
      <w:r>
        <w:rPr/>
        <w:t>元。</w:t>
      </w:r>
    </w:p>
    <w:p>
      <w:pPr>
        <w:pStyle w:val="BodyText"/>
        <w:spacing w:line="240" w:lineRule="auto" w:before="13"/>
        <w:ind w:left="514" w:right="0"/>
        <w:jc w:val="left"/>
      </w:pPr>
      <w:r>
        <w:rPr/>
        <w:t>公司主要租金支出情况：</w:t>
      </w:r>
    </w:p>
    <w:p>
      <w:pPr>
        <w:pStyle w:val="BodyText"/>
        <w:spacing w:line="300" w:lineRule="auto" w:before="76"/>
        <w:ind w:right="1130" w:firstLine="360"/>
        <w:jc w:val="both"/>
      </w:pPr>
      <w:r>
        <w:rPr/>
        <w:t>①公司于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日，与深圳怡化电脑股份有限公司签订了租赁合同，承租位于深圳市南山区高新科技园后海大道 </w:t>
      </w:r>
      <w:r>
        <w:rPr>
          <w:rFonts w:ascii="Times New Roman" w:hAnsi="Times New Roman" w:cs="Times New Roman" w:eastAsia="Times New Roman" w:hint="default"/>
          <w:spacing w:val="-1"/>
        </w:rPr>
        <w:t>2388</w:t>
      </w:r>
      <w:r>
        <w:rPr>
          <w:spacing w:val="-1"/>
        </w:rPr>
        <w:t>号怡化金融科技大厦</w:t>
      </w:r>
      <w:r>
        <w:rPr>
          <w:rFonts w:ascii="Times New Roman" w:hAnsi="Times New Roman" w:cs="Times New Roman" w:eastAsia="Times New Roman" w:hint="default"/>
          <w:spacing w:val="-1"/>
        </w:rPr>
        <w:t>24</w:t>
      </w:r>
      <w:r>
        <w:rPr>
          <w:spacing w:val="-1"/>
        </w:rPr>
        <w:t>层共计</w:t>
      </w:r>
      <w:r>
        <w:rPr>
          <w:rFonts w:ascii="Times New Roman" w:hAnsi="Times New Roman" w:cs="Times New Roman" w:eastAsia="Times New Roman" w:hint="default"/>
          <w:spacing w:val="-1"/>
        </w:rPr>
        <w:t>1,823.4</w:t>
      </w:r>
      <w:r>
        <w:rPr>
          <w:spacing w:val="-1"/>
        </w:rPr>
        <w:t>平方米，租期自</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2018</w:t>
      </w:r>
      <w:r>
        <w:rPr>
          <w:spacing w:val="-1"/>
        </w:rPr>
        <w:t>年度共支付租金</w:t>
      </w:r>
      <w:r>
        <w:rPr>
          <w:rFonts w:ascii="Times New Roman" w:hAnsi="Times New Roman" w:cs="Times New Roman" w:eastAsia="Times New Roman" w:hint="default"/>
          <w:spacing w:val="-1"/>
        </w:rPr>
        <w:t>3,696,616.70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w:t>
      </w:r>
    </w:p>
    <w:p>
      <w:pPr>
        <w:pStyle w:val="BodyText"/>
        <w:spacing w:line="300" w:lineRule="auto" w:before="31"/>
        <w:ind w:right="1139" w:firstLine="360"/>
        <w:jc w:val="both"/>
      </w:pPr>
      <w:r>
        <w:rPr/>
        <w:t>②公司于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日，与深圳市大宏投资有限公司签订了租赁合同，承租位于深圳市宝安区沙井新桥新和大道</w:t>
      </w:r>
      <w:r>
        <w:rPr>
          <w:rFonts w:ascii="Times New Roman" w:hAnsi="Times New Roman" w:cs="Times New Roman" w:eastAsia="Times New Roman" w:hint="default"/>
        </w:rPr>
        <w:t>6-18 </w:t>
      </w:r>
      <w:r>
        <w:rPr/>
        <w:t>号大宏高新科技园</w:t>
      </w:r>
      <w:r>
        <w:rPr>
          <w:rFonts w:ascii="Times New Roman" w:hAnsi="Times New Roman" w:cs="Times New Roman" w:eastAsia="Times New Roman" w:hint="default"/>
        </w:rPr>
        <w:t>6</w:t>
      </w:r>
      <w:r>
        <w:rPr/>
        <w:t>楼</w:t>
      </w:r>
      <w:r>
        <w:rPr>
          <w:rFonts w:ascii="Times New Roman" w:hAnsi="Times New Roman" w:cs="Times New Roman" w:eastAsia="Times New Roman" w:hint="default"/>
        </w:rPr>
        <w:t>605</w:t>
      </w:r>
      <w:r>
        <w:rPr/>
        <w:t>、</w:t>
      </w:r>
      <w:r>
        <w:rPr>
          <w:rFonts w:ascii="Times New Roman" w:hAnsi="Times New Roman" w:cs="Times New Roman" w:eastAsia="Times New Roman" w:hint="default"/>
        </w:rPr>
        <w:t>606</w:t>
      </w:r>
      <w:r>
        <w:rPr/>
        <w:t>、</w:t>
      </w:r>
      <w:r>
        <w:rPr>
          <w:rFonts w:ascii="Times New Roman" w:hAnsi="Times New Roman" w:cs="Times New Roman" w:eastAsia="Times New Roman" w:hint="default"/>
        </w:rPr>
        <w:t>607</w:t>
      </w:r>
      <w:r>
        <w:rPr/>
        <w:t>号的物业，租赁期自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2018</w:t>
      </w:r>
      <w:r>
        <w:rPr/>
        <w:t>年度共支付租金</w:t>
      </w:r>
      <w:r>
        <w:rPr>
          <w:rFonts w:ascii="Times New Roman" w:hAnsi="Times New Roman" w:cs="Times New Roman" w:eastAsia="Times New Roman" w:hint="default"/>
        </w:rPr>
        <w:t>223,366.85 </w:t>
      </w:r>
      <w:r>
        <w:rPr/>
        <w:t>元；</w:t>
      </w:r>
    </w:p>
    <w:p>
      <w:pPr>
        <w:pStyle w:val="BodyText"/>
        <w:spacing w:line="240" w:lineRule="auto" w:before="31"/>
        <w:ind w:left="514" w:right="0"/>
        <w:jc w:val="left"/>
      </w:pPr>
      <w:r>
        <w:rPr/>
        <w:t>③、上海即富于上华投资咨询（上海）有限公司签订了租赁合同，承租位于上海浦东金科路</w:t>
      </w:r>
      <w:r>
        <w:rPr>
          <w:rFonts w:ascii="Times New Roman" w:hAnsi="Times New Roman" w:cs="Times New Roman" w:eastAsia="Times New Roman" w:hint="default"/>
        </w:rPr>
        <w:t>2555</w:t>
      </w:r>
      <w:r>
        <w:rPr/>
        <w:t>号</w:t>
      </w:r>
      <w:r>
        <w:rPr>
          <w:rFonts w:ascii="Times New Roman" w:hAnsi="Times New Roman" w:cs="Times New Roman" w:eastAsia="Times New Roman" w:hint="default"/>
        </w:rPr>
        <w:t>C</w:t>
      </w:r>
      <w:r>
        <w:rPr/>
        <w:t>栋办公楼，租赁自</w:t>
      </w:r>
    </w:p>
    <w:p>
      <w:pPr>
        <w:pStyle w:val="BodyText"/>
        <w:spacing w:line="240" w:lineRule="auto" w:before="63"/>
        <w:ind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年年度共支付租金</w:t>
      </w:r>
      <w:r>
        <w:rPr>
          <w:rFonts w:ascii="Times New Roman" w:hAnsi="Times New Roman" w:cs="Times New Roman" w:eastAsia="Times New Roman" w:hint="default"/>
        </w:rPr>
        <w:t>9,837,104.86</w:t>
      </w:r>
      <w:r>
        <w:rPr/>
        <w:t>元；</w:t>
      </w:r>
    </w:p>
    <w:p>
      <w:pPr>
        <w:pStyle w:val="BodyText"/>
        <w:spacing w:line="240" w:lineRule="auto" w:before="63"/>
        <w:ind w:left="514" w:right="0"/>
        <w:jc w:val="left"/>
      </w:pPr>
      <w:r>
        <w:rPr/>
        <w:t>④上海即富与上海羽田信息科技有限公司签订了打印机租赁合同，承租位于上海浦东金科路</w:t>
      </w:r>
      <w:r>
        <w:rPr>
          <w:rFonts w:ascii="Times New Roman" w:hAnsi="Times New Roman" w:cs="Times New Roman" w:eastAsia="Times New Roman" w:hint="default"/>
        </w:rPr>
        <w:t>2555</w:t>
      </w:r>
      <w:r>
        <w:rPr/>
        <w:t>号</w:t>
      </w:r>
      <w:r>
        <w:rPr>
          <w:rFonts w:ascii="Times New Roman" w:hAnsi="Times New Roman" w:cs="Times New Roman" w:eastAsia="Times New Roman" w:hint="default"/>
        </w:rPr>
        <w:t>C</w:t>
      </w:r>
      <w:r>
        <w:rPr/>
        <w:t>栋的打印机设备，</w:t>
      </w:r>
    </w:p>
    <w:p>
      <w:pPr>
        <w:pStyle w:val="BodyText"/>
        <w:spacing w:line="240" w:lineRule="auto" w:before="63"/>
        <w:ind w:right="0"/>
        <w:jc w:val="left"/>
      </w:pPr>
      <w:r>
        <w:rPr>
          <w:rFonts w:ascii="Times New Roman" w:hAnsi="Times New Roman" w:cs="Times New Roman" w:eastAsia="Times New Roman" w:hint="default"/>
        </w:rPr>
        <w:t>2018</w:t>
      </w:r>
      <w:r>
        <w:rPr/>
        <w:t>年年度共支付租金</w:t>
      </w:r>
      <w:r>
        <w:rPr>
          <w:rFonts w:ascii="Times New Roman" w:hAnsi="Times New Roman" w:cs="Times New Roman" w:eastAsia="Times New Roman" w:hint="default"/>
        </w:rPr>
        <w:t>62,347.96</w:t>
      </w:r>
      <w:r>
        <w:rPr/>
        <w:t>元（</w:t>
      </w:r>
      <w:r>
        <w:rPr>
          <w:rFonts w:ascii="Times New Roman" w:hAnsi="Times New Roman" w:cs="Times New Roman" w:eastAsia="Times New Roman" w:hint="default"/>
        </w:rPr>
        <w:t>2018.01-2018.12</w:t>
      </w:r>
      <w:r>
        <w:rPr/>
        <w:t>）；</w:t>
      </w:r>
    </w:p>
    <w:p>
      <w:pPr>
        <w:pStyle w:val="BodyText"/>
        <w:spacing w:line="309" w:lineRule="auto" w:before="63"/>
        <w:ind w:right="1133" w:firstLine="360"/>
        <w:jc w:val="left"/>
      </w:pPr>
      <w:r>
        <w:rPr>
          <w:spacing w:val="-2"/>
        </w:rPr>
        <w:t>⑤开店宝支付服务有限公司（原上海点佰趣信息科技有限公司）四川分公司与蔡特金签订了租赁合同，承租位于武侯区</w:t>
      </w:r>
      <w:r>
        <w:rPr/>
        <w:t> 航空路</w:t>
      </w:r>
      <w:r>
        <w:rPr>
          <w:rFonts w:ascii="Times New Roman" w:hAnsi="Times New Roman" w:cs="Times New Roman" w:eastAsia="Times New Roman" w:hint="default"/>
        </w:rPr>
        <w:t>6</w:t>
      </w:r>
      <w:r>
        <w:rPr/>
        <w:t>号丰德国际广场</w:t>
      </w:r>
      <w:r>
        <w:rPr>
          <w:rFonts w:ascii="Times New Roman" w:hAnsi="Times New Roman" w:cs="Times New Roman" w:eastAsia="Times New Roman" w:hint="default"/>
        </w:rPr>
        <w:t>A2-502</w:t>
      </w:r>
      <w:r>
        <w:rPr/>
        <w:t>共计</w:t>
      </w:r>
      <w:r>
        <w:rPr>
          <w:rFonts w:ascii="Times New Roman" w:hAnsi="Times New Roman" w:cs="Times New Roman" w:eastAsia="Times New Roman" w:hint="default"/>
        </w:rPr>
        <w:t>212.84</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2018</w:t>
      </w:r>
      <w:r>
        <w:rPr/>
        <w:t>年年度共支付租金</w:t>
      </w:r>
      <w:r>
        <w:rPr>
          <w:w w:val="99"/>
        </w:rPr>
        <w:t> </w:t>
      </w:r>
      <w:r>
        <w:rPr>
          <w:rFonts w:ascii="Times New Roman" w:hAnsi="Times New Roman" w:cs="Times New Roman" w:eastAsia="Times New Roman" w:hint="default"/>
        </w:rPr>
        <w:t>204,000.00</w:t>
      </w:r>
      <w:r>
        <w:rPr/>
        <w:t>元（</w:t>
      </w:r>
      <w:r>
        <w:rPr>
          <w:rFonts w:ascii="Times New Roman" w:hAnsi="Times New Roman" w:cs="Times New Roman" w:eastAsia="Times New Roman" w:hint="default"/>
        </w:rPr>
        <w:t>2018.01.27-2019.01.26</w:t>
      </w:r>
      <w:r>
        <w:rPr/>
        <w:t>）；</w:t>
      </w:r>
    </w:p>
    <w:p>
      <w:pPr>
        <w:pStyle w:val="BodyText"/>
        <w:spacing w:line="309" w:lineRule="auto" w:before="5"/>
        <w:ind w:right="1132" w:firstLine="360"/>
        <w:jc w:val="both"/>
      </w:pPr>
      <w:r>
        <w:rPr>
          <w:spacing w:val="-2"/>
        </w:rPr>
        <w:t>⑥开店宝支付服务有限公司（原上海点佰趣信息科技有限公司）北京分公司与北京诺安企业管理有限公司签订了租赁合</w:t>
      </w:r>
      <w:r>
        <w:rPr/>
        <w:t> 同，承租位于北京市朝阳区光华路甲</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508</w:t>
      </w:r>
      <w:r>
        <w:rPr/>
        <w:t>室共计</w:t>
      </w:r>
      <w:r>
        <w:rPr>
          <w:rFonts w:ascii="Times New Roman" w:hAnsi="Times New Roman" w:cs="Times New Roman" w:eastAsia="Times New Roman" w:hint="default"/>
        </w:rPr>
        <w:t>445.8</w:t>
      </w:r>
      <w:r>
        <w:rPr/>
        <w:t>平方米，租期自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2018</w:t>
      </w:r>
      <w:r>
        <w:rPr/>
        <w:t>年年 度共支付租金</w:t>
      </w:r>
      <w:r>
        <w:rPr>
          <w:rFonts w:ascii="Times New Roman" w:hAnsi="Times New Roman" w:cs="Times New Roman" w:eastAsia="Times New Roman" w:hint="default"/>
        </w:rPr>
        <w:t>663,885.36</w:t>
      </w:r>
      <w:r>
        <w:rPr/>
        <w:t>元（</w:t>
      </w:r>
      <w:r>
        <w:rPr>
          <w:rFonts w:ascii="Times New Roman" w:hAnsi="Times New Roman" w:cs="Times New Roman" w:eastAsia="Times New Roman" w:hint="default"/>
        </w:rPr>
        <w:t>2018.01.11-2019.01.10</w:t>
      </w:r>
      <w:r>
        <w:rPr/>
        <w:t>）；</w:t>
      </w:r>
    </w:p>
    <w:p>
      <w:pPr>
        <w:pStyle w:val="BodyText"/>
        <w:spacing w:line="309" w:lineRule="auto" w:before="5"/>
        <w:ind w:right="1130" w:firstLine="360"/>
        <w:jc w:val="left"/>
      </w:pPr>
      <w:r>
        <w:rPr>
          <w:spacing w:val="-2"/>
        </w:rPr>
        <w:t>⑦开店宝支付服务有限公司福建分公司与福建即富信息技术服务有限公司签订了租赁合同，承租位于福建省福州市仓山</w:t>
      </w:r>
      <w:r>
        <w:rPr/>
        <w:t> 区铺上大道仓山万达</w:t>
      </w:r>
      <w:r>
        <w:rPr>
          <w:rFonts w:ascii="Times New Roman" w:hAnsi="Times New Roman" w:cs="Times New Roman" w:eastAsia="Times New Roman" w:hint="default"/>
        </w:rPr>
        <w:t>C1</w:t>
      </w:r>
      <w:r>
        <w:rPr/>
        <w:t>区中国工商银行</w:t>
      </w:r>
      <w:r>
        <w:rPr>
          <w:rFonts w:ascii="Times New Roman" w:hAnsi="Times New Roman" w:cs="Times New Roman" w:eastAsia="Times New Roman" w:hint="default"/>
        </w:rPr>
        <w:t>12</w:t>
      </w:r>
      <w:r>
        <w:rPr/>
        <w:t>楼</w:t>
      </w:r>
      <w:r>
        <w:rPr>
          <w:rFonts w:ascii="Times New Roman" w:hAnsi="Times New Roman" w:cs="Times New Roman" w:eastAsia="Times New Roman" w:hint="default"/>
        </w:rPr>
        <w:t>1208</w:t>
      </w:r>
      <w:r>
        <w:rPr/>
        <w:t>室，租期自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年年度共支付租金 </w:t>
      </w:r>
      <w:r>
        <w:rPr>
          <w:rFonts w:ascii="Times New Roman" w:hAnsi="Times New Roman" w:cs="Times New Roman" w:eastAsia="Times New Roman" w:hint="default"/>
        </w:rPr>
        <w:t>120,000</w:t>
      </w:r>
      <w:r>
        <w:rPr/>
        <w:t>元（</w:t>
      </w:r>
      <w:r>
        <w:rPr>
          <w:rFonts w:ascii="Times New Roman" w:hAnsi="Times New Roman" w:cs="Times New Roman" w:eastAsia="Times New Roman" w:hint="default"/>
        </w:rPr>
        <w:t>2018.01.01-2018.06.30</w:t>
      </w:r>
      <w:r>
        <w:rPr/>
        <w:t>）；</w:t>
      </w:r>
    </w:p>
    <w:p>
      <w:pPr>
        <w:pStyle w:val="BodyText"/>
        <w:spacing w:line="300" w:lineRule="auto" w:before="5"/>
        <w:ind w:right="1055" w:firstLine="360"/>
        <w:jc w:val="both"/>
      </w:pPr>
      <w:r>
        <w:rPr/>
        <w:t>⑧开店宝支付服务有限公司福州分公司与潘琳签订了租赁合同，承租位于福建省福州市浦上大道仓山万达</w:t>
      </w:r>
      <w:r>
        <w:rPr>
          <w:rFonts w:ascii="Times New Roman" w:hAnsi="Times New Roman" w:cs="Times New Roman" w:eastAsia="Times New Roman" w:hint="default"/>
        </w:rPr>
        <w:t>A1</w:t>
      </w:r>
      <w:r>
        <w:rPr/>
        <w:t>区</w:t>
      </w:r>
      <w:r>
        <w:rPr>
          <w:rFonts w:ascii="Times New Roman" w:hAnsi="Times New Roman" w:cs="Times New Roman" w:eastAsia="Times New Roman" w:hint="default"/>
        </w:rPr>
        <w:t>1306</w:t>
      </w:r>
      <w:r>
        <w:rPr/>
        <w:t>区 </w:t>
      </w:r>
      <w:r>
        <w:rPr>
          <w:spacing w:val="-1"/>
        </w:rPr>
        <w:t>共计</w:t>
      </w:r>
      <w:r>
        <w:rPr>
          <w:rFonts w:ascii="Times New Roman" w:hAnsi="Times New Roman" w:cs="Times New Roman" w:eastAsia="Times New Roman" w:hint="default"/>
          <w:spacing w:val="-1"/>
        </w:rPr>
        <w:t>190.17</w:t>
      </w:r>
      <w:r>
        <w:rPr>
          <w:spacing w:val="-1"/>
        </w:rPr>
        <w:t>平方米，租期自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06</w:t>
      </w:r>
      <w:r>
        <w:rPr>
          <w:spacing w:val="-1"/>
        </w:rPr>
        <w:t>月</w:t>
      </w:r>
      <w:r>
        <w:rPr>
          <w:rFonts w:ascii="Times New Roman" w:hAnsi="Times New Roman" w:cs="Times New Roman" w:eastAsia="Times New Roman" w:hint="default"/>
          <w:spacing w:val="-1"/>
        </w:rPr>
        <w:t>28</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06</w:t>
      </w:r>
      <w:r>
        <w:rPr>
          <w:spacing w:val="-1"/>
        </w:rPr>
        <w:t>月</w:t>
      </w:r>
      <w:r>
        <w:rPr>
          <w:rFonts w:ascii="Times New Roman" w:hAnsi="Times New Roman" w:cs="Times New Roman" w:eastAsia="Times New Roman" w:hint="default"/>
          <w:spacing w:val="-1"/>
        </w:rPr>
        <w:t>27</w:t>
      </w:r>
      <w:r>
        <w:rPr>
          <w:spacing w:val="-1"/>
        </w:rPr>
        <w:t>日，</w:t>
      </w:r>
      <w:r>
        <w:rPr>
          <w:rFonts w:ascii="Times New Roman" w:hAnsi="Times New Roman" w:cs="Times New Roman" w:eastAsia="Times New Roman" w:hint="default"/>
          <w:spacing w:val="-1"/>
        </w:rPr>
        <w:t>2018</w:t>
      </w:r>
      <w:r>
        <w:rPr>
          <w:spacing w:val="-1"/>
        </w:rPr>
        <w:t>年年度共支付租金</w:t>
      </w:r>
      <w:r>
        <w:rPr>
          <w:rFonts w:ascii="Times New Roman" w:hAnsi="Times New Roman" w:cs="Times New Roman" w:eastAsia="Times New Roman" w:hint="default"/>
          <w:spacing w:val="-1"/>
        </w:rPr>
        <w:t>103,200</w:t>
      </w:r>
      <w:r>
        <w:rPr>
          <w:spacing w:val="-1"/>
        </w:rPr>
        <w:t>元（</w:t>
      </w:r>
      <w:r>
        <w:rPr>
          <w:rFonts w:ascii="Times New Roman" w:hAnsi="Times New Roman" w:cs="Times New Roman" w:eastAsia="Times New Roman" w:hint="default"/>
          <w:spacing w:val="-1"/>
        </w:rPr>
        <w:t>2018.06.28-2018.12.27</w:t>
      </w:r>
      <w:r>
        <w:rPr>
          <w:spacing w:val="-1"/>
        </w:rPr>
        <w:t>）；</w:t>
      </w:r>
      <w:r>
        <w:rPr/>
      </w:r>
    </w:p>
    <w:p>
      <w:pPr>
        <w:pStyle w:val="BodyText"/>
        <w:spacing w:line="309" w:lineRule="auto" w:before="13"/>
        <w:ind w:right="1131" w:firstLine="360"/>
        <w:jc w:val="both"/>
      </w:pPr>
      <w:r>
        <w:rPr>
          <w:spacing w:val="-2"/>
        </w:rPr>
        <w:t>⑨开店宝支付服务有限公司（原上海点佰趣信息科技有限公司）甘肃分公司与甘肃新华飞天物业管理有限公司签订了租</w:t>
      </w:r>
      <w:r>
        <w:rPr/>
        <w:t> 赁合同，承租位于兰州市城关区曹家巷</w:t>
      </w:r>
      <w:r>
        <w:rPr>
          <w:rFonts w:ascii="Times New Roman" w:hAnsi="Times New Roman" w:cs="Times New Roman" w:eastAsia="Times New Roman" w:hint="default"/>
        </w:rPr>
        <w:t>1</w:t>
      </w:r>
      <w:r>
        <w:rPr/>
        <w:t>号甘肃新闻出版大厦共计</w:t>
      </w:r>
      <w:r>
        <w:rPr>
          <w:rFonts w:ascii="Times New Roman" w:hAnsi="Times New Roman" w:cs="Times New Roman" w:eastAsia="Times New Roman" w:hint="default"/>
        </w:rPr>
        <w:t>427</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 </w:t>
      </w:r>
      <w:r>
        <w:rPr/>
        <w:t>年年度共支付租金</w:t>
      </w:r>
      <w:r>
        <w:rPr>
          <w:rFonts w:ascii="Times New Roman" w:hAnsi="Times New Roman" w:cs="Times New Roman" w:eastAsia="Times New Roman" w:hint="default"/>
        </w:rPr>
        <w:t>368,928.00</w:t>
      </w:r>
      <w:r>
        <w:rPr/>
        <w:t>元（</w:t>
      </w:r>
      <w:r>
        <w:rPr>
          <w:rFonts w:ascii="Times New Roman" w:hAnsi="Times New Roman" w:cs="Times New Roman" w:eastAsia="Times New Roman" w:hint="default"/>
        </w:rPr>
        <w:t>2018.05.01-2019.04.30</w:t>
      </w:r>
      <w:r>
        <w:rPr/>
        <w:t>）；</w:t>
      </w:r>
    </w:p>
    <w:p>
      <w:pPr>
        <w:pStyle w:val="BodyText"/>
        <w:spacing w:line="309" w:lineRule="auto" w:before="5"/>
        <w:ind w:right="1132" w:firstLine="360"/>
        <w:jc w:val="both"/>
      </w:pPr>
      <w:r>
        <w:rPr>
          <w:spacing w:val="-2"/>
        </w:rPr>
        <w:t>⑩开店宝支付服务有限公司（原上海点佰趣信息科技有限公司）广东分公司与广州创懿物业管理有限公司签订了租赁合</w:t>
      </w:r>
      <w:r>
        <w:rPr/>
        <w:t> 同，承租位于广州市天河区棠安路之一</w:t>
      </w:r>
      <w:r>
        <w:rPr>
          <w:rFonts w:ascii="Times New Roman" w:hAnsi="Times New Roman" w:cs="Times New Roman" w:eastAsia="Times New Roman" w:hint="default"/>
        </w:rPr>
        <w:t>119</w:t>
      </w:r>
      <w:r>
        <w:rPr/>
        <w:t>号</w:t>
      </w:r>
      <w:r>
        <w:rPr>
          <w:rFonts w:ascii="Times New Roman" w:hAnsi="Times New Roman" w:cs="Times New Roman" w:eastAsia="Times New Roman" w:hint="default"/>
        </w:rPr>
        <w:t>408</w:t>
      </w:r>
      <w:r>
        <w:rPr/>
        <w:t>房号共计</w:t>
      </w:r>
      <w:r>
        <w:rPr>
          <w:rFonts w:ascii="Times New Roman" w:hAnsi="Times New Roman" w:cs="Times New Roman" w:eastAsia="Times New Roman" w:hint="default"/>
        </w:rPr>
        <w:t>328</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年年度 共支付租金</w:t>
      </w:r>
      <w:r>
        <w:rPr>
          <w:rFonts w:ascii="Times New Roman" w:hAnsi="Times New Roman" w:cs="Times New Roman" w:eastAsia="Times New Roman" w:hint="default"/>
        </w:rPr>
        <w:t>356,170.62</w:t>
      </w:r>
      <w:r>
        <w:rPr/>
        <w:t>元（</w:t>
      </w:r>
      <w:r>
        <w:rPr>
          <w:rFonts w:ascii="Times New Roman" w:hAnsi="Times New Roman" w:cs="Times New Roman" w:eastAsia="Times New Roman" w:hint="default"/>
        </w:rPr>
        <w:t>2018.01.15-2019.01.14</w:t>
      </w:r>
      <w:r>
        <w:rPr/>
        <w:t>）；</w:t>
      </w:r>
    </w:p>
    <w:p>
      <w:pPr>
        <w:pStyle w:val="BodyText"/>
        <w:spacing w:line="440" w:lineRule="exact"/>
        <w:ind w:right="0" w:firstLine="360"/>
        <w:jc w:val="both"/>
      </w:pPr>
      <w:r>
        <w:rPr>
          <w:rFonts w:ascii="Cambria Math" w:hAnsi="Cambria Math" w:cs="Cambria Math" w:eastAsia="Cambria Math" w:hint="default"/>
        </w:rPr>
        <w:t>⑪</w:t>
      </w:r>
      <w:r>
        <w:rPr/>
        <w:t>开店宝支付服务有限公司（原上海点佰趣信息科技有限公司）河北分公司与刘伟签订了租赁合同，承租位于河北省</w:t>
      </w:r>
    </w:p>
    <w:p>
      <w:pPr>
        <w:pStyle w:val="BodyText"/>
        <w:spacing w:line="126" w:lineRule="exact"/>
        <w:ind w:right="0"/>
        <w:jc w:val="left"/>
        <w:rPr>
          <w:rFonts w:ascii="Times New Roman" w:hAnsi="Times New Roman" w:cs="Times New Roman" w:eastAsia="Times New Roman" w:hint="default"/>
        </w:rPr>
      </w:pPr>
      <w:r>
        <w:rPr/>
        <w:t>石家庄市长安区长安大街</w:t>
      </w:r>
      <w:r>
        <w:rPr>
          <w:rFonts w:ascii="Times New Roman" w:hAnsi="Times New Roman" w:cs="Times New Roman" w:eastAsia="Times New Roman" w:hint="default"/>
        </w:rPr>
        <w:t>91</w:t>
      </w:r>
      <w:r>
        <w:rPr/>
        <w:t>号世纪方舟</w:t>
      </w:r>
      <w:r>
        <w:rPr>
          <w:rFonts w:ascii="Times New Roman" w:hAnsi="Times New Roman" w:cs="Times New Roman" w:eastAsia="Times New Roman" w:hint="default"/>
        </w:rPr>
        <w:t>B-1906</w:t>
      </w:r>
      <w:r>
        <w:rPr/>
        <w:t>室共计</w:t>
      </w:r>
      <w:r>
        <w:rPr>
          <w:rFonts w:ascii="Times New Roman" w:hAnsi="Times New Roman" w:cs="Times New Roman" w:eastAsia="Times New Roman" w:hint="default"/>
        </w:rPr>
        <w:t>107.84</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日，续租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p>
    <w:p>
      <w:pPr>
        <w:pStyle w:val="BodyText"/>
        <w:spacing w:line="105" w:lineRule="exact" w:before="63"/>
        <w:ind w:right="0"/>
        <w:jc w:val="left"/>
      </w:pP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2018</w:t>
      </w:r>
      <w:r>
        <w:rPr/>
        <w:t>年年度共支付租金</w:t>
      </w:r>
      <w:r>
        <w:rPr>
          <w:rFonts w:ascii="Times New Roman" w:hAnsi="Times New Roman" w:cs="Times New Roman" w:eastAsia="Times New Roman" w:hint="default"/>
        </w:rPr>
        <w:t>58,260.00</w:t>
      </w:r>
      <w:r>
        <w:rPr/>
        <w:t>元（</w:t>
      </w:r>
      <w:r>
        <w:rPr>
          <w:rFonts w:ascii="Times New Roman" w:hAnsi="Times New Roman" w:cs="Times New Roman" w:eastAsia="Times New Roman" w:hint="default"/>
        </w:rPr>
        <w:t>2018.01.20-2019.01.19</w:t>
      </w:r>
      <w:r>
        <w:rPr/>
        <w:t>）；</w:t>
      </w:r>
    </w:p>
    <w:p>
      <w:pPr>
        <w:pStyle w:val="BodyText"/>
        <w:spacing w:line="158" w:lineRule="auto" w:before="46"/>
        <w:ind w:right="1154" w:firstLine="360"/>
        <w:jc w:val="both"/>
      </w:pPr>
      <w:r>
        <w:rPr>
          <w:rFonts w:ascii="Cambria Math" w:hAnsi="Cambria Math" w:cs="Cambria Math" w:eastAsia="Cambria Math" w:hint="default"/>
        </w:rPr>
        <w:t>⑫</w:t>
      </w:r>
      <w:r>
        <w:rPr/>
        <w:t>开店宝支付服务有限公司（原上海点佰趣信息科技有限公司）河南分公司与杨亚辉签订了租赁合同，承租位于郑州 市郑东新区商务外环路</w:t>
      </w:r>
      <w:r>
        <w:rPr>
          <w:rFonts w:ascii="Times New Roman" w:hAnsi="Times New Roman" w:cs="Times New Roman" w:eastAsia="Times New Roman" w:hint="default"/>
        </w:rPr>
        <w:t>25</w:t>
      </w:r>
      <w:r>
        <w:rPr/>
        <w:t>号王鼎国际大厦</w:t>
      </w:r>
      <w:r>
        <w:rPr>
          <w:rFonts w:ascii="Times New Roman" w:hAnsi="Times New Roman" w:cs="Times New Roman" w:eastAsia="Times New Roman" w:hint="default"/>
        </w:rPr>
        <w:t>1302--1303</w:t>
      </w:r>
      <w:r>
        <w:rPr/>
        <w:t>室共计</w:t>
      </w:r>
      <w:r>
        <w:rPr>
          <w:rFonts w:ascii="Times New Roman" w:hAnsi="Times New Roman" w:cs="Times New Roman" w:eastAsia="Times New Roman" w:hint="default"/>
        </w:rPr>
        <w:t>367.97</w:t>
      </w:r>
      <w:r>
        <w:rPr/>
        <w:t>平方米，租期自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2018</w:t>
      </w:r>
      <w:r>
        <w:rPr/>
        <w:t>年</w:t>
      </w:r>
    </w:p>
    <w:p>
      <w:pPr>
        <w:pStyle w:val="BodyText"/>
        <w:spacing w:line="105" w:lineRule="exact" w:before="76"/>
        <w:ind w:right="0"/>
        <w:jc w:val="left"/>
      </w:pPr>
      <w:r>
        <w:rPr/>
        <w:t>年度共支付租金</w:t>
      </w:r>
      <w:r>
        <w:rPr>
          <w:rFonts w:ascii="Times New Roman" w:hAnsi="Times New Roman" w:cs="Times New Roman" w:eastAsia="Times New Roman" w:hint="default"/>
        </w:rPr>
        <w:t>443,314.00</w:t>
      </w:r>
      <w:r>
        <w:rPr/>
        <w:t>元（</w:t>
      </w:r>
      <w:r>
        <w:rPr>
          <w:rFonts w:ascii="Times New Roman" w:hAnsi="Times New Roman" w:cs="Times New Roman" w:eastAsia="Times New Roman" w:hint="default"/>
        </w:rPr>
        <w:t>2018.02.25-2019.02.24</w:t>
      </w:r>
      <w:r>
        <w:rPr/>
        <w:t>）；</w:t>
      </w:r>
    </w:p>
    <w:p>
      <w:pPr>
        <w:pStyle w:val="BodyText"/>
        <w:spacing w:line="158" w:lineRule="auto" w:before="46"/>
        <w:ind w:right="1195" w:firstLine="360"/>
        <w:jc w:val="both"/>
        <w:rPr>
          <w:rFonts w:ascii="Times New Roman" w:hAnsi="Times New Roman" w:cs="Times New Roman" w:eastAsia="Times New Roman" w:hint="default"/>
        </w:rPr>
      </w:pPr>
      <w:r>
        <w:rPr>
          <w:rFonts w:ascii="Cambria Math" w:hAnsi="Cambria Math" w:cs="Cambria Math" w:eastAsia="Cambria Math" w:hint="default"/>
        </w:rPr>
        <w:t>⑬</w:t>
      </w:r>
      <w:r>
        <w:rPr/>
        <w:t>开店宝支付服务有限公司（原上海点佰趣信息科技有限公司）黑龙江分公司与哈尔滨泰富控股有限公司签订了租赁 合同，承租位于哈尔滨市道里区友谊路</w:t>
      </w:r>
      <w:r>
        <w:rPr>
          <w:rFonts w:ascii="Times New Roman" w:hAnsi="Times New Roman" w:cs="Times New Roman" w:eastAsia="Times New Roman" w:hint="default"/>
        </w:rPr>
        <w:t>111</w:t>
      </w:r>
      <w:r>
        <w:rPr/>
        <w:t>号中航资本大厦第</w:t>
      </w:r>
      <w:r>
        <w:rPr>
          <w:rFonts w:ascii="Times New Roman" w:hAnsi="Times New Roman" w:cs="Times New Roman" w:eastAsia="Times New Roman" w:hint="default"/>
        </w:rPr>
        <w:t>17</w:t>
      </w:r>
      <w:r>
        <w:rPr/>
        <w:t>层</w:t>
      </w:r>
      <w:r>
        <w:rPr>
          <w:rFonts w:ascii="Times New Roman" w:hAnsi="Times New Roman" w:cs="Times New Roman" w:eastAsia="Times New Roman" w:hint="default"/>
        </w:rPr>
        <w:t>C</w:t>
      </w:r>
      <w:r>
        <w:rPr/>
        <w:t>区共计</w:t>
      </w:r>
      <w:r>
        <w:rPr>
          <w:rFonts w:ascii="Times New Roman" w:hAnsi="Times New Roman" w:cs="Times New Roman" w:eastAsia="Times New Roman" w:hint="default"/>
        </w:rPr>
        <w:t>165</w:t>
      </w:r>
      <w:r>
        <w:rPr/>
        <w:t>平方米，租期自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p>
    <w:p>
      <w:pPr>
        <w:pStyle w:val="BodyText"/>
        <w:spacing w:line="105" w:lineRule="exact" w:before="76"/>
        <w:ind w:right="0"/>
        <w:jc w:val="left"/>
      </w:pPr>
      <w:r>
        <w:rPr/>
        <w:t>日，</w:t>
      </w:r>
      <w:r>
        <w:rPr>
          <w:rFonts w:ascii="Times New Roman" w:hAnsi="Times New Roman" w:cs="Times New Roman" w:eastAsia="Times New Roman" w:hint="default"/>
        </w:rPr>
        <w:t>2018</w:t>
      </w:r>
      <w:r>
        <w:rPr/>
        <w:t>年年度共支付租金</w:t>
      </w:r>
      <w:r>
        <w:rPr>
          <w:rFonts w:ascii="Times New Roman" w:hAnsi="Times New Roman" w:cs="Times New Roman" w:eastAsia="Times New Roman" w:hint="default"/>
        </w:rPr>
        <w:t>189,708.75</w:t>
      </w:r>
      <w:r>
        <w:rPr/>
        <w:t>元（</w:t>
      </w:r>
      <w:r>
        <w:rPr>
          <w:rFonts w:ascii="Times New Roman" w:hAnsi="Times New Roman" w:cs="Times New Roman" w:eastAsia="Times New Roman" w:hint="default"/>
        </w:rPr>
        <w:t>2018.02.01-2019.01.31</w:t>
      </w:r>
      <w:r>
        <w:rPr/>
        <w:t>）；</w:t>
      </w:r>
    </w:p>
    <w:p>
      <w:pPr>
        <w:pStyle w:val="BodyText"/>
        <w:spacing w:line="158" w:lineRule="auto" w:before="46"/>
        <w:ind w:right="1129" w:firstLine="360"/>
        <w:jc w:val="both"/>
      </w:pPr>
      <w:r>
        <w:rPr>
          <w:rFonts w:ascii="Cambria Math" w:hAnsi="Cambria Math" w:cs="Cambria Math" w:eastAsia="Cambria Math" w:hint="default"/>
        </w:rPr>
        <w:t>⑭</w:t>
      </w:r>
      <w:r>
        <w:rPr/>
        <w:t>开店宝支付服务有限公司（原上海点佰趣信息科技有限公司）湖北分公司与武汉高科国有控股集团有限公司签订了 租赁合同，承租位于武汉市江汉区解放大道</w:t>
      </w:r>
      <w:r>
        <w:rPr>
          <w:rFonts w:ascii="Times New Roman" w:hAnsi="Times New Roman" w:cs="Times New Roman" w:eastAsia="Times New Roman" w:hint="default"/>
        </w:rPr>
        <w:t>686</w:t>
      </w:r>
      <w:r>
        <w:rPr/>
        <w:t>号世贸大厦</w:t>
      </w:r>
      <w:r>
        <w:rPr>
          <w:rFonts w:ascii="Times New Roman" w:hAnsi="Times New Roman" w:cs="Times New Roman" w:eastAsia="Times New Roman" w:hint="default"/>
        </w:rPr>
        <w:t>2512-2513</w:t>
      </w:r>
      <w:r>
        <w:rPr/>
        <w:t>室共计</w:t>
      </w:r>
      <w:r>
        <w:rPr>
          <w:rFonts w:ascii="Times New Roman" w:hAnsi="Times New Roman" w:cs="Times New Roman" w:eastAsia="Times New Roman" w:hint="default"/>
        </w:rPr>
        <w:t>192</w:t>
      </w:r>
      <w:r>
        <w:rPr/>
        <w:t>平方米，租期自</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p>
    <w:p>
      <w:pPr>
        <w:pStyle w:val="BodyText"/>
        <w:spacing w:line="240" w:lineRule="auto" w:before="76"/>
        <w:ind w:right="0"/>
        <w:jc w:val="left"/>
      </w:pPr>
      <w:r>
        <w:rPr>
          <w:rFonts w:ascii="Times New Roman" w:hAnsi="Times New Roman" w:cs="Times New Roman" w:eastAsia="Times New Roman" w:hint="default"/>
        </w:rPr>
        <w:t>14</w:t>
      </w:r>
      <w:r>
        <w:rPr/>
        <w:t>日，续租</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2018</w:t>
      </w:r>
      <w:r>
        <w:rPr/>
        <w:t>年新增办公室位于武汉市江汉区解放大道</w:t>
      </w:r>
      <w:r>
        <w:rPr>
          <w:rFonts w:ascii="Times New Roman" w:hAnsi="Times New Roman" w:cs="Times New Roman" w:eastAsia="Times New Roman" w:hint="default"/>
        </w:rPr>
        <w:t>686</w:t>
      </w:r>
      <w:r>
        <w:rPr/>
        <w:t>号世贸大厦</w:t>
      </w:r>
      <w:r>
        <w:rPr>
          <w:rFonts w:ascii="Times New Roman" w:hAnsi="Times New Roman" w:cs="Times New Roman" w:eastAsia="Times New Roman" w:hint="default"/>
        </w:rPr>
        <w:t>2515</w:t>
      </w:r>
      <w:r>
        <w:rPr/>
        <w:t>室，建筑面积</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9"/>
        <w:jc w:val="left"/>
      </w:pPr>
      <w:r>
        <w:rPr>
          <w:rFonts w:ascii="Times New Roman" w:hAnsi="Times New Roman" w:cs="Times New Roman" w:eastAsia="Times New Roman" w:hint="default"/>
          <w:spacing w:val="-1"/>
        </w:rPr>
        <w:t>120</w:t>
      </w:r>
      <w:r>
        <w:rPr>
          <w:spacing w:val="-1"/>
        </w:rPr>
        <w:t>平方米，期限</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02</w:t>
      </w:r>
      <w:r>
        <w:rPr>
          <w:spacing w:val="-1"/>
        </w:rPr>
        <w:t>月</w:t>
      </w:r>
      <w:r>
        <w:rPr>
          <w:rFonts w:ascii="Times New Roman" w:hAnsi="Times New Roman" w:cs="Times New Roman" w:eastAsia="Times New Roman" w:hint="default"/>
          <w:spacing w:val="-1"/>
        </w:rPr>
        <w:t>01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08</w:t>
      </w:r>
      <w:r>
        <w:rPr>
          <w:spacing w:val="-1"/>
        </w:rPr>
        <w:t>月</w:t>
      </w:r>
      <w:r>
        <w:rPr>
          <w:rFonts w:ascii="Times New Roman" w:hAnsi="Times New Roman" w:cs="Times New Roman" w:eastAsia="Times New Roman" w:hint="default"/>
          <w:spacing w:val="-1"/>
        </w:rPr>
        <w:t>14</w:t>
      </w:r>
      <w:r>
        <w:rPr>
          <w:spacing w:val="-1"/>
        </w:rPr>
        <w:t>日，</w:t>
      </w:r>
      <w:r>
        <w:rPr>
          <w:rFonts w:ascii="Times New Roman" w:hAnsi="Times New Roman" w:cs="Times New Roman" w:eastAsia="Times New Roman" w:hint="default"/>
          <w:spacing w:val="-1"/>
        </w:rPr>
        <w:t>2018</w:t>
      </w:r>
      <w:r>
        <w:rPr>
          <w:spacing w:val="-1"/>
        </w:rPr>
        <w:t>年年度共支付租金</w:t>
      </w:r>
      <w:r>
        <w:rPr>
          <w:rFonts w:ascii="Times New Roman" w:hAnsi="Times New Roman" w:cs="Times New Roman" w:eastAsia="Times New Roman" w:hint="default"/>
          <w:spacing w:val="-1"/>
        </w:rPr>
        <w:t>224,640.00</w:t>
      </w:r>
      <w:r>
        <w:rPr>
          <w:spacing w:val="-1"/>
        </w:rPr>
        <w:t>元（原办公室</w:t>
      </w:r>
      <w:r>
        <w:rPr>
          <w:rFonts w:ascii="Times New Roman" w:hAnsi="Times New Roman" w:cs="Times New Roman" w:eastAsia="Times New Roman" w:hint="default"/>
          <w:spacing w:val="-1"/>
        </w:rPr>
        <w:t>2018.02.15-2019.02.14</w:t>
      </w:r>
      <w:r>
        <w:rPr>
          <w:spacing w:val="-1"/>
        </w:rPr>
        <w:t>，</w:t>
      </w:r>
      <w:r>
        <w:rPr>
          <w:spacing w:val="-62"/>
        </w:rPr>
        <w:t> </w:t>
      </w:r>
      <w:r>
        <w:rPr/>
        <w:t>新增办公室</w:t>
      </w:r>
      <w:r>
        <w:rPr>
          <w:rFonts w:ascii="Times New Roman" w:hAnsi="Times New Roman" w:cs="Times New Roman" w:eastAsia="Times New Roman" w:hint="default"/>
        </w:rPr>
        <w:t>2018.02.01-2019.01.31</w:t>
      </w:r>
      <w:r>
        <w:rPr/>
        <w:t>）；</w:t>
      </w:r>
    </w:p>
    <w:p>
      <w:pPr>
        <w:pStyle w:val="BodyText"/>
        <w:spacing w:line="448" w:lineRule="exact"/>
        <w:ind w:left="514" w:right="0"/>
        <w:jc w:val="left"/>
      </w:pPr>
      <w:r>
        <w:rPr>
          <w:rFonts w:ascii="Cambria Math" w:hAnsi="Cambria Math" w:cs="Cambria Math" w:eastAsia="Cambria Math" w:hint="default"/>
        </w:rPr>
        <w:t>⑮</w:t>
      </w:r>
      <w:r>
        <w:rPr/>
        <w:t>开店宝支付服务有限公司（原上海点佰趣信息科技有限公司）湖南分公司与李云飞签订了租赁合同，承租位于长沙</w:t>
      </w:r>
    </w:p>
    <w:p>
      <w:pPr>
        <w:pStyle w:val="BodyText"/>
        <w:spacing w:line="126" w:lineRule="exact"/>
        <w:ind w:right="0"/>
        <w:jc w:val="left"/>
      </w:pPr>
      <w:r>
        <w:rPr/>
        <w:t>市芙蓉区芙蓉中路顺天国际中心</w:t>
      </w:r>
      <w:r>
        <w:rPr>
          <w:rFonts w:ascii="Times New Roman" w:hAnsi="Times New Roman" w:cs="Times New Roman" w:eastAsia="Times New Roman" w:hint="default"/>
        </w:rPr>
        <w:t>2301</w:t>
      </w:r>
      <w:r>
        <w:rPr/>
        <w:t>房共计</w:t>
      </w:r>
      <w:r>
        <w:rPr>
          <w:rFonts w:ascii="Times New Roman" w:hAnsi="Times New Roman" w:cs="Times New Roman" w:eastAsia="Times New Roman" w:hint="default"/>
        </w:rPr>
        <w:t>218.21</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2018</w:t>
      </w:r>
      <w:r>
        <w:rPr/>
        <w:t>年年度共支付租金</w:t>
      </w:r>
    </w:p>
    <w:p>
      <w:pPr>
        <w:pStyle w:val="BodyText"/>
        <w:spacing w:line="105" w:lineRule="exact" w:before="63"/>
        <w:ind w:right="0"/>
        <w:jc w:val="left"/>
      </w:pPr>
      <w:r>
        <w:rPr>
          <w:rFonts w:ascii="Times New Roman" w:hAnsi="Times New Roman" w:cs="Times New Roman" w:eastAsia="Times New Roman" w:hint="default"/>
        </w:rPr>
        <w:t>201,600.00</w:t>
      </w:r>
      <w:r>
        <w:rPr/>
        <w:t>元（</w:t>
      </w:r>
      <w:r>
        <w:rPr>
          <w:rFonts w:ascii="Times New Roman" w:hAnsi="Times New Roman" w:cs="Times New Roman" w:eastAsia="Times New Roman" w:hint="default"/>
        </w:rPr>
        <w:t>2018.02.16-2019.02.15</w:t>
      </w:r>
      <w:r>
        <w:rPr/>
        <w:t>）；</w:t>
      </w:r>
    </w:p>
    <w:p>
      <w:pPr>
        <w:pStyle w:val="BodyText"/>
        <w:spacing w:line="158" w:lineRule="auto" w:before="46"/>
        <w:ind w:right="0" w:firstLine="360"/>
        <w:jc w:val="left"/>
      </w:pPr>
      <w:r>
        <w:rPr>
          <w:rFonts w:ascii="Cambria Math" w:hAnsi="Cambria Math" w:cs="Cambria Math" w:eastAsia="Cambria Math" w:hint="default"/>
        </w:rPr>
        <w:t>⑯</w:t>
      </w:r>
      <w:r>
        <w:rPr/>
        <w:t>开店宝支付服务有限公司（原上海点佰趣信息科技有限公司）江苏分公司（龙吟广场）与綦朗签订了租赁合同，承 </w:t>
      </w:r>
      <w:r>
        <w:rPr>
          <w:spacing w:val="-1"/>
        </w:rPr>
        <w:t>租位于南京市鼓楼区中山北路</w:t>
      </w:r>
      <w:r>
        <w:rPr>
          <w:rFonts w:ascii="Times New Roman" w:hAnsi="Times New Roman" w:cs="Times New Roman" w:eastAsia="Times New Roman" w:hint="default"/>
          <w:spacing w:val="-1"/>
        </w:rPr>
        <w:t>217</w:t>
      </w:r>
      <w:r>
        <w:rPr>
          <w:spacing w:val="-1"/>
        </w:rPr>
        <w:t>号龙吟广场</w:t>
      </w:r>
      <w:r>
        <w:rPr>
          <w:rFonts w:ascii="Times New Roman" w:hAnsi="Times New Roman" w:cs="Times New Roman" w:eastAsia="Times New Roman" w:hint="default"/>
          <w:spacing w:val="-1"/>
        </w:rPr>
        <w:t>1106</w:t>
      </w:r>
      <w:r>
        <w:rPr>
          <w:spacing w:val="-1"/>
        </w:rPr>
        <w:t>室共计</w:t>
      </w:r>
      <w:r>
        <w:rPr>
          <w:rFonts w:ascii="Times New Roman" w:hAnsi="Times New Roman" w:cs="Times New Roman" w:eastAsia="Times New Roman" w:hint="default"/>
          <w:spacing w:val="-1"/>
        </w:rPr>
        <w:t>239.25</w:t>
      </w:r>
      <w:r>
        <w:rPr>
          <w:spacing w:val="-1"/>
        </w:rPr>
        <w:t>平方米，租期自</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w:t>
      </w:r>
      <w:r>
        <w:rPr>
          <w:rFonts w:ascii="Times New Roman" w:hAnsi="Times New Roman" w:cs="Times New Roman" w:eastAsia="Times New Roman" w:hint="default"/>
          <w:spacing w:val="-1"/>
        </w:rPr>
        <w:t>2018</w:t>
      </w:r>
      <w:r>
        <w:rPr>
          <w:spacing w:val="-1"/>
        </w:rPr>
        <w:t>年年度</w:t>
      </w:r>
    </w:p>
    <w:p>
      <w:pPr>
        <w:pStyle w:val="BodyText"/>
        <w:spacing w:line="105" w:lineRule="exact" w:before="76"/>
        <w:ind w:right="0"/>
        <w:jc w:val="left"/>
      </w:pPr>
      <w:r>
        <w:rPr/>
        <w:t>共支付租金</w:t>
      </w:r>
      <w:r>
        <w:rPr>
          <w:rFonts w:ascii="Times New Roman" w:hAnsi="Times New Roman" w:cs="Times New Roman" w:eastAsia="Times New Roman" w:hint="default"/>
        </w:rPr>
        <w:t>53,400.00</w:t>
      </w:r>
      <w:r>
        <w:rPr/>
        <w:t>元（</w:t>
      </w:r>
      <w:r>
        <w:rPr>
          <w:rFonts w:ascii="Times New Roman" w:hAnsi="Times New Roman" w:cs="Times New Roman" w:eastAsia="Times New Roman" w:hint="default"/>
        </w:rPr>
        <w:t>2018.01.01-2018.03.31</w:t>
      </w:r>
      <w:r>
        <w:rPr/>
        <w:t>，</w:t>
      </w:r>
      <w:r>
        <w:rPr>
          <w:rFonts w:ascii="Times New Roman" w:hAnsi="Times New Roman" w:cs="Times New Roman" w:eastAsia="Times New Roman" w:hint="default"/>
        </w:rPr>
        <w:t>4</w:t>
      </w:r>
      <w:r>
        <w:rPr/>
        <w:t>月份停租）；</w:t>
      </w:r>
    </w:p>
    <w:p>
      <w:pPr>
        <w:pStyle w:val="BodyText"/>
        <w:spacing w:line="158" w:lineRule="auto" w:before="46"/>
        <w:ind w:right="1167" w:firstLine="360"/>
        <w:jc w:val="left"/>
      </w:pPr>
      <w:r>
        <w:rPr>
          <w:rFonts w:ascii="Cambria Math" w:hAnsi="Cambria Math" w:cs="Cambria Math" w:eastAsia="Cambria Math" w:hint="default"/>
        </w:rPr>
        <w:t>⑰</w:t>
      </w:r>
      <w:r>
        <w:rPr/>
        <w:t>开店宝支付服务有限公司（原上海点佰趣信息科技有限公司）江苏分公司（紫峰大厦）与高志良签订了租赁合同， 承租位于南京市鼓楼区中山北路</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3406</w:t>
      </w:r>
      <w:r>
        <w:rPr/>
        <w:t>室共计</w:t>
      </w:r>
      <w:r>
        <w:rPr>
          <w:rFonts w:ascii="Times New Roman" w:hAnsi="Times New Roman" w:cs="Times New Roman" w:eastAsia="Times New Roman" w:hint="default"/>
        </w:rPr>
        <w:t>169.31</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2018</w:t>
      </w:r>
      <w:r>
        <w:rPr/>
        <w:t>年年度共支付</w:t>
      </w:r>
    </w:p>
    <w:p>
      <w:pPr>
        <w:pStyle w:val="BodyText"/>
        <w:spacing w:line="105" w:lineRule="exact" w:before="76"/>
        <w:ind w:right="0"/>
        <w:jc w:val="left"/>
      </w:pPr>
      <w:r>
        <w:rPr/>
        <w:t>租金</w:t>
      </w:r>
      <w:r>
        <w:rPr>
          <w:rFonts w:ascii="Times New Roman" w:hAnsi="Times New Roman" w:cs="Times New Roman" w:eastAsia="Times New Roman" w:hint="default"/>
        </w:rPr>
        <w:t>315,139.34</w:t>
      </w:r>
      <w:r>
        <w:rPr/>
        <w:t>元（</w:t>
      </w:r>
      <w:r>
        <w:rPr>
          <w:rFonts w:ascii="Times New Roman" w:hAnsi="Times New Roman" w:cs="Times New Roman" w:eastAsia="Times New Roman" w:hint="default"/>
        </w:rPr>
        <w:t>2018.04.05-2019.04.04</w:t>
      </w:r>
      <w:r>
        <w:rPr/>
        <w:t>）；</w:t>
      </w:r>
    </w:p>
    <w:p>
      <w:pPr>
        <w:pStyle w:val="BodyText"/>
        <w:spacing w:line="158" w:lineRule="auto" w:before="46"/>
        <w:ind w:right="1167" w:firstLine="360"/>
        <w:jc w:val="left"/>
      </w:pPr>
      <w:r>
        <w:rPr>
          <w:rFonts w:ascii="Cambria Math" w:hAnsi="Cambria Math" w:cs="Cambria Math" w:eastAsia="Cambria Math" w:hint="default"/>
        </w:rPr>
        <w:t>⑱</w:t>
      </w:r>
      <w:r>
        <w:rPr/>
        <w:t>开店宝支付服务有限公司（原上海点佰趣信息科技有限公司）陕西分公司与王惠妮签订了租赁合同，承租位于西安 市碑林区草场坡村城中村综合改造拆迁工程</w:t>
      </w:r>
      <w:r>
        <w:rPr>
          <w:rFonts w:ascii="Times New Roman" w:hAnsi="Times New Roman" w:cs="Times New Roman" w:eastAsia="Times New Roman" w:hint="default"/>
        </w:rPr>
        <w:t>1</w:t>
      </w:r>
      <w:r>
        <w:rPr/>
        <w:t>幢</w:t>
      </w:r>
      <w:r>
        <w:rPr>
          <w:rFonts w:ascii="Times New Roman" w:hAnsi="Times New Roman" w:cs="Times New Roman" w:eastAsia="Times New Roman" w:hint="default"/>
        </w:rPr>
        <w:t>1</w:t>
      </w:r>
      <w:r>
        <w:rPr/>
        <w:t>单元</w:t>
      </w:r>
      <w:r>
        <w:rPr>
          <w:rFonts w:ascii="Times New Roman" w:hAnsi="Times New Roman" w:cs="Times New Roman" w:eastAsia="Times New Roman" w:hint="default"/>
        </w:rPr>
        <w:t>11</w:t>
      </w:r>
      <w:r>
        <w:rPr/>
        <w:t>层</w:t>
      </w:r>
      <w:r>
        <w:rPr>
          <w:rFonts w:ascii="Times New Roman" w:hAnsi="Times New Roman" w:cs="Times New Roman" w:eastAsia="Times New Roman" w:hint="default"/>
        </w:rPr>
        <w:t>11103</w:t>
      </w:r>
      <w:r>
        <w:rPr/>
        <w:t>号共计</w:t>
      </w:r>
      <w:r>
        <w:rPr>
          <w:rFonts w:ascii="Times New Roman" w:hAnsi="Times New Roman" w:cs="Times New Roman" w:eastAsia="Times New Roman" w:hint="default"/>
        </w:rPr>
        <w:t>166.34</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09</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08</w:t>
      </w:r>
      <w:r>
        <w:rPr/>
        <w:t>月</w:t>
      </w:r>
    </w:p>
    <w:p>
      <w:pPr>
        <w:pStyle w:val="BodyText"/>
        <w:spacing w:line="105" w:lineRule="exact" w:before="76"/>
        <w:ind w:right="0"/>
        <w:jc w:val="left"/>
      </w:pP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年年度共支付租金</w:t>
      </w:r>
      <w:r>
        <w:rPr>
          <w:rFonts w:ascii="Times New Roman" w:hAnsi="Times New Roman" w:cs="Times New Roman" w:eastAsia="Times New Roman" w:hint="default"/>
        </w:rPr>
        <w:t>159,686.40</w:t>
      </w:r>
      <w:r>
        <w:rPr/>
        <w:t>元（</w:t>
      </w:r>
      <w:r>
        <w:rPr>
          <w:rFonts w:ascii="Times New Roman" w:hAnsi="Times New Roman" w:cs="Times New Roman" w:eastAsia="Times New Roman" w:hint="default"/>
        </w:rPr>
        <w:t>2018.03.01-2019.02.28</w:t>
      </w:r>
      <w:r>
        <w:rPr/>
        <w:t>）；</w:t>
      </w:r>
    </w:p>
    <w:p>
      <w:pPr>
        <w:pStyle w:val="BodyText"/>
        <w:spacing w:line="158" w:lineRule="auto" w:before="46"/>
        <w:ind w:right="1167" w:firstLine="360"/>
        <w:jc w:val="left"/>
        <w:rPr>
          <w:rFonts w:ascii="Times New Roman" w:hAnsi="Times New Roman" w:cs="Times New Roman" w:eastAsia="Times New Roman" w:hint="default"/>
        </w:rPr>
      </w:pPr>
      <w:r>
        <w:rPr>
          <w:rFonts w:ascii="Cambria Math" w:hAnsi="Cambria Math" w:cs="Cambria Math" w:eastAsia="Cambria Math" w:hint="default"/>
        </w:rPr>
        <w:t>⑲</w:t>
      </w:r>
      <w:r>
        <w:rPr/>
        <w:t>开店宝支付服务有限公司（原上海点佰趣信息科技有限公司）新乡分公司与新乡市卫滨区支雪名优建材家具广场签 订了租赁合同，承租位于胜利街与南环交汇处向北</w:t>
      </w:r>
      <w:r>
        <w:rPr>
          <w:rFonts w:ascii="Times New Roman" w:hAnsi="Times New Roman" w:cs="Times New Roman" w:eastAsia="Times New Roman" w:hint="default"/>
        </w:rPr>
        <w:t>100</w:t>
      </w:r>
      <w:r>
        <w:rPr/>
        <w:t>米路西支雪广场营业楼三楼室共计</w:t>
      </w:r>
      <w:r>
        <w:rPr>
          <w:rFonts w:ascii="Times New Roman" w:hAnsi="Times New Roman" w:cs="Times New Roman" w:eastAsia="Times New Roman" w:hint="default"/>
        </w:rPr>
        <w:t>2,200</w:t>
      </w:r>
      <w:r>
        <w:rPr/>
        <w:t>平方米，租期自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p>
    <w:p>
      <w:pPr>
        <w:pStyle w:val="BodyText"/>
        <w:spacing w:line="105" w:lineRule="exact" w:before="76"/>
        <w:ind w:right="0"/>
        <w:jc w:val="left"/>
      </w:pP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2018</w:t>
      </w:r>
      <w:r>
        <w:rPr/>
        <w:t>年年度共支付租金</w:t>
      </w:r>
      <w:r>
        <w:rPr>
          <w:rFonts w:ascii="Times New Roman" w:hAnsi="Times New Roman" w:cs="Times New Roman" w:eastAsia="Times New Roman" w:hint="default"/>
        </w:rPr>
        <w:t>252,504.00</w:t>
      </w:r>
      <w:r>
        <w:rPr/>
        <w:t>元（</w:t>
      </w:r>
      <w:r>
        <w:rPr>
          <w:rFonts w:ascii="Times New Roman" w:hAnsi="Times New Roman" w:cs="Times New Roman" w:eastAsia="Times New Roman" w:hint="default"/>
        </w:rPr>
        <w:t>2018.06.18-2018.12.17</w:t>
      </w:r>
      <w:r>
        <w:rPr/>
        <w:t>）；</w:t>
      </w:r>
    </w:p>
    <w:p>
      <w:pPr>
        <w:pStyle w:val="BodyText"/>
        <w:spacing w:line="158" w:lineRule="auto" w:before="46"/>
        <w:ind w:right="1195" w:firstLine="360"/>
        <w:jc w:val="left"/>
      </w:pPr>
      <w:r>
        <w:rPr>
          <w:rFonts w:ascii="Cambria Math" w:hAnsi="Cambria Math" w:cs="Cambria Math" w:eastAsia="Cambria Math" w:hint="default"/>
        </w:rPr>
        <w:t>⑳</w:t>
      </w:r>
      <w:r>
        <w:rPr/>
        <w:t>开店宝支付服务有限公司（原上海点佰趣信息科技有限公司）宁波分公司与宁波益富乐生物科技有限公司签订了租 赁合同，承租位于宁波市鄞州中山东路</w:t>
      </w:r>
      <w:r>
        <w:rPr>
          <w:rFonts w:ascii="Times New Roman" w:hAnsi="Times New Roman" w:cs="Times New Roman" w:eastAsia="Times New Roman" w:hint="default"/>
        </w:rPr>
        <w:t>796</w:t>
      </w:r>
      <w:r>
        <w:rPr/>
        <w:t>号</w:t>
      </w:r>
      <w:r>
        <w:rPr>
          <w:rFonts w:ascii="Times New Roman" w:hAnsi="Times New Roman" w:cs="Times New Roman" w:eastAsia="Times New Roman" w:hint="default"/>
        </w:rPr>
        <w:t>5-8</w:t>
      </w:r>
      <w:r>
        <w:rPr/>
        <w:t>室共计</w:t>
      </w:r>
      <w:r>
        <w:rPr>
          <w:rFonts w:ascii="Times New Roman" w:hAnsi="Times New Roman" w:cs="Times New Roman" w:eastAsia="Times New Roman" w:hint="default"/>
        </w:rPr>
        <w:t>185.9</w:t>
      </w:r>
      <w:r>
        <w:rPr/>
        <w:t>平方米，租期自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2018</w:t>
      </w:r>
      <w:r>
        <w:rPr/>
        <w:t>年年度</w:t>
      </w:r>
    </w:p>
    <w:p>
      <w:pPr>
        <w:pStyle w:val="BodyText"/>
        <w:spacing w:line="240" w:lineRule="auto" w:before="76"/>
        <w:ind w:right="0"/>
        <w:jc w:val="left"/>
      </w:pPr>
      <w:r>
        <w:rPr/>
        <w:t>共支付租金</w:t>
      </w:r>
      <w:r>
        <w:rPr>
          <w:rFonts w:ascii="Times New Roman" w:hAnsi="Times New Roman" w:cs="Times New Roman" w:eastAsia="Times New Roman" w:hint="default"/>
        </w:rPr>
        <w:t>132,000.00</w:t>
      </w:r>
      <w:r>
        <w:rPr/>
        <w:t>元（</w:t>
      </w:r>
      <w:r>
        <w:rPr>
          <w:rFonts w:ascii="Times New Roman" w:hAnsi="Times New Roman" w:cs="Times New Roman" w:eastAsia="Times New Roman" w:hint="default"/>
        </w:rPr>
        <w:t>2018.03.21-2019.03.20</w:t>
      </w:r>
      <w:r>
        <w:rPr/>
        <w:t>）；</w:t>
      </w:r>
    </w:p>
    <w:p>
      <w:pPr>
        <w:pStyle w:val="BodyText"/>
        <w:spacing w:line="309" w:lineRule="auto" w:before="63"/>
        <w:ind w:right="1132" w:firstLine="360"/>
        <w:jc w:val="both"/>
      </w:pPr>
      <w:r>
        <w:rPr>
          <w:rFonts w:ascii="MS Gothic" w:hAnsi="MS Gothic" w:cs="MS Gothic" w:eastAsia="MS Gothic" w:hint="default"/>
          <w:spacing w:val="-2"/>
        </w:rPr>
        <w:t>㉑开店宝支付服</w:t>
      </w:r>
      <w:r>
        <w:rPr>
          <w:spacing w:val="-2"/>
        </w:rPr>
        <w:t>务有限公司（原上海点佰趣信息科技有限公司）安徽分公司与吴建福签订了租赁合同，承租位于安徽合</w:t>
      </w:r>
      <w:r>
        <w:rPr/>
        <w:t> 肥市马鞍山南路绿地赢海</w:t>
      </w:r>
      <w:r>
        <w:rPr>
          <w:rFonts w:ascii="Times New Roman" w:hAnsi="Times New Roman" w:cs="Times New Roman" w:eastAsia="Times New Roman" w:hint="default"/>
        </w:rPr>
        <w:t>D</w:t>
      </w:r>
      <w:r>
        <w:rPr/>
        <w:t>座</w:t>
      </w:r>
      <w:r>
        <w:rPr>
          <w:rFonts w:ascii="Times New Roman" w:hAnsi="Times New Roman" w:cs="Times New Roman" w:eastAsia="Times New Roman" w:hint="default"/>
        </w:rPr>
        <w:t>1808</w:t>
      </w:r>
      <w:r>
        <w:rPr/>
        <w:t>、</w:t>
      </w:r>
      <w:r>
        <w:rPr>
          <w:rFonts w:ascii="Times New Roman" w:hAnsi="Times New Roman" w:cs="Times New Roman" w:eastAsia="Times New Roman" w:hint="default"/>
        </w:rPr>
        <w:t>1809</w:t>
      </w:r>
      <w:r>
        <w:rPr/>
        <w:t>室共计</w:t>
      </w:r>
      <w:r>
        <w:rPr>
          <w:rFonts w:ascii="Times New Roman" w:hAnsi="Times New Roman" w:cs="Times New Roman" w:eastAsia="Times New Roman" w:hint="default"/>
        </w:rPr>
        <w:t>253</w:t>
      </w:r>
      <w:r>
        <w:rPr/>
        <w:t>平方米，租期自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年年度共支付租 金</w:t>
      </w:r>
      <w:r>
        <w:rPr>
          <w:rFonts w:ascii="Times New Roman" w:hAnsi="Times New Roman" w:cs="Times New Roman" w:eastAsia="Times New Roman" w:hint="default"/>
        </w:rPr>
        <w:t>212,520.00</w:t>
      </w:r>
      <w:r>
        <w:rPr/>
        <w:t>元（</w:t>
      </w:r>
      <w:r>
        <w:rPr>
          <w:rFonts w:ascii="Times New Roman" w:hAnsi="Times New Roman" w:cs="Times New Roman" w:eastAsia="Times New Roman" w:hint="default"/>
        </w:rPr>
        <w:t>2018.01.12-2019.01.11</w:t>
      </w:r>
      <w:r>
        <w:rPr/>
        <w:t>）；</w:t>
      </w:r>
    </w:p>
    <w:p>
      <w:pPr>
        <w:pStyle w:val="BodyText"/>
        <w:spacing w:line="309" w:lineRule="auto" w:before="5"/>
        <w:ind w:right="1132" w:firstLine="360"/>
        <w:jc w:val="left"/>
      </w:pPr>
      <w:r>
        <w:rPr>
          <w:rFonts w:ascii="MS Gothic" w:hAnsi="MS Gothic" w:cs="MS Gothic" w:eastAsia="MS Gothic" w:hint="default"/>
          <w:spacing w:val="-2"/>
        </w:rPr>
        <w:t>㉒开店宝支付服</w:t>
      </w:r>
      <w:r>
        <w:rPr>
          <w:spacing w:val="-2"/>
        </w:rPr>
        <w:t>务有限公司（原上海点佰趣信息科技有限公司）云南分公司与孙立省签订了租赁合同，承租位于云南昆</w:t>
      </w:r>
      <w:r>
        <w:rPr/>
        <w:t> 明市西山区滇池路西贡码头商住美食街第</w:t>
      </w:r>
      <w:r>
        <w:rPr>
          <w:rFonts w:ascii="Times New Roman" w:hAnsi="Times New Roman" w:cs="Times New Roman" w:eastAsia="Times New Roman" w:hint="default"/>
        </w:rPr>
        <w:t>27</w:t>
      </w:r>
      <w:r>
        <w:rPr/>
        <w:t>幢</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4</w:t>
      </w:r>
      <w:r>
        <w:rPr/>
        <w:t>楼加阁楼共计</w:t>
      </w:r>
      <w:r>
        <w:rPr>
          <w:rFonts w:ascii="Times New Roman" w:hAnsi="Times New Roman" w:cs="Times New Roman" w:eastAsia="Times New Roman" w:hint="default"/>
        </w:rPr>
        <w:t>151.52</w:t>
      </w:r>
      <w:r>
        <w:rPr/>
        <w:t>平方米，租期自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2018</w:t>
      </w:r>
      <w:r>
        <w:rPr/>
        <w:t>年年度共支付租金</w:t>
      </w:r>
      <w:r>
        <w:rPr>
          <w:rFonts w:ascii="Times New Roman" w:hAnsi="Times New Roman" w:cs="Times New Roman" w:eastAsia="Times New Roman" w:hint="default"/>
        </w:rPr>
        <w:t>152,736.00</w:t>
      </w:r>
      <w:r>
        <w:rPr/>
        <w:t>元（</w:t>
      </w:r>
      <w:r>
        <w:rPr>
          <w:rFonts w:ascii="Times New Roman" w:hAnsi="Times New Roman" w:cs="Times New Roman" w:eastAsia="Times New Roman" w:hint="default"/>
        </w:rPr>
        <w:t>2018.01.01-2018.12.31</w:t>
      </w:r>
      <w:r>
        <w:rPr/>
        <w:t>）；</w:t>
      </w:r>
    </w:p>
    <w:p>
      <w:pPr>
        <w:pStyle w:val="BodyText"/>
        <w:spacing w:line="309" w:lineRule="auto" w:before="5"/>
        <w:ind w:right="1132" w:firstLine="360"/>
        <w:jc w:val="left"/>
      </w:pPr>
      <w:r>
        <w:rPr>
          <w:rFonts w:ascii="MS Gothic" w:hAnsi="MS Gothic" w:cs="MS Gothic" w:eastAsia="MS Gothic" w:hint="default"/>
          <w:spacing w:val="-2"/>
        </w:rPr>
        <w:t>㉓开店宝支付服</w:t>
      </w:r>
      <w:r>
        <w:rPr>
          <w:spacing w:val="-2"/>
        </w:rPr>
        <w:t>务有限公司（原上海点佰趣信息科技有限公司）台州分公司与梁苗签订了租赁合同，承租位于浙江台州</w:t>
      </w:r>
      <w:r>
        <w:rPr/>
        <w:t> 市椒江区金茂中心</w:t>
      </w:r>
      <w:r>
        <w:rPr>
          <w:rFonts w:ascii="Times New Roman" w:hAnsi="Times New Roman" w:cs="Times New Roman" w:eastAsia="Times New Roman" w:hint="default"/>
        </w:rPr>
        <w:t>1805--1808</w:t>
      </w:r>
      <w:r>
        <w:rPr/>
        <w:t>室共计</w:t>
      </w:r>
      <w:r>
        <w:rPr>
          <w:rFonts w:ascii="Times New Roman" w:hAnsi="Times New Roman" w:cs="Times New Roman" w:eastAsia="Times New Roman" w:hint="default"/>
        </w:rPr>
        <w:t>685.67</w:t>
      </w:r>
      <w:r>
        <w:rPr/>
        <w:t>平方米，租期自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年年度共支付租金 </w:t>
      </w:r>
      <w:r>
        <w:rPr>
          <w:rFonts w:ascii="Times New Roman" w:hAnsi="Times New Roman" w:cs="Times New Roman" w:eastAsia="Times New Roman" w:hint="default"/>
        </w:rPr>
        <w:t>386,717.00</w:t>
      </w:r>
      <w:r>
        <w:rPr/>
        <w:t>元（</w:t>
      </w:r>
      <w:r>
        <w:rPr>
          <w:rFonts w:ascii="Times New Roman" w:hAnsi="Times New Roman" w:cs="Times New Roman" w:eastAsia="Times New Roman" w:hint="default"/>
        </w:rPr>
        <w:t>2018.01.01-2018.12.31</w:t>
      </w:r>
      <w:r>
        <w:rPr/>
        <w:t>）；</w:t>
      </w:r>
    </w:p>
    <w:p>
      <w:pPr>
        <w:pStyle w:val="BodyText"/>
        <w:spacing w:line="309" w:lineRule="auto" w:before="5"/>
        <w:ind w:right="1132" w:firstLine="360"/>
        <w:jc w:val="left"/>
      </w:pPr>
      <w:r>
        <w:rPr>
          <w:rFonts w:ascii="MS Gothic" w:hAnsi="MS Gothic" w:cs="MS Gothic" w:eastAsia="MS Gothic" w:hint="default"/>
          <w:spacing w:val="-2"/>
        </w:rPr>
        <w:t>㉔开店宝支付服</w:t>
      </w:r>
      <w:r>
        <w:rPr>
          <w:spacing w:val="-2"/>
        </w:rPr>
        <w:t>务有限公司（原上海点佰趣信息科技有限公司）深圳分公司与李仕兴签订了租赁合同，承租位于深圳福</w:t>
      </w:r>
      <w:r>
        <w:rPr/>
        <w:t> 田区福虹路世界贸易广场裙楼</w:t>
      </w:r>
      <w:r>
        <w:rPr>
          <w:rFonts w:ascii="Times New Roman" w:hAnsi="Times New Roman" w:cs="Times New Roman" w:eastAsia="Times New Roman" w:hint="default"/>
        </w:rPr>
        <w:t>5</w:t>
      </w:r>
      <w:r>
        <w:rPr/>
        <w:t>楼</w:t>
      </w:r>
      <w:r>
        <w:rPr>
          <w:rFonts w:ascii="Times New Roman" w:hAnsi="Times New Roman" w:cs="Times New Roman" w:eastAsia="Times New Roman" w:hint="default"/>
        </w:rPr>
        <w:t>501C</w:t>
      </w:r>
      <w:r>
        <w:rPr/>
        <w:t>共计</w:t>
      </w:r>
      <w:r>
        <w:rPr>
          <w:rFonts w:ascii="Times New Roman" w:hAnsi="Times New Roman" w:cs="Times New Roman" w:eastAsia="Times New Roman" w:hint="default"/>
        </w:rPr>
        <w:t>186</w:t>
      </w:r>
      <w:r>
        <w:rPr/>
        <w:t>平方米，租期自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年年度共支付租金 </w:t>
      </w:r>
      <w:r>
        <w:rPr>
          <w:rFonts w:ascii="Times New Roman" w:hAnsi="Times New Roman" w:cs="Times New Roman" w:eastAsia="Times New Roman" w:hint="default"/>
        </w:rPr>
        <w:t>96,000.00</w:t>
      </w:r>
      <w:r>
        <w:rPr/>
        <w:t>元（</w:t>
      </w:r>
      <w:r>
        <w:rPr>
          <w:rFonts w:ascii="Times New Roman" w:hAnsi="Times New Roman" w:cs="Times New Roman" w:eastAsia="Times New Roman" w:hint="default"/>
        </w:rPr>
        <w:t>2018.01.01-2018.03.31</w:t>
      </w:r>
      <w:r>
        <w:rPr/>
        <w:t>）；</w:t>
      </w:r>
    </w:p>
    <w:p>
      <w:pPr>
        <w:pStyle w:val="BodyText"/>
        <w:spacing w:line="309" w:lineRule="auto" w:before="5"/>
        <w:ind w:right="1132" w:firstLine="360"/>
        <w:jc w:val="both"/>
      </w:pPr>
      <w:r>
        <w:rPr>
          <w:rFonts w:ascii="MS Gothic" w:hAnsi="MS Gothic" w:cs="MS Gothic" w:eastAsia="MS Gothic" w:hint="default"/>
          <w:spacing w:val="-2"/>
        </w:rPr>
        <w:t>㉕开店宝支付服</w:t>
      </w:r>
      <w:r>
        <w:rPr>
          <w:spacing w:val="-2"/>
        </w:rPr>
        <w:t>务有限公司（原上海点佰趣信息科技有限公司）深圳分公司与金雪英签订了租赁合同，承租位于深圳福</w:t>
      </w:r>
      <w:r>
        <w:rPr/>
        <w:t> </w:t>
      </w:r>
      <w:r>
        <w:rPr>
          <w:spacing w:val="-1"/>
        </w:rPr>
        <w:t>田区福虹路世界贸易广场</w:t>
      </w:r>
      <w:r>
        <w:rPr>
          <w:rFonts w:ascii="Times New Roman" w:hAnsi="Times New Roman" w:cs="Times New Roman" w:eastAsia="Times New Roman" w:hint="default"/>
          <w:spacing w:val="-1"/>
        </w:rPr>
        <w:t>A</w:t>
      </w:r>
      <w:r>
        <w:rPr>
          <w:spacing w:val="-1"/>
        </w:rPr>
        <w:t>座</w:t>
      </w:r>
      <w:r>
        <w:rPr>
          <w:rFonts w:ascii="Times New Roman" w:hAnsi="Times New Roman" w:cs="Times New Roman" w:eastAsia="Times New Roman" w:hint="default"/>
          <w:spacing w:val="-1"/>
        </w:rPr>
        <w:t>1106-1108</w:t>
      </w:r>
      <w:r>
        <w:rPr>
          <w:spacing w:val="-1"/>
        </w:rPr>
        <w:t>室共计</w:t>
      </w:r>
      <w:r>
        <w:rPr>
          <w:rFonts w:ascii="Times New Roman" w:hAnsi="Times New Roman" w:cs="Times New Roman" w:eastAsia="Times New Roman" w:hint="default"/>
          <w:spacing w:val="-1"/>
        </w:rPr>
        <w:t>479.71</w:t>
      </w:r>
      <w:r>
        <w:rPr>
          <w:spacing w:val="-1"/>
        </w:rPr>
        <w:t>平方米，租期自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04</w:t>
      </w:r>
      <w:r>
        <w:rPr>
          <w:spacing w:val="-1"/>
        </w:rPr>
        <w:t>月</w:t>
      </w:r>
      <w:r>
        <w:rPr>
          <w:rFonts w:ascii="Times New Roman" w:hAnsi="Times New Roman" w:cs="Times New Roman" w:eastAsia="Times New Roman" w:hint="default"/>
          <w:spacing w:val="-1"/>
        </w:rPr>
        <w:t>01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03</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2018</w:t>
      </w:r>
      <w:r>
        <w:rPr>
          <w:spacing w:val="-1"/>
        </w:rPr>
        <w:t>年年度共支付</w:t>
      </w:r>
      <w:r>
        <w:rPr>
          <w:spacing w:val="-68"/>
        </w:rPr>
        <w:t> </w:t>
      </w:r>
      <w:r>
        <w:rPr>
          <w:spacing w:val="-68"/>
        </w:rPr>
      </w:r>
      <w:r>
        <w:rPr/>
        <w:t>租金</w:t>
      </w:r>
      <w:r>
        <w:rPr>
          <w:rFonts w:ascii="Times New Roman" w:hAnsi="Times New Roman" w:cs="Times New Roman" w:eastAsia="Times New Roman" w:hint="default"/>
        </w:rPr>
        <w:t>603,000.00</w:t>
      </w:r>
      <w:r>
        <w:rPr/>
        <w:t>元（</w:t>
      </w:r>
      <w:r>
        <w:rPr>
          <w:rFonts w:ascii="Times New Roman" w:hAnsi="Times New Roman" w:cs="Times New Roman" w:eastAsia="Times New Roman" w:hint="default"/>
        </w:rPr>
        <w:t>2018.04.01-2018.12.31</w:t>
      </w:r>
      <w:r>
        <w:rPr/>
        <w:t>）。</w:t>
      </w:r>
    </w:p>
    <w:p>
      <w:pPr>
        <w:pStyle w:val="BodyText"/>
        <w:spacing w:line="340" w:lineRule="auto" w:before="5"/>
        <w:ind w:right="6058" w:firstLine="360"/>
        <w:jc w:val="left"/>
      </w:pPr>
      <w:r>
        <w:rPr/>
        <w:t>公司报告期内租金支出总额为</w:t>
      </w:r>
      <w:r>
        <w:rPr>
          <w:rFonts w:ascii="Times New Roman" w:hAnsi="Times New Roman" w:cs="Times New Roman" w:eastAsia="Times New Roman" w:hint="default"/>
        </w:rPr>
        <w:t>19,116,845.78</w:t>
      </w:r>
      <w:r>
        <w:rPr/>
        <w:t>元。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2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24"/>
        <w:gridCol w:w="921"/>
        <w:gridCol w:w="1302"/>
        <w:gridCol w:w="1057"/>
        <w:gridCol w:w="1041"/>
        <w:gridCol w:w="1048"/>
        <w:gridCol w:w="790"/>
        <w:gridCol w:w="783"/>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8"/>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6" w:lineRule="auto" w:before="52"/>
              <w:ind w:left="99"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4"/>
              <w:jc w:val="left"/>
              <w:rPr>
                <w:rFonts w:ascii="宋体" w:hAnsi="宋体" w:cs="宋体" w:eastAsia="宋体" w:hint="default"/>
                <w:sz w:val="18"/>
                <w:szCs w:val="18"/>
              </w:rPr>
            </w:pPr>
            <w:r>
              <w:rPr>
                <w:rFonts w:ascii="宋体" w:hAnsi="宋体" w:cs="宋体" w:eastAsia="宋体" w:hint="default"/>
                <w:sz w:val="18"/>
                <w:szCs w:val="18"/>
              </w:rPr>
              <w:t>键桥国际（香港）投 资有限公司</w:t>
            </w:r>
          </w:p>
        </w:tc>
        <w:tc>
          <w:tcPr>
            <w:tcW w:w="924"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1,815.87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3"/>
              <w:jc w:val="both"/>
              <w:rPr>
                <w:rFonts w:ascii="宋体" w:hAnsi="宋体" w:cs="宋体" w:eastAsia="宋体" w:hint="default"/>
                <w:sz w:val="18"/>
                <w:szCs w:val="18"/>
              </w:rPr>
            </w:pPr>
            <w:r>
              <w:rPr>
                <w:rFonts w:ascii="宋体" w:hAnsi="宋体" w:cs="宋体" w:eastAsia="宋体" w:hint="default"/>
                <w:sz w:val="18"/>
                <w:szCs w:val="18"/>
              </w:rPr>
              <w:t>债务人履行 主合同义务 期限届满之 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1,815.87</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6"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FFFFFF"/>
            </w:tcBorders>
            <w:shd w:val="clear" w:color="auto" w:fill="D2D2D2"/>
          </w:tcPr>
          <w:p>
            <w:pPr/>
          </w:p>
        </w:tc>
        <w:tc>
          <w:tcPr>
            <w:tcW w:w="1041" w:type="dxa"/>
            <w:vMerge w:val="restart"/>
            <w:tcBorders>
              <w:top w:val="single" w:sz="4" w:space="0" w:color="000000"/>
              <w:left w:val="single" w:sz="4" w:space="0" w:color="FFFFFF"/>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FFFFFF"/>
            </w:tcBorders>
            <w:shd w:val="clear" w:color="auto" w:fill="D2D2D2"/>
          </w:tcPr>
          <w:p>
            <w:pPr>
              <w:pStyle w:val="TableParagraph"/>
              <w:spacing w:line="316" w:lineRule="auto" w:before="51"/>
              <w:ind w:left="435"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FFFFFF"/>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9"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vMerge/>
            <w:tcBorders>
              <w:left w:val="single" w:sz="4" w:space="0" w:color="000000"/>
              <w:right w:val="single" w:sz="4" w:space="0" w:color="000000"/>
            </w:tcBorders>
            <w:shd w:val="clear" w:color="auto" w:fill="D2D2D2"/>
          </w:tcPr>
          <w:p>
            <w:pPr/>
          </w:p>
        </w:tc>
        <w:tc>
          <w:tcPr>
            <w:tcW w:w="9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vMerge/>
            <w:tcBorders>
              <w:left w:val="single" w:sz="4" w:space="0" w:color="000000"/>
              <w:right w:val="single" w:sz="4" w:space="0" w:color="FFFFFF"/>
            </w:tcBorders>
            <w:shd w:val="clear" w:color="auto" w:fill="D2D2D2"/>
          </w:tcPr>
          <w:p>
            <w:pPr/>
          </w:p>
        </w:tc>
        <w:tc>
          <w:tcPr>
            <w:tcW w:w="1041"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FFFFFF"/>
            </w:tcBorders>
            <w:shd w:val="clear" w:color="auto" w:fill="D2D2D2"/>
          </w:tcPr>
          <w:p>
            <w:pPr/>
          </w:p>
        </w:tc>
        <w:tc>
          <w:tcPr>
            <w:tcW w:w="1041" w:type="dxa"/>
            <w:vMerge w:val="restart"/>
            <w:tcBorders>
              <w:top w:val="nil" w:sz="6" w:space="0" w:color="auto"/>
              <w:left w:val="single" w:sz="4" w:space="0" w:color="FFFFFF"/>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FFFFFF"/>
            </w:tcBorders>
            <w:shd w:val="clear" w:color="auto" w:fill="D2D2D2"/>
          </w:tcPr>
          <w:p>
            <w:pPr/>
          </w:p>
        </w:tc>
        <w:tc>
          <w:tcPr>
            <w:tcW w:w="1041" w:type="dxa"/>
            <w:vMerge/>
            <w:tcBorders>
              <w:left w:val="single" w:sz="4" w:space="0" w:color="FFFFFF"/>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w:t>
            </w:r>
          </w:p>
        </w:tc>
        <w:tc>
          <w:tcPr>
            <w:tcW w:w="1041" w:type="dxa"/>
            <w:tcBorders>
              <w:top w:val="single" w:sz="4" w:space="0" w:color="000000"/>
              <w:left w:val="single" w:sz="4" w:space="0" w:color="FFFFFF"/>
              <w:bottom w:val="single" w:sz="4" w:space="0" w:color="000000"/>
              <w:right w:val="single" w:sz="4" w:space="0" w:color="000000"/>
            </w:tcBorders>
          </w:tcPr>
          <w:p>
            <w:pPr>
              <w:pStyle w:val="TableParagraph"/>
              <w:spacing w:line="319"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1,270.57</w:t>
            </w:r>
          </w:p>
        </w:tc>
        <w:tc>
          <w:tcPr>
            <w:tcW w:w="1041" w:type="dxa"/>
            <w:tcBorders>
              <w:top w:val="single" w:sz="4" w:space="0" w:color="000000"/>
              <w:left w:val="single" w:sz="4" w:space="0" w:color="FFFFFF"/>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南京凌云</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1,757.53</w:t>
            </w:r>
          </w:p>
        </w:tc>
        <w:tc>
          <w:tcPr>
            <w:tcW w:w="1041" w:type="dxa"/>
            <w:tcBorders>
              <w:top w:val="single" w:sz="4" w:space="0" w:color="000000"/>
              <w:left w:val="single" w:sz="4" w:space="0" w:color="FFFFFF"/>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键桥轨道</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780</w:t>
            </w:r>
          </w:p>
        </w:tc>
        <w:tc>
          <w:tcPr>
            <w:tcW w:w="1041" w:type="dxa"/>
            <w:tcBorders>
              <w:top w:val="single" w:sz="4" w:space="0" w:color="000000"/>
              <w:left w:val="single" w:sz="4" w:space="0" w:color="FFFFFF"/>
              <w:bottom w:val="single" w:sz="4" w:space="0" w:color="000000"/>
              <w:right w:val="single" w:sz="4" w:space="0" w:color="000000"/>
            </w:tcBorders>
          </w:tcPr>
          <w:p>
            <w:pPr>
              <w:pStyle w:val="TableParagraph"/>
              <w:spacing w:line="316" w:lineRule="auto" w:before="52"/>
              <w:ind w:left="29"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9,300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5,342.38</w:t>
            </w:r>
          </w:p>
        </w:tc>
      </w:tr>
      <w:tr>
        <w:trPr>
          <w:trHeight w:val="719"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3"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9,300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4,808.1</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92"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
        </w:tc>
        <w:tc>
          <w:tcPr>
            <w:tcW w:w="1048" w:type="dxa"/>
            <w:vMerge w:val="restart"/>
            <w:tcBorders>
              <w:top w:val="single" w:sz="4" w:space="0" w:color="000000"/>
              <w:left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5"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1"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4" w:type="dxa"/>
            <w:vMerge/>
            <w:tcBorders>
              <w:left w:val="single" w:sz="4" w:space="0" w:color="000000"/>
              <w:right w:val="single" w:sz="4" w:space="0" w:color="000000"/>
            </w:tcBorders>
            <w:shd w:val="clear" w:color="auto" w:fill="D2D2D2"/>
          </w:tcPr>
          <w:p>
            <w:pPr/>
          </w:p>
        </w:tc>
        <w:tc>
          <w:tcPr>
            <w:tcW w:w="9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vMerge/>
            <w:tcBorders>
              <w:left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开店宝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4,500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9"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开店宝</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1,350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4"/>
              <w:jc w:val="right"/>
              <w:rPr>
                <w:rFonts w:ascii="Times New Roman" w:hAnsi="Times New Roman" w:cs="Times New Roman" w:eastAsia="Times New Roman" w:hint="default"/>
                <w:sz w:val="18"/>
                <w:szCs w:val="18"/>
              </w:rPr>
            </w:pPr>
            <w:r>
              <w:rPr>
                <w:rFonts w:ascii="Times New Roman"/>
                <w:sz w:val="18"/>
              </w:rPr>
              <w:t>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9"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98"/>
        <w:gridCol w:w="910"/>
        <w:gridCol w:w="924"/>
        <w:gridCol w:w="1313"/>
        <w:gridCol w:w="1044"/>
        <w:gridCol w:w="1048"/>
        <w:gridCol w:w="1051"/>
        <w:gridCol w:w="786"/>
        <w:gridCol w:w="790"/>
      </w:tblGrid>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开店宝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开店宝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13,100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8,842.38</w:t>
            </w:r>
          </w:p>
        </w:tc>
      </w:tr>
      <w:tr>
        <w:trPr>
          <w:trHeight w:val="714" w:hRule="exact"/>
        </w:trPr>
        <w:tc>
          <w:tcPr>
            <w:tcW w:w="26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14,915.87</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8,308.1</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4,808.1</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4,808.1</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8052"/>
        <w:jc w:val="left"/>
      </w:pPr>
      <w:r>
        <w:rPr/>
        <w:t>采用复合方式担保的具体情况说明 无。</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7"/>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6"/>
      <w:bookmarkEnd w:id="96"/>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报告期内，公司积极履行企业社会责任，切实做好股东、职工、供应商、客户和消费者权益保护，促进公司与各方共同</w:t>
      </w:r>
      <w:r>
        <w:rPr/>
        <w:t> 发展。</w:t>
      </w:r>
    </w:p>
    <w:p>
      <w:pPr>
        <w:pStyle w:val="BodyText"/>
        <w:spacing w:line="309" w:lineRule="auto" w:before="19"/>
        <w:ind w:right="1131" w:firstLine="360"/>
        <w:jc w:val="both"/>
      </w:pPr>
      <w:r>
        <w:rPr/>
        <w:t>（</w:t>
      </w:r>
      <w:r>
        <w:rPr>
          <w:rFonts w:ascii="Times New Roman" w:hAnsi="Times New Roman" w:cs="Times New Roman" w:eastAsia="Times New Roman" w:hint="default"/>
        </w:rPr>
        <w:t>1</w:t>
      </w:r>
      <w:r>
        <w:rPr/>
        <w:t>）公司严格按照有关法律法规、《公司章程》和相关制度的要求，真实、准确、完整地履行信息披露义务，保障全 </w:t>
      </w:r>
      <w:r>
        <w:rPr>
          <w:spacing w:val="-2"/>
        </w:rPr>
        <w:t>体股东平等的享有各项合法权益。同时，公司通过网上业绩说明会、电话、传真、电子邮箱和投资者关系互动平台等多种方</w:t>
      </w:r>
      <w:r>
        <w:rPr>
          <w:spacing w:val="-65"/>
        </w:rPr>
        <w:t> </w:t>
      </w:r>
      <w:r>
        <w:rPr>
          <w:spacing w:val="-65"/>
        </w:rPr>
      </w:r>
      <w:r>
        <w:rPr/>
        <w:t>式与投资者进行沟通交流，实现了良好的沟通，切实保护股东特别是中小股东的合法权益。</w:t>
      </w:r>
    </w:p>
    <w:p>
      <w:pPr>
        <w:pStyle w:val="BodyText"/>
        <w:spacing w:line="300" w:lineRule="auto" w:before="24"/>
        <w:ind w:right="1141" w:firstLine="360"/>
        <w:jc w:val="both"/>
      </w:pPr>
      <w:r>
        <w:rPr/>
        <w:t>（</w:t>
      </w:r>
      <w:r>
        <w:rPr>
          <w:rFonts w:ascii="Times New Roman" w:hAnsi="Times New Roman" w:cs="Times New Roman" w:eastAsia="Times New Roman" w:hint="default"/>
        </w:rPr>
        <w:t>2</w:t>
      </w:r>
      <w:r>
        <w:rPr/>
        <w:t>）公司严格遵守《劳动法》等相关法律法规，依法保护员工合法权益，建立了完善的企业文化体系，组织丰富的员 工活动，并给予员工充分的企业关怀，增加企业凝聚力的同时，实现了对职工权益的充分保护。</w:t>
      </w:r>
    </w:p>
    <w:p>
      <w:pPr>
        <w:pStyle w:val="BodyText"/>
        <w:spacing w:line="300" w:lineRule="auto" w:before="31"/>
        <w:ind w:right="1139" w:firstLine="360"/>
        <w:jc w:val="both"/>
      </w:pPr>
      <w:r>
        <w:rPr/>
        <w:t>（</w:t>
      </w:r>
      <w:r>
        <w:rPr>
          <w:rFonts w:ascii="Times New Roman" w:hAnsi="Times New Roman" w:cs="Times New Roman" w:eastAsia="Times New Roman" w:hint="default"/>
        </w:rPr>
        <w:t>3</w:t>
      </w:r>
      <w:r>
        <w:rPr/>
        <w:t>）公司始终坚持诚信经营，公平、公正地对待供应商，严格把控产品和服务质量，创造良好的经营环境，提高客户 和消费者对产品的满意度，取得了良好的口碑和市场信誉。</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上市公司及其子公司是否属于环境保护部门公布的重点排污单位</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不适用</w:t>
      </w:r>
    </w:p>
    <w:p>
      <w:pPr>
        <w:pStyle w:val="BodyText"/>
        <w:spacing w:line="240" w:lineRule="auto" w:before="115"/>
        <w:ind w:left="514" w:right="0"/>
        <w:jc w:val="left"/>
      </w:pPr>
      <w:r>
        <w:rPr/>
        <w:t>经自查，公司及子公司不属于环境保护部门公布的重点排污单位。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40" w:lineRule="auto" w:before="102"/>
        <w:ind w:left="576" w:right="0"/>
        <w:jc w:val="left"/>
        <w:rPr>
          <w:b w:val="0"/>
          <w:bCs w:val="0"/>
        </w:rPr>
      </w:pPr>
      <w:r>
        <w:rPr>
          <w:rFonts w:ascii="Times New Roman" w:hAnsi="Times New Roman" w:cs="Times New Roman" w:eastAsia="Times New Roman" w:hint="default"/>
        </w:rPr>
        <w:t>1</w:t>
      </w:r>
      <w:r>
        <w:rPr/>
        <w:t>、变更公司名称、证券简称、公司网址及投资者关系电子信箱事项</w:t>
      </w:r>
      <w:r>
        <w:rPr>
          <w:b w:val="0"/>
          <w:bCs w:val="0"/>
        </w:rPr>
      </w:r>
    </w:p>
    <w:p>
      <w:pPr>
        <w:pStyle w:val="BodyText"/>
        <w:spacing w:line="300" w:lineRule="auto" w:before="63"/>
        <w:ind w:right="1130" w:firstLine="420"/>
        <w:jc w:val="both"/>
      </w:pPr>
      <w:r>
        <w:rPr/>
        <w:t>具</w:t>
      </w:r>
      <w:r>
        <w:rPr>
          <w:spacing w:val="-57"/>
        </w:rPr>
        <w:t> </w:t>
      </w:r>
      <w:r>
        <w:rPr/>
        <w:t>体</w:t>
      </w:r>
      <w:r>
        <w:rPr>
          <w:spacing w:val="-57"/>
        </w:rPr>
        <w:t> </w:t>
      </w:r>
      <w:r>
        <w:rPr/>
        <w:t>内</w:t>
      </w:r>
      <w:r>
        <w:rPr>
          <w:spacing w:val="-58"/>
        </w:rPr>
        <w:t> </w:t>
      </w:r>
      <w:r>
        <w:rPr/>
        <w:t>容</w:t>
      </w:r>
      <w:r>
        <w:rPr>
          <w:spacing w:val="-57"/>
        </w:rPr>
        <w:t> </w:t>
      </w:r>
      <w:r>
        <w:rPr/>
        <w:t>详</w:t>
      </w:r>
      <w:r>
        <w:rPr>
          <w:spacing w:val="-58"/>
        </w:rPr>
        <w:t> </w:t>
      </w:r>
      <w:r>
        <w:rPr/>
        <w:t>见</w:t>
      </w:r>
      <w:r>
        <w:rPr>
          <w:spacing w:val="-57"/>
        </w:rPr>
        <w:t> </w:t>
      </w:r>
      <w:r>
        <w:rPr/>
        <w:t>公</w:t>
      </w:r>
      <w:r>
        <w:rPr>
          <w:spacing w:val="-57"/>
        </w:rPr>
        <w:t> </w:t>
      </w:r>
      <w:r>
        <w:rPr/>
        <w:t>司</w:t>
      </w:r>
      <w:r>
        <w:rPr>
          <w:spacing w:val="-58"/>
        </w:rPr>
        <w:t> </w:t>
      </w:r>
      <w:r>
        <w:rPr/>
        <w:t>分</w:t>
      </w:r>
      <w:r>
        <w:rPr>
          <w:spacing w:val="-57"/>
        </w:rPr>
        <w:t> </w:t>
      </w:r>
      <w:r>
        <w:rPr/>
        <w:t>别</w:t>
      </w:r>
      <w:r>
        <w:rPr>
          <w:spacing w:val="-58"/>
        </w:rPr>
        <w:t> </w:t>
      </w:r>
      <w:r>
        <w:rPr/>
        <w:t>于</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spacing w:val="16"/>
        </w:rPr>
        <w:t>日、</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日</w:t>
      </w:r>
      <w:r>
        <w:rPr>
          <w:spacing w:val="-57"/>
        </w:rPr>
        <w:t> </w:t>
      </w:r>
      <w:r>
        <w:rPr/>
        <w:t>在</w:t>
      </w:r>
      <w:r>
        <w:rPr>
          <w:spacing w:val="-58"/>
        </w:rPr>
        <w:t> </w:t>
      </w:r>
      <w:r>
        <w:rPr/>
        <w:t>指</w:t>
      </w:r>
      <w:r>
        <w:rPr>
          <w:spacing w:val="-58"/>
        </w:rPr>
        <w:t> </w:t>
      </w:r>
      <w:r>
        <w:rPr/>
        <w:t>定</w:t>
      </w:r>
      <w:r>
        <w:rPr>
          <w:spacing w:val="-57"/>
        </w:rPr>
        <w:t> </w:t>
      </w:r>
      <w:r>
        <w:rPr/>
        <w:t>信</w:t>
      </w:r>
      <w:r>
        <w:rPr>
          <w:spacing w:val="-57"/>
        </w:rPr>
        <w:t> </w:t>
      </w:r>
      <w:r>
        <w:rPr/>
        <w:t>息</w:t>
      </w:r>
      <w:r>
        <w:rPr>
          <w:spacing w:val="-58"/>
        </w:rPr>
        <w:t> </w:t>
      </w:r>
      <w:r>
        <w:rPr/>
        <w:t>披</w:t>
      </w:r>
      <w:r>
        <w:rPr>
          <w:spacing w:val="-57"/>
        </w:rPr>
        <w:t> </w:t>
      </w:r>
      <w:r>
        <w:rPr/>
        <w:t>露</w:t>
      </w:r>
      <w:r>
        <w:rPr>
          <w:spacing w:val="-58"/>
        </w:rPr>
        <w:t> </w:t>
      </w:r>
      <w:r>
        <w:rPr/>
        <w:t>媒</w:t>
      </w:r>
      <w:r>
        <w:rPr>
          <w:spacing w:val="-57"/>
        </w:rPr>
        <w:t> </w:t>
      </w:r>
      <w:r>
        <w:rPr/>
        <w:t>体</w:t>
      </w:r>
      <w:r>
        <w:rPr>
          <w:spacing w:val="-57"/>
        </w:rPr>
        <w:t> </w:t>
      </w:r>
      <w:r>
        <w:rPr/>
        <w:t>巨</w:t>
      </w:r>
      <w:r>
        <w:rPr>
          <w:spacing w:val="-57"/>
        </w:rPr>
        <w:t> </w:t>
      </w:r>
      <w:r>
        <w:rPr/>
        <w:t>潮</w:t>
      </w:r>
      <w:r>
        <w:rPr>
          <w:spacing w:val="-57"/>
        </w:rPr>
        <w:t> </w:t>
      </w:r>
      <w:r>
        <w:rPr/>
        <w:t>资</w:t>
      </w:r>
      <w:r>
        <w:rPr>
          <w:spacing w:val="-58"/>
        </w:rPr>
        <w:t> </w:t>
      </w:r>
      <w:r>
        <w:rPr/>
        <w:t>讯</w:t>
      </w:r>
      <w:r>
        <w:rPr>
          <w:spacing w:val="-57"/>
        </w:rPr>
        <w:t> </w:t>
      </w:r>
      <w:r>
        <w:rPr/>
        <w:t>网</w:t>
      </w:r>
      <w:r>
        <w:rPr>
          <w:spacing w:val="-57"/>
        </w:rPr>
        <w:t> </w:t>
      </w:r>
      <w:r>
        <w:rPr/>
        <w:t>（</w:t>
      </w:r>
      <w:r>
        <w:rPr>
          <w:spacing w:val="-58"/>
        </w:rPr>
        <w:t> </w:t>
      </w:r>
      <w:r>
        <w:rPr/>
        <w:t>网</w:t>
      </w:r>
      <w:r>
        <w:rPr>
          <w:spacing w:val="-57"/>
        </w:rPr>
        <w:t> </w:t>
      </w:r>
      <w:r>
        <w:rPr/>
        <w:t>址</w:t>
      </w:r>
      <w:r>
        <w:rPr>
          <w:spacing w:val="-58"/>
        </w:rPr>
        <w:t> </w:t>
      </w:r>
      <w:r>
        <w:rPr/>
        <w:t>为</w:t>
      </w:r>
      <w:r>
        <w:rPr>
          <w:spacing w:val="-58"/>
        </w:rPr>
        <w:t> </w:t>
      </w:r>
      <w:r>
        <w:rPr/>
        <w:t>：</w:t>
      </w:r>
      <w:r>
        <w:rPr/>
        <w:t> </w:t>
      </w:r>
      <w:hyperlink r:id="rId11">
        <w:r>
          <w:rPr>
            <w:rFonts w:ascii="Times New Roman" w:hAnsi="Times New Roman" w:cs="Times New Roman" w:eastAsia="Times New Roman" w:hint="default"/>
          </w:rPr>
          <w:t>http://www.cninfo.com.cn</w:t>
        </w:r>
      </w:hyperlink>
      <w:r>
        <w:rPr/>
        <w:t>）披露的《关于变更公司名称、证券简称的公告》（公告编号：</w:t>
      </w:r>
      <w:r>
        <w:rPr>
          <w:rFonts w:ascii="Times New Roman" w:hAnsi="Times New Roman" w:cs="Times New Roman" w:eastAsia="Times New Roman" w:hint="default"/>
        </w:rPr>
        <w:t>2018-039</w:t>
      </w:r>
      <w:r>
        <w:rPr/>
        <w:t>）、《关于变更公司网址</w:t>
      </w:r>
      <w:r>
        <w:rPr>
          <w:spacing w:val="-63"/>
        </w:rPr>
        <w:t> </w:t>
      </w:r>
      <w:r>
        <w:rPr>
          <w:spacing w:val="-63"/>
        </w:rPr>
      </w:r>
      <w:r>
        <w:rPr/>
        <w:t>及投资者关系电子信箱的公告》（公告编号：</w:t>
      </w:r>
      <w:r>
        <w:rPr>
          <w:rFonts w:ascii="Times New Roman" w:hAnsi="Times New Roman" w:cs="Times New Roman" w:eastAsia="Times New Roman" w:hint="default"/>
        </w:rPr>
        <w:t>2018-041</w:t>
      </w:r>
      <w:r>
        <w:rPr/>
        <w:t>）。</w:t>
      </w:r>
    </w:p>
    <w:p>
      <w:pPr>
        <w:spacing w:line="300" w:lineRule="auto" w:before="13"/>
        <w:ind w:left="574" w:right="1131"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、公司控股股东、实际控制人及其一致行动人增持公司股份事项</w:t>
      </w:r>
      <w:r>
        <w:rPr>
          <w:rFonts w:ascii="宋体" w:hAnsi="宋体" w:cs="宋体" w:eastAsia="宋体" w:hint="default"/>
          <w:b/>
          <w:bCs/>
          <w:w w:val="99"/>
          <w:sz w:val="18"/>
          <w:szCs w:val="18"/>
        </w:rPr>
        <w:t> </w:t>
      </w:r>
      <w:r>
        <w:rPr>
          <w:rFonts w:ascii="宋体" w:hAnsi="宋体" w:cs="宋体" w:eastAsia="宋体" w:hint="default"/>
          <w:spacing w:val="-1"/>
          <w:sz w:val="18"/>
          <w:szCs w:val="18"/>
        </w:rPr>
        <w:t>具体内容详见公司分别于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日、</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24</w:t>
      </w:r>
      <w:r>
        <w:rPr>
          <w:rFonts w:ascii="宋体" w:hAnsi="宋体" w:cs="宋体" w:eastAsia="宋体" w:hint="default"/>
          <w:spacing w:val="-1"/>
          <w:sz w:val="18"/>
          <w:szCs w:val="18"/>
        </w:rPr>
        <w:t>日在指定信</w:t>
      </w:r>
    </w:p>
    <w:p>
      <w:pPr>
        <w:pStyle w:val="BodyText"/>
        <w:spacing w:line="300" w:lineRule="auto" w:before="13"/>
        <w:ind w:right="1051"/>
        <w:jc w:val="both"/>
      </w:pPr>
      <w:r>
        <w:rPr/>
        <w:t>息披露媒体巨潮资讯网（网址为：</w:t>
      </w:r>
      <w:hyperlink r:id="rId11">
        <w:r>
          <w:rPr>
            <w:rFonts w:ascii="Times New Roman" w:hAnsi="Times New Roman" w:cs="Times New Roman" w:eastAsia="Times New Roman" w:hint="default"/>
          </w:rPr>
          <w:t>http://www.cninfo.com.cn</w:t>
        </w:r>
      </w:hyperlink>
      <w:r>
        <w:rPr/>
        <w:t>）披露的《关于公司实际控制人股份增持计划的公告》（公告编 号：</w:t>
      </w:r>
      <w:r>
        <w:rPr>
          <w:rFonts w:ascii="Times New Roman" w:hAnsi="Times New Roman" w:cs="Times New Roman" w:eastAsia="Times New Roman" w:hint="default"/>
        </w:rPr>
        <w:t>2017-101</w:t>
      </w:r>
      <w:r>
        <w:rPr/>
        <w:t>）、《关于实际控制人及其一致行动人增持公司股份的公告》（公告编号：</w:t>
      </w:r>
      <w:r>
        <w:rPr>
          <w:rFonts w:ascii="Times New Roman" w:hAnsi="Times New Roman" w:cs="Times New Roman" w:eastAsia="Times New Roman" w:hint="default"/>
        </w:rPr>
        <w:t>2018-003</w:t>
      </w:r>
      <w:r>
        <w:rPr/>
        <w:t>）、《关于实际控制人的 </w:t>
      </w:r>
      <w:r>
        <w:rPr>
          <w:spacing w:val="-2"/>
        </w:rPr>
        <w:t>一致行动人增持公司股份的公告》（公告编号：</w:t>
      </w:r>
      <w:r>
        <w:rPr>
          <w:rFonts w:ascii="Times New Roman" w:hAnsi="Times New Roman" w:cs="Times New Roman" w:eastAsia="Times New Roman" w:hint="default"/>
          <w:spacing w:val="-2"/>
        </w:rPr>
        <w:t>2018-004</w:t>
      </w:r>
      <w:r>
        <w:rPr>
          <w:spacing w:val="-2"/>
        </w:rPr>
        <w:t>）、《关于股东权益变动的提示性公告》（公告编号：</w:t>
      </w:r>
      <w:r>
        <w:rPr>
          <w:rFonts w:ascii="Times New Roman" w:hAnsi="Times New Roman" w:cs="Times New Roman" w:eastAsia="Times New Roman" w:hint="default"/>
          <w:spacing w:val="-2"/>
        </w:rPr>
        <w:t>2018-013</w:t>
      </w:r>
      <w:r>
        <w:rPr>
          <w:spacing w:val="-2"/>
        </w:rPr>
        <w:t>）、</w:t>
      </w:r>
      <w:r>
        <w:rPr/>
      </w:r>
    </w:p>
    <w:p>
      <w:pPr>
        <w:pStyle w:val="BodyText"/>
        <w:spacing w:line="300" w:lineRule="auto" w:before="13"/>
        <w:ind w:left="574" w:right="1118" w:hanging="420"/>
        <w:jc w:val="left"/>
      </w:pPr>
      <w:r>
        <w:rPr/>
        <w:t>《简式权益变动报告书》、《关于实际控制人延长增持计划实施期限的公告》（公告编号：</w:t>
      </w:r>
      <w:r>
        <w:rPr>
          <w:rFonts w:ascii="Times New Roman" w:hAnsi="Times New Roman" w:cs="Times New Roman" w:eastAsia="Times New Roman" w:hint="default"/>
        </w:rPr>
        <w:t>2018-086</w:t>
      </w:r>
      <w:r>
        <w:rPr/>
        <w:t>）。 </w:t>
      </w:r>
      <w:r>
        <w:rPr>
          <w:rFonts w:ascii="Times New Roman" w:hAnsi="Times New Roman" w:cs="Times New Roman" w:eastAsia="Times New Roman" w:hint="default"/>
          <w:b/>
          <w:bCs/>
        </w:rPr>
        <w:t>3</w:t>
      </w:r>
      <w:r>
        <w:rPr>
          <w:rFonts w:ascii="宋体" w:hAnsi="宋体" w:cs="宋体" w:eastAsia="宋体" w:hint="default"/>
          <w:b/>
          <w:bCs/>
        </w:rPr>
        <w:t>、对外投资进展事项</w:t>
      </w:r>
      <w:r>
        <w:rPr>
          <w:rFonts w:ascii="宋体" w:hAnsi="宋体" w:cs="宋体" w:eastAsia="宋体" w:hint="default"/>
          <w:b/>
          <w:bCs/>
          <w:w w:val="99"/>
        </w:rPr>
        <w:t> </w:t>
      </w:r>
      <w:r>
        <w:rPr/>
        <w:t>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日在指定信息披露媒体巨潮资讯网（网址为：</w:t>
      </w:r>
      <w:hyperlink r:id="rId11">
        <w:r>
          <w:rPr>
            <w:rFonts w:ascii="Times New Roman" w:hAnsi="Times New Roman" w:cs="Times New Roman" w:eastAsia="Times New Roman" w:hint="default"/>
          </w:rPr>
          <w:t>http://www.cninfo.com.cn</w:t>
        </w:r>
      </w:hyperlink>
      <w:r>
        <w:rPr/>
        <w:t>）披露的《关</w:t>
      </w:r>
    </w:p>
    <w:p>
      <w:pPr>
        <w:pStyle w:val="BodyText"/>
        <w:spacing w:line="240" w:lineRule="auto" w:before="13"/>
        <w:ind w:right="0"/>
        <w:jc w:val="left"/>
      </w:pPr>
      <w:r>
        <w:rPr/>
        <w:t>于全资子公司对先锋基金管理有限公司增资的进展公告》（公告编号：</w:t>
      </w:r>
      <w:r>
        <w:rPr>
          <w:rFonts w:ascii="Times New Roman" w:hAnsi="Times New Roman" w:cs="Times New Roman" w:eastAsia="Times New Roman" w:hint="default"/>
        </w:rPr>
        <w:t>2018-014</w:t>
      </w:r>
      <w:r>
        <w:rPr/>
        <w:t>）。</w:t>
      </w:r>
    </w:p>
    <w:p>
      <w:pPr>
        <w:pStyle w:val="Heading5"/>
        <w:spacing w:line="240" w:lineRule="auto"/>
        <w:ind w:left="574" w:right="0"/>
        <w:jc w:val="left"/>
        <w:rPr>
          <w:b w:val="0"/>
          <w:bCs w:val="0"/>
        </w:rPr>
      </w:pPr>
      <w:r>
        <w:rPr>
          <w:rFonts w:ascii="Times New Roman" w:hAnsi="Times New Roman" w:cs="Times New Roman" w:eastAsia="Times New Roman" w:hint="default"/>
        </w:rPr>
        <w:t>4</w:t>
      </w:r>
      <w:r>
        <w:rPr/>
        <w:t>、项目中标进展情况</w:t>
      </w:r>
      <w:r>
        <w:rPr>
          <w:b w:val="0"/>
          <w:bCs w:val="0"/>
        </w:rPr>
      </w:r>
    </w:p>
    <w:p>
      <w:pPr>
        <w:pStyle w:val="BodyText"/>
        <w:spacing w:line="240" w:lineRule="auto" w:before="63"/>
        <w:ind w:left="574" w:right="0"/>
        <w:jc w:val="left"/>
      </w:pPr>
      <w:r>
        <w:rPr/>
        <w:t>具</w:t>
      </w:r>
      <w:r>
        <w:rPr>
          <w:spacing w:val="-60"/>
        </w:rPr>
        <w:t> </w:t>
      </w:r>
      <w:r>
        <w:rPr/>
        <w:t>体</w:t>
      </w:r>
      <w:r>
        <w:rPr>
          <w:spacing w:val="-60"/>
        </w:rPr>
        <w:t> </w:t>
      </w:r>
      <w:r>
        <w:rPr/>
        <w:t>内</w:t>
      </w:r>
      <w:r>
        <w:rPr>
          <w:spacing w:val="-60"/>
        </w:rPr>
        <w:t> </w:t>
      </w:r>
      <w:r>
        <w:rPr/>
        <w:t>容</w:t>
      </w:r>
      <w:r>
        <w:rPr>
          <w:spacing w:val="-60"/>
        </w:rPr>
        <w:t> </w:t>
      </w:r>
      <w:r>
        <w:rPr/>
        <w:t>详</w:t>
      </w:r>
      <w:r>
        <w:rPr>
          <w:spacing w:val="-61"/>
        </w:rPr>
        <w:t> </w:t>
      </w:r>
      <w:r>
        <w:rPr/>
        <w:t>见</w:t>
      </w:r>
      <w:r>
        <w:rPr>
          <w:spacing w:val="-60"/>
        </w:rPr>
        <w:t> </w:t>
      </w:r>
      <w:r>
        <w:rPr/>
        <w:t>公</w:t>
      </w:r>
      <w:r>
        <w:rPr>
          <w:spacing w:val="-60"/>
        </w:rPr>
        <w:t> </w:t>
      </w:r>
      <w:r>
        <w:rPr/>
        <w:t>司</w:t>
      </w:r>
      <w:r>
        <w:rPr>
          <w:spacing w:val="-60"/>
        </w:rPr>
        <w:t> </w:t>
      </w:r>
      <w:r>
        <w:rPr/>
        <w:t>分</w:t>
      </w:r>
      <w:r>
        <w:rPr>
          <w:spacing w:val="-60"/>
        </w:rPr>
        <w:t> </w:t>
      </w:r>
      <w:r>
        <w:rPr/>
        <w:t>别</w:t>
      </w:r>
      <w:r>
        <w:rPr>
          <w:spacing w:val="-61"/>
        </w:rPr>
        <w:t> </w:t>
      </w:r>
      <w:r>
        <w:rPr/>
        <w:t>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14"/>
        </w:rPr>
        <w:t> </w:t>
      </w:r>
      <w:r>
        <w:rPr>
          <w:spacing w:val="15"/>
        </w:rPr>
        <w:t>日、</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4"/>
        </w:rPr>
        <w:t> </w:t>
      </w:r>
      <w:r>
        <w:rPr/>
        <w:t>日</w:t>
      </w:r>
      <w:r>
        <w:rPr>
          <w:spacing w:val="-61"/>
        </w:rPr>
        <w:t> </w:t>
      </w:r>
      <w:r>
        <w:rPr/>
        <w:t>在</w:t>
      </w:r>
      <w:r>
        <w:rPr>
          <w:spacing w:val="-61"/>
        </w:rPr>
        <w:t> </w:t>
      </w:r>
      <w:r>
        <w:rPr/>
        <w:t>指</w:t>
      </w:r>
      <w:r>
        <w:rPr>
          <w:spacing w:val="-60"/>
        </w:rPr>
        <w:t> </w:t>
      </w:r>
      <w:r>
        <w:rPr/>
        <w:t>定</w:t>
      </w:r>
      <w:r>
        <w:rPr>
          <w:spacing w:val="-60"/>
        </w:rPr>
        <w:t> </w:t>
      </w:r>
      <w:r>
        <w:rPr/>
        <w:t>信</w:t>
      </w:r>
      <w:r>
        <w:rPr>
          <w:spacing w:val="-60"/>
        </w:rPr>
        <w:t> </w:t>
      </w:r>
      <w:r>
        <w:rPr/>
        <w:t>息</w:t>
      </w:r>
      <w:r>
        <w:rPr>
          <w:spacing w:val="-60"/>
        </w:rPr>
        <w:t> </w:t>
      </w:r>
      <w:r>
        <w:rPr/>
        <w:t>披</w:t>
      </w:r>
      <w:r>
        <w:rPr>
          <w:spacing w:val="-61"/>
        </w:rPr>
        <w:t> </w:t>
      </w:r>
      <w:r>
        <w:rPr/>
        <w:t>露</w:t>
      </w:r>
      <w:r>
        <w:rPr>
          <w:spacing w:val="-60"/>
        </w:rPr>
        <w:t> </w:t>
      </w:r>
      <w:r>
        <w:rPr/>
        <w:t>媒</w:t>
      </w:r>
      <w:r>
        <w:rPr>
          <w:spacing w:val="-60"/>
        </w:rPr>
        <w:t> </w:t>
      </w:r>
      <w:r>
        <w:rPr/>
        <w:t>体</w:t>
      </w:r>
      <w:r>
        <w:rPr>
          <w:spacing w:val="-60"/>
        </w:rPr>
        <w:t> </w:t>
      </w:r>
      <w:r>
        <w:rPr/>
        <w:t>巨</w:t>
      </w:r>
      <w:r>
        <w:rPr>
          <w:spacing w:val="-60"/>
        </w:rPr>
        <w:t> </w:t>
      </w:r>
      <w:r>
        <w:rPr/>
        <w:t>潮</w:t>
      </w:r>
      <w:r>
        <w:rPr>
          <w:spacing w:val="-61"/>
        </w:rPr>
        <w:t> </w:t>
      </w:r>
      <w:r>
        <w:rPr/>
        <w:t>资</w:t>
      </w:r>
      <w:r>
        <w:rPr>
          <w:spacing w:val="-60"/>
        </w:rPr>
        <w:t> </w:t>
      </w:r>
      <w:r>
        <w:rPr/>
        <w:t>讯</w:t>
      </w:r>
      <w:r>
        <w:rPr>
          <w:spacing w:val="-60"/>
        </w:rPr>
        <w:t> </w:t>
      </w:r>
      <w:r>
        <w:rPr/>
        <w:t>网</w:t>
      </w:r>
      <w:r>
        <w:rPr>
          <w:spacing w:val="-60"/>
        </w:rPr>
        <w:t> </w:t>
      </w:r>
      <w:r>
        <w:rPr/>
        <w:t>（</w:t>
      </w:r>
      <w:r>
        <w:rPr>
          <w:spacing w:val="-60"/>
        </w:rPr>
        <w:t> </w:t>
      </w:r>
      <w:r>
        <w:rPr/>
        <w:t>网</w:t>
      </w:r>
      <w:r>
        <w:rPr>
          <w:spacing w:val="-61"/>
        </w:rPr>
        <w:t> </w:t>
      </w:r>
      <w:r>
        <w:rPr/>
        <w:t>址</w:t>
      </w:r>
      <w:r>
        <w:rPr>
          <w:spacing w:val="-60"/>
        </w:rPr>
        <w:t> </w:t>
      </w:r>
      <w:r>
        <w:rPr/>
        <w:t>为</w:t>
      </w:r>
      <w:r>
        <w:rPr>
          <w:spacing w:val="-60"/>
        </w:rPr>
        <w:t> </w:t>
      </w:r>
      <w:r>
        <w:rPr/>
        <w:t>：</w:t>
      </w:r>
    </w:p>
    <w:p>
      <w:pPr>
        <w:pStyle w:val="BodyText"/>
        <w:spacing w:line="240" w:lineRule="auto" w:before="63"/>
        <w:ind w:right="0"/>
        <w:jc w:val="left"/>
      </w:pPr>
      <w:hyperlink r:id="rId11">
        <w:r>
          <w:rPr>
            <w:rFonts w:ascii="Times New Roman" w:hAnsi="Times New Roman" w:cs="Times New Roman" w:eastAsia="Times New Roman" w:hint="default"/>
          </w:rPr>
          <w:t>http://www.cninfo.com.cn</w:t>
        </w:r>
      </w:hyperlink>
      <w:r>
        <w:rPr/>
        <w:t>）披露的《关于收到中标通知书的公告》（公告编号：</w:t>
      </w:r>
      <w:r>
        <w:rPr>
          <w:rFonts w:ascii="Times New Roman" w:hAnsi="Times New Roman" w:cs="Times New Roman" w:eastAsia="Times New Roman" w:hint="default"/>
        </w:rPr>
        <w:t>2018-025</w:t>
      </w:r>
      <w:r>
        <w:rPr/>
        <w:t>）、《关于项目中标进展情况公告》</w:t>
      </w:r>
    </w:p>
    <w:p>
      <w:pPr>
        <w:pStyle w:val="BodyText"/>
        <w:spacing w:line="240" w:lineRule="auto" w:before="63"/>
        <w:ind w:right="0"/>
        <w:jc w:val="left"/>
      </w:pPr>
      <w:r>
        <w:rPr/>
        <w:t>（公告编号：</w:t>
      </w:r>
      <w:r>
        <w:rPr>
          <w:rFonts w:ascii="Times New Roman" w:hAnsi="Times New Roman" w:cs="Times New Roman" w:eastAsia="Times New Roman" w:hint="default"/>
        </w:rPr>
        <w:t>2018-053</w:t>
      </w:r>
      <w:r>
        <w:rPr/>
        <w:t>）。</w:t>
      </w:r>
    </w:p>
    <w:p>
      <w:pPr>
        <w:spacing w:line="300" w:lineRule="auto" w:before="63"/>
        <w:ind w:left="57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、持股</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以上股东股权结构变更事项</w:t>
      </w:r>
      <w:r>
        <w:rPr>
          <w:rFonts w:ascii="宋体" w:hAnsi="宋体" w:cs="宋体" w:eastAsia="宋体" w:hint="default"/>
          <w:b/>
          <w:bCs/>
          <w:w w:val="99"/>
          <w:sz w:val="18"/>
          <w:szCs w:val="18"/>
        </w:rPr>
        <w:t> </w:t>
      </w:r>
      <w:r>
        <w:rPr>
          <w:rFonts w:ascii="宋体" w:hAnsi="宋体" w:cs="宋体" w:eastAsia="宋体" w:hint="default"/>
          <w:spacing w:val="-1"/>
          <w:sz w:val="18"/>
          <w:szCs w:val="18"/>
        </w:rPr>
        <w:t>具体内容详见公司分别于</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日披露的《关于权益变动暨持股</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以上股东股权结构变更的提示性公告》（公</w:t>
      </w:r>
    </w:p>
    <w:p>
      <w:pPr>
        <w:pStyle w:val="BodyText"/>
        <w:spacing w:line="240" w:lineRule="auto" w:before="13"/>
        <w:ind w:right="0"/>
        <w:jc w:val="left"/>
      </w:pPr>
      <w:r>
        <w:rPr/>
        <w:t>告编号：</w:t>
      </w:r>
      <w:r>
        <w:rPr>
          <w:rFonts w:ascii="Times New Roman" w:hAnsi="Times New Roman" w:cs="Times New Roman" w:eastAsia="Times New Roman" w:hint="default"/>
        </w:rPr>
        <w:t>2018-075</w:t>
      </w:r>
      <w:r>
        <w:rPr/>
        <w:t>）、《简式权益变动报告书》。</w:t>
      </w:r>
    </w:p>
    <w:p>
      <w:pPr>
        <w:pStyle w:val="Heading5"/>
        <w:spacing w:line="240" w:lineRule="auto"/>
        <w:ind w:left="574" w:right="0"/>
        <w:jc w:val="left"/>
        <w:rPr>
          <w:b w:val="0"/>
          <w:bCs w:val="0"/>
        </w:rPr>
      </w:pPr>
      <w:r>
        <w:rPr>
          <w:rFonts w:ascii="Times New Roman" w:hAnsi="Times New Roman" w:cs="Times New Roman" w:eastAsia="Times New Roman" w:hint="default"/>
        </w:rPr>
        <w:t>6</w:t>
      </w:r>
      <w:r>
        <w:rPr/>
        <w:t>、收到中国证券监督管理委员会深圳监管局行政监管措施决定书及整改事项</w:t>
      </w:r>
      <w:r>
        <w:rPr>
          <w:b w:val="0"/>
          <w:bCs w:val="0"/>
        </w:rPr>
      </w:r>
    </w:p>
    <w:p>
      <w:pPr>
        <w:pStyle w:val="BodyText"/>
        <w:spacing w:line="300" w:lineRule="auto" w:before="63"/>
        <w:ind w:right="1041" w:firstLine="420"/>
        <w:jc w:val="left"/>
      </w:pPr>
      <w:r>
        <w:rPr/>
        <w:t>具</w:t>
      </w:r>
      <w:r>
        <w:rPr>
          <w:spacing w:val="-60"/>
        </w:rPr>
        <w:t> </w:t>
      </w:r>
      <w:r>
        <w:rPr/>
        <w:t>体</w:t>
      </w:r>
      <w:r>
        <w:rPr>
          <w:spacing w:val="-60"/>
        </w:rPr>
        <w:t> </w:t>
      </w:r>
      <w:r>
        <w:rPr/>
        <w:t>内</w:t>
      </w:r>
      <w:r>
        <w:rPr>
          <w:spacing w:val="-60"/>
        </w:rPr>
        <w:t> </w:t>
      </w:r>
      <w:r>
        <w:rPr/>
        <w:t>容</w:t>
      </w:r>
      <w:r>
        <w:rPr>
          <w:spacing w:val="-60"/>
        </w:rPr>
        <w:t> </w:t>
      </w:r>
      <w:r>
        <w:rPr/>
        <w:t>详</w:t>
      </w:r>
      <w:r>
        <w:rPr>
          <w:spacing w:val="-61"/>
        </w:rPr>
        <w:t> </w:t>
      </w:r>
      <w:r>
        <w:rPr/>
        <w:t>见</w:t>
      </w:r>
      <w:r>
        <w:rPr>
          <w:spacing w:val="-60"/>
        </w:rPr>
        <w:t> </w:t>
      </w:r>
      <w:r>
        <w:rPr/>
        <w:t>公</w:t>
      </w:r>
      <w:r>
        <w:rPr>
          <w:spacing w:val="-60"/>
        </w:rPr>
        <w:t> </w:t>
      </w:r>
      <w:r>
        <w:rPr/>
        <w:t>司</w:t>
      </w:r>
      <w:r>
        <w:rPr>
          <w:spacing w:val="-60"/>
        </w:rPr>
        <w:t> </w:t>
      </w:r>
      <w:r>
        <w:rPr/>
        <w:t>分</w:t>
      </w:r>
      <w:r>
        <w:rPr>
          <w:spacing w:val="-60"/>
        </w:rPr>
        <w:t> </w:t>
      </w:r>
      <w:r>
        <w:rPr/>
        <w:t>别</w:t>
      </w:r>
      <w:r>
        <w:rPr>
          <w:spacing w:val="-61"/>
        </w:rPr>
        <w:t> </w:t>
      </w:r>
      <w:r>
        <w:rPr/>
        <w:t>于</w:t>
      </w:r>
      <w:r>
        <w:rPr>
          <w:spacing w:val="-5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11</w:t>
      </w:r>
      <w:r>
        <w:rPr>
          <w:rFonts w:ascii="Times New Roman" w:hAnsi="Times New Roman" w:cs="Times New Roman" w:eastAsia="Times New Roman" w:hint="default"/>
          <w:spacing w:val="-15"/>
        </w:rPr>
        <w:t> </w:t>
      </w:r>
      <w:r>
        <w:rPr/>
        <w:t>月</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spacing w:val="15"/>
        </w:rPr>
        <w:t>日、</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日</w:t>
      </w:r>
      <w:r>
        <w:rPr>
          <w:spacing w:val="-61"/>
        </w:rPr>
        <w:t> </w:t>
      </w:r>
      <w:r>
        <w:rPr/>
        <w:t>在</w:t>
      </w:r>
      <w:r>
        <w:rPr>
          <w:spacing w:val="-61"/>
        </w:rPr>
        <w:t> </w:t>
      </w:r>
      <w:r>
        <w:rPr/>
        <w:t>指</w:t>
      </w:r>
      <w:r>
        <w:rPr>
          <w:spacing w:val="-60"/>
        </w:rPr>
        <w:t> </w:t>
      </w:r>
      <w:r>
        <w:rPr/>
        <w:t>定</w:t>
      </w:r>
      <w:r>
        <w:rPr>
          <w:spacing w:val="-60"/>
        </w:rPr>
        <w:t> </w:t>
      </w:r>
      <w:r>
        <w:rPr/>
        <w:t>信</w:t>
      </w:r>
      <w:r>
        <w:rPr>
          <w:spacing w:val="-60"/>
        </w:rPr>
        <w:t> </w:t>
      </w:r>
      <w:r>
        <w:rPr/>
        <w:t>息</w:t>
      </w:r>
      <w:r>
        <w:rPr>
          <w:spacing w:val="-60"/>
        </w:rPr>
        <w:t> </w:t>
      </w:r>
      <w:r>
        <w:rPr/>
        <w:t>披</w:t>
      </w:r>
      <w:r>
        <w:rPr>
          <w:spacing w:val="-61"/>
        </w:rPr>
        <w:t> </w:t>
      </w:r>
      <w:r>
        <w:rPr/>
        <w:t>露</w:t>
      </w:r>
      <w:r>
        <w:rPr>
          <w:spacing w:val="-60"/>
        </w:rPr>
        <w:t> </w:t>
      </w:r>
      <w:r>
        <w:rPr/>
        <w:t>媒</w:t>
      </w:r>
      <w:r>
        <w:rPr>
          <w:spacing w:val="-60"/>
        </w:rPr>
        <w:t> </w:t>
      </w:r>
      <w:r>
        <w:rPr/>
        <w:t>体</w:t>
      </w:r>
      <w:r>
        <w:rPr>
          <w:spacing w:val="-60"/>
        </w:rPr>
        <w:t> </w:t>
      </w:r>
      <w:r>
        <w:rPr/>
        <w:t>巨</w:t>
      </w:r>
      <w:r>
        <w:rPr>
          <w:spacing w:val="-60"/>
        </w:rPr>
        <w:t> </w:t>
      </w:r>
      <w:r>
        <w:rPr/>
        <w:t>潮</w:t>
      </w:r>
      <w:r>
        <w:rPr>
          <w:spacing w:val="-61"/>
        </w:rPr>
        <w:t> </w:t>
      </w:r>
      <w:r>
        <w:rPr/>
        <w:t>资</w:t>
      </w:r>
      <w:r>
        <w:rPr>
          <w:spacing w:val="-60"/>
        </w:rPr>
        <w:t> </w:t>
      </w:r>
      <w:r>
        <w:rPr/>
        <w:t>讯</w:t>
      </w:r>
      <w:r>
        <w:rPr>
          <w:spacing w:val="-60"/>
        </w:rPr>
        <w:t> </w:t>
      </w:r>
      <w:r>
        <w:rPr/>
        <w:t>网</w:t>
      </w:r>
      <w:r>
        <w:rPr>
          <w:spacing w:val="-60"/>
        </w:rPr>
        <w:t> </w:t>
      </w:r>
      <w:r>
        <w:rPr/>
        <w:t>（</w:t>
      </w:r>
      <w:r>
        <w:rPr>
          <w:spacing w:val="-60"/>
        </w:rPr>
        <w:t> </w:t>
      </w:r>
      <w:r>
        <w:rPr/>
        <w:t>网</w:t>
      </w:r>
      <w:r>
        <w:rPr>
          <w:spacing w:val="-61"/>
        </w:rPr>
        <w:t> </w:t>
      </w:r>
      <w:r>
        <w:rPr/>
        <w:t>址</w:t>
      </w:r>
      <w:r>
        <w:rPr>
          <w:spacing w:val="-60"/>
        </w:rPr>
        <w:t> </w:t>
      </w:r>
      <w:r>
        <w:rPr/>
        <w:t>为</w:t>
      </w:r>
      <w:r>
        <w:rPr>
          <w:spacing w:val="-60"/>
        </w:rPr>
        <w:t> </w:t>
      </w:r>
      <w:r>
        <w:rPr/>
        <w:t>：</w:t>
      </w:r>
      <w:r>
        <w:rPr/>
        <w:t> </w:t>
      </w:r>
      <w:hyperlink r:id="rId11">
        <w:r>
          <w:rPr>
            <w:rFonts w:ascii="Times New Roman" w:hAnsi="Times New Roman" w:cs="Times New Roman" w:eastAsia="Times New Roman" w:hint="default"/>
            <w:spacing w:val="-2"/>
          </w:rPr>
          <w:t>http://www.cninfo.com.cn</w:t>
        </w:r>
      </w:hyperlink>
      <w:r>
        <w:rPr>
          <w:spacing w:val="-2"/>
        </w:rPr>
        <w:t>）披露的《关于收到中国证券监督管理委员会深圳监管局行政监管措施决定书的公告》（公告编号：</w:t>
      </w:r>
      <w:r>
        <w:rPr>
          <w:spacing w:val="-46"/>
        </w:rPr>
        <w:t> </w:t>
      </w:r>
      <w:r>
        <w:rPr>
          <w:spacing w:val="-46"/>
        </w:rPr>
      </w:r>
      <w:r>
        <w:rPr>
          <w:rFonts w:ascii="Times New Roman" w:hAnsi="Times New Roman" w:cs="Times New Roman" w:eastAsia="Times New Roman" w:hint="default"/>
          <w:spacing w:val="-6"/>
        </w:rPr>
        <w:t>2018-074</w:t>
      </w:r>
      <w:r>
        <w:rPr>
          <w:spacing w:val="-6"/>
        </w:rPr>
        <w:t>）、《关于中国证券监督管理委员会深圳监管局对公司采取责令改正措施决定的整改报告》（公告编号：</w:t>
      </w:r>
      <w:r>
        <w:rPr>
          <w:rFonts w:ascii="Times New Roman" w:hAnsi="Times New Roman" w:cs="Times New Roman" w:eastAsia="Times New Roman" w:hint="default"/>
          <w:spacing w:val="-6"/>
        </w:rPr>
        <w:t>2018-089</w:t>
      </w:r>
      <w:r>
        <w:rPr>
          <w:spacing w:val="-6"/>
        </w:rPr>
        <w:t>）。</w:t>
      </w:r>
      <w:r>
        <w:rPr/>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300" w:lineRule="auto" w:before="101"/>
        <w:ind w:left="514" w:right="0"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、控股子公司的全资下属公司变更名称及经营范围事项</w:t>
      </w:r>
      <w:r>
        <w:rPr>
          <w:rFonts w:ascii="宋体" w:hAnsi="宋体" w:cs="宋体" w:eastAsia="宋体" w:hint="default"/>
          <w:b/>
          <w:bCs/>
          <w:w w:val="99"/>
          <w:sz w:val="18"/>
          <w:szCs w:val="18"/>
        </w:rPr>
        <w:t> </w:t>
      </w:r>
      <w:r>
        <w:rPr>
          <w:rFonts w:ascii="宋体" w:hAnsi="宋体" w:cs="宋体" w:eastAsia="宋体" w:hint="default"/>
          <w:spacing w:val="-2"/>
          <w:sz w:val="18"/>
          <w:szCs w:val="18"/>
        </w:rPr>
        <w:t>具体内容详见公司于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日在指定信息披露媒体巨潮资讯网（网址为：</w:t>
      </w:r>
      <w:hyperlink r:id="rId11">
        <w:r>
          <w:rPr>
            <w:rFonts w:ascii="Times New Roman" w:hAnsi="Times New Roman" w:cs="Times New Roman" w:eastAsia="Times New Roman" w:hint="default"/>
            <w:spacing w:val="-2"/>
            <w:sz w:val="18"/>
            <w:szCs w:val="18"/>
          </w:rPr>
          <w:t>http://www.cninfo.com.cn</w:t>
        </w:r>
      </w:hyperlink>
      <w:r>
        <w:rPr>
          <w:rFonts w:ascii="宋体" w:hAnsi="宋体" w:cs="宋体" w:eastAsia="宋体" w:hint="default"/>
          <w:spacing w:val="-2"/>
          <w:sz w:val="18"/>
          <w:szCs w:val="18"/>
        </w:rPr>
        <w:t>）披露的《关于</w:t>
      </w:r>
    </w:p>
    <w:p>
      <w:pPr>
        <w:pStyle w:val="BodyText"/>
        <w:spacing w:line="300" w:lineRule="auto" w:before="13"/>
        <w:ind w:left="514" w:right="1032" w:hanging="360"/>
        <w:jc w:val="left"/>
      </w:pPr>
      <w:r>
        <w:rPr/>
        <w:t>控股子公司的全资下属公司变更公司名称及经营范围的公告》（公告编号：</w:t>
      </w:r>
      <w:r>
        <w:rPr>
          <w:rFonts w:ascii="Times New Roman" w:hAnsi="Times New Roman" w:cs="Times New Roman" w:eastAsia="Times New Roman" w:hint="default"/>
        </w:rPr>
        <w:t>2018-037</w:t>
      </w:r>
      <w:r>
        <w:rPr/>
        <w:t>）。 </w:t>
      </w:r>
      <w:r>
        <w:rPr>
          <w:rFonts w:ascii="Times New Roman" w:hAnsi="Times New Roman" w:cs="Times New Roman" w:eastAsia="Times New Roman" w:hint="default"/>
          <w:b/>
          <w:bCs/>
        </w:rPr>
        <w:t>2</w:t>
      </w:r>
      <w:r>
        <w:rPr>
          <w:rFonts w:ascii="宋体" w:hAnsi="宋体" w:cs="宋体" w:eastAsia="宋体" w:hint="default"/>
          <w:b/>
          <w:bCs/>
        </w:rPr>
        <w:t>、关于控股子公司的全资子公司收购股权事项的进展</w:t>
      </w:r>
      <w:r>
        <w:rPr>
          <w:rFonts w:ascii="宋体" w:hAnsi="宋体" w:cs="宋体" w:eastAsia="宋体" w:hint="default"/>
          <w:b/>
          <w:bCs/>
          <w:w w:val="99"/>
        </w:rPr>
        <w:t> </w:t>
      </w:r>
      <w:r>
        <w:rPr/>
        <w:t>具体内容详见公司分别于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日在指定信息披露媒体巨潮资讯网（网址为：</w:t>
      </w:r>
    </w:p>
    <w:p>
      <w:pPr>
        <w:pStyle w:val="BodyText"/>
        <w:spacing w:line="300" w:lineRule="auto" w:before="13"/>
        <w:ind w:right="1130"/>
        <w:jc w:val="both"/>
      </w:pPr>
      <w:hyperlink r:id="rId11">
        <w:r>
          <w:rPr>
            <w:rFonts w:ascii="Times New Roman" w:hAnsi="Times New Roman" w:cs="Times New Roman" w:eastAsia="Times New Roman" w:hint="default"/>
          </w:rPr>
          <w:t>http://www.cninfo.com.cn</w:t>
        </w:r>
      </w:hyperlink>
      <w:r>
        <w:rPr/>
        <w:t>）披露的《关于控股子公司的全资子公司收购浙江即富企业管理有限公司</w:t>
      </w:r>
      <w:r>
        <w:rPr>
          <w:rFonts w:ascii="Times New Roman" w:hAnsi="Times New Roman" w:cs="Times New Roman" w:eastAsia="Times New Roman" w:hint="default"/>
        </w:rPr>
        <w:t>49%</w:t>
      </w:r>
      <w:r>
        <w:rPr/>
        <w:t>股权和福建即富金服</w:t>
      </w:r>
      <w:r>
        <w:rPr>
          <w:spacing w:val="-62"/>
        </w:rPr>
        <w:t> </w:t>
      </w:r>
      <w:r>
        <w:rPr>
          <w:spacing w:val="-62"/>
        </w:rPr>
      </w:r>
      <w:r>
        <w:rPr>
          <w:spacing w:val="-1"/>
        </w:rPr>
        <w:t>数据处理有限公司</w:t>
      </w:r>
      <w:r>
        <w:rPr>
          <w:rFonts w:ascii="Times New Roman" w:hAnsi="Times New Roman" w:cs="Times New Roman" w:eastAsia="Times New Roman" w:hint="default"/>
          <w:spacing w:val="-1"/>
        </w:rPr>
        <w:t>49%</w:t>
      </w:r>
      <w:r>
        <w:rPr>
          <w:spacing w:val="-1"/>
        </w:rPr>
        <w:t>股权的公告》（公告编号：</w:t>
      </w:r>
      <w:r>
        <w:rPr>
          <w:rFonts w:ascii="Times New Roman" w:hAnsi="Times New Roman" w:cs="Times New Roman" w:eastAsia="Times New Roman" w:hint="default"/>
          <w:spacing w:val="-1"/>
        </w:rPr>
        <w:t>2018-030</w:t>
      </w:r>
      <w:r>
        <w:rPr>
          <w:spacing w:val="-1"/>
        </w:rPr>
        <w:t>）、《关于控股子公司的全资子公司收购股权的进展公告》（公</w:t>
      </w:r>
      <w:r>
        <w:rPr>
          <w:spacing w:val="-55"/>
        </w:rPr>
        <w:t> </w:t>
      </w:r>
      <w:r>
        <w:rPr>
          <w:spacing w:val="-55"/>
        </w:rPr>
      </w:r>
      <w:r>
        <w:rPr/>
        <w:t>告编号：</w:t>
      </w:r>
      <w:r>
        <w:rPr>
          <w:rFonts w:ascii="Times New Roman" w:hAnsi="Times New Roman" w:cs="Times New Roman" w:eastAsia="Times New Roman" w:hint="default"/>
        </w:rPr>
        <w:t>2018-051</w:t>
      </w:r>
      <w:r>
        <w:rPr/>
        <w:t>）、《关于控股子公司的全资子公司收购股权的进展公告》（公告编号：</w:t>
      </w:r>
      <w:r>
        <w:rPr>
          <w:rFonts w:ascii="Times New Roman" w:hAnsi="Times New Roman" w:cs="Times New Roman" w:eastAsia="Times New Roman" w:hint="default"/>
        </w:rPr>
        <w:t>2018-062</w:t>
      </w:r>
      <w:r>
        <w:rPr/>
        <w:t>）。</w:t>
      </w:r>
    </w:p>
    <w:p>
      <w:pPr>
        <w:pStyle w:val="BodyText"/>
        <w:spacing w:line="300" w:lineRule="auto" w:before="13"/>
        <w:ind w:left="574" w:right="0"/>
        <w:jc w:val="left"/>
      </w:pPr>
      <w:r>
        <w:rPr>
          <w:rFonts w:ascii="Times New Roman" w:hAnsi="Times New Roman" w:cs="Times New Roman" w:eastAsia="Times New Roman" w:hint="default"/>
          <w:b/>
          <w:bCs/>
        </w:rPr>
        <w:t>3</w:t>
      </w:r>
      <w:r>
        <w:rPr>
          <w:rFonts w:ascii="宋体" w:hAnsi="宋体" w:cs="宋体" w:eastAsia="宋体" w:hint="default"/>
          <w:b/>
          <w:bCs/>
        </w:rPr>
        <w:t>、全资子公司出售资产事项</w:t>
      </w:r>
      <w:r>
        <w:rPr>
          <w:rFonts w:ascii="宋体" w:hAnsi="宋体" w:cs="宋体" w:eastAsia="宋体" w:hint="default"/>
          <w:b/>
          <w:bCs/>
          <w:w w:val="99"/>
        </w:rPr>
        <w:t> </w:t>
      </w:r>
      <w:r>
        <w:rPr/>
        <w:t>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日在指定信息披露媒体巨潮资讯网（网址为：</w:t>
      </w:r>
      <w:hyperlink r:id="rId11">
        <w:r>
          <w:rPr>
            <w:rFonts w:ascii="Times New Roman" w:hAnsi="Times New Roman" w:cs="Times New Roman" w:eastAsia="Times New Roman" w:hint="default"/>
          </w:rPr>
          <w:t>http://www.cninfo.com.cn</w:t>
        </w:r>
      </w:hyperlink>
      <w:r>
        <w:rPr/>
        <w:t>）披露的《关</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于全资子公司出售资产的公告》（公告编号：</w:t>
      </w:r>
      <w:r>
        <w:rPr>
          <w:rFonts w:ascii="Times New Roman" w:hAnsi="Times New Roman" w:cs="Times New Roman" w:eastAsia="Times New Roman" w:hint="default"/>
        </w:rPr>
        <w:t>2018-055</w:t>
      </w:r>
      <w:r>
        <w:rPr/>
        <w:t>）。</w:t>
      </w:r>
    </w:p>
    <w:p>
      <w:pPr>
        <w:spacing w:line="300" w:lineRule="auto" w:before="63"/>
        <w:ind w:left="515"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、关于控股子公司对外投资事项的进展</w:t>
      </w:r>
      <w:r>
        <w:rPr>
          <w:rFonts w:ascii="宋体" w:hAnsi="宋体" w:cs="宋体" w:eastAsia="宋体" w:hint="default"/>
          <w:b/>
          <w:bCs/>
          <w:w w:val="99"/>
          <w:sz w:val="18"/>
          <w:szCs w:val="18"/>
        </w:rPr>
        <w:t> </w:t>
      </w:r>
      <w:r>
        <w:rPr>
          <w:rFonts w:ascii="宋体" w:hAnsi="宋体" w:cs="宋体" w:eastAsia="宋体" w:hint="default"/>
          <w:spacing w:val="-2"/>
          <w:sz w:val="18"/>
          <w:szCs w:val="18"/>
        </w:rPr>
        <w:t>具体内容详见公司分别于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29</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日在指定信息披露媒体巨潮资讯网（网址为：</w:t>
      </w:r>
    </w:p>
    <w:p>
      <w:pPr>
        <w:pStyle w:val="BodyText"/>
        <w:spacing w:line="300" w:lineRule="auto" w:before="13"/>
        <w:ind w:right="1079"/>
        <w:jc w:val="left"/>
      </w:pPr>
      <w:hyperlink r:id="rId11">
        <w:r>
          <w:rPr>
            <w:rFonts w:ascii="Times New Roman" w:hAnsi="Times New Roman" w:cs="Times New Roman" w:eastAsia="Times New Roman" w:hint="default"/>
          </w:rPr>
          <w:t>http://www.cninfo.com.cn</w:t>
        </w:r>
      </w:hyperlink>
      <w:r>
        <w:rPr/>
        <w:t>）披露的《关于控股子公司投资侨达国际有限公司的公告》（公告编号：</w:t>
      </w:r>
      <w:r>
        <w:rPr>
          <w:rFonts w:ascii="Times New Roman" w:hAnsi="Times New Roman" w:cs="Times New Roman" w:eastAsia="Times New Roman" w:hint="default"/>
        </w:rPr>
        <w:t>2018-058</w:t>
      </w:r>
      <w:r>
        <w:rPr/>
        <w:t>）、《关于控股</w:t>
      </w:r>
      <w:r>
        <w:rPr>
          <w:spacing w:val="-63"/>
        </w:rPr>
        <w:t> </w:t>
      </w:r>
      <w:r>
        <w:rPr>
          <w:spacing w:val="-63"/>
        </w:rPr>
      </w:r>
      <w:r>
        <w:rPr/>
        <w:t>子公司投资深圳市华阳信通科技发展有限公司的公告》（公告编号：</w:t>
      </w:r>
      <w:r>
        <w:rPr>
          <w:rFonts w:ascii="Times New Roman" w:hAnsi="Times New Roman" w:cs="Times New Roman" w:eastAsia="Times New Roman" w:hint="default"/>
        </w:rPr>
        <w:t>2018-059</w:t>
      </w:r>
      <w:r>
        <w:rPr/>
        <w:t>）、《关于控股子公司对外投资的进展公告》</w:t>
      </w:r>
    </w:p>
    <w:p>
      <w:pPr>
        <w:pStyle w:val="BodyText"/>
        <w:spacing w:line="300" w:lineRule="auto" w:before="13"/>
        <w:ind w:right="1131"/>
        <w:jc w:val="left"/>
      </w:pPr>
      <w:r>
        <w:rPr>
          <w:spacing w:val="-4"/>
        </w:rPr>
        <w:t>（公告编号：</w:t>
      </w:r>
      <w:r>
        <w:rPr>
          <w:rFonts w:ascii="Times New Roman" w:hAnsi="Times New Roman" w:cs="Times New Roman" w:eastAsia="Times New Roman" w:hint="default"/>
          <w:spacing w:val="-4"/>
        </w:rPr>
        <w:t>2018-063</w:t>
      </w:r>
      <w:r>
        <w:rPr>
          <w:spacing w:val="-4"/>
        </w:rPr>
        <w:t>）、《关于控股子公司对其全资子公司增资并对外投资及签署收购股份意向书暨关联交易的公告》（公</w:t>
      </w:r>
      <w:r>
        <w:rPr>
          <w:spacing w:val="-87"/>
        </w:rPr>
        <w:t> </w:t>
      </w:r>
      <w:r>
        <w:rPr>
          <w:spacing w:val="-87"/>
        </w:rPr>
      </w:r>
      <w:r>
        <w:rPr/>
        <w:t>告编号：</w:t>
      </w:r>
      <w:r>
        <w:rPr>
          <w:rFonts w:ascii="Times New Roman" w:hAnsi="Times New Roman" w:cs="Times New Roman" w:eastAsia="Times New Roman" w:hint="default"/>
        </w:rPr>
        <w:t>2018-080</w:t>
      </w:r>
      <w:r>
        <w:rPr/>
        <w:t>）。</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78,187,27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99,706,35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25.36%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78,187,27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99,706,35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25.36%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19.84%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19.84%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187,275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0.05%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21,519,08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21,706,35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5.52%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314,932,7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80.11%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-21,519,0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-21,519,0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293,413,6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74.64%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314,932,7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80.11%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-21,519,0</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-21,519,0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293,413,6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74.64%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393,120,0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338" w:lineRule="auto" w:before="117"/>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日召开的第四届董事会第三十四次会议审议通过了《关于聘任公司执行总经理的议案》，同意聘任</w:t>
      </w:r>
    </w:p>
    <w:p>
      <w:pPr>
        <w:pStyle w:val="BodyText"/>
        <w:spacing w:line="230" w:lineRule="exact"/>
        <w:ind w:right="0"/>
        <w:jc w:val="left"/>
        <w:rPr>
          <w:rFonts w:ascii="Times New Roman" w:hAnsi="Times New Roman" w:cs="Times New Roman" w:eastAsia="Times New Roman" w:hint="default"/>
        </w:rPr>
      </w:pPr>
      <w:r>
        <w:rPr>
          <w:spacing w:val="-3"/>
        </w:rPr>
        <w:t>黄喜胜先生为公司执行总经理，故其所持公司股份按</w:t>
      </w:r>
      <w:r>
        <w:rPr>
          <w:rFonts w:ascii="Times New Roman" w:hAnsi="Times New Roman" w:cs="Times New Roman" w:eastAsia="Times New Roman" w:hint="default"/>
          <w:spacing w:val="-3"/>
        </w:rPr>
        <w:t>75%</w:t>
      </w:r>
      <w:r>
        <w:rPr>
          <w:spacing w:val="-3"/>
        </w:rPr>
        <w:t>锁定。本报告期内，由于上述原因导致黄喜胜先生所持原</w:t>
      </w:r>
      <w:r>
        <w:rPr>
          <w:rFonts w:ascii="Times New Roman" w:hAnsi="Times New Roman" w:cs="Times New Roman" w:eastAsia="Times New Roman" w:hint="default"/>
          <w:spacing w:val="-3"/>
        </w:rPr>
        <w:t>21,519,082</w:t>
      </w:r>
    </w:p>
    <w:p>
      <w:pPr>
        <w:spacing w:after="0" w:line="230" w:lineRule="exact"/>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9" w:lineRule="auto" w:before="44"/>
        <w:ind w:right="0"/>
        <w:jc w:val="left"/>
      </w:pPr>
      <w:r>
        <w:rPr>
          <w:spacing w:val="-4"/>
        </w:rPr>
        <w:t>股无限售条件股份变为高管锁定股。根据规定，黄喜胜先生、孟令章先生、袁训明先生和程启北先生在公司担任董事、监事、</w:t>
      </w:r>
      <w:r>
        <w:rPr>
          <w:spacing w:val="-44"/>
        </w:rPr>
        <w:t> </w:t>
      </w:r>
      <w:r>
        <w:rPr>
          <w:spacing w:val="-44"/>
        </w:rPr>
      </w:r>
      <w:r>
        <w:rPr/>
        <w:t>高级管理人员，其每年可转让的股份不超过其持有的公司股份总数的</w:t>
      </w:r>
      <w:r>
        <w:rPr>
          <w:rFonts w:ascii="Times New Roman" w:hAnsi="Times New Roman" w:cs="Times New Roman" w:eastAsia="Times New Roman" w:hint="default"/>
        </w:rPr>
        <w:t>25%</w:t>
      </w:r>
      <w:r>
        <w:rPr/>
        <w:t>。截至本报告期末，公司董事、监事、高级管理人 员合计持有</w:t>
      </w:r>
      <w:r>
        <w:rPr>
          <w:rFonts w:ascii="Times New Roman" w:hAnsi="Times New Roman" w:cs="Times New Roman" w:eastAsia="Times New Roman" w:hint="default"/>
        </w:rPr>
        <w:t>21,706,357</w:t>
      </w:r>
      <w:r>
        <w:rPr/>
        <w:t>股高管锁定股。</w:t>
      </w:r>
    </w:p>
    <w:p>
      <w:pPr>
        <w:pStyle w:val="BodyText"/>
        <w:spacing w:line="240" w:lineRule="auto" w:before="46"/>
        <w:ind w:right="0"/>
        <w:jc w:val="left"/>
      </w:pPr>
      <w:r>
        <w:rPr/>
        <w:t>股份变动的批准情况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850"/>
        <w:gridCol w:w="993"/>
        <w:gridCol w:w="1134"/>
        <w:gridCol w:w="2694"/>
        <w:gridCol w:w="1774"/>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 w:right="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96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乾德精一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公司实际控制人刘辉女士承诺自 承诺函出具之日起直至本次交易 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个月内，不丧失对乾德 </w:t>
            </w:r>
            <w:r>
              <w:rPr>
                <w:rFonts w:ascii="宋体" w:hAnsi="宋体" w:cs="宋体" w:eastAsia="宋体" w:hint="default"/>
                <w:spacing w:val="-5"/>
                <w:sz w:val="18"/>
                <w:szCs w:val="18"/>
              </w:rPr>
              <w:t>精一的控制权，不以直接或间接方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式减持乾德精一在本次交易前持 有的本公司股份。</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9" w:lineRule="auto"/>
              <w:ind w:left="22" w:right="74"/>
              <w:jc w:val="both"/>
              <w:rPr>
                <w:rFonts w:ascii="宋体" w:hAnsi="宋体" w:cs="宋体" w:eastAsia="宋体" w:hint="default"/>
                <w:sz w:val="18"/>
                <w:szCs w:val="18"/>
              </w:rPr>
            </w:pPr>
            <w:r>
              <w:rPr>
                <w:rFonts w:ascii="宋体" w:hAnsi="宋体" w:cs="宋体" w:eastAsia="宋体" w:hint="default"/>
                <w:sz w:val="18"/>
                <w:szCs w:val="18"/>
              </w:rPr>
              <w:t>承诺函出具之日起直 至本次交易完成后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74,775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5"/>
                <w:sz w:val="18"/>
                <w:szCs w:val="18"/>
              </w:rPr>
              <w:t>担任公司董事、高级管理人员，持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每年可转让的股份不 超过其持有的亚联发 展股份总数的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center"/>
              <w:rPr>
                <w:rFonts w:ascii="宋体" w:hAnsi="宋体" w:cs="宋体" w:eastAsia="宋体" w:hint="default"/>
                <w:sz w:val="18"/>
                <w:szCs w:val="18"/>
              </w:rPr>
            </w:pPr>
            <w:r>
              <w:rPr>
                <w:rFonts w:ascii="宋体" w:hAnsi="宋体" w:cs="宋体" w:eastAsia="宋体" w:hint="default"/>
                <w:sz w:val="18"/>
                <w:szCs w:val="18"/>
              </w:rPr>
              <w:t>担任公司监事，持股锁定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每年可转让的股份不 超过其持有的亚联发 展股份总数的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5"/>
                <w:sz w:val="18"/>
                <w:szCs w:val="18"/>
              </w:rPr>
              <w:t>担任公司高级管理人员，持股锁定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每年可转让的股份不 超过其持有的亚联发 展股份总数的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21,519,082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21,519,082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5"/>
                <w:sz w:val="18"/>
                <w:szCs w:val="18"/>
              </w:rPr>
              <w:t>担任公司高级管理人员，持股锁定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w:t>
            </w:r>
            <w:r>
              <w:rPr>
                <w:rFonts w:ascii="宋体" w:hAnsi="宋体" w:cs="宋体" w:eastAsia="宋体" w:hint="default"/>
                <w:sz w:val="18"/>
                <w:szCs w:val="18"/>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每年可转让的股份不 超过其持有的亚联发 展股份总数的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54"/>
        <w:gridCol w:w="1277"/>
        <w:gridCol w:w="850"/>
        <w:gridCol w:w="993"/>
        <w:gridCol w:w="1134"/>
        <w:gridCol w:w="2694"/>
        <w:gridCol w:w="1774"/>
      </w:tblGrid>
      <w:tr>
        <w:trPr>
          <w:trHeight w:val="402" w:hRule="exact"/>
        </w:trPr>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78,187,275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21,519,082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99,706,357</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33"/>
        <w:gridCol w:w="741"/>
        <w:gridCol w:w="93"/>
        <w:gridCol w:w="1138"/>
        <w:gridCol w:w="1004"/>
        <w:gridCol w:w="156"/>
        <w:gridCol w:w="836"/>
        <w:gridCol w:w="384"/>
        <w:gridCol w:w="610"/>
        <w:gridCol w:w="563"/>
        <w:gridCol w:w="287"/>
        <w:gridCol w:w="920"/>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21,743</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31"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23,255</w:t>
            </w:r>
          </w:p>
        </w:tc>
        <w:tc>
          <w:tcPr>
            <w:tcW w:w="116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31" w:type="dxa"/>
            <w:gridSpan w:val="2"/>
            <w:vMerge/>
            <w:tcBorders>
              <w:left w:val="single" w:sz="9" w:space="0" w:color="D2D2D2"/>
              <w:right w:val="single" w:sz="9" w:space="0" w:color="D2D2D2"/>
            </w:tcBorders>
          </w:tcPr>
          <w:p>
            <w:pPr/>
          </w:p>
        </w:tc>
        <w:tc>
          <w:tcPr>
            <w:tcW w:w="116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2"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31" w:type="dxa"/>
            <w:gridSpan w:val="2"/>
            <w:vMerge/>
            <w:tcBorders>
              <w:left w:val="single" w:sz="9" w:space="0" w:color="D2D2D2"/>
              <w:right w:val="single" w:sz="9" w:space="0" w:color="D2D2D2"/>
            </w:tcBorders>
          </w:tcPr>
          <w:p>
            <w:pPr/>
          </w:p>
        </w:tc>
        <w:tc>
          <w:tcPr>
            <w:tcW w:w="1160"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31" w:type="dxa"/>
            <w:gridSpan w:val="2"/>
            <w:vMerge/>
            <w:tcBorders>
              <w:left w:val="single" w:sz="9" w:space="0" w:color="D2D2D2"/>
              <w:right w:val="single" w:sz="9" w:space="0" w:color="D2D2D2"/>
            </w:tcBorders>
          </w:tcPr>
          <w:p>
            <w:pPr/>
          </w:p>
        </w:tc>
        <w:tc>
          <w:tcPr>
            <w:tcW w:w="1160"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31" w:type="dxa"/>
            <w:gridSpan w:val="2"/>
            <w:vMerge/>
            <w:tcBorders>
              <w:left w:val="single" w:sz="9" w:space="0" w:color="D2D2D2"/>
              <w:right w:val="single" w:sz="9" w:space="0" w:color="D2D2D2"/>
            </w:tcBorders>
          </w:tcPr>
          <w:p>
            <w:pPr/>
          </w:p>
        </w:tc>
        <w:tc>
          <w:tcPr>
            <w:tcW w:w="1160"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31" w:type="dxa"/>
            <w:gridSpan w:val="2"/>
            <w:vMerge/>
            <w:tcBorders>
              <w:left w:val="single" w:sz="9" w:space="0" w:color="D2D2D2"/>
              <w:right w:val="single" w:sz="9" w:space="0" w:color="D2D2D2"/>
            </w:tcBorders>
          </w:tcPr>
          <w:p>
            <w:pPr/>
          </w:p>
        </w:tc>
        <w:tc>
          <w:tcPr>
            <w:tcW w:w="1160"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31" w:type="dxa"/>
            <w:gridSpan w:val="2"/>
            <w:vMerge/>
            <w:tcBorders>
              <w:left w:val="single" w:sz="9" w:space="0" w:color="D2D2D2"/>
              <w:bottom w:val="single" w:sz="4" w:space="0" w:color="000000"/>
              <w:right w:val="single" w:sz="9" w:space="0" w:color="D2D2D2"/>
            </w:tcBorders>
          </w:tcPr>
          <w:p>
            <w:pPr/>
          </w:p>
        </w:tc>
        <w:tc>
          <w:tcPr>
            <w:tcW w:w="116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34" w:type="dxa"/>
            <w:gridSpan w:val="2"/>
            <w:vMerge w:val="restart"/>
            <w:tcBorders>
              <w:top w:val="single" w:sz="4" w:space="0" w:color="000000"/>
              <w:left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1"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34" w:type="dxa"/>
            <w:gridSpan w:val="2"/>
            <w:vMerge/>
            <w:tcBorders>
              <w:left w:val="single" w:sz="4" w:space="0" w:color="000000"/>
              <w:bottom w:val="nil" w:sz="6" w:space="0" w:color="auto"/>
              <w:right w:val="single" w:sz="4" w:space="0" w:color="000000"/>
            </w:tcBorders>
            <w:shd w:val="clear" w:color="auto" w:fill="D2D2D2"/>
          </w:tcPr>
          <w:p>
            <w:pP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90" w:right="16" w:hanging="361"/>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0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3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8"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34" w:type="dxa"/>
            <w:gridSpan w:val="2"/>
            <w:vMerge/>
            <w:tcBorders>
              <w:left w:val="single" w:sz="4" w:space="0" w:color="000000"/>
              <w:bottom w:val="nil" w:sz="6" w:space="0" w:color="auto"/>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004"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5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34" w:type="dxa"/>
            <w:gridSpan w:val="2"/>
            <w:vMerge w:val="restart"/>
            <w:tcBorders>
              <w:top w:val="nil" w:sz="6" w:space="0" w:color="auto"/>
              <w:left w:val="single" w:sz="4" w:space="0" w:color="000000"/>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34" w:type="dxa"/>
            <w:gridSpan w:val="2"/>
            <w:vMerge/>
            <w:tcBorders>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嘉兴乾德精一投 </w:t>
            </w: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19.84%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78,000,000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78,000,000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78,000,000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7.30%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28,692,110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21,519,082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7,173,028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键桥通讯技术有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6.10%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23,990,806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23,990,806</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23,990,800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王雁铭</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5.00%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19,656,000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19,656,000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5" w:right="0"/>
              <w:jc w:val="left"/>
              <w:rPr>
                <w:rFonts w:ascii="Times New Roman" w:hAnsi="Times New Roman" w:cs="Times New Roman" w:eastAsia="Times New Roman" w:hint="default"/>
                <w:sz w:val="18"/>
                <w:szCs w:val="18"/>
              </w:rPr>
            </w:pPr>
            <w:r>
              <w:rPr>
                <w:rFonts w:ascii="Times New Roman"/>
                <w:sz w:val="18"/>
              </w:rPr>
              <w:t>3.19%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12,670,400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-2,107,420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12,670,400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华宝信托有限责 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单一资金信托</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2.87%</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11,263,081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11,263,081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367"/>
        <w:gridCol w:w="834"/>
        <w:gridCol w:w="1151"/>
        <w:gridCol w:w="991"/>
        <w:gridCol w:w="1026"/>
        <w:gridCol w:w="960"/>
        <w:gridCol w:w="422"/>
        <w:gridCol w:w="427"/>
        <w:gridCol w:w="920"/>
      </w:tblGrid>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国通信托有限责 任公司－国通信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w:t>
            </w:r>
            <w:r>
              <w:rPr>
                <w:rFonts w:ascii="宋体" w:hAnsi="宋体" w:cs="宋体" w:eastAsia="宋体" w:hint="default"/>
                <w:spacing w:val="1"/>
                <w:sz w:val="18"/>
                <w:szCs w:val="18"/>
              </w:rPr>
              <w:t> </w:t>
            </w:r>
            <w:r>
              <w:rPr>
                <w:rFonts w:ascii="宋体" w:hAnsi="宋体" w:cs="宋体" w:eastAsia="宋体" w:hint="default"/>
                <w:sz w:val="18"/>
                <w:szCs w:val="18"/>
              </w:rPr>
              <w:t>券投资集合资金</w:t>
            </w:r>
            <w:r>
              <w:rPr>
                <w:rFonts w:ascii="宋体" w:hAnsi="宋体" w:cs="宋体" w:eastAsia="宋体" w:hint="default"/>
                <w:sz w:val="18"/>
                <w:szCs w:val="18"/>
              </w:rPr>
              <w:t> 信托计划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8,352,361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8,352,361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8,138,416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8,138,416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8,138,416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4,414,306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4"/>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4,414,306</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深圳精一投资管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3,931,200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3,931,200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733"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733" w:type="dxa"/>
            <w:gridSpan w:val="8"/>
            <w:vMerge w:val="restart"/>
            <w:tcBorders>
              <w:top w:val="single" w:sz="4" w:space="0" w:color="000000"/>
              <w:left w:val="single" w:sz="9" w:space="0" w:color="D2D2D2"/>
              <w:right w:val="single" w:sz="4" w:space="0" w:color="000000"/>
            </w:tcBorders>
          </w:tcPr>
          <w:p>
            <w:pPr>
              <w:pStyle w:val="TableParagraph"/>
              <w:spacing w:line="312" w:lineRule="auto" w:before="51"/>
              <w:ind w:left="16" w:right="19"/>
              <w:jc w:val="both"/>
              <w:rPr>
                <w:rFonts w:ascii="宋体" w:hAnsi="宋体" w:cs="宋体" w:eastAsia="宋体" w:hint="default"/>
                <w:sz w:val="18"/>
                <w:szCs w:val="18"/>
              </w:rPr>
            </w:pPr>
            <w:r>
              <w:rPr>
                <w:rFonts w:ascii="宋体" w:hAnsi="宋体" w:cs="宋体" w:eastAsia="宋体" w:hint="default"/>
                <w:sz w:val="18"/>
                <w:szCs w:val="18"/>
              </w:rPr>
              <w:t>公司实际控制人刘辉女士通过</w:t>
            </w:r>
            <w:r>
              <w:rPr>
                <w:rFonts w:ascii="Times New Roman" w:hAnsi="Times New Roman" w:cs="Times New Roman" w:eastAsia="Times New Roman" w:hint="default"/>
                <w:sz w:val="18"/>
                <w:szCs w:val="18"/>
              </w:rPr>
              <w:t>“</w:t>
            </w:r>
            <w:r>
              <w:rPr>
                <w:rFonts w:ascii="宋体" w:hAnsi="宋体" w:cs="宋体" w:eastAsia="宋体" w:hint="default"/>
                <w:sz w:val="18"/>
                <w:szCs w:val="18"/>
              </w:rPr>
              <w:t>国通信托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号证券投资集合资金信托计划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本信托计划</w:t>
            </w:r>
            <w:r>
              <w:rPr>
                <w:rFonts w:ascii="Times New Roman" w:hAnsi="Times New Roman" w:cs="Times New Roman" w:eastAsia="Times New Roman" w:hint="default"/>
                <w:sz w:val="18"/>
                <w:szCs w:val="18"/>
              </w:rPr>
              <w:t>”</w:t>
            </w:r>
            <w:r>
              <w:rPr>
                <w:rFonts w:ascii="宋体" w:hAnsi="宋体" w:cs="宋体" w:eastAsia="宋体" w:hint="default"/>
                <w:sz w:val="18"/>
                <w:szCs w:val="18"/>
              </w:rPr>
              <w:t>）持有公司股份，刘伟为公司实际控制人刘辉女士的姐姐，深圳 精一为乾德精一的普通合伙人、执行事务合伙人，深圳精一为公司实际控制人刘辉女 士控制的企业。乾德精一与本信托计划、刘伟、深圳精一构成一致行动人。本公司未 知其他股东之间是否存在关联关系，也未知其他股东之间是否属于《上市公司股东持 股变动信息披露管理办法》中规定的一致行动人。</w:t>
            </w:r>
          </w:p>
        </w:tc>
      </w:tr>
      <w:tr>
        <w:trPr>
          <w:trHeight w:val="704" w:hRule="exact"/>
        </w:trPr>
        <w:tc>
          <w:tcPr>
            <w:tcW w:w="283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33" w:type="dxa"/>
            <w:gridSpan w:val="8"/>
            <w:vMerge/>
            <w:tcBorders>
              <w:left w:val="single" w:sz="9" w:space="0" w:color="D2D2D2"/>
              <w:right w:val="single" w:sz="4" w:space="0" w:color="000000"/>
            </w:tcBorders>
          </w:tcPr>
          <w:p>
            <w:pPr/>
          </w:p>
        </w:tc>
      </w:tr>
      <w:tr>
        <w:trPr>
          <w:trHeight w:val="629" w:hRule="exact"/>
        </w:trPr>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733" w:type="dxa"/>
            <w:gridSpan w:val="8"/>
            <w:vMerge/>
            <w:tcBorders>
              <w:left w:val="single" w:sz="9" w:space="0" w:color="D2D2D2"/>
              <w:bottom w:val="single" w:sz="4" w:space="0" w:color="000000"/>
              <w:right w:val="single" w:sz="4" w:space="0" w:color="000000"/>
            </w:tcBorders>
          </w:tcPr>
          <w:p>
            <w:pPr/>
          </w:p>
        </w:tc>
      </w:tr>
      <w:tr>
        <w:trPr>
          <w:trHeight w:val="40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3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00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73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3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02"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0" w:type="dxa"/>
            <w:gridSpan w:val="4"/>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836" w:type="dxa"/>
            <w:gridSpan w:val="2"/>
            <w:vMerge/>
            <w:tcBorders>
              <w:left w:val="single" w:sz="4" w:space="0" w:color="000000"/>
              <w:bottom w:val="nil" w:sz="6" w:space="0" w:color="auto"/>
              <w:right w:val="single" w:sz="4" w:space="0" w:color="000000"/>
            </w:tcBorders>
            <w:shd w:val="clear" w:color="auto" w:fill="D2D2D2"/>
          </w:tcPr>
          <w:p>
            <w:pPr/>
          </w:p>
        </w:tc>
        <w:tc>
          <w:tcPr>
            <w:tcW w:w="4002" w:type="dxa"/>
            <w:gridSpan w:val="4"/>
            <w:vMerge/>
            <w:tcBorders>
              <w:left w:val="single" w:sz="4" w:space="0" w:color="000000"/>
              <w:bottom w:val="nil" w:sz="6" w:space="0" w:color="auto"/>
              <w:right w:val="single" w:sz="4" w:space="0" w:color="000000"/>
            </w:tcBorders>
            <w:shd w:val="clear" w:color="auto" w:fill="D2D2D2"/>
          </w:tcPr>
          <w:p>
            <w:pPr/>
          </w:p>
        </w:tc>
        <w:tc>
          <w:tcPr>
            <w:tcW w:w="13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3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00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383"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23,990,806</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23,990,806</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王雁铭</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19,656,000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19,656,000</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叶春华</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12,670,400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12,670,400</w:t>
            </w:r>
          </w:p>
        </w:tc>
      </w:tr>
      <w:tr>
        <w:trPr>
          <w:trHeight w:val="714"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单一资金信托</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11,263,081</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11,263,081</w:t>
            </w:r>
          </w:p>
        </w:tc>
      </w:tr>
      <w:tr>
        <w:trPr>
          <w:trHeight w:val="1026"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国通信托有限责任公司－国通信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恒升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号证券投资集合资金信 托计划</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8,352,361</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8,352,361</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8,138,416</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8,138,416</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7,173,028</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7,173,028</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胡兰</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4,414,306</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4,414,306</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3,931,200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3,931,200</w:t>
            </w:r>
          </w:p>
        </w:tc>
      </w:tr>
      <w:tr>
        <w:trPr>
          <w:trHeight w:val="402" w:hRule="exact"/>
        </w:trPr>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李春辉</w:t>
            </w:r>
          </w:p>
        </w:tc>
        <w:tc>
          <w:tcPr>
            <w:tcW w:w="40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3,605,921</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3,605,921</w:t>
            </w:r>
          </w:p>
        </w:tc>
      </w:tr>
      <w:tr>
        <w:trPr>
          <w:trHeight w:val="1338" w:hRule="exact"/>
        </w:trPr>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733"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38"/>
              <w:jc w:val="both"/>
              <w:rPr>
                <w:rFonts w:ascii="宋体" w:hAnsi="宋体" w:cs="宋体" w:eastAsia="宋体" w:hint="default"/>
                <w:sz w:val="18"/>
                <w:szCs w:val="18"/>
              </w:rPr>
            </w:pPr>
            <w:r>
              <w:rPr>
                <w:rFonts w:ascii="宋体" w:hAnsi="宋体" w:cs="宋体" w:eastAsia="宋体" w:hint="default"/>
                <w:sz w:val="18"/>
                <w:szCs w:val="18"/>
              </w:rPr>
              <w:t>公司实际控制人刘辉女士通过本信托计划持有公司股份，刘伟为公司实际控制人刘辉 女士的姐姐，深圳精一为乾德精一的普通合伙人、执行事务合伙人，深圳精一为公司 实际控制人刘辉女士控制的企业。乾德精一与本信托计划、刘伟、深圳精一构成一致 行动人。本公司未知其他股东之间是否存在关联关系，也未知其他股东之间是否属于</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5"/>
        <w:gridCol w:w="6733"/>
      </w:tblGrid>
      <w:tr>
        <w:trPr>
          <w:trHeight w:val="36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《上市公司股东持股变动信息披露管理办法》中规定的一致行动人。</w:t>
            </w:r>
          </w:p>
        </w:tc>
      </w:tr>
      <w:tr>
        <w:trPr>
          <w:trHeight w:val="196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报告期末，公司股东刘伟除通过普通证券账户持有公司股份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股外，还通过招</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商证券股份有限公司客户信用交易担保证券账户持有公司股份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7,996,4</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4"/>
                <w:sz w:val="18"/>
                <w:szCs w:val="18"/>
              </w:rPr>
              <w:t>，</w:t>
            </w:r>
            <w:r>
              <w:rPr>
                <w:rFonts w:ascii="宋体" w:hAnsi="宋体" w:cs="宋体" w:eastAsia="宋体" w:hint="default"/>
                <w:sz w:val="18"/>
                <w:szCs w:val="18"/>
              </w:rPr>
              <w:t>实际合计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8,138,416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股。公司股东胡兰除通过普通证券账户持有公司股份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281,635</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股外，还</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通过招商证券股份有限公司客户信用交易担保证券账户持有公司股份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4,132,671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4"/>
                <w:sz w:val="18"/>
                <w:szCs w:val="18"/>
              </w:rPr>
              <w:t>，</w:t>
            </w:r>
            <w:r>
              <w:rPr>
                <w:rFonts w:ascii="宋体" w:hAnsi="宋体" w:cs="宋体" w:eastAsia="宋体" w:hint="default"/>
                <w:sz w:val="18"/>
                <w:szCs w:val="18"/>
              </w:rPr>
              <w:t>实</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4,414,306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4"/>
                <w:sz w:val="18"/>
                <w:szCs w:val="18"/>
              </w:rPr>
              <w:t>。</w:t>
            </w:r>
            <w:r>
              <w:rPr>
                <w:rFonts w:ascii="宋体" w:hAnsi="宋体" w:cs="宋体" w:eastAsia="宋体" w:hint="default"/>
                <w:sz w:val="18"/>
                <w:szCs w:val="18"/>
              </w:rPr>
              <w:t>公司股东深圳精一投资管理有限公司通过招商证券股份有限</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3,931,200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pict>
          <v:group style="position:absolute;margin-left:255.460007pt;margin-top:82.631737pt;width:77.5pt;height:7.8pt;mso-position-horizontal-relative:page;mso-position-vertical-relative:paragraph;z-index:-1027576" coordorigin="5109,1653" coordsize="1550,156">
            <v:shape style="position:absolute;left:5109;top:1653;width:1550;height:156" coordorigin="5109,1653" coordsize="1550,156" path="m5109,1809l6658,1809,6658,1653,5109,1653,5109,1809xe" filled="true" fillcolor="#ffffff" stroked="false">
              <v:path arrowok="t"/>
              <v:fill type="solid"/>
            </v:shape>
            <w10:wrap type="none"/>
          </v:group>
        </w:pict>
      </w: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973"/>
        <w:gridCol w:w="1560"/>
        <w:gridCol w:w="1842"/>
        <w:gridCol w:w="2196"/>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嘉兴乾德精一投资合伙 企业（有限合伙）</w:t>
            </w:r>
          </w:p>
        </w:tc>
        <w:tc>
          <w:tcPr>
            <w:tcW w:w="197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深圳精一投资管理有限 公司（委派代表：刘伟）</w:t>
            </w:r>
          </w:p>
        </w:tc>
        <w:tc>
          <w:tcPr>
            <w:tcW w:w="156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5"/>
              <w:jc w:val="center"/>
              <w:rPr>
                <w:rFonts w:ascii="Times New Roman" w:hAnsi="Times New Roman" w:cs="Times New Roman" w:eastAsia="Times New Roman" w:hint="default"/>
                <w:sz w:val="18"/>
                <w:szCs w:val="18"/>
              </w:rPr>
            </w:pPr>
            <w:r>
              <w:rPr>
                <w:rFonts w:ascii="Times New Roman"/>
                <w:sz w:val="18"/>
              </w:rPr>
              <w:t>91330402329970213N</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实业投资、投资管理、投资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控股股东报告期内变更</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1985"/>
        <w:gridCol w:w="3827"/>
        <w:gridCol w:w="1702"/>
        <w:gridCol w:w="2054"/>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88"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2" w:right="30" w:hanging="720"/>
              <w:jc w:val="left"/>
              <w:rPr>
                <w:rFonts w:ascii="宋体" w:hAnsi="宋体" w:cs="宋体" w:eastAsia="宋体" w:hint="default"/>
                <w:sz w:val="18"/>
                <w:szCs w:val="18"/>
              </w:rPr>
            </w:pPr>
            <w:r>
              <w:rPr>
                <w:rFonts w:ascii="宋体" w:hAnsi="宋体" w:cs="宋体" w:eastAsia="宋体" w:hint="default"/>
                <w:sz w:val="18"/>
                <w:szCs w:val="18"/>
              </w:rPr>
              <w:t>是否取得其他国家或地区 居留权</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刘伟</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刘辉女士任深圳精一董事长、总经理，兼任辽宁省创业投资与股权投资协会副会长。刘伟女士任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深圳精一董事，大连瑞华投资管理有限公司的执行董事、总经理。</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 外上市公司情况</w:t>
            </w:r>
          </w:p>
        </w:tc>
        <w:tc>
          <w:tcPr>
            <w:tcW w:w="75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38" w:lineRule="auto" w:before="117"/>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w:t>
      </w:r>
    </w:p>
    <w:p>
      <w:pPr>
        <w:spacing w:after="0" w:line="338"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公司与实际控制人之间的产权及控制关系的方框图</w:t>
      </w:r>
    </w:p>
    <w:p>
      <w:pPr>
        <w:spacing w:line="240" w:lineRule="auto" w:before="10"/>
        <w:rPr>
          <w:rFonts w:ascii="宋体" w:hAnsi="宋体" w:cs="宋体" w:eastAsia="宋体" w:hint="default"/>
          <w:sz w:val="26"/>
          <w:szCs w:val="26"/>
        </w:rPr>
      </w:pPr>
    </w:p>
    <w:p>
      <w:pPr>
        <w:spacing w:line="6375" w:lineRule="exact"/>
        <w:ind w:left="1356" w:right="0" w:firstLine="0"/>
        <w:rPr>
          <w:rFonts w:ascii="宋体" w:hAnsi="宋体" w:cs="宋体" w:eastAsia="宋体" w:hint="default"/>
          <w:sz w:val="20"/>
          <w:szCs w:val="20"/>
        </w:rPr>
      </w:pPr>
      <w:r>
        <w:rPr>
          <w:rFonts w:ascii="宋体" w:hAnsi="宋体" w:cs="宋体" w:eastAsia="宋体" w:hint="default"/>
          <w:position w:val="-127"/>
          <w:sz w:val="20"/>
          <w:szCs w:val="20"/>
        </w:rPr>
        <w:drawing>
          <wp:inline distT="0" distB="0" distL="0" distR="0">
            <wp:extent cx="4591429" cy="40481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4" cstate="print"/>
                    <a:stretch>
                      <a:fillRect/>
                    </a:stretch>
                  </pic:blipFill>
                  <pic:spPr>
                    <a:xfrm>
                      <a:off x="0" y="0"/>
                      <a:ext cx="4591429" cy="4048125"/>
                    </a:xfrm>
                    <a:prstGeom prst="rect">
                      <a:avLst/>
                    </a:prstGeom>
                  </pic:spPr>
                </pic:pic>
              </a:graphicData>
            </a:graphic>
          </wp:inline>
        </w:drawing>
      </w:r>
      <w:r>
        <w:rPr>
          <w:rFonts w:ascii="宋体" w:hAnsi="宋体" w:cs="宋体" w:eastAsia="宋体" w:hint="default"/>
          <w:position w:val="-127"/>
          <w:sz w:val="20"/>
          <w:szCs w:val="20"/>
        </w:rPr>
      </w:r>
    </w:p>
    <w:p>
      <w:pPr>
        <w:spacing w:line="240" w:lineRule="auto" w:before="4"/>
        <w:rPr>
          <w:rFonts w:ascii="宋体" w:hAnsi="宋体" w:cs="宋体" w:eastAsia="宋体" w:hint="default"/>
          <w:sz w:val="19"/>
          <w:szCs w:val="19"/>
        </w:rPr>
      </w:pPr>
    </w:p>
    <w:p>
      <w:pPr>
        <w:pStyle w:val="Heading3"/>
        <w:spacing w:line="240" w:lineRule="auto"/>
        <w:ind w:left="154"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851"/>
        <w:gridCol w:w="568"/>
        <w:gridCol w:w="566"/>
        <w:gridCol w:w="568"/>
        <w:gridCol w:w="1134"/>
        <w:gridCol w:w="1187"/>
        <w:gridCol w:w="938"/>
        <w:gridCol w:w="658"/>
        <w:gridCol w:w="760"/>
        <w:gridCol w:w="709"/>
        <w:gridCol w:w="925"/>
      </w:tblGrid>
      <w:tr>
        <w:trPr>
          <w:trHeight w:val="1337"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71" w:right="111"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04" w:right="10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5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4" w:right="103"/>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0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7"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姚科辉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迟维君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董事、执 行总经理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28,692,110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28,692,110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执行总经 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99,700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王连宏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董事、董 事会秘 书、副总 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熊旭春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851"/>
        <w:gridCol w:w="568"/>
        <w:gridCol w:w="566"/>
        <w:gridCol w:w="568"/>
        <w:gridCol w:w="1134"/>
        <w:gridCol w:w="1187"/>
        <w:gridCol w:w="938"/>
        <w:gridCol w:w="658"/>
        <w:gridCol w:w="760"/>
        <w:gridCol w:w="709"/>
        <w:gridCol w:w="925"/>
      </w:tblGrid>
      <w:tr>
        <w:trPr>
          <w:trHeight w:val="362"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会主席</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王思邈</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汪林波</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刘宏刚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28,941,810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28,941,810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842"/>
        <w:gridCol w:w="389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因工作变动原因辞职。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Heading4"/>
        <w:spacing w:line="240" w:lineRule="auto" w:before="90"/>
        <w:ind w:right="0"/>
        <w:jc w:val="left"/>
        <w:rPr>
          <w:b w:val="0"/>
          <w:bCs w:val="0"/>
        </w:rPr>
      </w:pPr>
      <w:r>
        <w:rPr/>
        <w:t>（一）现任董事主要工作经历</w:t>
      </w:r>
      <w:r>
        <w:rPr>
          <w:b w:val="0"/>
          <w:bCs w:val="0"/>
        </w:rPr>
      </w:r>
    </w:p>
    <w:p>
      <w:pPr>
        <w:pStyle w:val="BodyText"/>
        <w:spacing w:line="307" w:lineRule="auto" w:before="101"/>
        <w:ind w:right="1133" w:firstLine="360"/>
        <w:jc w:val="both"/>
      </w:pPr>
      <w:r>
        <w:rPr>
          <w:rFonts w:ascii="Times New Roman" w:hAnsi="Times New Roman" w:cs="Times New Roman" w:eastAsia="Times New Roman" w:hint="default"/>
        </w:rPr>
        <w:t>1</w:t>
      </w:r>
      <w:r>
        <w:rPr/>
        <w:t>、王永彬先生，</w:t>
      </w:r>
      <w:r>
        <w:rPr>
          <w:rFonts w:ascii="Times New Roman" w:hAnsi="Times New Roman" w:cs="Times New Roman" w:eastAsia="Times New Roman" w:hint="default"/>
        </w:rPr>
        <w:t>1968</w:t>
      </w:r>
      <w:r>
        <w:rPr/>
        <w:t>年生，工学博士，高级工程师职称。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月至今任职于良运集团有限公司担任董事长、总经 理。王永彬先生于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月加入本公司，现担任本公司董事长、总经理，兼任上海即富信息技术服务有限公司、深圳网信 </w:t>
      </w:r>
      <w:r>
        <w:rPr>
          <w:spacing w:val="-2"/>
        </w:rPr>
        <w:t>大数据科技发展有限公司、大连富良投资有限公司、汉华公务机航空有限公司董事长，黑龙江汇良餐厅食品有限公司执行董</w:t>
      </w:r>
      <w:r>
        <w:rPr>
          <w:spacing w:val="-66"/>
        </w:rPr>
        <w:t> </w:t>
      </w:r>
      <w:r>
        <w:rPr>
          <w:spacing w:val="-66"/>
        </w:rPr>
      </w:r>
      <w:r>
        <w:rPr/>
        <w:t>事，大连农村商业银行股份有限公司、中国华粮物流集团北良有限公司、大连国运房地产开发有限公司董事。</w:t>
      </w:r>
    </w:p>
    <w:p>
      <w:pPr>
        <w:pStyle w:val="BodyText"/>
        <w:spacing w:line="312" w:lineRule="auto" w:before="65"/>
        <w:ind w:right="1130" w:firstLine="360"/>
        <w:jc w:val="both"/>
      </w:pPr>
      <w:r>
        <w:rPr>
          <w:rFonts w:ascii="Times New Roman" w:hAnsi="Times New Roman" w:cs="Times New Roman" w:eastAsia="Times New Roman" w:hint="default"/>
        </w:rPr>
        <w:t>2</w:t>
      </w:r>
      <w:r>
        <w:rPr/>
        <w:t>、姚科辉先生，</w:t>
      </w:r>
      <w:r>
        <w:rPr>
          <w:rFonts w:ascii="Times New Roman" w:hAnsi="Times New Roman" w:cs="Times New Roman" w:eastAsia="Times New Roman" w:hint="default"/>
        </w:rPr>
        <w:t>1981</w:t>
      </w:r>
      <w:r>
        <w:rPr/>
        <w:t>年生，本科学历，中国注册会计师，律师。曾任大华会计师事务所（特殊普通合伙）大连分所高 </w:t>
      </w:r>
      <w:r>
        <w:rPr>
          <w:spacing w:val="-2"/>
        </w:rPr>
        <w:t>级经理、大连旅顺国汇小额贷款股份有限公司风控总监，现任深圳精一投资管理有限公司副总经理。截至目前，姚科辉先生</w:t>
      </w:r>
      <w:r>
        <w:rPr>
          <w:spacing w:val="-66"/>
        </w:rPr>
        <w:t> </w:t>
      </w:r>
      <w:r>
        <w:rPr>
          <w:spacing w:val="-66"/>
        </w:rPr>
      </w:r>
      <w:r>
        <w:rPr>
          <w:spacing w:val="-2"/>
        </w:rPr>
        <w:t>在公司控股股东嘉兴乾德精一投资合伙企业（有限合伙）的普通合伙人、执行事务合伙人暨实际控制人刘辉女士控制的深圳</w:t>
      </w:r>
      <w:r>
        <w:rPr>
          <w:spacing w:val="-66"/>
        </w:rPr>
        <w:t> </w:t>
      </w:r>
      <w:r>
        <w:rPr>
          <w:spacing w:val="-66"/>
        </w:rPr>
      </w:r>
      <w:r>
        <w:rPr/>
        <w:t>精一投资管理有限公司任职。姚科辉先生自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月起任本公司董事。</w:t>
      </w:r>
    </w:p>
    <w:p>
      <w:pPr>
        <w:pStyle w:val="BodyText"/>
        <w:spacing w:line="300" w:lineRule="auto" w:before="41"/>
        <w:ind w:right="1139" w:firstLine="360"/>
        <w:jc w:val="both"/>
      </w:pPr>
      <w:r>
        <w:rPr>
          <w:rFonts w:ascii="Times New Roman" w:hAnsi="Times New Roman" w:cs="Times New Roman" w:eastAsia="Times New Roman" w:hint="default"/>
        </w:rPr>
        <w:t>3</w:t>
      </w:r>
      <w:r>
        <w:rPr/>
        <w:t>、黄喜胜先生，</w:t>
      </w:r>
      <w:r>
        <w:rPr>
          <w:rFonts w:ascii="Times New Roman" w:hAnsi="Times New Roman" w:cs="Times New Roman" w:eastAsia="Times New Roman" w:hint="default"/>
        </w:rPr>
        <w:t>1975</w:t>
      </w:r>
      <w:r>
        <w:rPr/>
        <w:t>年生，本科学历。曾任职于深圳发展银行，曾任上海卡友信息技术服务有限公司副总裁，上海德 颐信息服务有限公司总经理，海航易生控股有限公司运营总监，上海优乐股份有限公司董事长。黄喜胜先生于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月加 入本公司，现担任本公司执行总经理，并任公司控股子公司上海即富信息技术服务有限公司董事、总经理。</w:t>
      </w:r>
    </w:p>
    <w:p>
      <w:pPr>
        <w:pStyle w:val="BodyText"/>
        <w:spacing w:line="314" w:lineRule="auto" w:before="70"/>
        <w:ind w:right="0" w:firstLine="360"/>
        <w:jc w:val="left"/>
      </w:pPr>
      <w:r>
        <w:rPr>
          <w:rFonts w:ascii="Times New Roman" w:hAnsi="Times New Roman" w:cs="Times New Roman" w:eastAsia="Times New Roman" w:hint="default"/>
        </w:rPr>
        <w:t>4</w:t>
      </w:r>
      <w:r>
        <w:rPr/>
        <w:t>、易欢欢先生，</w:t>
      </w:r>
      <w:r>
        <w:rPr>
          <w:rFonts w:ascii="Times New Roman" w:hAnsi="Times New Roman" w:cs="Times New Roman" w:eastAsia="Times New Roman" w:hint="default"/>
        </w:rPr>
        <w:t>1982</w:t>
      </w:r>
      <w:r>
        <w:rPr/>
        <w:t>年生，北京大学通信与信息系统硕士。曾任甲骨文（中国）战略咨询部高级经理，国金证券研究 </w:t>
      </w:r>
      <w:r>
        <w:rPr>
          <w:spacing w:val="-2"/>
        </w:rPr>
        <w:t>部执行总经理、计算机与互联网行业首席分析师，申万宏源证券董事总经理、研究所执行所长。现任上海即富信息技术服务</w:t>
      </w:r>
      <w:r>
        <w:rPr>
          <w:spacing w:val="-66"/>
        </w:rPr>
        <w:t> </w:t>
      </w:r>
      <w:r>
        <w:rPr>
          <w:spacing w:val="-66"/>
        </w:rPr>
      </w:r>
      <w:r>
        <w:rPr>
          <w:spacing w:val="-2"/>
        </w:rPr>
        <w:t>有限公司、徐州淮海数据交换服务有限公司董事，兼任北京大学金融校友联合会副会长，中国人民银行金融研究所互联网金</w:t>
      </w:r>
      <w:r>
        <w:rPr>
          <w:spacing w:val="-66"/>
        </w:rPr>
        <w:t> </w:t>
      </w:r>
      <w:r>
        <w:rPr>
          <w:spacing w:val="-66"/>
        </w:rPr>
      </w:r>
      <w:r>
        <w:rPr>
          <w:spacing w:val="-4"/>
        </w:rPr>
        <w:t>融中心副秘书长、中国保险行业协会互联网分会副秘书长，中国证券业协会互联网专家委员、中国青年企业家协会常务理事。</w:t>
      </w:r>
      <w:r>
        <w:rPr>
          <w:spacing w:val="-44"/>
        </w:rPr>
        <w:t> </w:t>
      </w:r>
      <w:r>
        <w:rPr>
          <w:spacing w:val="-44"/>
        </w:rPr>
      </w:r>
      <w:r>
        <w:rPr/>
        <w:t>易欢欢先生自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月起任本公司董事。</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33" w:firstLine="360"/>
        <w:jc w:val="both"/>
      </w:pPr>
      <w:r>
        <w:rPr>
          <w:rFonts w:ascii="Times New Roman" w:hAnsi="Times New Roman" w:cs="Times New Roman" w:eastAsia="Times New Roman" w:hint="default"/>
        </w:rPr>
        <w:t>5</w:t>
      </w:r>
      <w:r>
        <w:rPr/>
        <w:t>、王连宏先生，</w:t>
      </w:r>
      <w:r>
        <w:rPr>
          <w:rFonts w:ascii="Times New Roman" w:hAnsi="Times New Roman" w:cs="Times New Roman" w:eastAsia="Times New Roman" w:hint="default"/>
        </w:rPr>
        <w:t>1968</w:t>
      </w:r>
      <w:r>
        <w:rPr/>
        <w:t>年生，大连理工大学计算力学硕士，清华大学经管学院</w:t>
      </w:r>
      <w:r>
        <w:rPr>
          <w:rFonts w:ascii="Times New Roman" w:hAnsi="Times New Roman" w:cs="Times New Roman" w:eastAsia="Times New Roman" w:hint="default"/>
        </w:rPr>
        <w:t>EMBA</w:t>
      </w:r>
      <w:r>
        <w:rPr/>
        <w:t>。曾任大连人寿保险股份有限公司 </w:t>
      </w:r>
      <w:r>
        <w:rPr>
          <w:spacing w:val="-2"/>
        </w:rPr>
        <w:t>五一广场营销部经理，中保人寿大连分公司业务管理处副处长，中国人寿大连分公司客户服务部经理，中国人寿大连分公司</w:t>
      </w:r>
      <w:r>
        <w:rPr>
          <w:spacing w:val="-66"/>
        </w:rPr>
        <w:t> </w:t>
      </w:r>
      <w:r>
        <w:rPr>
          <w:spacing w:val="-66"/>
        </w:rPr>
      </w:r>
      <w:r>
        <w:rPr>
          <w:spacing w:val="-2"/>
        </w:rPr>
        <w:t>信息技术处处长，新华人寿保险公司大连分公司总经理助理，新华人寿保险公司辽宁分公司副总经理，生命人寿保险股份有</w:t>
      </w:r>
      <w:r>
        <w:rPr>
          <w:spacing w:val="-66"/>
        </w:rPr>
        <w:t> </w:t>
      </w:r>
      <w:r>
        <w:rPr>
          <w:spacing w:val="-66"/>
        </w:rPr>
      </w:r>
      <w:r>
        <w:rPr>
          <w:spacing w:val="-2"/>
        </w:rPr>
        <w:t>限公司大连分公司总经理，富德生命人寿保险股份有限公司北京分公司总经理，生命人寿保险股份有限公司总裁助理，现任</w:t>
      </w:r>
      <w:r>
        <w:rPr>
          <w:spacing w:val="-66"/>
        </w:rPr>
        <w:t> </w:t>
      </w:r>
      <w:r>
        <w:rPr>
          <w:spacing w:val="-66"/>
        </w:rPr>
      </w:r>
      <w:r>
        <w:rPr/>
        <w:t>富德保险销售有限公司董事长。王连宏先生自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月起任本公司董事。</w:t>
      </w:r>
    </w:p>
    <w:p>
      <w:pPr>
        <w:pStyle w:val="BodyText"/>
        <w:spacing w:line="300" w:lineRule="auto" w:before="39"/>
        <w:ind w:right="1131" w:firstLine="360"/>
        <w:jc w:val="both"/>
      </w:pPr>
      <w:r>
        <w:rPr>
          <w:rFonts w:ascii="Times New Roman" w:hAnsi="Times New Roman" w:cs="Times New Roman" w:eastAsia="Times New Roman" w:hint="default"/>
        </w:rPr>
        <w:t>6</w:t>
      </w:r>
      <w:r>
        <w:rPr/>
        <w:t>、华建强先生，</w:t>
      </w:r>
      <w:r>
        <w:rPr>
          <w:rFonts w:ascii="Times New Roman" w:hAnsi="Times New Roman" w:cs="Times New Roman" w:eastAsia="Times New Roman" w:hint="default"/>
        </w:rPr>
        <w:t>1975</w:t>
      </w:r>
      <w:r>
        <w:rPr/>
        <w:t>年生，悉尼大学金融学硕士。曾就职于申银万国证券股份有限公司，华商银行总行，平安证券有 </w:t>
      </w:r>
      <w:r>
        <w:rPr>
          <w:spacing w:val="-2"/>
        </w:rPr>
        <w:t>限责任公司，大通证券股份有限公司，瑞银（</w:t>
      </w:r>
      <w:r>
        <w:rPr>
          <w:rFonts w:ascii="Times New Roman" w:hAnsi="Times New Roman" w:cs="Times New Roman" w:eastAsia="Times New Roman" w:hint="default"/>
          <w:spacing w:val="-2"/>
        </w:rPr>
        <w:t>UBS</w:t>
      </w:r>
      <w:r>
        <w:rPr>
          <w:spacing w:val="-2"/>
        </w:rPr>
        <w:t>）证券有限责任公司，华泰证券股份有限公司，方正富邦创融资产管理有</w:t>
      </w:r>
      <w:r>
        <w:rPr>
          <w:spacing w:val="-58"/>
        </w:rPr>
        <w:t> </w:t>
      </w:r>
      <w:r>
        <w:rPr>
          <w:spacing w:val="-58"/>
        </w:rPr>
      </w:r>
      <w:r>
        <w:rPr/>
        <w:t>限公司，曾任宜投基金销售有限公司总经理，先锋基金管理有限公司督察长。华建强先生自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月起任本公司董事、副 总经理、董事会秘书，现兼任上海即富信息技术服务有限公司、亚联投资（香港）有限公司董事。</w:t>
      </w:r>
    </w:p>
    <w:p>
      <w:pPr>
        <w:pStyle w:val="BodyText"/>
        <w:spacing w:line="314" w:lineRule="auto" w:before="71"/>
        <w:ind w:right="1131" w:firstLine="360"/>
        <w:jc w:val="both"/>
      </w:pPr>
      <w:r>
        <w:rPr>
          <w:rFonts w:ascii="Times New Roman" w:hAnsi="Times New Roman" w:cs="Times New Roman" w:eastAsia="Times New Roman" w:hint="default"/>
        </w:rPr>
        <w:t>7</w:t>
      </w:r>
      <w:r>
        <w:rPr/>
        <w:t>、刘永泽先生，</w:t>
      </w:r>
      <w:r>
        <w:rPr>
          <w:rFonts w:ascii="Times New Roman" w:hAnsi="Times New Roman" w:cs="Times New Roman" w:eastAsia="Times New Roman" w:hint="default"/>
        </w:rPr>
        <w:t>1950</w:t>
      </w:r>
      <w:r>
        <w:rPr/>
        <w:t>年生，会计学博士。曾任东北财经大学会计学院院长，大连港股份有限公司独立董事，辽宁聚龙 </w:t>
      </w:r>
      <w:r>
        <w:rPr>
          <w:spacing w:val="-2"/>
        </w:rPr>
        <w:t>金融设备股份有限公司独立董事，沈阳机床股份有限公司独立董事，全国会计硕士教学指导委员会委员。现任东北财经大学</w:t>
      </w:r>
      <w:r>
        <w:rPr>
          <w:spacing w:val="-66"/>
        </w:rPr>
        <w:t> </w:t>
      </w:r>
      <w:r>
        <w:rPr>
          <w:spacing w:val="-66"/>
        </w:rPr>
      </w:r>
      <w:r>
        <w:rPr>
          <w:spacing w:val="-2"/>
        </w:rPr>
        <w:t>教授，博士生导师，中国内部控制研究中心主任，中国会计学会副会长，中国会计学会会计教育专业委员会主任，大连热电</w:t>
      </w:r>
      <w:r>
        <w:rPr>
          <w:spacing w:val="-66"/>
        </w:rPr>
        <w:t> </w:t>
      </w:r>
      <w:r>
        <w:rPr>
          <w:spacing w:val="-66"/>
        </w:rPr>
      </w:r>
      <w:r>
        <w:rPr>
          <w:spacing w:val="-2"/>
        </w:rPr>
        <w:t>股份有限公司、大连华锐重工集团股份有限公司、联美控股股份有限公司、大连百傲化学股份有限公司独立董事。刘永泽先</w:t>
      </w:r>
      <w:r>
        <w:rPr>
          <w:spacing w:val="-66"/>
        </w:rPr>
        <w:t> </w:t>
      </w:r>
      <w:r>
        <w:rPr>
          <w:spacing w:val="-66"/>
        </w:rPr>
      </w:r>
      <w:r>
        <w:rPr/>
        <w:t>生自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月起担任本公司独立董事。</w:t>
      </w:r>
    </w:p>
    <w:p>
      <w:pPr>
        <w:pStyle w:val="BodyText"/>
        <w:spacing w:line="302" w:lineRule="auto" w:before="39"/>
        <w:ind w:right="1139" w:firstLine="360"/>
        <w:jc w:val="both"/>
      </w:pPr>
      <w:r>
        <w:rPr>
          <w:rFonts w:ascii="Times New Roman" w:hAnsi="Times New Roman" w:cs="Times New Roman" w:eastAsia="Times New Roman" w:hint="default"/>
        </w:rPr>
        <w:t>8</w:t>
      </w:r>
      <w:r>
        <w:rPr/>
        <w:t>、高岩先生，</w:t>
      </w:r>
      <w:r>
        <w:rPr>
          <w:rFonts w:ascii="Times New Roman" w:hAnsi="Times New Roman" w:cs="Times New Roman" w:eastAsia="Times New Roman" w:hint="default"/>
        </w:rPr>
        <w:t>1970</w:t>
      </w:r>
      <w:r>
        <w:rPr/>
        <w:t>年生，本科学历。曾先后就职于北京市昂道律师事务所、北京市观韬律师事务所，</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月至今 任职于北京德恒律师事务所，</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月至今兼任大连仲裁委员会仲裁员。高岩先生自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月起任本公司独立董事。</w:t>
      </w:r>
    </w:p>
    <w:p>
      <w:pPr>
        <w:pStyle w:val="BodyText"/>
        <w:spacing w:line="302" w:lineRule="auto" w:before="49"/>
        <w:ind w:right="1141" w:firstLine="360"/>
        <w:jc w:val="both"/>
      </w:pPr>
      <w:r>
        <w:rPr>
          <w:rFonts w:ascii="Times New Roman" w:hAnsi="Times New Roman" w:cs="Times New Roman" w:eastAsia="Times New Roman" w:hint="default"/>
        </w:rPr>
        <w:t>9</w:t>
      </w:r>
      <w:r>
        <w:rPr/>
        <w:t>、迟维君先生，</w:t>
      </w:r>
      <w:r>
        <w:rPr>
          <w:rFonts w:ascii="Times New Roman" w:hAnsi="Times New Roman" w:cs="Times New Roman" w:eastAsia="Times New Roman" w:hint="default"/>
        </w:rPr>
        <w:t>1963</w:t>
      </w:r>
      <w:r>
        <w:rPr/>
        <w:t>年生，本科学历。曾任工商银行大连市甘井子支行副行长、工商银行大连市沙河口支行行长、工 商银行大连市分行行长、工商银行内审直属分局副局长。迟维君先生自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月起任本公司独立董事。</w:t>
      </w:r>
    </w:p>
    <w:p>
      <w:pPr>
        <w:pStyle w:val="Heading4"/>
        <w:spacing w:line="240" w:lineRule="auto" w:before="26"/>
        <w:ind w:right="0"/>
        <w:jc w:val="left"/>
        <w:rPr>
          <w:b w:val="0"/>
          <w:bCs w:val="0"/>
        </w:rPr>
      </w:pPr>
      <w:r>
        <w:rPr/>
        <w:t>（二）现任监事主要工作经历</w:t>
      </w:r>
      <w:r>
        <w:rPr>
          <w:b w:val="0"/>
          <w:bCs w:val="0"/>
        </w:rPr>
      </w:r>
    </w:p>
    <w:p>
      <w:pPr>
        <w:pStyle w:val="BodyText"/>
        <w:spacing w:line="307" w:lineRule="auto" w:before="101"/>
        <w:ind w:right="1131" w:firstLine="360"/>
        <w:jc w:val="both"/>
      </w:pPr>
      <w:r>
        <w:rPr>
          <w:rFonts w:ascii="Times New Roman" w:hAnsi="Times New Roman" w:cs="Times New Roman" w:eastAsia="Times New Roman" w:hint="default"/>
        </w:rPr>
        <w:t>1</w:t>
      </w:r>
      <w:r>
        <w:rPr/>
        <w:t>、袁训明先生，</w:t>
      </w:r>
      <w:r>
        <w:rPr>
          <w:rFonts w:ascii="Times New Roman" w:hAnsi="Times New Roman" w:cs="Times New Roman" w:eastAsia="Times New Roman" w:hint="default"/>
        </w:rPr>
        <w:t>1965</w:t>
      </w:r>
      <w:r>
        <w:rPr/>
        <w:t>年生，通信与电子系统硕士，清华大学深圳研究生院</w:t>
      </w:r>
      <w:r>
        <w:rPr>
          <w:rFonts w:ascii="Times New Roman" w:hAnsi="Times New Roman" w:cs="Times New Roman" w:eastAsia="Times New Roman" w:hint="default"/>
        </w:rPr>
        <w:t>EMBA</w:t>
      </w:r>
      <w:r>
        <w:rPr/>
        <w:t>，电子信息高级工程师。曾任职于信 息产业部电子五十四研究所、深圳市数字传输工程技术研发中心。袁训明先生于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w:t>
      </w:r>
      <w:r>
        <w:rPr/>
        <w:t>月加入本公司，现担任本公司总工 </w:t>
      </w:r>
      <w:r>
        <w:rPr>
          <w:spacing w:val="-2"/>
        </w:rPr>
        <w:t>程师、监事，兼任南京凌云科技发展有限公司董事长，深圳市德威普软件技术有限公司执行董事，深圳市专家人才联合会理</w:t>
      </w:r>
      <w:r>
        <w:rPr>
          <w:spacing w:val="-66"/>
        </w:rPr>
        <w:t> </w:t>
      </w:r>
      <w:r>
        <w:rPr>
          <w:spacing w:val="-66"/>
        </w:rPr>
      </w:r>
      <w:r>
        <w:rPr/>
        <w:t>事。</w:t>
      </w:r>
    </w:p>
    <w:p>
      <w:pPr>
        <w:pStyle w:val="BodyText"/>
        <w:spacing w:line="300" w:lineRule="auto" w:before="64"/>
        <w:ind w:right="1131" w:firstLine="360"/>
        <w:jc w:val="both"/>
      </w:pPr>
      <w:r>
        <w:rPr>
          <w:rFonts w:ascii="Times New Roman" w:hAnsi="Times New Roman" w:cs="Times New Roman" w:eastAsia="Times New Roman" w:hint="default"/>
        </w:rPr>
        <w:t>2</w:t>
      </w:r>
      <w:r>
        <w:rPr/>
        <w:t>、王思邈女士，</w:t>
      </w:r>
      <w:r>
        <w:rPr>
          <w:rFonts w:ascii="Times New Roman" w:hAnsi="Times New Roman" w:cs="Times New Roman" w:eastAsia="Times New Roman" w:hint="default"/>
        </w:rPr>
        <w:t>1984</w:t>
      </w:r>
      <w:r>
        <w:rPr/>
        <w:t>年生，管理学硕士。曾任职于大通证券股份有限公司、辽宁信鼎检测认证有限公司。王思邈女士 </w:t>
      </w:r>
      <w:r>
        <w:rPr>
          <w:spacing w:val="-2"/>
        </w:rPr>
        <w:t>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月加入本公司，现担任本公司董事会秘书处总监、证券事务代表、职工代表监事，并任公司全资子公司广州宽客</w:t>
      </w:r>
      <w:r>
        <w:rPr>
          <w:spacing w:val="-60"/>
        </w:rPr>
        <w:t> </w:t>
      </w:r>
      <w:r>
        <w:rPr>
          <w:spacing w:val="-60"/>
        </w:rPr>
      </w:r>
      <w:r>
        <w:rPr/>
        <w:t>投资管理有限公司执行董事、总经理。</w:t>
      </w:r>
    </w:p>
    <w:p>
      <w:pPr>
        <w:pStyle w:val="BodyText"/>
        <w:spacing w:line="302" w:lineRule="auto" w:before="71"/>
        <w:ind w:right="1139" w:firstLine="360"/>
        <w:jc w:val="both"/>
      </w:pPr>
      <w:r>
        <w:rPr>
          <w:rFonts w:ascii="Times New Roman" w:hAnsi="Times New Roman" w:cs="Times New Roman" w:eastAsia="Times New Roman" w:hint="default"/>
        </w:rPr>
        <w:t>3</w:t>
      </w:r>
      <w:r>
        <w:rPr/>
        <w:t>、汪林波先生，</w:t>
      </w:r>
      <w:r>
        <w:rPr>
          <w:rFonts w:ascii="Times New Roman" w:hAnsi="Times New Roman" w:cs="Times New Roman" w:eastAsia="Times New Roman" w:hint="default"/>
        </w:rPr>
        <w:t>1984</w:t>
      </w:r>
      <w:r>
        <w:rPr/>
        <w:t>年生，法学专业本科学历。</w:t>
      </w:r>
      <w:r>
        <w:rPr>
          <w:rFonts w:ascii="Times New Roman" w:hAnsi="Times New Roman" w:cs="Times New Roman" w:eastAsia="Times New Roman" w:hint="default"/>
        </w:rPr>
        <w:t>2008</w:t>
      </w:r>
      <w:r>
        <w:rPr/>
        <w:t>年通过全国统一司法考试。曾任职于北京市昆泰律师事务所、北 京市汇佳律师事务所、广东诚公律师事务所。汪林波先生于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月加入本公司，现担任本公司总裁办经理兼法务。</w:t>
      </w:r>
    </w:p>
    <w:p>
      <w:pPr>
        <w:pStyle w:val="Heading4"/>
        <w:spacing w:line="240" w:lineRule="auto" w:before="25"/>
        <w:ind w:right="0"/>
        <w:jc w:val="left"/>
        <w:rPr>
          <w:b w:val="0"/>
          <w:bCs w:val="0"/>
        </w:rPr>
      </w:pPr>
      <w:r>
        <w:rPr/>
        <w:t>（三）现任高级管理人员主要工作经历</w:t>
      </w:r>
      <w:r>
        <w:rPr>
          <w:b w:val="0"/>
          <w:bCs w:val="0"/>
        </w:rPr>
      </w:r>
    </w:p>
    <w:p>
      <w:pPr>
        <w:pStyle w:val="BodyText"/>
        <w:spacing w:line="240" w:lineRule="auto" w:before="102"/>
        <w:ind w:left="514" w:right="0"/>
        <w:jc w:val="left"/>
      </w:pPr>
      <w:r>
        <w:rPr>
          <w:rFonts w:ascii="Times New Roman" w:hAnsi="Times New Roman" w:cs="Times New Roman" w:eastAsia="Times New Roman" w:hint="default"/>
        </w:rPr>
        <w:t>1</w:t>
      </w:r>
      <w:r>
        <w:rPr/>
        <w:t>、王永彬先生，简历同（一）。</w:t>
      </w:r>
    </w:p>
    <w:p>
      <w:pPr>
        <w:pStyle w:val="BodyText"/>
        <w:spacing w:line="240" w:lineRule="auto" w:before="103"/>
        <w:ind w:left="514" w:right="0"/>
        <w:jc w:val="left"/>
      </w:pPr>
      <w:r>
        <w:rPr>
          <w:rFonts w:ascii="Times New Roman" w:hAnsi="Times New Roman" w:cs="Times New Roman" w:eastAsia="Times New Roman" w:hint="default"/>
        </w:rPr>
        <w:t>2</w:t>
      </w:r>
      <w:r>
        <w:rPr/>
        <w:t>、黄喜胜先生，简历同（一）。</w:t>
      </w:r>
    </w:p>
    <w:p>
      <w:pPr>
        <w:pStyle w:val="BodyText"/>
        <w:spacing w:line="302" w:lineRule="auto" w:before="101"/>
        <w:ind w:right="1129" w:firstLine="360"/>
        <w:jc w:val="both"/>
      </w:pPr>
      <w:r>
        <w:rPr>
          <w:rFonts w:ascii="Times New Roman" w:hAnsi="Times New Roman" w:cs="Times New Roman" w:eastAsia="Times New Roman" w:hint="default"/>
          <w:spacing w:val="-2"/>
        </w:rPr>
        <w:t>3</w:t>
      </w:r>
      <w:r>
        <w:rPr>
          <w:spacing w:val="-2"/>
        </w:rPr>
        <w:t>、孟令章先生，</w:t>
      </w:r>
      <w:r>
        <w:rPr>
          <w:rFonts w:ascii="Times New Roman" w:hAnsi="Times New Roman" w:cs="Times New Roman" w:eastAsia="Times New Roman" w:hint="default"/>
          <w:spacing w:val="-2"/>
        </w:rPr>
        <w:t>1974</w:t>
      </w:r>
      <w:r>
        <w:rPr>
          <w:spacing w:val="-2"/>
        </w:rPr>
        <w:t>年生，本科学历。曾先后就职于美的集团、深圳华为技术有限公司。孟令章先生于</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4</w:t>
      </w:r>
      <w:r>
        <w:rPr>
          <w:spacing w:val="-2"/>
        </w:rPr>
        <w:t>月加入</w:t>
      </w:r>
      <w:r>
        <w:rPr/>
        <w:t> 本公司，现担任本公司执行总经理，并任公司控股子公司深圳键桥轨道交通有限公司董事长。</w:t>
      </w:r>
    </w:p>
    <w:p>
      <w:pPr>
        <w:pStyle w:val="BodyText"/>
        <w:spacing w:line="309" w:lineRule="auto" w:before="68"/>
        <w:ind w:right="1131" w:firstLine="360"/>
        <w:jc w:val="both"/>
      </w:pPr>
      <w:r>
        <w:rPr>
          <w:rFonts w:ascii="Times New Roman" w:hAnsi="Times New Roman" w:cs="Times New Roman" w:eastAsia="Times New Roman" w:hint="default"/>
        </w:rPr>
        <w:t>4</w:t>
      </w:r>
      <w:r>
        <w:rPr/>
        <w:t>、程启北先生，</w:t>
      </w:r>
      <w:r>
        <w:rPr>
          <w:rFonts w:ascii="Times New Roman" w:hAnsi="Times New Roman" w:cs="Times New Roman" w:eastAsia="Times New Roman" w:hint="default"/>
        </w:rPr>
        <w:t>1962</w:t>
      </w:r>
      <w:r>
        <w:rPr/>
        <w:t>年生，本科学历，清华大学深圳研究生院</w:t>
      </w:r>
      <w:r>
        <w:rPr>
          <w:rFonts w:ascii="Times New Roman" w:hAnsi="Times New Roman" w:cs="Times New Roman" w:eastAsia="Times New Roman" w:hint="default"/>
        </w:rPr>
        <w:t>MBA</w:t>
      </w:r>
      <w:r>
        <w:rPr/>
        <w:t>。程启北先生于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月加入本公司，现担任本 </w:t>
      </w:r>
      <w:r>
        <w:rPr>
          <w:spacing w:val="-2"/>
        </w:rPr>
        <w:t>公司副总经理，并任公司控股子公司深圳键桥华能通讯技术有限公司执行董事、深圳键桥轨道交通有限公司董事、无锡键桥</w:t>
      </w:r>
      <w:r>
        <w:rPr>
          <w:spacing w:val="-66"/>
        </w:rPr>
        <w:t> </w:t>
      </w:r>
      <w:r>
        <w:rPr>
          <w:spacing w:val="-66"/>
        </w:rPr>
      </w:r>
      <w:r>
        <w:rPr/>
        <w:t>电子科技有限公司监事、深圳键桥智能技术有限公司执行董事、总经理。</w:t>
      </w:r>
    </w:p>
    <w:p>
      <w:pPr>
        <w:pStyle w:val="BodyText"/>
        <w:spacing w:line="307" w:lineRule="auto" w:before="64"/>
        <w:ind w:right="1130" w:firstLine="360"/>
        <w:jc w:val="both"/>
      </w:pPr>
      <w:r>
        <w:rPr>
          <w:rFonts w:ascii="Times New Roman" w:hAnsi="Times New Roman" w:cs="Times New Roman" w:eastAsia="Times New Roman" w:hint="default"/>
        </w:rPr>
        <w:t>5</w:t>
      </w:r>
      <w:r>
        <w:rPr/>
        <w:t>、李琳女士，</w:t>
      </w:r>
      <w:r>
        <w:rPr>
          <w:rFonts w:ascii="Times New Roman" w:hAnsi="Times New Roman" w:cs="Times New Roman" w:eastAsia="Times New Roman" w:hint="default"/>
        </w:rPr>
        <w:t>1968</w:t>
      </w:r>
      <w:r>
        <w:rPr/>
        <w:t>年生，经济学硕士，高级会计师、注册会计师、注册资产评估师。曾任大连振邦氟涂料股份有限公 </w:t>
      </w:r>
      <w:r>
        <w:rPr>
          <w:spacing w:val="-2"/>
        </w:rPr>
        <w:t>司财务总监、副总经理，大连浩华会计师事务所有限公司副总经理，大连华锐重工铸钢股份有限公司、大连华锐重工铸钢有</w:t>
      </w:r>
      <w:r>
        <w:rPr>
          <w:spacing w:val="-66"/>
        </w:rPr>
        <w:t> </w:t>
      </w:r>
      <w:r>
        <w:rPr>
          <w:spacing w:val="-66"/>
        </w:rPr>
      </w:r>
      <w:r>
        <w:rPr/>
        <w:t>限公司总会计师，中国融资租赁有限公司财务总监。李琳女士于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月加入本公司，现担任本公司副总经理、内审部负</w:t>
      </w:r>
      <w:r>
        <w:rPr>
          <w:spacing w:val="-82"/>
        </w:rPr>
        <w:t> </w:t>
      </w:r>
      <w:r>
        <w:rPr>
          <w:spacing w:val="-82"/>
        </w:rPr>
      </w:r>
      <w:r>
        <w:rPr/>
        <w:t>责人，并任公司控股子公司上海即富信息技术服务有限公司董事、副总经理。</w:t>
      </w:r>
    </w:p>
    <w:p>
      <w:pPr>
        <w:pStyle w:val="BodyText"/>
        <w:spacing w:line="300" w:lineRule="auto" w:before="64"/>
        <w:ind w:right="1130" w:firstLine="360"/>
        <w:jc w:val="both"/>
      </w:pPr>
      <w:r>
        <w:rPr>
          <w:rFonts w:ascii="Times New Roman" w:hAnsi="Times New Roman" w:cs="Times New Roman" w:eastAsia="Times New Roman" w:hint="default"/>
        </w:rPr>
        <w:t>6</w:t>
      </w:r>
      <w:r>
        <w:rPr/>
        <w:t>、刘宏刚先生，</w:t>
      </w:r>
      <w:r>
        <w:rPr>
          <w:rFonts w:ascii="Times New Roman" w:hAnsi="Times New Roman" w:cs="Times New Roman" w:eastAsia="Times New Roman" w:hint="default"/>
        </w:rPr>
        <w:t>1977</w:t>
      </w:r>
      <w:r>
        <w:rPr/>
        <w:t>年生，浙江大学经济学学士、中国社科院金融研究所经济学硕士。曾就职于中国农业银行衡水分 </w:t>
      </w:r>
      <w:r>
        <w:rPr>
          <w:spacing w:val="-2"/>
        </w:rPr>
        <w:t>行、《</w:t>
      </w:r>
      <w:r>
        <w:rPr>
          <w:rFonts w:ascii="Times New Roman" w:hAnsi="Times New Roman" w:cs="Times New Roman" w:eastAsia="Times New Roman" w:hint="default"/>
          <w:spacing w:val="-2"/>
        </w:rPr>
        <w:t>21</w:t>
      </w:r>
      <w:r>
        <w:rPr>
          <w:spacing w:val="-2"/>
        </w:rPr>
        <w:t>世纪经济报道》、《证券市场周刊》等。</w:t>
      </w:r>
      <w:r>
        <w:rPr>
          <w:rFonts w:ascii="Times New Roman" w:hAnsi="Times New Roman" w:cs="Times New Roman" w:eastAsia="Times New Roman" w:hint="default"/>
          <w:spacing w:val="-2"/>
        </w:rPr>
        <w:t>2011</w:t>
      </w:r>
      <w:r>
        <w:rPr>
          <w:spacing w:val="-2"/>
        </w:rPr>
        <w:t>年到</w:t>
      </w:r>
      <w:r>
        <w:rPr>
          <w:rFonts w:ascii="Times New Roman" w:hAnsi="Times New Roman" w:cs="Times New Roman" w:eastAsia="Times New Roman" w:hint="default"/>
          <w:spacing w:val="-2"/>
        </w:rPr>
        <w:t>2017</w:t>
      </w:r>
      <w:r>
        <w:rPr>
          <w:spacing w:val="-2"/>
        </w:rPr>
        <w:t>年历任新华社《财经国家周刊》金融资本部主任、编委，先</w:t>
      </w:r>
    </w:p>
    <w:p>
      <w:pPr>
        <w:spacing w:after="0" w:line="30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后兼任瞭望智库金融、资本研究中心主任。刘宏刚先生于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月加入本公司，现任本公司副总经理。</w:t>
      </w:r>
    </w:p>
    <w:p>
      <w:pPr>
        <w:pStyle w:val="BodyText"/>
        <w:spacing w:line="309" w:lineRule="auto" w:before="101"/>
        <w:ind w:right="1032" w:firstLine="360"/>
        <w:jc w:val="left"/>
      </w:pPr>
      <w:r>
        <w:rPr>
          <w:rFonts w:ascii="Times New Roman" w:hAnsi="Times New Roman" w:cs="Times New Roman" w:eastAsia="Times New Roman" w:hint="default"/>
        </w:rPr>
        <w:t>7</w:t>
      </w:r>
      <w:r>
        <w:rPr/>
        <w:t>、陈道军先生，</w:t>
      </w:r>
      <w:r>
        <w:rPr>
          <w:rFonts w:ascii="Times New Roman" w:hAnsi="Times New Roman" w:cs="Times New Roman" w:eastAsia="Times New Roman" w:hint="default"/>
        </w:rPr>
        <w:t>1974</w:t>
      </w:r>
      <w:r>
        <w:rPr/>
        <w:t>年生，本科学历，高级会计师。曾先后任美国康明斯（中国）投资有限公司昆明公司财务经理， 海航集团有限公司金融板块审计经理，海航集团财务有限公司稽核法律部经理，金海重工股份有限公司财务总监、副总裁。 陈道军先生于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月加入本公司，现任本公司财务总监，兼任上海即富信息技术服务有限公司董事。</w:t>
      </w:r>
    </w:p>
    <w:p>
      <w:pPr>
        <w:pStyle w:val="BodyText"/>
        <w:spacing w:line="338" w:lineRule="auto" w:before="46"/>
        <w:ind w:right="7782" w:firstLine="360"/>
        <w:jc w:val="left"/>
      </w:pPr>
      <w:r>
        <w:rPr>
          <w:rFonts w:ascii="Times New Roman" w:hAnsi="Times New Roman" w:cs="Times New Roman" w:eastAsia="Times New Roman" w:hint="default"/>
        </w:rPr>
        <w:t>8</w:t>
      </w:r>
      <w:r>
        <w:rPr/>
        <w:t>、华建强先生，简历同（一）。 在股东单位任职情况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2753"/>
        <w:gridCol w:w="1554"/>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姚科辉</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深圳精一投资管理有限公司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键桥通讯技术有限公司</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3684"/>
        <w:gridCol w:w="1843"/>
        <w:gridCol w:w="851"/>
        <w:gridCol w:w="851"/>
        <w:gridCol w:w="134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6" w:right="104"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良运集团有限公司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深圳网信大数据科技发展有限公司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大连富良投资有限公司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大连农村商业银行股份有限公司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北京先锋耀莱投资有限公司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大连北方国际粮食物流股份有限公司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中国华粮物流集团北良有限公司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大连国运房地产开发有限公司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大连俭汤旅游度假发展有限公司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大连良运新纪元房地产开发有限公司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汉华公务机航空有限公司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宁夏航空有限公司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上海奇鑫企业信用征信有限公司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奇鑫（上海）金融信息服务有限公司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上海奇鑫商业保理有限公司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奇鑫财富管理有限公司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湖州奇胜信息技术有限公司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上海即富互联网金融信息服务有限公司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浙江即富金融数据处理有限公司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3684"/>
        <w:gridCol w:w="1843"/>
        <w:gridCol w:w="851"/>
        <w:gridCol w:w="851"/>
        <w:gridCol w:w="134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上海奇熠互联网金融信息服务有限公司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奇鑫信用征信服务有限公司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深圳市前海即富信息技术金融服务有限公司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义乌市玖龙投资有限公司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杭州华智融科投资管理有限公司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徐州淮海数据交换服务有限公司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北京久其互联网金融信息服务有限公司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北京千人互融信息技术有限公司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北京山海若水投资管理有限公司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安徽省渠道网络股份有限公司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汉威科技集团股份有限公司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王连宏</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富德保险销售有限公司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亚联投资（香港）有限公司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誉高信贷（香港）有限公司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北京德恒律师事务所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大连仲裁委员会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东北财经大学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教授、博导</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联美量子股份有限公司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大连华锐重工集团股份有限公司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大连热电股份有限公司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大连百傲化学股份有限公司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王思邈</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广州宽客投资管理有限公司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汪林波</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湖南键桥通讯技术有限公司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3684"/>
        <w:gridCol w:w="1843"/>
        <w:gridCol w:w="851"/>
        <w:gridCol w:w="851"/>
        <w:gridCol w:w="1345"/>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无锡键桥电子科技有限公司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深圳网信大数据科技发展有限公司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0" w:lineRule="auto" w:before="115"/>
        <w:ind w:left="514" w:right="0"/>
        <w:jc w:val="left"/>
      </w:pPr>
      <w:r>
        <w:rPr>
          <w:rFonts w:ascii="Times New Roman" w:hAnsi="Times New Roman" w:cs="Times New Roman" w:eastAsia="Times New Roman" w:hint="default"/>
        </w:rPr>
        <w:t>1</w:t>
      </w:r>
      <w:r>
        <w:rPr/>
        <w:t>、董事、监事、高级管理人员报酬的决策程序 </w:t>
      </w:r>
      <w:r>
        <w:rPr>
          <w:spacing w:val="-2"/>
        </w:rPr>
        <w:t>公司董事、监事薪酬需经薪酬与考核委员会初审后提请董事会审议、股东会批准；高级管理人员薪酬与考核需经薪酬委</w:t>
      </w:r>
    </w:p>
    <w:p>
      <w:pPr>
        <w:pStyle w:val="BodyText"/>
        <w:spacing w:line="309" w:lineRule="auto" w:before="31"/>
        <w:ind w:left="514" w:right="1032" w:hanging="360"/>
        <w:jc w:val="left"/>
      </w:pPr>
      <w:r>
        <w:rPr>
          <w:spacing w:val="-4"/>
        </w:rPr>
        <w:t>员会初审后提请董事会批准。决策程序符合《公司法》、《公司章程》和《董事会薪酬与考核委员会工作细则》的相关规定。</w:t>
      </w:r>
      <w:r>
        <w:rPr>
          <w:spacing w:val="-46"/>
        </w:rPr>
        <w:t> </w:t>
      </w:r>
      <w:r>
        <w:rPr>
          <w:spacing w:val="-46"/>
        </w:rPr>
      </w:r>
      <w:r>
        <w:rPr>
          <w:rFonts w:ascii="Times New Roman" w:hAnsi="Times New Roman" w:cs="Times New Roman" w:eastAsia="Times New Roman" w:hint="default"/>
        </w:rPr>
        <w:t>2</w:t>
      </w:r>
      <w:r>
        <w:rPr/>
        <w:t>、董事、监事、高级管理人员报酬的确定依据 在公司任职的董事、监事、高级管理人员的年度薪酬参照行业平均薪酬水平，根据公司年度经营业绩及经营发展状况，</w:t>
      </w:r>
    </w:p>
    <w:p>
      <w:pPr>
        <w:pStyle w:val="BodyText"/>
        <w:spacing w:line="240" w:lineRule="auto" w:before="24"/>
        <w:ind w:right="0"/>
        <w:jc w:val="left"/>
      </w:pPr>
      <w:r>
        <w:rPr/>
        <w:t>考虑岗位职责及工作业绩等因素确定。</w:t>
      </w:r>
    </w:p>
    <w:p>
      <w:pPr>
        <w:pStyle w:val="BodyText"/>
        <w:spacing w:line="300" w:lineRule="auto" w:before="76"/>
        <w:ind w:left="514" w:right="1202"/>
        <w:jc w:val="left"/>
      </w:pPr>
      <w:r>
        <w:rPr>
          <w:rFonts w:ascii="Times New Roman" w:hAnsi="Times New Roman" w:cs="Times New Roman" w:eastAsia="Times New Roman" w:hint="default"/>
        </w:rPr>
        <w:t>3</w:t>
      </w:r>
      <w:r>
        <w:rPr/>
        <w:t>、董事、监事、高级管理人员报酬的实际支付 非在公司任职的董事津贴为</w:t>
      </w:r>
      <w:r>
        <w:rPr>
          <w:rFonts w:ascii="Times New Roman" w:hAnsi="Times New Roman" w:cs="Times New Roman" w:eastAsia="Times New Roman" w:hint="default"/>
        </w:rPr>
        <w:t>4,000</w:t>
      </w:r>
      <w:r>
        <w:rPr/>
        <w:t>元</w:t>
      </w:r>
      <w:r>
        <w:rPr>
          <w:rFonts w:ascii="Times New Roman" w:hAnsi="Times New Roman" w:cs="Times New Roman" w:eastAsia="Times New Roman" w:hint="default"/>
        </w:rPr>
        <w:t>/</w:t>
      </w:r>
      <w:r>
        <w:rPr/>
        <w:t>月；独立董事津贴为</w:t>
      </w:r>
      <w:r>
        <w:rPr>
          <w:rFonts w:ascii="Times New Roman" w:hAnsi="Times New Roman" w:cs="Times New Roman" w:eastAsia="Times New Roman" w:hint="default"/>
        </w:rPr>
        <w:t>8,000</w:t>
      </w:r>
      <w:r>
        <w:rPr/>
        <w:t>元</w:t>
      </w:r>
      <w:r>
        <w:rPr>
          <w:rFonts w:ascii="Times New Roman" w:hAnsi="Times New Roman" w:cs="Times New Roman" w:eastAsia="Times New Roman" w:hint="default"/>
        </w:rPr>
        <w:t>/</w:t>
      </w:r>
      <w:r>
        <w:rPr/>
        <w:t>月；公司高级管理人员的薪酬严格按照决策程序与确</w:t>
      </w:r>
    </w:p>
    <w:p>
      <w:pPr>
        <w:pStyle w:val="BodyText"/>
        <w:spacing w:line="360" w:lineRule="auto" w:before="13"/>
        <w:ind w:right="6792"/>
        <w:jc w:val="left"/>
      </w:pPr>
      <w:r>
        <w:rPr/>
        <w:t>定依据支付。 公司报告期内董事、监事和高级管理人员报酬情况</w:t>
      </w:r>
    </w:p>
    <w:p>
      <w:pPr>
        <w:pStyle w:val="BodyText"/>
        <w:spacing w:line="240" w:lineRule="auto" w:before="2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2694"/>
        <w:gridCol w:w="850"/>
        <w:gridCol w:w="992"/>
        <w:gridCol w:w="1168"/>
        <w:gridCol w:w="1367"/>
        <w:gridCol w:w="1367"/>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黄喜胜</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孟令章</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王连宏</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易欢欢</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2694"/>
        <w:gridCol w:w="850"/>
        <w:gridCol w:w="992"/>
        <w:gridCol w:w="1168"/>
        <w:gridCol w:w="1367"/>
        <w:gridCol w:w="1367"/>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华建强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熊旭春</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袁训明</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监事会主席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王思邈</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程启北</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李琳</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刘宏刚</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陈道军</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982.71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运营人员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t>、公司薪酬政策跟随公司的战略规划和年度业绩目标紧密相关；</w:t>
      </w:r>
    </w:p>
    <w:p>
      <w:pPr>
        <w:pStyle w:val="BodyText"/>
        <w:spacing w:line="240" w:lineRule="auto" w:before="103"/>
        <w:ind w:left="514" w:right="0"/>
        <w:jc w:val="left"/>
      </w:pPr>
      <w:r>
        <w:rPr>
          <w:rFonts w:ascii="Times New Roman" w:hAnsi="Times New Roman" w:cs="Times New Roman" w:eastAsia="Times New Roman" w:hint="default"/>
        </w:rPr>
        <w:t>2</w:t>
      </w:r>
      <w:r>
        <w:rPr/>
        <w:t>、公司秉承薪酬体系在外部具有竞争性、内部公平性和激励性，坚持同工同酬；</w:t>
      </w:r>
    </w:p>
    <w:p>
      <w:pPr>
        <w:pStyle w:val="BodyText"/>
        <w:spacing w:line="240" w:lineRule="auto" w:before="102"/>
        <w:ind w:left="514" w:right="0"/>
        <w:jc w:val="left"/>
      </w:pPr>
      <w:r>
        <w:rPr>
          <w:rFonts w:ascii="Times New Roman" w:hAnsi="Times New Roman" w:cs="Times New Roman" w:eastAsia="Times New Roman" w:hint="default"/>
        </w:rPr>
        <w:t>3</w:t>
      </w:r>
      <w:r>
        <w:rPr/>
        <w:t>、遵守国家相关法律法规，在特定条件下，公司遵守国家工资总额规定办法，不会变相突破工资总额的控制；</w:t>
      </w:r>
    </w:p>
    <w:p>
      <w:pPr>
        <w:pStyle w:val="BodyText"/>
        <w:spacing w:line="240" w:lineRule="auto" w:before="102"/>
        <w:ind w:left="514" w:right="0"/>
        <w:jc w:val="left"/>
      </w:pPr>
      <w:r>
        <w:rPr>
          <w:rFonts w:ascii="Times New Roman" w:hAnsi="Times New Roman" w:cs="Times New Roman" w:eastAsia="Times New Roman" w:hint="default"/>
        </w:rPr>
        <w:t>4</w:t>
      </w:r>
      <w:r>
        <w:rPr/>
        <w:t>、公司有年度、月度人力成本预算管控，人力成本与公司经营情况相关联，实现人员优化与人力的最大价值体现；</w:t>
      </w:r>
    </w:p>
    <w:p>
      <w:pPr>
        <w:pStyle w:val="BodyText"/>
        <w:spacing w:line="240" w:lineRule="auto" w:before="103"/>
        <w:ind w:left="514" w:right="0"/>
        <w:jc w:val="left"/>
      </w:pPr>
      <w:r>
        <w:rPr>
          <w:rFonts w:ascii="Times New Roman" w:hAnsi="Times New Roman" w:cs="Times New Roman" w:eastAsia="Times New Roman" w:hint="default"/>
        </w:rPr>
        <w:t>5</w:t>
      </w:r>
      <w:r>
        <w:rPr/>
        <w:t>、公司月度工资发放及时，不会延迟员工薪资发放。</w:t>
      </w:r>
    </w:p>
    <w:p>
      <w:pPr>
        <w:pStyle w:val="BodyText"/>
        <w:spacing w:line="338" w:lineRule="auto" w:before="102"/>
        <w:ind w:left="514" w:right="1197"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报告期内，公司职工薪酬总额</w:t>
      </w:r>
      <w:r>
        <w:rPr>
          <w:rFonts w:ascii="Times New Roman" w:hAnsi="Times New Roman" w:cs="Times New Roman" w:eastAsia="Times New Roman" w:hint="default"/>
        </w:rPr>
        <w:t>26,408.73</w:t>
      </w:r>
      <w:r>
        <w:rPr/>
        <w:t>万元，占公司营业成本的</w:t>
      </w:r>
      <w:r>
        <w:rPr>
          <w:rFonts w:ascii="Times New Roman" w:hAnsi="Times New Roman" w:cs="Times New Roman" w:eastAsia="Times New Roman" w:hint="default"/>
        </w:rPr>
        <w:t>10.34%</w:t>
      </w:r>
      <w:r>
        <w:rPr/>
        <w:t>；公司盈利能力的提升为职工薪酬水平的提高</w:t>
      </w:r>
    </w:p>
    <w:p>
      <w:pPr>
        <w:pStyle w:val="BodyText"/>
        <w:spacing w:line="230" w:lineRule="exact"/>
        <w:ind w:right="0"/>
        <w:jc w:val="left"/>
      </w:pPr>
      <w:r>
        <w:rPr/>
        <w:t>提供重要保障。截止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日，公司核心技术人员为</w:t>
      </w:r>
      <w:r>
        <w:rPr>
          <w:rFonts w:ascii="Times New Roman" w:hAnsi="Times New Roman" w:cs="Times New Roman" w:eastAsia="Times New Roman" w:hint="default"/>
        </w:rPr>
        <w:t>21</w:t>
      </w:r>
      <w:r>
        <w:rPr/>
        <w:t>人，占全体员工人数的</w:t>
      </w:r>
      <w:r>
        <w:rPr>
          <w:rFonts w:ascii="Times New Roman" w:hAnsi="Times New Roman" w:cs="Times New Roman" w:eastAsia="Times New Roman" w:hint="default"/>
        </w:rPr>
        <w:t>1.68%</w:t>
      </w:r>
      <w:r>
        <w:rPr/>
        <w:t>，核心技术人员薪酬占全体员工</w:t>
      </w:r>
    </w:p>
    <w:p>
      <w:pPr>
        <w:pStyle w:val="BodyText"/>
        <w:spacing w:line="240" w:lineRule="auto" w:before="63"/>
        <w:ind w:right="0"/>
        <w:jc w:val="left"/>
      </w:pPr>
      <w:r>
        <w:rPr/>
        <w:t>薪酬的</w:t>
      </w:r>
      <w:r>
        <w:rPr>
          <w:rFonts w:ascii="Times New Roman" w:hAnsi="Times New Roman" w:cs="Times New Roman" w:eastAsia="Times New Roman" w:hint="default"/>
        </w:rPr>
        <w:t>3.96%</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Times New Roman" w:hAnsi="Times New Roman" w:cs="Times New Roman" w:eastAsia="Times New Roman" w:hint="default"/>
        </w:rPr>
        <w:t>1</w:t>
      </w:r>
      <w:r>
        <w:rPr/>
        <w:t>、公司给予不同层级的员工有相应的培训计划，比如中高层外部培训、管理类培训，基层员工专业技能培训等；</w:t>
      </w:r>
    </w:p>
    <w:p>
      <w:pPr>
        <w:pStyle w:val="BodyText"/>
        <w:spacing w:line="240" w:lineRule="auto" w:before="104"/>
        <w:ind w:left="514" w:right="0"/>
        <w:jc w:val="left"/>
      </w:pPr>
      <w:r>
        <w:rPr>
          <w:rFonts w:ascii="Times New Roman" w:hAnsi="Times New Roman" w:cs="Times New Roman" w:eastAsia="Times New Roman" w:hint="default"/>
        </w:rPr>
        <w:t>2</w:t>
      </w:r>
      <w:r>
        <w:rPr/>
        <w:t>、支付、技术等团队会有监管机构、清算协会、检测认证机构、新技术应用、数据安全等相关外部培训；</w:t>
      </w:r>
    </w:p>
    <w:p>
      <w:pPr>
        <w:pStyle w:val="BodyText"/>
        <w:spacing w:line="240" w:lineRule="auto" w:before="102"/>
        <w:ind w:left="514" w:right="0"/>
        <w:jc w:val="left"/>
      </w:pPr>
      <w:r>
        <w:rPr>
          <w:rFonts w:ascii="Times New Roman" w:hAnsi="Times New Roman" w:cs="Times New Roman" w:eastAsia="Times New Roman" w:hint="default"/>
        </w:rPr>
        <w:t>3</w:t>
      </w:r>
      <w:r>
        <w:rPr/>
        <w:t>、针对新员工有入职培训和回顾培训。</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报告期内，公司严格按照《公司法》、《证券法》、《上市公司治理准则》、《深圳证券交易所股票上市规则》和中国</w:t>
      </w:r>
      <w:r>
        <w:rPr/>
        <w:t> </w:t>
      </w:r>
      <w:r>
        <w:rPr>
          <w:spacing w:val="-2"/>
        </w:rPr>
        <w:t>证监会、深圳证券交易所有关法律法规等的要求，不断完善公司治理结构，建立健全内部管理和控制制度，持续深入开展公</w:t>
      </w:r>
      <w:r>
        <w:rPr>
          <w:spacing w:val="-66"/>
        </w:rPr>
        <w:t> </w:t>
      </w:r>
      <w:r>
        <w:rPr>
          <w:spacing w:val="-66"/>
        </w:rPr>
      </w:r>
      <w:r>
        <w:rPr>
          <w:spacing w:val="-2"/>
        </w:rPr>
        <w:t>司治理活动，规范运作，提高治理水平。截至报告期末，公司治理实际情况基本符合中国证监会发布的有关上市公司治理规</w:t>
      </w:r>
      <w:r>
        <w:rPr>
          <w:spacing w:val="-66"/>
        </w:rPr>
        <w:t> </w:t>
      </w:r>
      <w:r>
        <w:rPr>
          <w:spacing w:val="-66"/>
        </w:rPr>
      </w:r>
      <w:r>
        <w:rPr/>
        <w:t>范性文件的要求。</w:t>
      </w:r>
    </w:p>
    <w:p>
      <w:pPr>
        <w:pStyle w:val="BodyText"/>
        <w:spacing w:line="300" w:lineRule="auto" w:before="19"/>
        <w:ind w:left="514" w:right="0"/>
        <w:jc w:val="left"/>
      </w:pPr>
      <w:r>
        <w:rPr>
          <w:rFonts w:ascii="Times New Roman" w:hAnsi="Times New Roman" w:cs="Times New Roman" w:eastAsia="Times New Roman" w:hint="default"/>
        </w:rPr>
        <w:t>1</w:t>
      </w:r>
      <w:r>
        <w:rPr/>
        <w:t>、关于股东与股东大会 </w:t>
      </w:r>
      <w:r>
        <w:rPr>
          <w:spacing w:val="-2"/>
        </w:rPr>
        <w:t>公司严格按照《上市公司股东大会规则》、《公司章程》以及《股东大会议事规则》的规定和要求，规范股东大会的召</w:t>
      </w:r>
    </w:p>
    <w:p>
      <w:pPr>
        <w:pStyle w:val="BodyText"/>
        <w:spacing w:line="309" w:lineRule="auto" w:before="31"/>
        <w:ind w:left="514" w:right="0" w:hanging="360"/>
        <w:jc w:val="left"/>
      </w:pPr>
      <w:r>
        <w:rPr/>
        <w:t>集、召开及议事程序，并由律师进行现场见证，能够确保全体股东特别是中小股东享有平等地位，充分行使自己的权力。 </w:t>
      </w: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公司拥有独立完整的业务和自主经营能力，在业务、人员、资产、机构、财务上与上市公司控股股东完全分开，公司董</w:t>
      </w:r>
    </w:p>
    <w:p>
      <w:pPr>
        <w:pStyle w:val="BodyText"/>
        <w:spacing w:line="316" w:lineRule="auto" w:before="24"/>
        <w:ind w:right="0"/>
        <w:jc w:val="left"/>
      </w:pPr>
      <w:r>
        <w:rPr>
          <w:spacing w:val="-2"/>
        </w:rPr>
        <w:t>事会、监事会和内部机构独立运作。公司控股股东能严格规范自己的行为，依法行使股东权利，没有超越公司股东大会直接</w:t>
      </w:r>
      <w:r>
        <w:rPr>
          <w:spacing w:val="-66"/>
        </w:rPr>
        <w:t> </w:t>
      </w:r>
      <w:r>
        <w:rPr>
          <w:spacing w:val="-66"/>
        </w:rPr>
      </w:r>
      <w:r>
        <w:rPr/>
        <w:t>或间接干预公司的决策和经营活动的行为。</w:t>
      </w:r>
    </w:p>
    <w:p>
      <w:pPr>
        <w:pStyle w:val="BodyText"/>
        <w:spacing w:line="300" w:lineRule="auto" w:before="19"/>
        <w:ind w:left="514" w:right="0"/>
        <w:jc w:val="left"/>
      </w:pPr>
      <w:r>
        <w:rPr>
          <w:rFonts w:ascii="Times New Roman" w:hAnsi="Times New Roman" w:cs="Times New Roman" w:eastAsia="Times New Roman" w:hint="default"/>
        </w:rPr>
        <w:t>3</w:t>
      </w:r>
      <w:r>
        <w:rPr/>
        <w:t>、关于董事与董事会 </w:t>
      </w:r>
      <w:r>
        <w:rPr>
          <w:spacing w:val="-2"/>
        </w:rPr>
        <w:t>公司董事会由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3</w:t>
      </w:r>
      <w:r>
        <w:rPr>
          <w:spacing w:val="-2"/>
        </w:rPr>
        <w:t>人，董事会人数和人员构成符合法律、法规的要求。董事会按照《董事会议</w:t>
      </w:r>
    </w:p>
    <w:p>
      <w:pPr>
        <w:pStyle w:val="BodyText"/>
        <w:spacing w:line="312" w:lineRule="auto" w:before="13"/>
        <w:ind w:right="0"/>
        <w:jc w:val="left"/>
      </w:pPr>
      <w:r>
        <w:rPr>
          <w:spacing w:val="-4"/>
        </w:rPr>
        <w:t>事规则》召开会议，执行股东大会决议并依法行使职权；公司全体董事能够按照《董事会议事规则》、《独立董事工作制度》</w:t>
      </w:r>
      <w:r>
        <w:rPr>
          <w:spacing w:val="-48"/>
        </w:rPr>
        <w:t> </w:t>
      </w:r>
      <w:r>
        <w:rPr>
          <w:spacing w:val="-48"/>
        </w:rPr>
      </w:r>
      <w:r>
        <w:rPr>
          <w:spacing w:val="-2"/>
        </w:rPr>
        <w:t>等的要求认真履行勤勉尽责的义务，行使《公司章程》赋予的职权，按时出席董事会和股东大会，熟悉有关法律法规；公司</w:t>
      </w:r>
      <w:r>
        <w:rPr>
          <w:spacing w:val="-67"/>
        </w:rPr>
        <w:t> </w:t>
      </w:r>
      <w:r>
        <w:rPr>
          <w:spacing w:val="-67"/>
        </w:rPr>
      </w:r>
      <w:r>
        <w:rPr/>
        <w:t>的</w:t>
      </w:r>
      <w:r>
        <w:rPr>
          <w:rFonts w:ascii="Times New Roman" w:hAnsi="Times New Roman" w:cs="Times New Roman" w:eastAsia="Times New Roman" w:hint="default"/>
        </w:rPr>
        <w:t>3</w:t>
      </w:r>
      <w:r>
        <w:rPr/>
        <w:t>位独立董事在工作中保持充分的独立性，积极参加董事会会议，认真审议各项议案，对有关的事项发表了独立意见，切 实维护公司和中小股东的利益。</w:t>
      </w:r>
    </w:p>
    <w:p>
      <w:pPr>
        <w:pStyle w:val="BodyText"/>
        <w:spacing w:line="300" w:lineRule="auto" w:before="22"/>
        <w:ind w:left="514" w:right="1122"/>
        <w:jc w:val="left"/>
      </w:pPr>
      <w:r>
        <w:rPr>
          <w:rFonts w:ascii="Times New Roman" w:hAnsi="Times New Roman" w:cs="Times New Roman" w:eastAsia="Times New Roman" w:hint="default"/>
        </w:rPr>
        <w:t>4</w:t>
      </w:r>
      <w:r>
        <w:rPr/>
        <w:t>、关于监事与监事会 公司监事会由</w:t>
      </w:r>
      <w:r>
        <w:rPr>
          <w:rFonts w:ascii="Times New Roman" w:hAnsi="Times New Roman" w:cs="Times New Roman" w:eastAsia="Times New Roman" w:hint="default"/>
        </w:rPr>
        <w:t>3</w:t>
      </w:r>
      <w:r>
        <w:rPr/>
        <w:t>名监事组成，其中股东代表监事</w:t>
      </w:r>
      <w:r>
        <w:rPr>
          <w:rFonts w:ascii="Times New Roman" w:hAnsi="Times New Roman" w:cs="Times New Roman" w:eastAsia="Times New Roman" w:hint="default"/>
        </w:rPr>
        <w:t>1</w:t>
      </w:r>
      <w:r>
        <w:rPr/>
        <w:t>人、职工代表监事</w:t>
      </w:r>
      <w:r>
        <w:rPr>
          <w:rFonts w:ascii="Times New Roman" w:hAnsi="Times New Roman" w:cs="Times New Roman" w:eastAsia="Times New Roman" w:hint="default"/>
        </w:rPr>
        <w:t>2</w:t>
      </w:r>
      <w:r>
        <w:rPr/>
        <w:t>人，监事人数和人员构成符合法律、法规的要求。</w:t>
      </w:r>
    </w:p>
    <w:p>
      <w:pPr>
        <w:pStyle w:val="BodyText"/>
        <w:spacing w:line="316" w:lineRule="auto" w:before="13"/>
        <w:ind w:right="0"/>
        <w:jc w:val="left"/>
      </w:pPr>
      <w:r>
        <w:rPr>
          <w:spacing w:val="-2"/>
        </w:rPr>
        <w:t>公司监事会严格按照《公司章程》及《监事会议事规则》等相关规定召集召开监事会。各监事按时出席监事会，认真履行职</w:t>
      </w:r>
      <w:r>
        <w:rPr>
          <w:spacing w:val="-68"/>
        </w:rPr>
        <w:t> </w:t>
      </w:r>
      <w:r>
        <w:rPr>
          <w:spacing w:val="-68"/>
        </w:rPr>
      </w:r>
      <w:r>
        <w:rPr/>
        <w:t>责，能够本着对股东负责的精神，对公司重大事项、财务状况等进行监督并发表意见，维护了公司及股东的合法权益。</w:t>
      </w:r>
    </w:p>
    <w:p>
      <w:pPr>
        <w:pStyle w:val="BodyText"/>
        <w:spacing w:line="300" w:lineRule="auto" w:before="19"/>
        <w:ind w:left="514" w:right="0"/>
        <w:jc w:val="left"/>
      </w:pPr>
      <w:r>
        <w:rPr>
          <w:rFonts w:ascii="Times New Roman" w:hAnsi="Times New Roman" w:cs="Times New Roman" w:eastAsia="Times New Roman" w:hint="default"/>
        </w:rPr>
        <w:t>5</w:t>
      </w:r>
      <w:r>
        <w:rPr/>
        <w:t>、关于绩效评价和激励约束机制 </w:t>
      </w:r>
      <w:r>
        <w:rPr>
          <w:spacing w:val="-2"/>
        </w:rPr>
        <w:t>公司逐步建立并完善公正、透明的董事、监事、高级管理人员的绩效评价标准与激励约束机制；公司高级管理人员的聘</w:t>
      </w:r>
    </w:p>
    <w:p>
      <w:pPr>
        <w:pStyle w:val="BodyText"/>
        <w:spacing w:line="240" w:lineRule="auto" w:before="31"/>
        <w:ind w:right="0"/>
        <w:jc w:val="left"/>
      </w:pPr>
      <w:r>
        <w:rPr/>
        <w:t>任公开、透明，符合法律法规的规定。</w:t>
      </w:r>
    </w:p>
    <w:p>
      <w:pPr>
        <w:pStyle w:val="BodyText"/>
        <w:spacing w:line="300" w:lineRule="auto" w:before="76"/>
        <w:ind w:left="514" w:right="0"/>
        <w:jc w:val="left"/>
      </w:pPr>
      <w:r>
        <w:rPr>
          <w:rFonts w:ascii="Times New Roman" w:hAnsi="Times New Roman" w:cs="Times New Roman" w:eastAsia="Times New Roman" w:hint="default"/>
        </w:rPr>
        <w:t>6</w:t>
      </w:r>
      <w:r>
        <w:rPr/>
        <w:t>、关于相关利益者 </w:t>
      </w:r>
      <w:r>
        <w:rPr>
          <w:spacing w:val="-2"/>
        </w:rPr>
        <w:t>公司充分尊重和维护相关利益者的合法权益，实现股东、员工、社会等各方利益的协调平衡，共同推动公司持续、健康</w:t>
      </w:r>
    </w:p>
    <w:p>
      <w:pPr>
        <w:pStyle w:val="BodyText"/>
        <w:spacing w:line="240" w:lineRule="auto" w:before="31"/>
        <w:ind w:right="0"/>
        <w:jc w:val="left"/>
      </w:pPr>
      <w:r>
        <w:rPr/>
        <w:t>的发展。</w:t>
      </w:r>
    </w:p>
    <w:p>
      <w:pPr>
        <w:pStyle w:val="BodyText"/>
        <w:spacing w:line="300" w:lineRule="auto" w:before="76"/>
        <w:ind w:left="514" w:right="0"/>
        <w:jc w:val="left"/>
      </w:pPr>
      <w:r>
        <w:rPr>
          <w:rFonts w:ascii="Times New Roman" w:hAnsi="Times New Roman" w:cs="Times New Roman" w:eastAsia="Times New Roman" w:hint="default"/>
        </w:rPr>
        <w:t>7</w:t>
      </w:r>
      <w:r>
        <w:rPr/>
        <w:t>、关于信息披露与透明度 </w:t>
      </w:r>
      <w:r>
        <w:rPr>
          <w:spacing w:val="-2"/>
        </w:rPr>
        <w:t>公司指定董事会秘书为公司的投资者关系管理负责人，负责公司的信息披露与投资者关系的管理，接待机构、股东的来</w:t>
      </w:r>
    </w:p>
    <w:p>
      <w:pPr>
        <w:pStyle w:val="BodyText"/>
        <w:spacing w:line="309" w:lineRule="auto" w:before="31"/>
        <w:ind w:right="1117"/>
        <w:jc w:val="left"/>
      </w:pPr>
      <w:r>
        <w:rPr/>
        <w:t>访和咨询；报告期内，指定《证券时报》、《中国证券报》、《上海证券报》、《证券日报》和巨潮资讯网（网址为： </w:t>
      </w:r>
      <w:hyperlink r:id="rId11">
        <w:r>
          <w:rPr>
            <w:rFonts w:ascii="Times New Roman" w:hAnsi="Times New Roman" w:cs="Times New Roman" w:eastAsia="Times New Roman" w:hint="default"/>
          </w:rPr>
          <w:t>http://www.cninfo.com.cn</w:t>
        </w:r>
      </w:hyperlink>
      <w:r>
        <w:rPr/>
        <w:t>）为公司信息披露的报纸和网站，严格按照有关法律法规的规定真实、准确、及时的披露信息，并 确保所有股东有公平的机会获得信息。</w:t>
      </w:r>
    </w:p>
    <w:p>
      <w:pPr>
        <w:pStyle w:val="BodyText"/>
        <w:spacing w:line="240" w:lineRule="auto" w:before="65"/>
        <w:ind w:right="0"/>
        <w:jc w:val="left"/>
      </w:pPr>
      <w:r>
        <w:rPr/>
        <w:t>公司治理的实际状况与中国证监会发布的有关上市公司治理的规范性文件是否存在重大差异</w:t>
      </w:r>
    </w:p>
    <w:p>
      <w:pPr>
        <w:pStyle w:val="BodyText"/>
        <w:spacing w:line="338" w:lineRule="auto" w:before="11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公司控股股东为乾德精一，与控股股东在业务、人员、资产、机构、财务等方面完全分开，具有独立完整的业务及自主</w:t>
      </w:r>
      <w:r>
        <w:rPr/>
        <w:t> 经营能力。</w:t>
      </w:r>
    </w:p>
    <w:p>
      <w:pPr>
        <w:pStyle w:val="BodyText"/>
        <w:spacing w:line="312" w:lineRule="auto" w:before="19"/>
        <w:ind w:right="0" w:firstLine="360"/>
        <w:jc w:val="left"/>
      </w:pPr>
      <w:r>
        <w:rPr>
          <w:rFonts w:ascii="Times New Roman" w:hAnsi="Times New Roman" w:cs="Times New Roman" w:eastAsia="Times New Roman" w:hint="default"/>
        </w:rPr>
        <w:t>1</w:t>
      </w:r>
      <w:r>
        <w:rPr/>
        <w:t>、在业务方面：公司不存在因部分改制、行业特性、国家政策或收购兼并等原因导致的同业竞争和关联交易问题。公 </w:t>
      </w:r>
      <w:r>
        <w:rPr>
          <w:spacing w:val="-4"/>
        </w:rPr>
        <w:t>司业务结构完整，拥有独立的采购、生产和销售体系，建立健全了各项管理制度，自主决策、自主组织和管理生产经营活动，</w:t>
      </w:r>
      <w:r>
        <w:rPr>
          <w:spacing w:val="-44"/>
        </w:rPr>
        <w:t> </w:t>
      </w:r>
      <w:r>
        <w:rPr>
          <w:spacing w:val="-44"/>
        </w:rPr>
      </w:r>
      <w:r>
        <w:rPr>
          <w:spacing w:val="-2"/>
        </w:rPr>
        <w:t>独立开展业务并承担责任和风险，不依赖于控股股东或其他任何关联方，与控股股东及其控制的其他企业间不存在同业竞争</w:t>
      </w:r>
      <w:r>
        <w:rPr>
          <w:spacing w:val="-64"/>
        </w:rPr>
        <w:t> </w:t>
      </w:r>
      <w:r>
        <w:rPr>
          <w:spacing w:val="-64"/>
        </w:rPr>
      </w:r>
      <w:r>
        <w:rPr/>
        <w:t>或者显失公平的关联交易，也不存在控股股东直接或间接干预公司经营运作的情形。</w:t>
      </w:r>
    </w:p>
    <w:p>
      <w:pPr>
        <w:pStyle w:val="BodyText"/>
        <w:spacing w:line="314" w:lineRule="auto" w:before="22"/>
        <w:ind w:right="1032" w:firstLine="360"/>
        <w:jc w:val="left"/>
      </w:pPr>
      <w:r>
        <w:rPr>
          <w:rFonts w:ascii="Times New Roman" w:hAnsi="Times New Roman" w:cs="Times New Roman" w:eastAsia="Times New Roman" w:hint="default"/>
        </w:rPr>
        <w:t>2</w:t>
      </w:r>
      <w:r>
        <w:rPr/>
        <w:t>、在人员方面：公司的劳动、人事及工资管理完全独立于控股股东单位。公司总经理、执行总经理、副总经理、财务 </w:t>
      </w:r>
      <w:r>
        <w:rPr>
          <w:spacing w:val="-2"/>
        </w:rPr>
        <w:t>总监、董事会秘书等高级管理人员均不存在在控股股东及其控制的其他企业中担任除董事、监事以外的其他职务的情况，亦</w:t>
      </w:r>
      <w:r>
        <w:rPr>
          <w:spacing w:val="-66"/>
        </w:rPr>
        <w:t> </w:t>
      </w:r>
      <w:r>
        <w:rPr>
          <w:spacing w:val="-66"/>
        </w:rPr>
      </w:r>
      <w:r>
        <w:rPr/>
        <w:t>不存在在控股股东及其控制的其他企业领薪的情况。公司的董事会成员、监事会成员和高级管理人员均通过合法程序产生，</w:t>
      </w:r>
      <w:r>
        <w:rPr/>
        <w:t> </w:t>
      </w:r>
      <w:r>
        <w:rPr>
          <w:spacing w:val="-2"/>
        </w:rPr>
        <w:t>控股股东未违规干预公司董事会和股东大会作出的人事任免决定。公司拥有独立的生产、经营、管理人员，对员工实行聘任</w:t>
      </w:r>
      <w:r>
        <w:rPr>
          <w:spacing w:val="-66"/>
        </w:rPr>
        <w:t> </w:t>
      </w:r>
      <w:r>
        <w:rPr>
          <w:spacing w:val="-66"/>
        </w:rPr>
      </w:r>
      <w:r>
        <w:rPr/>
        <w:t>制。公司设有行政人力资源部统一负责公司的劳动、人事、薪酬以及社会保障管理工作。</w:t>
      </w:r>
    </w:p>
    <w:p>
      <w:pPr>
        <w:pStyle w:val="BodyText"/>
        <w:spacing w:line="312" w:lineRule="auto" w:before="20"/>
        <w:ind w:right="1131" w:firstLine="360"/>
        <w:jc w:val="both"/>
      </w:pPr>
      <w:r>
        <w:rPr>
          <w:rFonts w:ascii="Times New Roman" w:hAnsi="Times New Roman" w:cs="Times New Roman" w:eastAsia="Times New Roman" w:hint="default"/>
        </w:rPr>
        <w:t>3</w:t>
      </w:r>
      <w:r>
        <w:rPr/>
        <w:t>、在资产方面：公司拥有与专网通信产品研发和生产经营有关的研发系统、生产系统、销售系统和配套设施，合法拥 </w:t>
      </w:r>
      <w:r>
        <w:rPr>
          <w:spacing w:val="-2"/>
        </w:rPr>
        <w:t>有或使用与生产经营有关的土地、厂房、机器设备以及商标、专利、非专利技术的所有权或者使用权，具有独立的原料采购</w:t>
      </w:r>
      <w:r>
        <w:rPr>
          <w:spacing w:val="-65"/>
        </w:rPr>
        <w:t> </w:t>
      </w:r>
      <w:r>
        <w:rPr>
          <w:spacing w:val="-65"/>
        </w:rPr>
      </w:r>
      <w:r>
        <w:rPr>
          <w:spacing w:val="-2"/>
        </w:rPr>
        <w:t>和产品销售系统，不存在与控股股东共用的情形；公司未以资产、权益或信誉为控股股东及其控制的其他企业的债务提供担</w:t>
      </w:r>
      <w:r>
        <w:rPr>
          <w:spacing w:val="-65"/>
        </w:rPr>
        <w:t> </w:t>
      </w:r>
      <w:r>
        <w:rPr>
          <w:spacing w:val="-65"/>
        </w:rPr>
      </w:r>
      <w:r>
        <w:rPr/>
        <w:t>保，对所有资产拥有自主的控制和支配权，不存在资产、资金被控股股东占用而损害发行人及其中小股东利益的情形。</w:t>
      </w:r>
    </w:p>
    <w:p>
      <w:pPr>
        <w:pStyle w:val="BodyText"/>
        <w:spacing w:line="312" w:lineRule="auto" w:before="22"/>
        <w:ind w:right="1130" w:firstLine="360"/>
        <w:jc w:val="both"/>
      </w:pPr>
      <w:r>
        <w:rPr>
          <w:rFonts w:ascii="Times New Roman" w:hAnsi="Times New Roman" w:cs="Times New Roman" w:eastAsia="Times New Roman" w:hint="default"/>
        </w:rPr>
        <w:t>4</w:t>
      </w:r>
      <w:r>
        <w:rPr/>
        <w:t>、机构设置方面：公司建立了健全的内部经营管理机构，拥有独立的生产经营场所和办公机构，与控股股东及其控制 </w:t>
      </w:r>
      <w:r>
        <w:rPr>
          <w:spacing w:val="-2"/>
        </w:rPr>
        <w:t>的其他企业完全分开，不存在混合经营、合署办公的情形。公司已建立健全有效的股东大会、董事会、监事会等机构并制定</w:t>
      </w:r>
      <w:r>
        <w:rPr>
          <w:spacing w:val="-66"/>
        </w:rPr>
        <w:t> </w:t>
      </w:r>
      <w:r>
        <w:rPr>
          <w:spacing w:val="-66"/>
        </w:rPr>
      </w:r>
      <w:r>
        <w:rPr>
          <w:spacing w:val="-2"/>
        </w:rPr>
        <w:t>了相应的议事规则，各机构依照《公司法》及《公司章程》的规定在各自职责范围内独立决策。公司及各职能部门与控股股</w:t>
      </w:r>
      <w:r>
        <w:rPr>
          <w:spacing w:val="-68"/>
        </w:rPr>
        <w:t> </w:t>
      </w:r>
      <w:r>
        <w:rPr>
          <w:spacing w:val="-68"/>
        </w:rPr>
      </w:r>
      <w:r>
        <w:rPr/>
        <w:t>东（包括其他关联方）及其职能部门完全分开，相互不存在隶属关系。</w:t>
      </w:r>
    </w:p>
    <w:p>
      <w:pPr>
        <w:pStyle w:val="BodyText"/>
        <w:spacing w:line="309" w:lineRule="auto" w:before="22"/>
        <w:ind w:right="1131" w:firstLine="360"/>
        <w:jc w:val="both"/>
      </w:pPr>
      <w:r>
        <w:rPr>
          <w:rFonts w:ascii="Times New Roman" w:hAnsi="Times New Roman" w:cs="Times New Roman" w:eastAsia="Times New Roman" w:hint="default"/>
        </w:rPr>
        <w:t>5</w:t>
      </w:r>
      <w:r>
        <w:rPr/>
        <w:t>、在财务方面：公司已设立独立的财务部门，配备了专职的财务会计人员，并已建立了独立的财务核算体系，能够独 </w:t>
      </w:r>
      <w:r>
        <w:rPr>
          <w:spacing w:val="-2"/>
        </w:rPr>
        <w:t>立作出财务决策，具有规范的财务会计制度。同时，公司拥有独立的银行账号，不存在与控股股东或任何其他单位共用银行</w:t>
      </w:r>
      <w:r>
        <w:rPr>
          <w:spacing w:val="-66"/>
        </w:rPr>
        <w:t> </w:t>
      </w:r>
      <w:r>
        <w:rPr>
          <w:spacing w:val="-66"/>
        </w:rPr>
      </w:r>
      <w:r>
        <w:rPr/>
        <w:t>账户的情况，并且依法独立进行纳税申报和履行纳税义务。本公司独立对外签订合同。</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850"/>
        <w:gridCol w:w="1560"/>
        <w:gridCol w:w="1559"/>
        <w:gridCol w:w="3046"/>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9"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23"/>
                <w:sz w:val="18"/>
                <w:szCs w:val="18"/>
              </w:rPr>
              <w:t>《证券时报》、《中国证券报》、《上海证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券报》、《证券日报》和巨潮资讯网（网</w:t>
            </w:r>
            <w:r>
              <w:rPr>
                <w:rFonts w:ascii="宋体" w:hAnsi="宋体" w:cs="宋体" w:eastAsia="宋体" w:hint="default"/>
                <w:sz w:val="18"/>
                <w:szCs w:val="18"/>
              </w:rPr>
              <w:t> 址为：</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both"/>
              <w:rPr>
                <w:rFonts w:ascii="宋体" w:hAnsi="宋体" w:cs="宋体" w:eastAsia="宋体" w:hint="default"/>
                <w:sz w:val="18"/>
                <w:szCs w:val="18"/>
              </w:rPr>
            </w:pPr>
            <w:r>
              <w:rPr>
                <w:rFonts w:ascii="宋体" w:hAnsi="宋体" w:cs="宋体" w:eastAsia="宋体" w:hint="default"/>
                <w:spacing w:val="-23"/>
                <w:sz w:val="18"/>
                <w:szCs w:val="18"/>
              </w:rPr>
              <w:t>《证券时报》、《中国证券报》、《上海证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券报》、《证券日报》和巨潮资讯网（网</w:t>
            </w:r>
            <w:r>
              <w:rPr>
                <w:rFonts w:ascii="宋体" w:hAnsi="宋体" w:cs="宋体" w:eastAsia="宋体" w:hint="default"/>
                <w:sz w:val="18"/>
                <w:szCs w:val="18"/>
              </w:rPr>
              <w:t> 址为：</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26"/>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26"/>
                <w:sz w:val="18"/>
                <w:szCs w:val="18"/>
              </w:rPr>
              <w:t>、</w:t>
            </w:r>
            <w:r>
              <w:rPr>
                <w:rFonts w:ascii="宋体" w:hAnsi="宋体" w:cs="宋体" w:eastAsia="宋体" w:hint="default"/>
                <w:sz w:val="18"/>
                <w:szCs w:val="18"/>
              </w:rPr>
              <w:t>《上海证</w:t>
            </w:r>
            <w:r>
              <w:rPr>
                <w:rFonts w:ascii="宋体" w:hAnsi="宋体" w:cs="宋体" w:eastAsia="宋体" w:hint="default"/>
                <w:sz w:val="18"/>
                <w:szCs w:val="18"/>
              </w:rPr>
              <w:t> 券报</w:t>
            </w:r>
            <w:r>
              <w:rPr>
                <w:rFonts w:ascii="宋体" w:hAnsi="宋体" w:cs="宋体" w:eastAsia="宋体" w:hint="default"/>
                <w:spacing w:val="-90"/>
                <w:sz w:val="18"/>
                <w:szCs w:val="18"/>
              </w:rPr>
              <w:t>》</w:t>
            </w:r>
            <w:r>
              <w:rPr>
                <w:rFonts w:ascii="宋体" w:hAnsi="宋体" w:cs="宋体" w:eastAsia="宋体" w:hint="default"/>
                <w:spacing w:val="-114"/>
                <w:sz w:val="18"/>
                <w:szCs w:val="18"/>
              </w:rPr>
              <w:t>、</w:t>
            </w:r>
            <w:r>
              <w:rPr>
                <w:rFonts w:ascii="宋体" w:hAnsi="宋体" w:cs="宋体" w:eastAsia="宋体" w:hint="default"/>
                <w:sz w:val="18"/>
                <w:szCs w:val="18"/>
              </w:rPr>
              <w:t>《证券日报</w:t>
            </w:r>
            <w:r>
              <w:rPr>
                <w:rFonts w:ascii="宋体" w:hAnsi="宋体" w:cs="宋体" w:eastAsia="宋体" w:hint="default"/>
                <w:spacing w:val="-24"/>
                <w:sz w:val="18"/>
                <w:szCs w:val="18"/>
              </w:rPr>
              <w:t>》</w:t>
            </w:r>
            <w:r>
              <w:rPr>
                <w:rFonts w:ascii="宋体" w:hAnsi="宋体" w:cs="宋体" w:eastAsia="宋体" w:hint="default"/>
                <w:sz w:val="18"/>
                <w:szCs w:val="18"/>
              </w:rPr>
              <w:t>和巨潮资讯</w:t>
            </w:r>
            <w:r>
              <w:rPr>
                <w:rFonts w:ascii="宋体" w:hAnsi="宋体" w:cs="宋体" w:eastAsia="宋体" w:hint="default"/>
                <w:spacing w:val="-24"/>
                <w:sz w:val="18"/>
                <w:szCs w:val="18"/>
              </w:rPr>
              <w:t>网</w:t>
            </w:r>
            <w:r>
              <w:rPr>
                <w:rFonts w:ascii="宋体" w:hAnsi="宋体" w:cs="宋体" w:eastAsia="宋体" w:hint="default"/>
                <w:sz w:val="18"/>
                <w:szCs w:val="18"/>
              </w:rPr>
              <w:t>（网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850"/>
        <w:gridCol w:w="1560"/>
        <w:gridCol w:w="1559"/>
        <w:gridCol w:w="3046"/>
      </w:tblGrid>
      <w:tr>
        <w:trPr>
          <w:trHeight w:val="362"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址为：</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 临时股东大会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36.47%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23"/>
                <w:sz w:val="18"/>
                <w:szCs w:val="18"/>
              </w:rPr>
              <w:t>《证券时报》、《中国证券报》、《上海证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券报》、《证券日报》和巨潮资讯网（网</w:t>
            </w:r>
            <w:r>
              <w:rPr>
                <w:rFonts w:ascii="宋体" w:hAnsi="宋体" w:cs="宋体" w:eastAsia="宋体" w:hint="default"/>
                <w:sz w:val="18"/>
                <w:szCs w:val="18"/>
              </w:rPr>
              <w:t> 址为：</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高岩</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刘永泽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刘煜辉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09" w:lineRule="auto" w:before="41"/>
        <w:ind w:right="1132" w:firstLine="360"/>
        <w:jc w:val="both"/>
      </w:pPr>
      <w:r>
        <w:rPr>
          <w:spacing w:val="-2"/>
        </w:rPr>
        <w:t>公司独立董事在</w:t>
      </w:r>
      <w:r>
        <w:rPr>
          <w:rFonts w:ascii="Times New Roman" w:hAnsi="Times New Roman" w:cs="Times New Roman" w:eastAsia="Times New Roman" w:hint="default"/>
          <w:spacing w:val="-2"/>
        </w:rPr>
        <w:t>2018</w:t>
      </w:r>
      <w:r>
        <w:rPr>
          <w:spacing w:val="-2"/>
        </w:rPr>
        <w:t>年度勤勉尽责，忠实履行独立董事职务，对公司董事会各项议案，在详实听取相关人员汇报的基础</w:t>
      </w:r>
      <w:r>
        <w:rPr/>
        <w:t> </w:t>
      </w:r>
      <w:r>
        <w:rPr>
          <w:spacing w:val="-2"/>
        </w:rPr>
        <w:t>上，发表意见、行使职权，对公司各项决策的制定起到了积极的推动作用，并对信息披露等情况进行监督和核查，积极有效</w:t>
      </w:r>
      <w:r>
        <w:rPr>
          <w:spacing w:val="-66"/>
        </w:rPr>
        <w:t> </w:t>
      </w:r>
      <w:r>
        <w:rPr>
          <w:spacing w:val="-66"/>
        </w:rPr>
      </w:r>
      <w:r>
        <w:rPr/>
        <w:t>地履行了独立董事的职责，维护了公司和中小股东的合法权益。</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6432"/>
        <w:jc w:val="left"/>
      </w:pPr>
      <w:r>
        <w:rPr>
          <w:rFonts w:ascii="Times New Roman" w:hAnsi="Times New Roman" w:cs="Times New Roman" w:eastAsia="Times New Roman" w:hint="default"/>
        </w:rPr>
        <w:t>1</w:t>
      </w:r>
      <w:r>
        <w:rPr/>
        <w:t>、董事会审计委员会 报告期内，公司董事会审计委员会履职情况如下：</w:t>
      </w:r>
    </w:p>
    <w:p>
      <w:pPr>
        <w:pStyle w:val="BodyText"/>
        <w:spacing w:line="300" w:lineRule="auto" w:before="31"/>
        <w:ind w:right="1131" w:firstLine="360"/>
        <w:jc w:val="both"/>
      </w:pPr>
      <w:r>
        <w:rPr>
          <w:spacing w:val="-2"/>
        </w:rPr>
        <w:t>第四届董事会审计委员会第十三次会议审计委员会成员关于公司</w:t>
      </w:r>
      <w:r>
        <w:rPr>
          <w:rFonts w:ascii="Times New Roman" w:hAnsi="Times New Roman" w:cs="Times New Roman" w:eastAsia="Times New Roman" w:hint="default"/>
          <w:spacing w:val="-2"/>
        </w:rPr>
        <w:t>2017</w:t>
      </w:r>
      <w:r>
        <w:rPr>
          <w:spacing w:val="-2"/>
        </w:rPr>
        <w:t>年报审计事前沟通并审议通过了《关于计提资产减</w:t>
      </w:r>
      <w:r>
        <w:rPr/>
        <w:t> 值准备的议案》；</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t>第四届董事会审计委员会第十四次会议审议通过了《公司</w:t>
      </w:r>
      <w:r>
        <w:rPr>
          <w:rFonts w:ascii="Times New Roman" w:hAnsi="Times New Roman" w:cs="Times New Roman" w:eastAsia="Times New Roman" w:hint="default"/>
        </w:rPr>
        <w:t>2017</w:t>
      </w:r>
      <w:r>
        <w:rPr/>
        <w:t>年年度报告及摘要》、《公司</w:t>
      </w:r>
      <w:r>
        <w:rPr>
          <w:rFonts w:ascii="Times New Roman" w:hAnsi="Times New Roman" w:cs="Times New Roman" w:eastAsia="Times New Roman" w:hint="default"/>
        </w:rPr>
        <w:t>2017</w:t>
      </w:r>
      <w:r>
        <w:rPr/>
        <w:t>年度财务决算报告》、</w:t>
      </w:r>
    </w:p>
    <w:p>
      <w:pPr>
        <w:pStyle w:val="BodyText"/>
        <w:spacing w:line="300" w:lineRule="auto" w:before="63"/>
        <w:ind w:right="1118"/>
        <w:jc w:val="left"/>
      </w:pPr>
      <w:r>
        <w:rPr>
          <w:spacing w:val="-2"/>
        </w:rPr>
        <w:t>《公司</w:t>
      </w:r>
      <w:r>
        <w:rPr>
          <w:rFonts w:ascii="Times New Roman" w:hAnsi="Times New Roman" w:cs="Times New Roman" w:eastAsia="Times New Roman" w:hint="default"/>
          <w:spacing w:val="-2"/>
        </w:rPr>
        <w:t>2017</w:t>
      </w:r>
      <w:r>
        <w:rPr>
          <w:spacing w:val="-2"/>
        </w:rPr>
        <w:t>年度内部控制自我评价报告》、《关于会计政策变更的议案》、《公司内部审计部</w:t>
      </w:r>
      <w:r>
        <w:rPr>
          <w:rFonts w:ascii="Times New Roman" w:hAnsi="Times New Roman" w:cs="Times New Roman" w:eastAsia="Times New Roman" w:hint="default"/>
          <w:spacing w:val="-2"/>
        </w:rPr>
        <w:t>2017</w:t>
      </w:r>
      <w:r>
        <w:rPr>
          <w:spacing w:val="-2"/>
        </w:rPr>
        <w:t>年度工作总结与</w:t>
      </w:r>
      <w:r>
        <w:rPr>
          <w:rFonts w:ascii="Times New Roman" w:hAnsi="Times New Roman" w:cs="Times New Roman" w:eastAsia="Times New Roman" w:hint="default"/>
          <w:spacing w:val="-2"/>
        </w:rPr>
        <w:t>2018</w:t>
      </w:r>
      <w:r>
        <w:rPr>
          <w:spacing w:val="-2"/>
        </w:rPr>
        <w:t>年度</w:t>
      </w:r>
      <w:r>
        <w:rPr>
          <w:spacing w:val="-56"/>
        </w:rPr>
        <w:t> </w:t>
      </w:r>
      <w:r>
        <w:rPr/>
        <w:t>工作计划》；</w:t>
      </w:r>
    </w:p>
    <w:p>
      <w:pPr>
        <w:pStyle w:val="BodyText"/>
        <w:spacing w:line="300" w:lineRule="auto" w:before="31"/>
        <w:ind w:left="514" w:right="0"/>
        <w:jc w:val="left"/>
      </w:pPr>
      <w:r>
        <w:rPr/>
        <w:t>第四届董事会审计委员会第十五次会议关于公司</w:t>
      </w:r>
      <w:r>
        <w:rPr>
          <w:rFonts w:ascii="Times New Roman" w:hAnsi="Times New Roman" w:cs="Times New Roman" w:eastAsia="Times New Roman" w:hint="default"/>
        </w:rPr>
        <w:t>2017</w:t>
      </w:r>
      <w:r>
        <w:rPr/>
        <w:t>年报审计事后沟通及与治理层的沟通； </w:t>
      </w:r>
      <w:r>
        <w:rPr>
          <w:spacing w:val="-1"/>
        </w:rPr>
        <w:t>第四届董事会审计委员会第十六次会议审议通过了《公司</w:t>
      </w:r>
      <w:r>
        <w:rPr>
          <w:rFonts w:ascii="Times New Roman" w:hAnsi="Times New Roman" w:cs="Times New Roman" w:eastAsia="Times New Roman" w:hint="default"/>
          <w:spacing w:val="-1"/>
        </w:rPr>
        <w:t>2018</w:t>
      </w:r>
      <w:r>
        <w:rPr>
          <w:spacing w:val="-1"/>
        </w:rPr>
        <w:t>年第一季度报告及正文》、《关于</w:t>
      </w:r>
      <w:r>
        <w:rPr>
          <w:rFonts w:ascii="Times New Roman" w:hAnsi="Times New Roman" w:cs="Times New Roman" w:eastAsia="Times New Roman" w:hint="default"/>
          <w:spacing w:val="-1"/>
        </w:rPr>
        <w:t>&lt;</w:t>
      </w:r>
      <w:r>
        <w:rPr>
          <w:spacing w:val="-1"/>
        </w:rPr>
        <w:t>内部审计部</w:t>
      </w:r>
      <w:r>
        <w:rPr>
          <w:rFonts w:ascii="Times New Roman" w:hAnsi="Times New Roman" w:cs="Times New Roman" w:eastAsia="Times New Roman" w:hint="default"/>
          <w:spacing w:val="-1"/>
        </w:rPr>
        <w:t>2018</w:t>
      </w:r>
      <w:r>
        <w:rPr>
          <w:spacing w:val="-1"/>
        </w:rPr>
        <w:t>年第</w:t>
      </w:r>
    </w:p>
    <w:p>
      <w:pPr>
        <w:pStyle w:val="BodyText"/>
        <w:spacing w:line="300" w:lineRule="auto" w:before="13"/>
        <w:ind w:left="514" w:right="0" w:hanging="360"/>
        <w:jc w:val="left"/>
      </w:pPr>
      <w:r>
        <w:rPr/>
        <w:t>一季度工作总结及第二季度工作计划</w:t>
      </w:r>
      <w:r>
        <w:rPr>
          <w:rFonts w:ascii="Times New Roman" w:hAnsi="Times New Roman" w:cs="Times New Roman" w:eastAsia="Times New Roman" w:hint="default"/>
        </w:rPr>
        <w:t>&gt;</w:t>
      </w:r>
      <w:r>
        <w:rPr/>
        <w:t>》； </w:t>
      </w:r>
      <w:r>
        <w:rPr>
          <w:spacing w:val="-2"/>
        </w:rPr>
        <w:t>第四届董事会审计委员会第十七次会议审议通过了《公司</w:t>
      </w:r>
      <w:r>
        <w:rPr>
          <w:rFonts w:ascii="Times New Roman" w:hAnsi="Times New Roman" w:cs="Times New Roman" w:eastAsia="Times New Roman" w:hint="default"/>
          <w:spacing w:val="-2"/>
        </w:rPr>
        <w:t>2018</w:t>
      </w:r>
      <w:r>
        <w:rPr>
          <w:spacing w:val="-2"/>
        </w:rPr>
        <w:t>年半年度报告及摘要》、《关于公司前期会计差错更正的</w:t>
      </w:r>
    </w:p>
    <w:p>
      <w:pPr>
        <w:pStyle w:val="BodyText"/>
        <w:spacing w:line="300" w:lineRule="auto" w:before="13"/>
        <w:ind w:left="514" w:right="0" w:hanging="360"/>
        <w:jc w:val="left"/>
      </w:pPr>
      <w:r>
        <w:rPr/>
        <w:t>议案》、《关于</w:t>
      </w:r>
      <w:r>
        <w:rPr>
          <w:rFonts w:ascii="Times New Roman" w:hAnsi="Times New Roman" w:cs="Times New Roman" w:eastAsia="Times New Roman" w:hint="default"/>
        </w:rPr>
        <w:t>&lt;</w:t>
      </w:r>
      <w:r>
        <w:rPr/>
        <w:t>内部审计部</w:t>
      </w:r>
      <w:r>
        <w:rPr>
          <w:rFonts w:ascii="Times New Roman" w:hAnsi="Times New Roman" w:cs="Times New Roman" w:eastAsia="Times New Roman" w:hint="default"/>
        </w:rPr>
        <w:t>2018</w:t>
      </w:r>
      <w:r>
        <w:rPr/>
        <w:t>年第二季度工作总结及第三季度工作计划</w:t>
      </w:r>
      <w:r>
        <w:rPr>
          <w:rFonts w:ascii="Times New Roman" w:hAnsi="Times New Roman" w:cs="Times New Roman" w:eastAsia="Times New Roman" w:hint="default"/>
        </w:rPr>
        <w:t>&gt;</w:t>
      </w:r>
      <w:r>
        <w:rPr/>
        <w:t>》； </w:t>
      </w:r>
      <w:r>
        <w:rPr>
          <w:spacing w:val="-1"/>
        </w:rPr>
        <w:t>第四届董事会审计委员会第十八次会议审议通过了《公司</w:t>
      </w:r>
      <w:r>
        <w:rPr>
          <w:rFonts w:ascii="Times New Roman" w:hAnsi="Times New Roman" w:cs="Times New Roman" w:eastAsia="Times New Roman" w:hint="default"/>
          <w:spacing w:val="-1"/>
        </w:rPr>
        <w:t>2018</w:t>
      </w:r>
      <w:r>
        <w:rPr>
          <w:spacing w:val="-1"/>
        </w:rPr>
        <w:t>年第三季度报告及正文》、《关于</w:t>
      </w:r>
      <w:r>
        <w:rPr>
          <w:rFonts w:ascii="Times New Roman" w:hAnsi="Times New Roman" w:cs="Times New Roman" w:eastAsia="Times New Roman" w:hint="default"/>
          <w:spacing w:val="-1"/>
        </w:rPr>
        <w:t>&lt;</w:t>
      </w:r>
      <w:r>
        <w:rPr>
          <w:spacing w:val="-1"/>
        </w:rPr>
        <w:t>内部审计部</w:t>
      </w:r>
      <w:r>
        <w:rPr>
          <w:rFonts w:ascii="Times New Roman" w:hAnsi="Times New Roman" w:cs="Times New Roman" w:eastAsia="Times New Roman" w:hint="default"/>
          <w:spacing w:val="-1"/>
        </w:rPr>
        <w:t>2018</w:t>
      </w:r>
      <w:r>
        <w:rPr>
          <w:spacing w:val="-1"/>
        </w:rPr>
        <w:t>年第</w:t>
      </w:r>
    </w:p>
    <w:p>
      <w:pPr>
        <w:pStyle w:val="BodyText"/>
        <w:spacing w:line="307" w:lineRule="auto" w:before="13"/>
        <w:ind w:left="514" w:right="1752" w:hanging="360"/>
        <w:jc w:val="left"/>
      </w:pPr>
      <w:r>
        <w:rPr/>
        <w:t>三季度工作总结及第四季度工作计划</w:t>
      </w:r>
      <w:r>
        <w:rPr>
          <w:rFonts w:ascii="Times New Roman" w:hAnsi="Times New Roman" w:cs="Times New Roman" w:eastAsia="Times New Roman" w:hint="default"/>
        </w:rPr>
        <w:t>&gt;</w:t>
      </w:r>
      <w:r>
        <w:rPr/>
        <w:t>》、《关于会计政策变更的议案》、《关于计提资产减值准备的议案》； 第四届董事会审计委员会第十九次会议审议通过了《关于续聘中喜会计师事务所（特殊普通合伙）的议案》； 第四届董事会审计委员会第二十次会议议审计委员会成员关于公司</w:t>
      </w:r>
      <w:r>
        <w:rPr>
          <w:rFonts w:ascii="Times New Roman" w:hAnsi="Times New Roman" w:cs="Times New Roman" w:eastAsia="Times New Roman" w:hint="default"/>
        </w:rPr>
        <w:t>2017</w:t>
      </w:r>
      <w:r>
        <w:rPr/>
        <w:t>年报审计事前沟通并与治理层的沟通。 </w:t>
      </w:r>
      <w:r>
        <w:rPr>
          <w:rFonts w:ascii="Times New Roman" w:hAnsi="Times New Roman" w:cs="Times New Roman" w:eastAsia="Times New Roman" w:hint="default"/>
        </w:rPr>
        <w:t>2</w:t>
      </w:r>
      <w:r>
        <w:rPr/>
        <w:t>、薪酬与考核委员会</w:t>
      </w:r>
    </w:p>
    <w:p>
      <w:pPr>
        <w:pStyle w:val="BodyText"/>
        <w:spacing w:line="316" w:lineRule="auto" w:before="7"/>
        <w:ind w:left="514" w:right="2472"/>
        <w:jc w:val="left"/>
      </w:pPr>
      <w:r>
        <w:rPr/>
        <w:t>报告期内，董事会薪酬与考核委员会履职情况如下： 第四届董事会薪酬与考核委员会第三次会议审议通过了《关于公司高级管理人员基本薪酬的议案》； </w:t>
      </w:r>
      <w:r>
        <w:rPr>
          <w:rFonts w:ascii="Times New Roman" w:hAnsi="Times New Roman" w:cs="Times New Roman" w:eastAsia="Times New Roman" w:hint="default"/>
        </w:rPr>
        <w:t>3</w:t>
      </w:r>
      <w:r>
        <w:rPr/>
        <w:t>、提名委员会</w:t>
      </w:r>
    </w:p>
    <w:p>
      <w:pPr>
        <w:pStyle w:val="BodyText"/>
        <w:spacing w:line="316" w:lineRule="auto"/>
        <w:ind w:left="514" w:right="0"/>
        <w:jc w:val="left"/>
      </w:pPr>
      <w:r>
        <w:rPr/>
        <w:t>报告期内，董事会提名委员会履职情况如下： </w:t>
      </w:r>
      <w:r>
        <w:rPr>
          <w:spacing w:val="-4"/>
        </w:rPr>
        <w:t>第四届董事会提名委员会第五次会议审议通过了《关于聘任公司总经理的议案》、《关于聘任公司执行总经理的议案》；</w:t>
      </w:r>
      <w:r>
        <w:rPr>
          <w:spacing w:val="-51"/>
        </w:rPr>
        <w:t> </w:t>
      </w:r>
      <w:r>
        <w:rPr>
          <w:spacing w:val="-51"/>
        </w:rPr>
      </w:r>
      <w:r>
        <w:rPr>
          <w:rFonts w:ascii="Times New Roman" w:hAnsi="Times New Roman" w:cs="Times New Roman" w:eastAsia="Times New Roman" w:hint="default"/>
        </w:rPr>
        <w:t>4</w:t>
      </w:r>
      <w:r>
        <w:rPr/>
        <w:t>、战略委员会</w:t>
      </w:r>
    </w:p>
    <w:p>
      <w:pPr>
        <w:pStyle w:val="BodyText"/>
        <w:spacing w:line="316" w:lineRule="auto"/>
        <w:ind w:left="514" w:right="0"/>
        <w:jc w:val="left"/>
      </w:pPr>
      <w:r>
        <w:rPr/>
        <w:t>报告期内，董事会战略委员会履职情况如下： </w:t>
      </w:r>
      <w:r>
        <w:rPr>
          <w:spacing w:val="-2"/>
        </w:rPr>
        <w:t>第四届董事会战略委员会第七次会议审议通过了《关于拟变更公司名称、证券简称的议案》、《关于控股子公司的全资</w:t>
      </w:r>
    </w:p>
    <w:p>
      <w:pPr>
        <w:pStyle w:val="BodyText"/>
        <w:spacing w:line="309" w:lineRule="auto" w:before="19"/>
        <w:ind w:left="514" w:right="0" w:hanging="360"/>
        <w:jc w:val="left"/>
      </w:pPr>
      <w:r>
        <w:rPr/>
        <w:t>子公司收购浙江即富企业管理有限公司</w:t>
      </w:r>
      <w:r>
        <w:rPr>
          <w:rFonts w:ascii="Times New Roman" w:hAnsi="Times New Roman" w:cs="Times New Roman" w:eastAsia="Times New Roman" w:hint="default"/>
        </w:rPr>
        <w:t>49%</w:t>
      </w:r>
      <w:r>
        <w:rPr/>
        <w:t>股权和福建即富金服数据处理有限公司</w:t>
      </w:r>
      <w:r>
        <w:rPr>
          <w:rFonts w:ascii="Times New Roman" w:hAnsi="Times New Roman" w:cs="Times New Roman" w:eastAsia="Times New Roman" w:hint="default"/>
        </w:rPr>
        <w:t>49%</w:t>
      </w:r>
      <w:r>
        <w:rPr/>
        <w:t>股权的议案》； 第四届董事会战略委员会第八次会议审议通过了《关于公司组织架构调整的议案》； </w:t>
      </w:r>
      <w:r>
        <w:rPr>
          <w:spacing w:val="-2"/>
        </w:rPr>
        <w:t>第四届董事会战略委员会第九次会议审议通过了《关于控股子公司投资侨达国际有限公司的议案》、《关于控股子公司</w:t>
      </w:r>
    </w:p>
    <w:p>
      <w:pPr>
        <w:pStyle w:val="BodyText"/>
        <w:spacing w:line="316" w:lineRule="auto" w:before="24"/>
        <w:ind w:left="514" w:right="0" w:hanging="360"/>
        <w:jc w:val="left"/>
      </w:pPr>
      <w:r>
        <w:rPr/>
        <w:t>投资深圳市华阳信通科技发展有限公司的议案》； </w:t>
      </w:r>
      <w:r>
        <w:rPr>
          <w:spacing w:val="-2"/>
        </w:rPr>
        <w:t>第四届董事会战略委员会第十次会议审议通过了《关于控股子公司对其全资子公司增资并对外投资及签署收购股份意向</w:t>
      </w:r>
    </w:p>
    <w:p>
      <w:pPr>
        <w:pStyle w:val="BodyText"/>
        <w:spacing w:line="240" w:lineRule="auto" w:before="19"/>
        <w:ind w:right="0"/>
        <w:jc w:val="left"/>
      </w:pPr>
      <w:r>
        <w:rPr/>
        <w:t>书暨关联交易的议案》。</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公司董事会决定公司高级管理人员的聘任，由董事会薪酬与考核委员会对公司高级管理人员薪资制订标准，并由公司董</w:t>
      </w:r>
      <w:r>
        <w:rPr/>
        <w:t> </w:t>
      </w:r>
      <w:r>
        <w:rPr>
          <w:spacing w:val="-4"/>
        </w:rPr>
        <w:t>事会审议通过。公司建立了公正、合理、有效的高级管理人员绩效考核评价体系，将公司年度经营目标分解落实，明确责任，</w:t>
      </w:r>
      <w:r>
        <w:rPr>
          <w:spacing w:val="-44"/>
        </w:rPr>
        <w:t> </w:t>
      </w:r>
      <w:r>
        <w:rPr>
          <w:spacing w:val="-44"/>
        </w:rPr>
      </w:r>
      <w:r>
        <w:rPr/>
        <w:t>量化考核，根据高级管理人员的绩效进行考核及实施对应的奖惩。</w:t>
      </w:r>
    </w:p>
    <w:p>
      <w:pPr>
        <w:spacing w:after="0" w:line="316"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pStyle w:val="BodyText"/>
        <w:spacing w:line="240" w:lineRule="auto" w:before="44"/>
        <w:ind w:left="0" w:right="1139"/>
        <w:jc w:val="right"/>
      </w:pPr>
      <w:r>
        <w:rPr/>
        <w:pict>
          <v:shape style="position:absolute;margin-left:355.600006pt;margin-top:50.991734pt;width:179.3pt;height:31.2pt;mso-position-horizontal-relative:page;mso-position-vertical-relative:paragraph;z-index:-102752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w:t>
                  </w:r>
                </w:p>
              </w:txbxContent>
            </v:textbox>
            <w10:wrap type="none"/>
          </v:shape>
        </w:pict>
      </w:r>
      <w:r>
        <w:rPr/>
        <w:pict>
          <v:shape style="position:absolute;margin-left:57.029999pt;margin-top:-355.468262pt;width:478.6pt;height:555.8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9"/>
                    <w:gridCol w:w="3267"/>
                    <w:gridCol w:w="3472"/>
                  </w:tblGrid>
                  <w:tr>
                    <w:trPr>
                      <w:trHeight w:val="402"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2" w:hRule="exact"/>
                    </w:trPr>
                    <w:tc>
                      <w:tcPr>
                        <w:tcW w:w="2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39" w:type="dxa"/>
                        <w:gridSpan w:val="2"/>
                        <w:vMerge w:val="restart"/>
                        <w:tcBorders>
                          <w:top w:val="single" w:sz="4" w:space="0" w:color="000000"/>
                          <w:left w:val="single" w:sz="9" w:space="0" w:color="D2D2D2"/>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日巨潮资讯网（网址为：</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）披露的《深</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圳亚联发展科技股份有限公司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内</w:t>
                        </w:r>
                        <w:r>
                          <w:rPr>
                            <w:rFonts w:ascii="宋体" w:hAnsi="宋体" w:cs="宋体" w:eastAsia="宋体" w:hint="default"/>
                            <w:sz w:val="18"/>
                            <w:szCs w:val="18"/>
                          </w:rPr>
                          <w:t>部控制自我评价报告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91" w:hRule="exact"/>
                    </w:trPr>
                    <w:tc>
                      <w:tcPr>
                        <w:tcW w:w="28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39" w:type="dxa"/>
                        <w:gridSpan w:val="2"/>
                        <w:vMerge/>
                        <w:tcBorders>
                          <w:left w:val="single" w:sz="9" w:space="0" w:color="D2D2D2"/>
                          <w:right w:val="single" w:sz="4" w:space="0" w:color="000000"/>
                        </w:tcBorders>
                      </w:tcPr>
                      <w:p>
                        <w:pPr/>
                      </w:p>
                    </w:tc>
                  </w:tr>
                  <w:tr>
                    <w:trPr>
                      <w:trHeight w:val="161" w:hRule="exact"/>
                    </w:trPr>
                    <w:tc>
                      <w:tcPr>
                        <w:tcW w:w="281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39" w:type="dxa"/>
                        <w:gridSpan w:val="2"/>
                        <w:vMerge/>
                        <w:tcBorders>
                          <w:left w:val="single" w:sz="9" w:space="0" w:color="D2D2D2"/>
                          <w:bottom w:val="single" w:sz="4" w:space="0" w:color="000000"/>
                          <w:right w:val="single" w:sz="4" w:space="0" w:color="000000"/>
                        </w:tcBorders>
                      </w:tcPr>
                      <w:p>
                        <w:pPr/>
                      </w:p>
                    </w:tc>
                  </w:tr>
                  <w:tr>
                    <w:trPr>
                      <w:trHeight w:val="714"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87.00%</w:t>
                        </w:r>
                      </w:p>
                    </w:tc>
                  </w:tr>
                  <w:tr>
                    <w:trPr>
                      <w:trHeight w:val="715"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类别</w:t>
                        </w:r>
                      </w:p>
                    </w:tc>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90" w:hRule="exact"/>
                    </w:trPr>
                    <w:tc>
                      <w:tcPr>
                        <w:tcW w:w="2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）具有以下特征的认定为重大缺陷： </w:t>
                        </w:r>
                        <w:r>
                          <w:rPr>
                            <w:rFonts w:ascii="宋体" w:hAnsi="宋体" w:cs="宋体" w:eastAsia="宋体" w:hint="default"/>
                            <w:spacing w:val="-3"/>
                            <w:sz w:val="18"/>
                            <w:szCs w:val="18"/>
                          </w:rPr>
                          <w:t>董事、监事、高级管理人员舞弊；注册会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计师发现当期财务报告存在重大错报，而</w:t>
                        </w:r>
                        <w:r>
                          <w:rPr>
                            <w:rFonts w:ascii="宋体" w:hAnsi="宋体" w:cs="宋体" w:eastAsia="宋体" w:hint="default"/>
                            <w:sz w:val="18"/>
                            <w:szCs w:val="18"/>
                          </w:rPr>
                          <w:t> 内部控制在运行过程中未能发现该错报； 对已经公告的财务报告出现的重大差错 </w:t>
                        </w:r>
                        <w:r>
                          <w:rPr>
                            <w:rFonts w:ascii="宋体" w:hAnsi="宋体" w:cs="宋体" w:eastAsia="宋体" w:hint="default"/>
                            <w:spacing w:val="-2"/>
                            <w:sz w:val="18"/>
                            <w:szCs w:val="18"/>
                          </w:rPr>
                          <w:t>进行错报更正；公司审计委员会和内部审</w:t>
                        </w:r>
                        <w:r>
                          <w:rPr>
                            <w:rFonts w:ascii="宋体" w:hAnsi="宋体" w:cs="宋体" w:eastAsia="宋体" w:hint="default"/>
                            <w:sz w:val="18"/>
                            <w:szCs w:val="18"/>
                          </w:rPr>
                          <w:t> </w:t>
                        </w:r>
                        <w:r>
                          <w:rPr>
                            <w:rFonts w:ascii="宋体" w:hAnsi="宋体" w:cs="宋体" w:eastAsia="宋体" w:hint="default"/>
                            <w:spacing w:val="-7"/>
                            <w:sz w:val="18"/>
                            <w:szCs w:val="18"/>
                          </w:rPr>
                          <w:t>计部对内部控制的监督无效。（</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）具有以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下特征的认定为重要缺陷：未依照公认会</w:t>
                        </w:r>
                        <w:r>
                          <w:rPr>
                            <w:rFonts w:ascii="宋体" w:hAnsi="宋体" w:cs="宋体" w:eastAsia="宋体" w:hint="default"/>
                            <w:sz w:val="18"/>
                            <w:szCs w:val="18"/>
                          </w:rPr>
                          <w:t> </w:t>
                        </w:r>
                        <w:r>
                          <w:rPr>
                            <w:rFonts w:ascii="宋体" w:hAnsi="宋体" w:cs="宋体" w:eastAsia="宋体" w:hint="default"/>
                            <w:spacing w:val="-2"/>
                            <w:sz w:val="18"/>
                            <w:szCs w:val="18"/>
                          </w:rPr>
                          <w:t>计准则选择和应用会计政策；未建立反舞</w:t>
                        </w:r>
                        <w:r>
                          <w:rPr>
                            <w:rFonts w:ascii="宋体" w:hAnsi="宋体" w:cs="宋体" w:eastAsia="宋体" w:hint="default"/>
                            <w:sz w:val="18"/>
                            <w:szCs w:val="18"/>
                          </w:rPr>
                          <w:t> </w:t>
                        </w:r>
                        <w:r>
                          <w:rPr>
                            <w:rFonts w:ascii="宋体" w:hAnsi="宋体" w:cs="宋体" w:eastAsia="宋体" w:hint="default"/>
                            <w:spacing w:val="-2"/>
                            <w:sz w:val="18"/>
                            <w:szCs w:val="18"/>
                          </w:rPr>
                          <w:t>弊程序和控制措施；对于非常规或特殊交</w:t>
                        </w:r>
                        <w:r>
                          <w:rPr>
                            <w:rFonts w:ascii="宋体" w:hAnsi="宋体" w:cs="宋体" w:eastAsia="宋体" w:hint="default"/>
                            <w:sz w:val="18"/>
                            <w:szCs w:val="18"/>
                          </w:rPr>
                          <w:t> 易的账务处理没有建立相应的控制机制 或没有实施且没有相应的补偿性控制。</w:t>
                        </w:r>
                      </w:p>
                      <w:p>
                        <w:pPr>
                          <w:pStyle w:val="TableParagraph"/>
                          <w:spacing w:line="302" w:lineRule="auto" w:before="20"/>
                          <w:ind w:left="22" w:right="7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）一般缺陷：未构成重大缺陷、重要 缺陷标准的其他内部控制缺陷。</w:t>
                        </w:r>
                      </w:p>
                    </w:tc>
                    <w:tc>
                      <w:tcPr>
                        <w:tcW w:w="3472" w:type="dxa"/>
                        <w:vMerge w:val="restart"/>
                        <w:tcBorders>
                          <w:top w:val="single" w:sz="4" w:space="0" w:color="000000"/>
                          <w:left w:val="single" w:sz="4" w:space="0" w:color="000000"/>
                          <w:right w:val="single" w:sz="4" w:space="0" w:color="000000"/>
                        </w:tcBorders>
                      </w:tcPr>
                      <w:p>
                        <w:pPr>
                          <w:pStyle w:val="TableParagraph"/>
                          <w:spacing w:line="314" w:lineRule="auto" w:before="52"/>
                          <w:ind w:left="22"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）具有以下特征的认定为重大缺陷：决 策程序导致重大失误；严重违犯国家法律、 行政法规和规范性文件；重要业务缺乏制度 控制或制度控制体系失效，且缺乏有效的补 偿性控制；遭受证监会处罚或证券交易所警 告；中高级管理人员和高级技术人员流失严 重；内部控制重大或重要缺陷未得到整改。</w:t>
                        </w:r>
                      </w:p>
                      <w:p>
                        <w:pPr>
                          <w:pStyle w:val="TableParagraph"/>
                          <w:spacing w:line="312" w:lineRule="auto" w:before="20"/>
                          <w:ind w:left="22"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）具有以下特征的认定为重要缺陷：决 策程序导致出现一般性失误；重要业务制度 或制度控制体系有缺陷；关键岗位业务人员 流失严重；公司内部控制重要或一般缺陷未 得到整改；其他对公司产生较大负面影响的 </w:t>
                        </w:r>
                        <w:r>
                          <w:rPr>
                            <w:rFonts w:ascii="宋体" w:hAnsi="宋体" w:cs="宋体" w:eastAsia="宋体" w:hint="default"/>
                            <w:spacing w:val="-10"/>
                            <w:sz w:val="18"/>
                            <w:szCs w:val="18"/>
                          </w:rPr>
                          <w:t>情形。（</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）具有以下特征的认定为一般缺陷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未构成重大缺陷、重要缺陷标准的其他内部</w:t>
                        </w:r>
                        <w:r>
                          <w:rPr>
                            <w:rFonts w:ascii="宋体" w:hAnsi="宋体" w:cs="宋体" w:eastAsia="宋体" w:hint="default"/>
                            <w:sz w:val="18"/>
                            <w:szCs w:val="18"/>
                          </w:rPr>
                          <w:t> 控制缺陷。</w:t>
                        </w:r>
                      </w:p>
                    </w:tc>
                  </w:tr>
                  <w:tr>
                    <w:trPr>
                      <w:trHeight w:val="391" w:hRule="exact"/>
                    </w:trPr>
                    <w:tc>
                      <w:tcPr>
                        <w:tcW w:w="28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267" w:type="dxa"/>
                        <w:vMerge/>
                        <w:tcBorders>
                          <w:left w:val="single" w:sz="9" w:space="0" w:color="D2D2D2"/>
                          <w:right w:val="single" w:sz="4" w:space="0" w:color="000000"/>
                        </w:tcBorders>
                      </w:tcPr>
                      <w:p>
                        <w:pPr/>
                      </w:p>
                    </w:tc>
                    <w:tc>
                      <w:tcPr>
                        <w:tcW w:w="3472" w:type="dxa"/>
                        <w:vMerge/>
                        <w:tcBorders>
                          <w:left w:val="single" w:sz="4" w:space="0" w:color="000000"/>
                          <w:right w:val="single" w:sz="4" w:space="0" w:color="000000"/>
                        </w:tcBorders>
                      </w:tcPr>
                      <w:p>
                        <w:pPr/>
                      </w:p>
                    </w:tc>
                  </w:tr>
                  <w:tr>
                    <w:trPr>
                      <w:trHeight w:val="2189" w:hRule="exact"/>
                    </w:trPr>
                    <w:tc>
                      <w:tcPr>
                        <w:tcW w:w="281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7" w:type="dxa"/>
                        <w:vMerge/>
                        <w:tcBorders>
                          <w:left w:val="single" w:sz="9" w:space="0" w:color="D2D2D2"/>
                          <w:bottom w:val="single" w:sz="4" w:space="0" w:color="000000"/>
                          <w:right w:val="single" w:sz="4" w:space="0" w:color="000000"/>
                        </w:tcBorders>
                      </w:tcPr>
                      <w:p>
                        <w:pPr/>
                      </w:p>
                    </w:tc>
                    <w:tc>
                      <w:tcPr>
                        <w:tcW w:w="3472" w:type="dxa"/>
                        <w:vMerge/>
                        <w:tcBorders>
                          <w:left w:val="single" w:sz="4" w:space="0" w:color="000000"/>
                          <w:bottom w:val="single" w:sz="4" w:space="0" w:color="000000"/>
                          <w:right w:val="single" w:sz="4" w:space="0" w:color="000000"/>
                        </w:tcBorders>
                      </w:tcPr>
                      <w:p>
                        <w:pPr/>
                      </w:p>
                    </w:tc>
                  </w:tr>
                  <w:tr>
                    <w:trPr>
                      <w:trHeight w:val="1098" w:hRule="exact"/>
                    </w:trPr>
                    <w:tc>
                      <w:tcPr>
                        <w:tcW w:w="2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7" w:type="dxa"/>
                        <w:vMerge w:val="restart"/>
                        <w:tcBorders>
                          <w:top w:val="single" w:sz="4" w:space="0" w:color="000000"/>
                          <w:left w:val="single" w:sz="9" w:space="0" w:color="D2D2D2"/>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 </w:t>
                        </w:r>
                        <w:r>
                          <w:rPr>
                            <w:rFonts w:ascii="宋体" w:hAnsi="宋体" w:cs="宋体" w:eastAsia="宋体" w:hint="default"/>
                            <w:spacing w:val="-1"/>
                            <w:w w:val="100"/>
                            <w:sz w:val="18"/>
                            <w:szCs w:val="18"/>
                          </w:rPr>
                          <w:t>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资产总额</w:t>
                        </w:r>
                        <w:r>
                          <w:rPr>
                            <w:rFonts w:ascii="宋体" w:hAnsi="宋体" w:cs="宋体" w:eastAsia="宋体" w:hint="default"/>
                            <w:spacing w:val="-44"/>
                            <w:w w:val="100"/>
                            <w:sz w:val="18"/>
                            <w:szCs w:val="18"/>
                          </w:rPr>
                          <w:t> </w:t>
                        </w:r>
                        <w:r>
                          <w:rPr>
                            <w:rFonts w:ascii="Times New Roman" w:hAnsi="Times New Roman" w:cs="Times New Roman" w:eastAsia="Times New Roman" w:hint="default"/>
                            <w:spacing w:val="-9"/>
                            <w:w w:val="100"/>
                            <w:sz w:val="18"/>
                            <w:szCs w:val="18"/>
                          </w:rPr>
                          <w:t>3%</w:t>
                        </w:r>
                        <w:r>
                          <w:rPr>
                            <w:rFonts w:ascii="宋体" w:hAnsi="宋体" w:cs="宋体" w:eastAsia="宋体" w:hint="default"/>
                            <w:spacing w:val="-9"/>
                            <w:w w:val="100"/>
                            <w:sz w:val="18"/>
                            <w:szCs w:val="18"/>
                          </w:rPr>
                          <w:t>；错报</w:t>
                        </w:r>
                        <w:r>
                          <w:rPr>
                            <w:rFonts w:ascii="Times New Roman" w:hAnsi="Times New Roman" w:cs="Times New Roman" w:eastAsia="Times New Roman" w:hint="default"/>
                            <w:spacing w:val="-9"/>
                            <w:w w:val="100"/>
                            <w:sz w:val="18"/>
                            <w:szCs w:val="18"/>
                          </w:rPr>
                          <w:t>≥</w:t>
                        </w:r>
                        <w:r>
                          <w:rPr>
                            <w:rFonts w:ascii="宋体" w:hAnsi="宋体" w:cs="宋体" w:eastAsia="宋体" w:hint="default"/>
                            <w:spacing w:val="-9"/>
                            <w:w w:val="100"/>
                            <w:sz w:val="18"/>
                            <w:szCs w:val="18"/>
                          </w:rPr>
                          <w:t>营业收入</w:t>
                        </w:r>
                        <w:r>
                          <w:rPr>
                            <w:rFonts w:ascii="宋体" w:hAnsi="宋体" w:cs="宋体" w:eastAsia="宋体" w:hint="default"/>
                            <w:spacing w:val="-44"/>
                            <w:w w:val="100"/>
                            <w:sz w:val="18"/>
                            <w:szCs w:val="18"/>
                          </w:rPr>
                          <w:t> </w:t>
                        </w:r>
                        <w:r>
                          <w:rPr>
                            <w:rFonts w:ascii="Times New Roman" w:hAnsi="Times New Roman" w:cs="Times New Roman" w:eastAsia="Times New Roman" w:hint="default"/>
                            <w:spacing w:val="-36"/>
                            <w:sz w:val="18"/>
                            <w:szCs w:val="18"/>
                          </w:rPr>
                          <w:t>3%</w:t>
                        </w:r>
                        <w:r>
                          <w:rPr>
                            <w:rFonts w:ascii="宋体" w:hAnsi="宋体" w:cs="宋体" w:eastAsia="宋体" w:hint="default"/>
                            <w:spacing w:val="-36"/>
                            <w:sz w:val="18"/>
                            <w:szCs w:val="18"/>
                          </w:rPr>
                          <w:t>。（</w:t>
                        </w:r>
                        <w:r>
                          <w:rPr>
                            <w:rFonts w:ascii="Times New Roman" w:hAnsi="Times New Roman" w:cs="Times New Roman" w:eastAsia="Times New Roman" w:hint="default"/>
                            <w:spacing w:val="-36"/>
                            <w:sz w:val="18"/>
                            <w:szCs w:val="18"/>
                          </w:rPr>
                          <w:t>2</w:t>
                        </w:r>
                        <w:r>
                          <w:rPr>
                            <w:rFonts w:ascii="Times New Roman" w:hAnsi="Times New Roman" w:cs="Times New Roman" w:eastAsia="Times New Roman" w:hint="default"/>
                            <w:spacing w:val="-39"/>
                            <w:sz w:val="18"/>
                            <w:szCs w:val="18"/>
                          </w:rPr>
                          <w:t> </w:t>
                        </w:r>
                        <w:r>
                          <w:rPr>
                            <w:rFonts w:ascii="宋体" w:hAnsi="宋体" w:cs="宋体" w:eastAsia="宋体" w:hint="default"/>
                            <w:spacing w:val="-6"/>
                            <w:sz w:val="18"/>
                            <w:szCs w:val="18"/>
                          </w:rPr>
                          <w:t>重要缺陷：利润总额的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错报＜营业收 入的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）一般缺陷：错报＜利润总</w:t>
                        </w:r>
                        <w:r>
                          <w:rPr>
                            <w:rFonts w:ascii="宋体" w:hAnsi="宋体" w:cs="宋体" w:eastAsia="宋体" w:hint="default"/>
                            <w:spacing w:val="-84"/>
                            <w:sz w:val="18"/>
                            <w:szCs w:val="18"/>
                          </w:rPr>
                          <w:t> </w:t>
                        </w:r>
                        <w:r>
                          <w:rPr>
                            <w:rFonts w:ascii="宋体" w:hAnsi="宋体" w:cs="宋体" w:eastAsia="宋体" w:hint="default"/>
                            <w:sz w:val="18"/>
                            <w:szCs w:val="18"/>
                          </w:rPr>
                          <w:t>额</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；错报＜资产总额</w:t>
                        </w:r>
                        <w:r>
                          <w:rPr>
                            <w:rFonts w:ascii="宋体" w:hAnsi="宋体" w:cs="宋体" w:eastAsia="宋体" w:hint="default"/>
                            <w:spacing w:val="-41"/>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；错报＜营业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4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38"/>
                          <w:jc w:val="both"/>
                          <w:rPr>
                            <w:rFonts w:ascii="宋体" w:hAnsi="宋体" w:cs="宋体" w:eastAsia="宋体" w:hint="default"/>
                            <w:sz w:val="18"/>
                            <w:szCs w:val="18"/>
                          </w:rPr>
                        </w:pP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1</w:t>
                        </w:r>
                        <w:r>
                          <w:rPr>
                            <w:rFonts w:ascii="宋体" w:hAnsi="宋体" w:cs="宋体" w:eastAsia="宋体" w:hint="default"/>
                            <w:spacing w:val="-1"/>
                            <w:w w:val="100"/>
                            <w:sz w:val="18"/>
                            <w:szCs w:val="18"/>
                          </w:rPr>
                          <w:t>）重大缺陷：错报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资产总额</w:t>
                        </w:r>
                        <w:r>
                          <w:rPr>
                            <w:rFonts w:ascii="宋体" w:hAnsi="宋体" w:cs="宋体" w:eastAsia="宋体" w:hint="default"/>
                            <w:spacing w:val="-41"/>
                            <w:w w:val="100"/>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重要缺陷：资产总额的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 额的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）一般缺陷：错报＜资产总额</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1" w:hRule="exact"/>
                    </w:trPr>
                    <w:tc>
                      <w:tcPr>
                        <w:tcW w:w="28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267" w:type="dxa"/>
                        <w:vMerge/>
                        <w:tcBorders>
                          <w:left w:val="single" w:sz="9" w:space="0" w:color="D2D2D2"/>
                          <w:right w:val="single" w:sz="4" w:space="0" w:color="000000"/>
                        </w:tcBorders>
                      </w:tcPr>
                      <w:p>
                        <w:pPr/>
                      </w:p>
                    </w:tc>
                    <w:tc>
                      <w:tcPr>
                        <w:tcW w:w="3472" w:type="dxa"/>
                        <w:vMerge/>
                        <w:tcBorders>
                          <w:left w:val="single" w:sz="4" w:space="0" w:color="000000"/>
                          <w:right w:val="single" w:sz="4" w:space="0" w:color="000000"/>
                        </w:tcBorders>
                      </w:tcPr>
                      <w:p>
                        <w:pPr/>
                      </w:p>
                    </w:tc>
                  </w:tr>
                  <w:tr>
                    <w:trPr>
                      <w:trHeight w:val="1097" w:hRule="exact"/>
                    </w:trPr>
                    <w:tc>
                      <w:tcPr>
                        <w:tcW w:w="2819"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7" w:type="dxa"/>
                        <w:vMerge/>
                        <w:tcBorders>
                          <w:left w:val="single" w:sz="9" w:space="0" w:color="D2D2D2"/>
                          <w:bottom w:val="single" w:sz="4" w:space="0" w:color="000000"/>
                          <w:right w:val="single" w:sz="4" w:space="0" w:color="000000"/>
                        </w:tcBorders>
                      </w:tcPr>
                      <w:p>
                        <w:pPr/>
                      </w:p>
                    </w:tc>
                    <w:tc>
                      <w:tcPr>
                        <w:tcW w:w="3472" w:type="dxa"/>
                        <w:vMerge/>
                        <w:tcBorders>
                          <w:left w:val="single" w:sz="4" w:space="0" w:color="000000"/>
                          <w:bottom w:val="single" w:sz="4" w:space="0" w:color="000000"/>
                          <w:right w:val="single" w:sz="4" w:space="0" w:color="000000"/>
                        </w:tcBorders>
                      </w:tcPr>
                      <w:p>
                        <w:pPr/>
                      </w:p>
                    </w:tc>
                  </w:tr>
                  <w:tr>
                    <w:trPr>
                      <w:trHeight w:val="402" w:hRule="exact"/>
                    </w:trPr>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624" w:lineRule="exact"/>
        <w:ind w:left="6255"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73.15pt;height:31.2pt;mso-position-horizontal-relative:char;mso-position-vertical-relative:line" coordorigin="0,0" coordsize="3463,624">
            <v:group style="position:absolute;left:0;top:0;width:3463;height:624" coordorigin="0,0" coordsize="3463,624">
              <v:shape style="position:absolute;left:0;top:0;width:3463;height:624" coordorigin="0,0" coordsize="3463,624" path="m0,624l3462,624,3462,0,0,0,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5"/>
        <w:gridCol w:w="6733"/>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5"/>
        <w:gridCol w:w="6733"/>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我们认为，亚联发展保持了按照《企业内部控制基本规范》和相关规定于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 务报表相关的有效的内部控制。</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日巨潮资讯网（网址为：</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）披露的《公 </w:t>
            </w:r>
            <w:r>
              <w:rPr>
                <w:rFonts w:ascii="宋体" w:hAnsi="宋体" w:cs="宋体" w:eastAsia="宋体" w:hint="default"/>
                <w:spacing w:val="-9"/>
                <w:sz w:val="18"/>
                <w:szCs w:val="18"/>
              </w:rPr>
              <w:t>司内部控制鉴证报告》。</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中喜会计师事务所（特殊普通合伙）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中喜审字【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饶世旗、周香萍</w:t>
            </w:r>
          </w:p>
        </w:tc>
      </w:tr>
    </w:tbl>
    <w:p>
      <w:pPr>
        <w:pStyle w:val="BodyText"/>
        <w:spacing w:line="240" w:lineRule="auto" w:before="51"/>
        <w:ind w:left="0" w:right="976"/>
        <w:jc w:val="center"/>
      </w:pPr>
      <w:r>
        <w:rPr/>
        <w:t>审计报告正文</w:t>
      </w:r>
    </w:p>
    <w:p>
      <w:pPr>
        <w:pStyle w:val="Heading5"/>
        <w:spacing w:line="240" w:lineRule="auto" w:before="115"/>
        <w:ind w:left="515" w:right="0"/>
        <w:jc w:val="left"/>
        <w:rPr>
          <w:b w:val="0"/>
          <w:bCs w:val="0"/>
        </w:rPr>
      </w:pPr>
      <w:r>
        <w:rPr/>
        <w:t>（一）审计意见</w:t>
      </w:r>
      <w:r>
        <w:rPr>
          <w:b w:val="0"/>
          <w:bCs w:val="0"/>
        </w:rPr>
      </w:r>
    </w:p>
    <w:p>
      <w:pPr>
        <w:pStyle w:val="BodyText"/>
        <w:spacing w:line="300" w:lineRule="auto" w:before="76"/>
        <w:ind w:right="1161" w:firstLine="360"/>
        <w:jc w:val="both"/>
      </w:pPr>
      <w:r>
        <w:rPr/>
        <w:t>我们审计了后附的深圳亚联发展科技股份有限公司（以下简称</w:t>
      </w:r>
      <w:r>
        <w:rPr>
          <w:rFonts w:ascii="Times New Roman" w:hAnsi="Times New Roman" w:cs="Times New Roman" w:eastAsia="Times New Roman" w:hint="default"/>
        </w:rPr>
        <w:t>“</w:t>
      </w:r>
      <w:r>
        <w:rPr/>
        <w:t>亚联发展公司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 并及母公司资产负债表，</w:t>
      </w:r>
      <w:r>
        <w:rPr>
          <w:rFonts w:ascii="Times New Roman" w:hAnsi="Times New Roman" w:cs="Times New Roman" w:eastAsia="Times New Roman" w:hint="default"/>
        </w:rPr>
        <w:t>2018</w:t>
      </w:r>
      <w:r>
        <w:rPr/>
        <w:t>年度的合并及母公司利润表、合并及母公司现金流量表、合并及母公司股东权益变动表以及</w:t>
      </w:r>
      <w:r>
        <w:rPr>
          <w:spacing w:val="-33"/>
        </w:rPr>
        <w:t> </w:t>
      </w:r>
      <w:r>
        <w:rPr>
          <w:spacing w:val="-33"/>
        </w:rPr>
      </w:r>
      <w:r>
        <w:rPr/>
        <w:t>相关财务报表附注。</w:t>
      </w:r>
    </w:p>
    <w:p>
      <w:pPr>
        <w:pStyle w:val="BodyText"/>
        <w:spacing w:line="300" w:lineRule="auto" w:before="31"/>
        <w:ind w:right="1160" w:firstLine="360"/>
        <w:jc w:val="both"/>
      </w:pPr>
      <w:r>
        <w:rPr/>
        <w:t>我们认为，后附的财务报表在所有重大方面按照企业会计准则的规定编制，公允反映了亚联发展公司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合并及母公司的财务状况以及</w:t>
      </w:r>
      <w:r>
        <w:rPr>
          <w:rFonts w:ascii="Times New Roman" w:hAnsi="Times New Roman" w:cs="Times New Roman" w:eastAsia="Times New Roman" w:hint="default"/>
        </w:rPr>
        <w:t>2018</w:t>
      </w:r>
      <w:r>
        <w:rPr/>
        <w:t>年度的合并及母公司经营成果和现金流量。</w:t>
      </w:r>
    </w:p>
    <w:p>
      <w:pPr>
        <w:spacing w:line="240" w:lineRule="auto" w:before="11"/>
        <w:rPr>
          <w:rFonts w:ascii="宋体" w:hAnsi="宋体" w:cs="宋体" w:eastAsia="宋体" w:hint="default"/>
          <w:sz w:val="24"/>
          <w:szCs w:val="24"/>
        </w:rPr>
      </w:pPr>
    </w:p>
    <w:p>
      <w:pPr>
        <w:pStyle w:val="BodyText"/>
        <w:spacing w:line="319" w:lineRule="auto"/>
        <w:ind w:left="514" w:right="0"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w:t>
      </w:r>
    </w:p>
    <w:p>
      <w:pPr>
        <w:pStyle w:val="BodyText"/>
        <w:spacing w:line="316" w:lineRule="auto"/>
        <w:ind w:right="0"/>
        <w:jc w:val="left"/>
      </w:pPr>
      <w:r>
        <w:rPr/>
        <w:t>步阐述了我们在这些准则下的责任。按照中国注册会计师职业道德守则，我们独立于亚联发展公司，并履行了职业道德方</w:t>
      </w:r>
      <w:r>
        <w:rPr>
          <w:spacing w:val="-36"/>
        </w:rPr>
        <w:t> </w:t>
      </w:r>
      <w:r>
        <w:rPr>
          <w:spacing w:val="-36"/>
        </w:rPr>
      </w:r>
      <w:r>
        <w:rPr/>
        <w:t>面的其他责任。我们相信，我们获取的审计证据是充分、适当的，为发表审计意见提供了基础。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514" w:right="0" w:firstLine="1"/>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关键审计事项是根据我们的职业判断，认为对本期财务报表审计最为重要的事项。这些事项的应对以对财务报表整体</w:t>
      </w:r>
    </w:p>
    <w:p>
      <w:pPr>
        <w:pStyle w:val="BodyText"/>
        <w:spacing w:line="316" w:lineRule="auto" w:before="19"/>
        <w:ind w:right="1118"/>
        <w:jc w:val="left"/>
      </w:pPr>
      <w:r>
        <w:rPr/>
        <w:t>进行审计并形成审计意见为背景，我们不对这些事项单独发表意见。我们确定下列事项是需要在审计报告中沟通的关键审</w:t>
      </w:r>
      <w:r>
        <w:rPr>
          <w:spacing w:val="-36"/>
        </w:rPr>
        <w:t> </w:t>
      </w:r>
      <w:r>
        <w:rPr>
          <w:spacing w:val="-36"/>
        </w:rPr>
      </w:r>
      <w:r>
        <w:rPr/>
        <w:t>计事项。</w:t>
      </w:r>
    </w:p>
    <w:p>
      <w:pPr>
        <w:pStyle w:val="BodyText"/>
        <w:spacing w:line="240" w:lineRule="auto" w:before="19"/>
        <w:ind w:left="514" w:right="0"/>
        <w:jc w:val="left"/>
      </w:pPr>
      <w:r>
        <w:rPr>
          <w:rFonts w:ascii="Times New Roman" w:hAnsi="Times New Roman" w:cs="Times New Roman" w:eastAsia="Times New Roman" w:hint="default"/>
        </w:rPr>
        <w:t>1</w:t>
      </w:r>
      <w:r>
        <w:rPr/>
        <w:t>、收入确认</w:t>
      </w:r>
    </w:p>
    <w:p>
      <w:pPr>
        <w:pStyle w:val="BodyText"/>
        <w:spacing w:line="300" w:lineRule="auto" w:before="63"/>
        <w:ind w:left="514" w:right="1118"/>
        <w:jc w:val="left"/>
      </w:pPr>
      <w:r>
        <w:rPr/>
        <w:t>（</w:t>
      </w:r>
      <w:r>
        <w:rPr>
          <w:rFonts w:ascii="Times New Roman" w:hAnsi="Times New Roman" w:cs="Times New Roman" w:eastAsia="Times New Roman" w:hint="default"/>
        </w:rPr>
        <w:t>1</w:t>
      </w:r>
      <w:r>
        <w:rPr/>
        <w:t>）事项描述 亚联发展公司关于收入确认的披露参见附注：四、重要会计政策及会计估计</w:t>
      </w:r>
      <w:r>
        <w:rPr>
          <w:rFonts w:ascii="Times New Roman" w:hAnsi="Times New Roman" w:cs="Times New Roman" w:eastAsia="Times New Roman" w:hint="default"/>
        </w:rPr>
        <w:t>23</w:t>
      </w:r>
      <w:r>
        <w:rPr/>
        <w:t>、收入，具体数据参见附注：六、合并</w:t>
      </w:r>
    </w:p>
    <w:p>
      <w:pPr>
        <w:pStyle w:val="BodyText"/>
        <w:spacing w:line="300" w:lineRule="auto" w:before="13"/>
        <w:ind w:left="514" w:right="0" w:hanging="360"/>
        <w:jc w:val="left"/>
      </w:pPr>
      <w:r>
        <w:rPr/>
        <w:t>财务报表主要项目注释</w:t>
      </w:r>
      <w:r>
        <w:rPr>
          <w:rFonts w:ascii="Times New Roman" w:hAnsi="Times New Roman" w:cs="Times New Roman" w:eastAsia="Times New Roman" w:hint="default"/>
        </w:rPr>
        <w:t>34</w:t>
      </w:r>
      <w:r>
        <w:rPr/>
        <w:t>、营业收入和营业成本。 亚联发展公司原来主要从事专网信息通信技术解决方案业务的服务商，主要为能源、交通等行业提供信息通信技术解</w:t>
      </w:r>
    </w:p>
    <w:p>
      <w:pPr>
        <w:pStyle w:val="BodyText"/>
        <w:spacing w:line="309" w:lineRule="auto" w:before="31"/>
        <w:ind w:right="0"/>
        <w:jc w:val="left"/>
      </w:pPr>
      <w:r>
        <w:rPr>
          <w:spacing w:val="-2"/>
        </w:rPr>
        <w:t>决方案，包括相关软硬件产品的研发、制造与服务。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日收购上海即富信息技术服务有限公司（简称</w:t>
      </w:r>
      <w:r>
        <w:rPr>
          <w:rFonts w:ascii="Times New Roman" w:hAnsi="Times New Roman" w:cs="Times New Roman" w:eastAsia="Times New Roman" w:hint="default"/>
          <w:spacing w:val="-2"/>
        </w:rPr>
        <w:t>“</w:t>
      </w:r>
      <w:r>
        <w:rPr>
          <w:spacing w:val="-2"/>
        </w:rPr>
        <w:t>上海即富</w:t>
      </w:r>
      <w:r>
        <w:rPr>
          <w:rFonts w:ascii="Times New Roman" w:hAnsi="Times New Roman" w:cs="Times New Roman" w:eastAsia="Times New Roman" w:hint="default"/>
          <w:spacing w:val="-2"/>
        </w:rPr>
        <w:t>”</w:t>
      </w:r>
      <w:r>
        <w:rPr>
          <w:spacing w:val="-2"/>
        </w:rPr>
        <w:t>）</w:t>
      </w:r>
      <w:r>
        <w:rPr>
          <w:spacing w:val="-64"/>
        </w:rPr>
        <w:t> </w:t>
      </w:r>
      <w:r>
        <w:rPr/>
        <w:t>后，增加了第三方支付服务业务。由于收入是亚联发展公司的关键业绩指标之一，从而存在管理层为了达到特定目标或期</w:t>
      </w:r>
      <w:r>
        <w:rPr>
          <w:spacing w:val="-36"/>
        </w:rPr>
        <w:t> </w:t>
      </w:r>
      <w:r>
        <w:rPr>
          <w:spacing w:val="-36"/>
        </w:rPr>
      </w:r>
      <w:r>
        <w:rPr/>
        <w:t>望而操纵收入确认时点的固有风险，因此我们将亚联发展公司的收入确认识别为关键审计事项。</w:t>
      </w:r>
    </w:p>
    <w:p>
      <w:pPr>
        <w:pStyle w:val="BodyText"/>
        <w:spacing w:line="240" w:lineRule="auto" w:before="24"/>
        <w:ind w:left="514" w:right="0"/>
        <w:jc w:val="left"/>
      </w:pPr>
      <w:r>
        <w:rPr/>
        <w:t>（</w:t>
      </w:r>
      <w:r>
        <w:rPr>
          <w:rFonts w:ascii="Times New Roman" w:hAnsi="Times New Roman" w:cs="Times New Roman" w:eastAsia="Times New Roman" w:hint="default"/>
        </w:rPr>
        <w:t>2</w:t>
      </w:r>
      <w:r>
        <w:rPr/>
        <w:t>）审计应对</w:t>
      </w:r>
    </w:p>
    <w:p>
      <w:pPr>
        <w:pStyle w:val="BodyText"/>
        <w:spacing w:line="240" w:lineRule="auto" w:before="63"/>
        <w:ind w:left="514" w:right="0"/>
        <w:jc w:val="left"/>
      </w:pPr>
      <w:r>
        <w:rPr/>
        <w:t>①了解和评价管理层与收入确认相关的关键内部控制的设计和运行有效性；</w:t>
      </w:r>
    </w:p>
    <w:p>
      <w:pPr>
        <w:pStyle w:val="BodyText"/>
        <w:spacing w:line="316" w:lineRule="auto" w:before="77"/>
        <w:ind w:right="1230" w:firstLine="360"/>
        <w:jc w:val="both"/>
      </w:pPr>
      <w:r>
        <w:rPr/>
        <w:t>②选取样本检查销售合同，识别与商品所有权上的风险和报酬转移相关的合同条款与条件，评价亚联发展公司的收入 确认时点是否符合企业会计准则的要求；</w:t>
      </w:r>
    </w:p>
    <w:p>
      <w:pPr>
        <w:pStyle w:val="BodyText"/>
        <w:spacing w:line="316" w:lineRule="auto" w:before="19"/>
        <w:ind w:right="1168" w:firstLine="360"/>
        <w:jc w:val="both"/>
      </w:pPr>
      <w:r>
        <w:rPr/>
        <w:t>③对本年记录的收入交易选取样本，核对发票、销售合同及出库单，评价相关收入确认是否符合亚联发展公司收入确 认的会计政策；</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firstLine="360"/>
        <w:jc w:val="left"/>
      </w:pPr>
      <w:r>
        <w:rPr/>
        <w:t>④就资产负债表日前后记录的收入交易，选取样本，核对出库单及其他支持性文件，以评价收入是否被记录于恰当的 会计期间；</w:t>
      </w:r>
    </w:p>
    <w:p>
      <w:pPr>
        <w:pStyle w:val="BodyText"/>
        <w:spacing w:line="316" w:lineRule="auto" w:before="19"/>
        <w:ind w:right="0" w:firstLine="360"/>
        <w:jc w:val="left"/>
      </w:pPr>
      <w:r>
        <w:rPr/>
        <w:t>⑤我们通过合理的抽样方法，选取了一定数量的客户进行了函证；并对个别重要客户实施了实地走访，分析评估亚联 发展公司及其子公司记录的营业收入的真实性；</w:t>
      </w:r>
    </w:p>
    <w:p>
      <w:pPr>
        <w:pStyle w:val="BodyText"/>
        <w:spacing w:line="300" w:lineRule="auto" w:before="19"/>
        <w:ind w:left="514" w:right="2927"/>
        <w:jc w:val="left"/>
      </w:pPr>
      <w:r>
        <w:rPr>
          <w:rFonts w:ascii="Times New Roman" w:hAnsi="Times New Roman" w:cs="Times New Roman" w:eastAsia="Times New Roman" w:hint="default"/>
        </w:rPr>
        <w:t>a.</w:t>
      </w:r>
      <w:r>
        <w:rPr/>
        <w:t>针对子公司第三支付业务收入，我们还实施了以下主要审计程序： </w:t>
      </w:r>
      <w:r>
        <w:rPr>
          <w:rFonts w:ascii="Times New Roman" w:hAnsi="Times New Roman" w:cs="Times New Roman" w:eastAsia="Times New Roman" w:hint="default"/>
        </w:rPr>
        <w:t>b.</w:t>
      </w:r>
      <w:r>
        <w:rPr/>
        <w:t>取得了公司业务系统的相关认证证书和检测报告； </w:t>
      </w:r>
      <w:r>
        <w:rPr>
          <w:rFonts w:ascii="Times New Roman" w:hAnsi="Times New Roman" w:cs="Times New Roman" w:eastAsia="Times New Roman" w:hint="default"/>
        </w:rPr>
        <w:t>c.</w:t>
      </w:r>
      <w:r>
        <w:rPr/>
        <w:t>对公司的收单业务系统和</w:t>
      </w:r>
      <w:r>
        <w:rPr>
          <w:rFonts w:ascii="Times New Roman" w:hAnsi="Times New Roman" w:cs="Times New Roman" w:eastAsia="Times New Roman" w:hint="default"/>
        </w:rPr>
        <w:t>MPOS</w:t>
      </w:r>
      <w:r>
        <w:rPr/>
        <w:t>系统的相关控制实施了</w:t>
      </w:r>
      <w:r>
        <w:rPr>
          <w:rFonts w:ascii="Times New Roman" w:hAnsi="Times New Roman" w:cs="Times New Roman" w:eastAsia="Times New Roman" w:hint="default"/>
        </w:rPr>
        <w:t>IT</w:t>
      </w:r>
      <w:r>
        <w:rPr/>
        <w:t>审计； </w:t>
      </w:r>
      <w:r>
        <w:rPr>
          <w:rFonts w:ascii="Times New Roman" w:hAnsi="Times New Roman" w:cs="Times New Roman" w:eastAsia="Times New Roman" w:hint="default"/>
        </w:rPr>
        <w:t>d.</w:t>
      </w:r>
      <w:r>
        <w:rPr/>
        <w:t>选取适当的银联结算单样本，与公司收单业务系统和</w:t>
      </w:r>
      <w:r>
        <w:rPr>
          <w:rFonts w:ascii="Times New Roman" w:hAnsi="Times New Roman" w:cs="Times New Roman" w:eastAsia="Times New Roman" w:hint="default"/>
        </w:rPr>
        <w:t>MPOS</w:t>
      </w:r>
      <w:r>
        <w:rPr/>
        <w:t>系统的资金结算情况进行了核对； </w:t>
      </w:r>
      <w:r>
        <w:rPr>
          <w:rFonts w:ascii="Times New Roman" w:hAnsi="Times New Roman" w:cs="Times New Roman" w:eastAsia="Times New Roman" w:hint="default"/>
        </w:rPr>
        <w:t>e.</w:t>
      </w:r>
      <w:r>
        <w:rPr/>
        <w:t>对</w:t>
      </w:r>
      <w:r>
        <w:rPr>
          <w:rFonts w:ascii="Times New Roman" w:hAnsi="Times New Roman" w:cs="Times New Roman" w:eastAsia="Times New Roman" w:hint="default"/>
        </w:rPr>
        <w:t>2018</w:t>
      </w:r>
      <w:r>
        <w:rPr/>
        <w:t>年度手续费收入与资金结算量比例进行了分析，并与上年数进行了比较分析； </w:t>
      </w:r>
      <w:r>
        <w:rPr>
          <w:rFonts w:ascii="Times New Roman" w:hAnsi="Times New Roman" w:cs="Times New Roman" w:eastAsia="Times New Roman" w:hint="default"/>
        </w:rPr>
        <w:t>f.</w:t>
      </w:r>
      <w:r>
        <w:rPr/>
        <w:t>选取适当的手续费收入样本，对手续费收入进行了重新计算。</w:t>
      </w:r>
    </w:p>
    <w:p>
      <w:pPr>
        <w:pStyle w:val="BodyText"/>
        <w:spacing w:line="240" w:lineRule="auto" w:before="13"/>
        <w:ind w:left="514" w:right="0"/>
        <w:jc w:val="left"/>
      </w:pPr>
      <w:r>
        <w:rPr>
          <w:rFonts w:ascii="Times New Roman" w:hAnsi="Times New Roman" w:cs="Times New Roman" w:eastAsia="Times New Roman" w:hint="default"/>
        </w:rPr>
        <w:t>2</w:t>
      </w:r>
      <w:r>
        <w:rPr/>
        <w:t>、应收款项的可收回性</w:t>
      </w:r>
    </w:p>
    <w:p>
      <w:pPr>
        <w:pStyle w:val="BodyText"/>
        <w:spacing w:line="240" w:lineRule="auto" w:before="63"/>
        <w:ind w:left="514" w:right="0"/>
        <w:jc w:val="left"/>
      </w:pPr>
      <w:r>
        <w:rPr/>
        <w:t>（</w:t>
      </w:r>
      <w:r>
        <w:rPr>
          <w:rFonts w:ascii="Times New Roman" w:hAnsi="Times New Roman" w:cs="Times New Roman" w:eastAsia="Times New Roman" w:hint="default"/>
        </w:rPr>
        <w:t>1</w:t>
      </w:r>
      <w:r>
        <w:rPr/>
        <w:t>）事项描述</w:t>
      </w:r>
    </w:p>
    <w:p>
      <w:pPr>
        <w:pStyle w:val="BodyText"/>
        <w:spacing w:line="240" w:lineRule="auto" w:before="63"/>
        <w:ind w:left="51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日，亚联发展公司应收账款账面余额为</w:t>
      </w:r>
      <w:r>
        <w:rPr>
          <w:rFonts w:ascii="Times New Roman" w:hAnsi="Times New Roman" w:cs="Times New Roman" w:eastAsia="Times New Roman" w:hint="default"/>
        </w:rPr>
        <w:t>738,964,330.93</w:t>
      </w:r>
      <w:r>
        <w:rPr/>
        <w:t>元，坏账准备为</w:t>
      </w:r>
      <w:r>
        <w:rPr>
          <w:rFonts w:ascii="Times New Roman" w:hAnsi="Times New Roman" w:cs="Times New Roman" w:eastAsia="Times New Roman" w:hint="default"/>
        </w:rPr>
        <w:t>129,789,322.44</w:t>
      </w:r>
      <w:r>
        <w:rPr/>
        <w:t>元，数据详见附注六、</w:t>
      </w:r>
    </w:p>
    <w:p>
      <w:pPr>
        <w:pStyle w:val="BodyText"/>
        <w:spacing w:line="300" w:lineRule="auto" w:before="63"/>
        <w:ind w:right="1164"/>
        <w:jc w:val="both"/>
      </w:pPr>
      <w:r>
        <w:rPr>
          <w:rFonts w:ascii="Times New Roman" w:hAnsi="Times New Roman" w:cs="Times New Roman" w:eastAsia="Times New Roman" w:hint="default"/>
          <w:spacing w:val="-1"/>
        </w:rPr>
        <w:t>4</w:t>
      </w:r>
      <w:r>
        <w:rPr>
          <w:spacing w:val="-1"/>
        </w:rPr>
        <w:t>、亚联发展公司在对应收账款的可回收性进行评估时，需要综合考虑应收账款的账龄、债务人的还款记录等。由于应收账</w:t>
      </w:r>
      <w:r>
        <w:rPr>
          <w:spacing w:val="-60"/>
        </w:rPr>
        <w:t> </w:t>
      </w:r>
      <w:r>
        <w:rPr>
          <w:spacing w:val="-60"/>
        </w:rPr>
      </w:r>
      <w:r>
        <w:rPr/>
        <w:t>款余额重大且坏账准备的评估涉及复杂且重大的管理层判断，因此我们将其作为关键审计事项。</w:t>
      </w:r>
    </w:p>
    <w:p>
      <w:pPr>
        <w:pStyle w:val="BodyText"/>
        <w:spacing w:line="240" w:lineRule="auto" w:before="31"/>
        <w:ind w:left="514" w:right="0"/>
        <w:jc w:val="left"/>
      </w:pPr>
      <w:r>
        <w:rPr/>
        <w:t>（</w:t>
      </w:r>
      <w:r>
        <w:rPr>
          <w:rFonts w:ascii="Times New Roman" w:hAnsi="Times New Roman" w:cs="Times New Roman" w:eastAsia="Times New Roman" w:hint="default"/>
        </w:rPr>
        <w:t>2</w:t>
      </w:r>
      <w:r>
        <w:rPr/>
        <w:t>）审计应对：</w:t>
      </w:r>
    </w:p>
    <w:p>
      <w:pPr>
        <w:pStyle w:val="BodyText"/>
        <w:spacing w:line="240" w:lineRule="auto" w:before="63"/>
        <w:ind w:left="514" w:right="0"/>
        <w:jc w:val="left"/>
      </w:pPr>
      <w:r>
        <w:rPr/>
        <w:t>①评估并测试应收账款管理的内部控制设计和执行有效性；</w:t>
      </w:r>
    </w:p>
    <w:p>
      <w:pPr>
        <w:pStyle w:val="BodyText"/>
        <w:spacing w:line="240" w:lineRule="auto" w:before="76"/>
        <w:ind w:left="514" w:right="0"/>
        <w:jc w:val="left"/>
      </w:pPr>
      <w:r>
        <w:rPr/>
        <w:t>②分析采用的会计政策的合理性，包括确定应收账款组合的依据、金额重大的判断、单独计提坏账准备的判断等；</w:t>
      </w:r>
    </w:p>
    <w:p>
      <w:pPr>
        <w:pStyle w:val="BodyText"/>
        <w:spacing w:line="316" w:lineRule="auto" w:before="76"/>
        <w:ind w:right="0" w:firstLine="360"/>
        <w:jc w:val="left"/>
      </w:pPr>
      <w:r>
        <w:rPr>
          <w:spacing w:val="-1"/>
        </w:rPr>
        <w:t>③通过分析应收账款的账龄、客户信誉情况和客户的历史回款情况，并执行应收账款函证程序及检查期后回款情况等，</w:t>
      </w:r>
      <w:r>
        <w:rPr/>
        <w:t> 评价应收账款坏账准备计提比例的合理性；</w:t>
      </w:r>
    </w:p>
    <w:p>
      <w:pPr>
        <w:pStyle w:val="BodyText"/>
        <w:spacing w:line="240" w:lineRule="auto" w:before="19"/>
        <w:ind w:left="514" w:right="0"/>
        <w:jc w:val="left"/>
      </w:pPr>
      <w:r>
        <w:rPr/>
        <w:t>④获取坏账准备计提表，检查计提方法是否按照坏账政策执行；重新计算坏账计提金额是否准确。</w:t>
      </w:r>
    </w:p>
    <w:p>
      <w:pPr>
        <w:pStyle w:val="BodyText"/>
        <w:spacing w:line="240" w:lineRule="auto" w:before="76"/>
        <w:ind w:left="514" w:right="0"/>
        <w:jc w:val="left"/>
      </w:pPr>
      <w:r>
        <w:rPr>
          <w:rFonts w:ascii="Times New Roman" w:hAnsi="Times New Roman" w:cs="Times New Roman" w:eastAsia="Times New Roman" w:hint="default"/>
        </w:rPr>
        <w:t>3</w:t>
      </w:r>
      <w:r>
        <w:rPr/>
        <w:t>、商誉减值</w:t>
      </w:r>
    </w:p>
    <w:p>
      <w:pPr>
        <w:pStyle w:val="BodyText"/>
        <w:spacing w:line="300" w:lineRule="auto" w:before="63"/>
        <w:ind w:left="514" w:right="1118"/>
        <w:jc w:val="left"/>
      </w:pPr>
      <w:r>
        <w:rPr/>
        <w:t>（</w:t>
      </w: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日，因收购子公司产生的商誉余额为人民币</w:t>
      </w:r>
      <w:r>
        <w:rPr>
          <w:rFonts w:ascii="Times New Roman" w:hAnsi="Times New Roman" w:cs="Times New Roman" w:eastAsia="Times New Roman" w:hint="default"/>
        </w:rPr>
        <w:t>8.5948</w:t>
      </w:r>
      <w:r>
        <w:rPr/>
        <w:t>亿元，其中收购上海即富产生商誉</w:t>
      </w:r>
      <w:r>
        <w:rPr>
          <w:rFonts w:ascii="Times New Roman" w:hAnsi="Times New Roman" w:cs="Times New Roman" w:eastAsia="Times New Roman" w:hint="default"/>
        </w:rPr>
        <w:t>8.5861</w:t>
      </w:r>
      <w:r>
        <w:rPr/>
        <w:t>亿元。 企业合并形成的商誉，公司至少在每年年度终了进行减值测试。减值测试要求估计包含商誉的相关资产组的可收回金</w:t>
      </w:r>
    </w:p>
    <w:p>
      <w:pPr>
        <w:pStyle w:val="BodyText"/>
        <w:spacing w:line="316" w:lineRule="auto" w:before="31"/>
        <w:ind w:right="1164"/>
        <w:jc w:val="both"/>
      </w:pPr>
      <w:r>
        <w:rPr/>
        <w:t>额，即相关资产组的公允价值减去处置费用后的净额与相关资产组预计未来现金流量的现值两者之中的较高者。在确定相</w:t>
      </w:r>
      <w:r>
        <w:rPr>
          <w:spacing w:val="-36"/>
        </w:rPr>
        <w:t> </w:t>
      </w:r>
      <w:r>
        <w:rPr>
          <w:spacing w:val="-36"/>
        </w:rPr>
      </w:r>
      <w:r>
        <w:rPr/>
        <w:t>关资产组预计未来现金流量的现值时，公司需要恰当的预测相关资产组未来现金流的长期平均增长率和合理的确定计算相</w:t>
      </w:r>
      <w:r>
        <w:rPr>
          <w:spacing w:val="-36"/>
        </w:rPr>
        <w:t> </w:t>
      </w:r>
      <w:r>
        <w:rPr>
          <w:spacing w:val="-36"/>
        </w:rPr>
      </w:r>
      <w:r>
        <w:rPr/>
        <w:t>关资产组预计未来现金流量现值所采用的折现率，这涉及公司管理层运用重大会计估计和判断，同时考虑商誉对于财务报</w:t>
      </w:r>
      <w:r>
        <w:rPr>
          <w:spacing w:val="-36"/>
        </w:rPr>
        <w:t> </w:t>
      </w:r>
      <w:r>
        <w:rPr>
          <w:spacing w:val="-36"/>
        </w:rPr>
      </w:r>
      <w:r>
        <w:rPr/>
        <w:t>表整体的重要性，因此我们将商誉减值作为关键审计事项。</w:t>
      </w:r>
    </w:p>
    <w:p>
      <w:pPr>
        <w:pStyle w:val="BodyText"/>
        <w:spacing w:line="312" w:lineRule="auto" w:before="19"/>
        <w:ind w:right="1163" w:firstLine="360"/>
        <w:jc w:val="both"/>
      </w:pPr>
      <w:r>
        <w:rPr>
          <w:rFonts w:ascii="Times New Roman" w:hAnsi="Times New Roman" w:cs="Times New Roman" w:eastAsia="Times New Roman" w:hint="default"/>
        </w:rPr>
        <w:t>2018</w:t>
      </w:r>
      <w:r>
        <w:rPr/>
        <w:t>年期末，公司管理层对商誉作了减值测试。减值测试结果是基于各资产组的可回收金额为依据进行测算的。管理 层将上海即富确认为单个资产组。管理层采用折现现金流量模型对上海即富的可回收金额进行评估，关键假设包含收入增</w:t>
      </w:r>
      <w:r>
        <w:rPr>
          <w:spacing w:val="-35"/>
        </w:rPr>
        <w:t> </w:t>
      </w:r>
      <w:r>
        <w:rPr>
          <w:spacing w:val="-35"/>
        </w:rPr>
      </w:r>
      <w:r>
        <w:rPr/>
        <w:t>长率，永续增长率及折现率等参数。选取适当的参数对资产组的可回收金额进行评估，以及商誉减值准备的计提金额均涉</w:t>
      </w:r>
      <w:r>
        <w:rPr>
          <w:spacing w:val="-36"/>
        </w:rPr>
        <w:t> </w:t>
      </w:r>
      <w:r>
        <w:rPr>
          <w:spacing w:val="-36"/>
        </w:rPr>
      </w:r>
      <w:r>
        <w:rPr/>
        <w:t>及管理层的重大判断。</w:t>
      </w:r>
    </w:p>
    <w:p>
      <w:pPr>
        <w:pStyle w:val="BodyText"/>
        <w:spacing w:line="300" w:lineRule="auto" w:before="22"/>
        <w:ind w:left="514" w:right="1118"/>
        <w:jc w:val="left"/>
      </w:pPr>
      <w:r>
        <w:rPr/>
        <w:t>（</w:t>
      </w:r>
      <w:r>
        <w:rPr>
          <w:rFonts w:ascii="Times New Roman" w:hAnsi="Times New Roman" w:cs="Times New Roman" w:eastAsia="Times New Roman" w:hint="default"/>
        </w:rPr>
        <w:t>2</w:t>
      </w:r>
      <w:r>
        <w:rPr/>
        <w:t>）应对措施 我们评估了管理层依据《深圳亚联发展科技股份有限公司拟进行商誉减值测试所涉及的上海即富信息技术服务有限公</w:t>
      </w:r>
    </w:p>
    <w:p>
      <w:pPr>
        <w:pStyle w:val="BodyText"/>
        <w:spacing w:line="316" w:lineRule="auto" w:before="31"/>
        <w:ind w:right="1160"/>
        <w:jc w:val="both"/>
      </w:pPr>
      <w:r>
        <w:rPr/>
        <w:t>司资产组可回收价值资产评估报告》中可收回金额所引入的重要参数和假设，包括我们对第三方支付行业过去经营情况的</w:t>
      </w:r>
      <w:r>
        <w:rPr>
          <w:spacing w:val="-36"/>
        </w:rPr>
        <w:t> </w:t>
      </w:r>
      <w:r>
        <w:rPr>
          <w:spacing w:val="-36"/>
        </w:rPr>
      </w:r>
      <w:r>
        <w:rPr/>
        <w:t>了解及未来发展趋势的分析和判断，并将上海即富的历史财务数据与管理层作出的业绩承诺、行业发展趋势进行了综合分</w:t>
      </w:r>
      <w:r>
        <w:rPr>
          <w:spacing w:val="-33"/>
        </w:rPr>
        <w:t> </w:t>
      </w:r>
      <w:r>
        <w:rPr>
          <w:spacing w:val="-33"/>
        </w:rPr>
      </w:r>
      <w:r>
        <w:rPr/>
        <w:t>析比较，检查相关假设和方法的合理性。</w:t>
      </w:r>
    </w:p>
    <w:p>
      <w:pPr>
        <w:pStyle w:val="BodyText"/>
        <w:spacing w:line="316" w:lineRule="auto" w:before="19"/>
        <w:ind w:right="0" w:firstLine="360"/>
        <w:jc w:val="left"/>
      </w:pPr>
      <w:r>
        <w:rPr/>
        <w:t>我们利用了评估专家的工作。我们充分关注了评估专家的独立性及专业胜任能力。我们了解减值测试结果最为敏感的 假设，并分析检查管理层采用的假设的恰当性及相关披露是否适当。</w:t>
      </w:r>
    </w:p>
    <w:p>
      <w:pPr>
        <w:spacing w:line="240" w:lineRule="auto" w:before="4"/>
        <w:rPr>
          <w:rFonts w:ascii="宋体" w:hAnsi="宋体" w:cs="宋体" w:eastAsia="宋体" w:hint="default"/>
          <w:sz w:val="25"/>
          <w:szCs w:val="25"/>
        </w:rPr>
      </w:pPr>
    </w:p>
    <w:p>
      <w:pPr>
        <w:pStyle w:val="BodyText"/>
        <w:spacing w:line="309" w:lineRule="auto"/>
        <w:ind w:left="514" w:right="1752" w:firstLine="1"/>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w:t>
      </w:r>
      <w:r>
        <w:rPr>
          <w:rFonts w:ascii="Times New Roman" w:hAnsi="Times New Roman" w:cs="Times New Roman" w:eastAsia="Times New Roman" w:hint="default"/>
        </w:rPr>
        <w:t>2018</w:t>
      </w:r>
      <w:r>
        <w:rPr/>
        <w:t>年年度报告中涵盖的信息，但不包括财务报表和我们的审计报告。 我们对财务报表发表的审计意见不涵盖其他信息，我们也不对其他信息发表任何形式的鉴证结论。</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61" w:firstLine="360"/>
        <w:jc w:val="both"/>
      </w:pPr>
      <w:r>
        <w:rPr/>
        <w:t>结合我们对财务报表的审计，我们的责任是阅读其他信息，在此过程中，考虑其他信息是否与财务报表或我们在审计 过程中了解到的情况存在重大不一致或者似乎存在重大错报。</w:t>
      </w:r>
    </w:p>
    <w:p>
      <w:pPr>
        <w:pStyle w:val="BodyText"/>
        <w:spacing w:line="316" w:lineRule="auto" w:before="19"/>
        <w:ind w:right="1168" w:firstLine="360"/>
        <w:jc w:val="both"/>
      </w:pPr>
      <w:r>
        <w:rPr/>
        <w:t>基于我们已执行的工作，如果我们确定其他信息存在重大错报，我们应当报告该事实。在这方面，我们无任何事项需 要报告。</w:t>
      </w:r>
    </w:p>
    <w:p>
      <w:pPr>
        <w:spacing w:line="240" w:lineRule="auto" w:before="4"/>
        <w:rPr>
          <w:rFonts w:ascii="宋体" w:hAnsi="宋体" w:cs="宋体" w:eastAsia="宋体" w:hint="default"/>
          <w:sz w:val="25"/>
          <w:szCs w:val="25"/>
        </w:rPr>
      </w:pPr>
    </w:p>
    <w:p>
      <w:pPr>
        <w:spacing w:line="316" w:lineRule="auto" w:before="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管理层负责按照企业会计准则的规定编制财务报表，使其实现公允反映，并设计、执行和维护必要的内部控制，以使</w:t>
      </w:r>
    </w:p>
    <w:p>
      <w:pPr>
        <w:pStyle w:val="BodyText"/>
        <w:spacing w:line="316" w:lineRule="auto" w:before="19"/>
        <w:ind w:left="514" w:right="0" w:hanging="360"/>
        <w:jc w:val="left"/>
      </w:pPr>
      <w:r>
        <w:rPr/>
        <w:t>财务报表不存在由于舞弊或错误导致的重大错报。 在编制财务报表时，管理层负责评估亚联发展公司的持续经营能力，披露与持续经营相关的事项，并运用持续经营假</w:t>
      </w:r>
    </w:p>
    <w:p>
      <w:pPr>
        <w:pStyle w:val="BodyText"/>
        <w:spacing w:line="316" w:lineRule="auto" w:before="19"/>
        <w:ind w:left="514" w:right="4812" w:hanging="360"/>
        <w:jc w:val="left"/>
      </w:pPr>
      <w:r>
        <w:rPr/>
        <w:t>设，除非管理层计划清算亚联发展公司、终止运营或别无其他现实的选择。 治理层负责监督亚联发展公司的财务报告过程。</w:t>
      </w:r>
    </w:p>
    <w:p>
      <w:pPr>
        <w:spacing w:line="240" w:lineRule="auto" w:before="4"/>
        <w:rPr>
          <w:rFonts w:ascii="宋体" w:hAnsi="宋体" w:cs="宋体" w:eastAsia="宋体" w:hint="default"/>
          <w:sz w:val="25"/>
          <w:szCs w:val="25"/>
        </w:rPr>
      </w:pPr>
    </w:p>
    <w:p>
      <w:pPr>
        <w:spacing w:line="316" w:lineRule="auto" w:before="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t>我们的目标是对财务报表整体是否不存在由于舞弊或错误导致的重大错报获取合理保证，并出具包含审计意见的审计</w:t>
      </w:r>
    </w:p>
    <w:p>
      <w:pPr>
        <w:pStyle w:val="BodyText"/>
        <w:spacing w:line="316" w:lineRule="auto" w:before="19"/>
        <w:ind w:right="1164"/>
        <w:jc w:val="both"/>
      </w:pPr>
      <w:r>
        <w:rPr/>
        <w:t>报告。合理保证是高水平的保证，但并不能保证按照审计准则执行的审计在某一重大错报存在时总能发现。错报可能由于</w:t>
      </w:r>
      <w:r>
        <w:rPr>
          <w:spacing w:val="-36"/>
        </w:rPr>
        <w:t> </w:t>
      </w:r>
      <w:r>
        <w:rPr>
          <w:spacing w:val="-36"/>
        </w:rPr>
      </w:r>
      <w:r>
        <w:rPr/>
        <w:t>舞弊或错误导致，如果合理预期错报单独或汇总起来可能影响财务报表使用者依据合并财务报表作出的经济决策，则通常</w:t>
      </w:r>
      <w:r>
        <w:rPr>
          <w:spacing w:val="-36"/>
        </w:rPr>
        <w:t> </w:t>
      </w:r>
      <w:r>
        <w:rPr>
          <w:spacing w:val="-36"/>
        </w:rPr>
      </w:r>
      <w:r>
        <w:rPr/>
        <w:t>认为错报是重大的。</w:t>
      </w:r>
    </w:p>
    <w:p>
      <w:pPr>
        <w:pStyle w:val="BodyText"/>
        <w:spacing w:line="240" w:lineRule="auto" w:before="19"/>
        <w:ind w:left="514" w:right="0"/>
        <w:jc w:val="left"/>
      </w:pPr>
      <w:r>
        <w:rPr/>
        <w:t>在按照审计准则执行审计工作的过程中，我们运用职业判断，并保持职业怀疑。同时，我们也执行以下工作：</w:t>
      </w:r>
    </w:p>
    <w:p>
      <w:pPr>
        <w:pStyle w:val="BodyText"/>
        <w:spacing w:line="309" w:lineRule="auto" w:before="76"/>
        <w:ind w:right="1164" w:firstLine="360"/>
        <w:jc w:val="both"/>
      </w:pP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、识别和评估由于舞弊或错误导致的财务报表重大错报风险，设计和实施审计程序以应对这些风险，并获取充分、适</w:t>
      </w:r>
      <w:r>
        <w:rPr/>
        <w:t> 当的审计证据，作为发表审计意见的基础。由于舞弊可能涉及串通、伪造、故意遗漏、虚假陈述或凌驾于内部控制之上，</w:t>
      </w:r>
      <w:r>
        <w:rPr>
          <w:spacing w:val="-36"/>
        </w:rPr>
        <w:t> </w:t>
      </w:r>
      <w:r>
        <w:rPr>
          <w:spacing w:val="-36"/>
        </w:rPr>
      </w:r>
      <w:r>
        <w:rPr/>
        <w:t>未能发现由于舞弊导致的重大错报的风险高于未能发现由于错误导致的重大错报的风险。</w:t>
      </w:r>
    </w:p>
    <w:p>
      <w:pPr>
        <w:pStyle w:val="BodyText"/>
        <w:spacing w:line="240" w:lineRule="auto" w:before="24"/>
        <w:ind w:left="514" w:right="0"/>
        <w:jc w:val="left"/>
      </w:pP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63"/>
        <w:ind w:left="514" w:right="0"/>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163" w:firstLine="360"/>
        <w:jc w:val="both"/>
      </w:pP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、对管理层使用持续经营假设的恰当性得出结论。同时，根据获取的审计证据，就可能导致对亚联发展公司持续经营</w:t>
      </w:r>
      <w:r>
        <w:rPr/>
        <w:t> 能力产生重大疑虑的事项或情况是否存在重大不确定性得出结论。如果我们得出结论认为存在重大不确定性，审计准则要</w:t>
      </w:r>
      <w:r>
        <w:rPr>
          <w:spacing w:val="-36"/>
        </w:rPr>
        <w:t> </w:t>
      </w:r>
      <w:r>
        <w:rPr>
          <w:spacing w:val="-36"/>
        </w:rPr>
      </w:r>
      <w:r>
        <w:rPr/>
        <w:t>求我们在审计报告中提请报表使用者注意合并财务报表中的相关披露；如果披露不充分，我们应当发表非无保留意见。我</w:t>
      </w:r>
      <w:r>
        <w:rPr>
          <w:spacing w:val="-36"/>
        </w:rPr>
        <w:t> </w:t>
      </w:r>
      <w:r>
        <w:rPr>
          <w:spacing w:val="-36"/>
        </w:rPr>
      </w:r>
      <w:r>
        <w:rPr/>
        <w:t>们的结论基于截至审计报告日可获得的信息。然而，未来的事项或情况可能导致亚联发展公司不能持续经营。</w:t>
      </w:r>
    </w:p>
    <w:p>
      <w:pPr>
        <w:pStyle w:val="BodyText"/>
        <w:spacing w:line="240" w:lineRule="auto" w:before="22"/>
        <w:ind w:left="514" w:right="0"/>
        <w:jc w:val="left"/>
      </w:pP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163" w:firstLine="360"/>
        <w:jc w:val="both"/>
      </w:pPr>
      <w:r>
        <w:rPr>
          <w:rFonts w:ascii="Times New Roman" w:hAnsi="Times New Roman" w:cs="Times New Roman" w:eastAsia="Times New Roman" w:hint="default"/>
          <w:spacing w:val="-1"/>
        </w:rPr>
        <w:t>6</w:t>
      </w:r>
      <w:r>
        <w:rPr>
          <w:spacing w:val="-1"/>
        </w:rPr>
        <w:t>、就亚联发展公司中实体或业务活动的财务信息获取充分、适当的审计证据，以对财务报表发表审计意见。我们负责</w:t>
      </w:r>
      <w:r>
        <w:rPr/>
        <w:t> 指导、监督和执行集团审计，并对审计意见承担全部责任。</w:t>
      </w:r>
    </w:p>
    <w:p>
      <w:pPr>
        <w:pStyle w:val="BodyText"/>
        <w:spacing w:line="316" w:lineRule="auto" w:before="31"/>
        <w:ind w:right="1168" w:firstLine="360"/>
        <w:jc w:val="both"/>
      </w:pPr>
      <w:r>
        <w:rPr/>
        <w:t>我们与治理层就计划的审计范围、时间安排和重大审计发现等事项进行沟通，包括沟通我们在审计中识别出的值得关 注的内部控制缺陷。</w:t>
      </w:r>
    </w:p>
    <w:p>
      <w:pPr>
        <w:pStyle w:val="BodyText"/>
        <w:spacing w:line="316" w:lineRule="auto" w:before="19"/>
        <w:ind w:right="1132" w:firstLine="360"/>
        <w:jc w:val="both"/>
      </w:pPr>
      <w:r>
        <w:rPr/>
        <w:t>我们还就已遵守与独立性相关的职业道德要求向治理层提供声明，并与治理层沟通可能被合理认为影响我们独立性的 所有关系和其他事项，以及相关的防范措施。</w:t>
      </w:r>
    </w:p>
    <w:p>
      <w:pPr>
        <w:pStyle w:val="BodyText"/>
        <w:spacing w:line="316" w:lineRule="auto" w:before="59"/>
        <w:ind w:right="1132"/>
        <w:jc w:val="both"/>
      </w:pPr>
      <w:r>
        <w:rPr>
          <w:spacing w:val="-2"/>
        </w:rPr>
        <w:t>从与治理层沟通过的事项中，我们确定哪些事项对本期财务报表审计最为重要，因而构成关键审计事项。我们在审计报告中</w:t>
      </w:r>
      <w:r>
        <w:rPr>
          <w:spacing w:val="-66"/>
        </w:rPr>
        <w:t> </w:t>
      </w:r>
      <w:r>
        <w:rPr>
          <w:spacing w:val="-66"/>
        </w:rPr>
      </w:r>
      <w:r>
        <w:rPr>
          <w:spacing w:val="-2"/>
        </w:rPr>
        <w:t>描述这些事项，除非法律法规禁止公开披露这些事项，或在极少数情形下，如果合理预期在审计报告中沟通某事项造成的负</w:t>
      </w:r>
      <w:r>
        <w:rPr>
          <w:spacing w:val="-66"/>
        </w:rPr>
        <w:t> </w:t>
      </w:r>
      <w:r>
        <w:rPr>
          <w:spacing w:val="-66"/>
        </w:rPr>
      </w:r>
      <w:r>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pStyle w:val="BodyText"/>
        <w:tabs>
          <w:tab w:pos="6643" w:val="left" w:leader="none"/>
        </w:tabs>
        <w:spacing w:line="240" w:lineRule="auto" w:before="135"/>
        <w:ind w:right="0"/>
        <w:jc w:val="both"/>
      </w:pPr>
      <w:r>
        <w:rPr/>
        <w:t>中喜会计师事务所（特殊普通合伙）</w:t>
        <w:tab/>
        <w:t>中国注册会计师：饶世旗</w:t>
      </w:r>
    </w:p>
    <w:p>
      <w:pPr>
        <w:pStyle w:val="BodyText"/>
        <w:spacing w:line="240" w:lineRule="auto" w:before="76"/>
        <w:ind w:left="6577" w:right="0"/>
        <w:jc w:val="left"/>
      </w:pPr>
      <w:r>
        <w:rPr/>
        <w:t>（项目合伙人）</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tabs>
          <w:tab w:pos="5643" w:val="left" w:leader="none"/>
        </w:tabs>
        <w:spacing w:line="240" w:lineRule="auto"/>
        <w:ind w:left="0" w:right="1372"/>
        <w:jc w:val="center"/>
      </w:pPr>
      <w:r>
        <w:rPr/>
        <w:t>中国</w:t>
      </w:r>
      <w:r>
        <w:rPr>
          <w:spacing w:val="55"/>
        </w:rPr>
        <w:t> </w:t>
      </w:r>
      <w:r>
        <w:rPr/>
        <w:t>北京</w:t>
        <w:tab/>
        <w:t>中国注册会计师：周香萍</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240" w:lineRule="auto"/>
        <w:ind w:left="6601" w:right="0"/>
        <w:jc w:val="left"/>
      </w:pPr>
      <w:r>
        <w:rPr/>
        <w:t>二〇一九年四月三日</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编制单位：深圳亚联发展科技股份有限公司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433,092,568.64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641,773,838.95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1,905,415.39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612,637,008.49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569,758,810.20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5,592,449.12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609,175,008.49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564,166,361.08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115,441,021.07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108,378,388.97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104,236,076.58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113,684,798.90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94,034,711.31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110,446,806.36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17,159,501.57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28,677,501.14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10,298,659.14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1,405,278,388.80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1,556,246,717.91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88,391,056.00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66,036,890.00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108,020,000.00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81,020,000.00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245,338,089.88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221,675,803.73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373,304,964.19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173,604,169.72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51,333,130.20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62,364,698.94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859,965,525.93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859,475,722.67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9,860,663.89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6,008,779.18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19,840,923.89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17,947,279.80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1,759,309,353.98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1,491,388,344.04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3,164,587,742.78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3,047,635,061.95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432,777,600.00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379,056,810.00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799,617,140.85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458,479,802.07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147,561,917.52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84,058,820.51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68,218,715.65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23,849,211.94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81,320,932.52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59,929,917.51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363,320,907.18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608,335,054.80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1,132,517.36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1,221,878.06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2,702,879.65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200,853.22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1,892,817,213.72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1,613,910,470.05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1,484,027.56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7,551,263.96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10,558,920.40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3,442,013.01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3,935,580.10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354,477,304.53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359,978,528.06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2,247,294,518.25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1,973,888,998.11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191,134,459.60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247,159,224.54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2,479,359.51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123,662.48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40,173,383.41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34,702,059.48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252,658,700.88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158,103,590.19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879,565,903.40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833,208,536.69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37,727,321.13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240,537,527.15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917,293,224.53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1,073,746,063.84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3,164,587,742.78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3,047,635,061.95</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主管会计工作负责人：陈道军</w:t>
        <w:tab/>
        <w:t>会计机构负责人：陈道军</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236,748,733.38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150,979,513.38</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295,187,726.51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305,401,589.47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4,822,449.12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291,725,726.51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300,579,140.35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13,202,201.11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9,863,983.06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201,008,522.46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213,044,356.86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16,651,307.49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35,688,363.78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762,798,490.95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714,977,806.55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1,430,013,910.61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1,539,596,469.62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54,619,777.59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58,986,498.36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7,993,256.08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11,860,803.64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483,899.97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9,320,350.34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8,531,280.53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1,506,222,294.62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1,623,733,952.12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2,269,020,785.57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2,338,711,758.67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368,560,000.00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320,710,000.00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246,440,069.85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192,915,829.15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39,418,141.75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42,559,008.53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2,835,682.92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2,262,977.65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5,933,768.60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7,649,899.46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411,715,916.48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631,210,077.24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942,674.03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1,005,858.33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1,074,903,579.60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1,197,307,792.03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833,333.46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2,833,333.38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326,333,333.46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328,333,333.38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1,401,236,913.06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1,525,641,125.41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393,120,000.00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393,120,000.00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247,684,612.92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247,684,612.92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40,173,383.41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34,702,059.48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186,805,876.18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137,563,960.86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867,783,872.51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813,070,633.26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2,269,020,785.57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2,338,711,758.67</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主管会计工作负责人：陈道军</w:t>
        <w:tab/>
        <w:t>会计机构负责人：陈道军</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3,933,474,737.40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1,036,104,173.20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3,921,517,862.11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1,034,143,769.01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11,956,875.29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1,960,404.19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3,502,547,006.14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984,621,044.70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2,554,712,573.34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694,456,130.71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13,456,250.16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4,232,052.98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250,473,912.62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65,695,809.05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435,988,043.45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141,997,422.10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124,975,816.39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37,622,585.95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51,995,392.86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30,491,234.61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48,105,436.87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29,624,906.66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2,235,601.86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4,749,035.58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70,945,017.32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10,125,809.30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43,578,428.62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1,423,080.52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11,870,285.65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4,920,674.29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9,737,631.12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3,580,873.14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3,626,694.89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938,939.28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490,003,140.42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58,765,822.59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7,981,143.45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282,352.20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91,846,776.76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1,043,624.36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406,137,507.11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58,004,550.43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88,243,697.48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8,084,635.04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317,893,809.63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49,919,915.39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317,893,809.63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49,919,915.39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100,026,434.62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-24,348,172.41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217,867,375.01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74,268,087.80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2,355,697.03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-1,169,951.14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2,355,697.03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-1,169,951.14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2,355,697.03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-1,169,951.14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3,392,142.00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-1,169,951.14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-1,036,444.97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320,249,506.66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48,749,964.25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102,382,131.65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-25,518,123.55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217,867,375.01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74,268,087.80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-0.0619</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-0.0619</w:t>
            </w:r>
            <w:r>
              <w:rPr>
                <w:rFonts w:ascii="Times New Roman"/>
                <w:sz w:val="18"/>
              </w:rPr>
            </w:r>
          </w:p>
        </w:tc>
      </w:tr>
    </w:tbl>
    <w:p>
      <w:pPr>
        <w:pStyle w:val="BodyText"/>
        <w:tabs>
          <w:tab w:pos="3574" w:val="left" w:leader="none"/>
          <w:tab w:pos="771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法定代表人：王永彬</w:t>
        <w:tab/>
        <w:t>主管会计工作负责人：陈道军</w:t>
        <w:tab/>
        <w:t>会计机构负责人：陈道军 </w:t>
      </w:r>
      <w:bookmarkStart w:name="4、母公司利润表" w:id="159"/>
      <w:bookmarkEnd w:id="15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342,325,581.62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201,686,557.51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332,904,402.47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191,227,231.30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1,440,945.82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818,342.84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4,164,010.38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6,432,119.66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31,303,440.41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40,460,505.27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13,655,527.00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15,304,904.35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49,303,160.26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28,083,508.96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48,234,793.62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27,116,222.82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727,087.08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4,185,052.69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144,293,798.78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1,583,663.33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3,800,999.92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1,166,666.62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285,107,441.99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12,837,652.81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15,107,441.99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12,837,652.81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938,939.28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54,168,738.41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-67,280,459.49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323,600.82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54,006.83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152,908.63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295,523.58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54,339,430.60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-67,521,976.24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-373,808.65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-842,549.51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54,713,239.25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-66,679,426.73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54,713,239.25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-66,679,426.73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54,713,239.25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73" w:right="0"/>
              <w:jc w:val="left"/>
              <w:rPr>
                <w:rFonts w:ascii="Times New Roman" w:hAnsi="Times New Roman" w:cs="Times New Roman" w:eastAsia="Times New Roman" w:hint="default"/>
                <w:sz w:val="18"/>
                <w:szCs w:val="18"/>
              </w:rPr>
            </w:pPr>
            <w:r>
              <w:rPr>
                <w:rFonts w:ascii="Times New Roman"/>
                <w:sz w:val="18"/>
              </w:rPr>
              <w:t>-66,679,426.73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主管会计工作负责人：陈道军</w:t>
        <w:tab/>
        <w:t>会计机构负责人：陈道军</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300"/>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3,613,974,364.62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1,446,170,081.45</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24,796,114.47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684,916.57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1,270,139,118.92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105,191,991.96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4,908,909,598.01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1,552,046,989.98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2,362,100,673.34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1,015,145,534.11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22,354,166.00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66,036,890.00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325,936,041.09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67,974,459.30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193,308,709.82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51,561,244.37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1,149,401,752.64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335,068,844.67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4,053,101,342.89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1,535,786,972.45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855,808,255.12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16,260,017.53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164,595,836.52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2,127,597.89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290,429.99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12,343,832.87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5,622,409.23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256,523.35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534,471,430.76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170,765,199.09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304,478,658.91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9,601,576.65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364,961,100.00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494,663.26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387,236,260.99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1,225,722.64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1,189,934,422.17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399,463,560.28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-655,462,991.41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-228,698,361.19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3,410,230.50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53,567,425.10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3,410,230.50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53,567,425.10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133,027,000.00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772,798,900.00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316,752,244.42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544,440,904.08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453,189,474.92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1,370,807,229.18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264,679,980.00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820,088,340.00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389,244,051.59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33,908,907.60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283,838,584.55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373,844,515.62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937,762,616.14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1,227,841,763.22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-484,573,141.22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142,965,465.96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230,340.22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-1,708,534.08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-283,997,537.29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-71,181,411.78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517,802,114.22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588,983,526.00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233,804,576.93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517,802,114.22</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法定代表人：王永彬</w:t>
        <w:tab/>
        <w:t>主管会计工作负责人：陈道军</w:t>
        <w:tab/>
        <w:t>会计机构负责人：陈道军</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361,772,259.94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288,710,316.41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38,039.23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355,392,926.13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147,435,777.92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717,203,225.30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436,146,094.33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299,390,944.94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368,373,265.42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20,456,397.62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22,312,105.67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11,563,276.69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13,567,228.12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245,130,401.37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224,767,152.47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576,541,020.62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629,019,751.68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140,662,204.68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-192,873,657.35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156,528,400.00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5,148,376.00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161,676,776.00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47,432.83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10,183.00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30,952,916.95</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542,500,000.00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322,547,432.83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573,463,099.95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-52,547,432.83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-411,786,323.95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742,245,000.00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290,093,839.14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516,023,568.81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370,093,839.14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1,258,268,568.81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748,619,480.00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48,297,977.92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29,657,648.09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181,617,766.13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317,781,001.20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444,915,744.05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1,096,058,129.29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-74,821,904.91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162,210,439.52</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13,292,866.94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-442,449,541.78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63,200,233.04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505,649,774.82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76,493,099.98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63,200,233.04</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right="0"/>
        <w:jc w:val="left"/>
      </w:pPr>
      <w:r>
        <w:rPr/>
        <w:t>法定代表人：王永彬</w:t>
        <w:tab/>
        <w:t>主管会计工作负责人：陈道军</w:t>
        <w:tab/>
        <w:t>会计机构负责人：陈道军</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247,159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,224.54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123,662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34,529,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199.69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156,547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,852.13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240,537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,527.15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17,465.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172,859</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1,555,7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1,728,5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97.85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247,159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,224.54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123,662</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.48</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34,702,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059.48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158,103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,590.19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240,537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,527.15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1,073,7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46,063.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-56,024,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764.94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2,355,6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97.03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23.93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94,555,</w:t>
            </w:r>
          </w:p>
          <w:p>
            <w:pPr>
              <w:pStyle w:val="TableParagraph"/>
              <w:spacing w:line="240" w:lineRule="auto" w:before="105"/>
              <w:ind w:left="142" w:right="0"/>
              <w:jc w:val="left"/>
              <w:rPr>
                <w:rFonts w:ascii="Times New Roman" w:hAnsi="Times New Roman" w:cs="Times New Roman" w:eastAsia="Times New Roman" w:hint="default"/>
                <w:sz w:val="18"/>
                <w:szCs w:val="18"/>
              </w:rPr>
            </w:pPr>
            <w:r>
              <w:rPr>
                <w:rFonts w:ascii="Times New Roman"/>
                <w:sz w:val="18"/>
              </w:rPr>
              <w:t>110.69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0,206.0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-156,45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2,839.3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2,355,6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97.03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100,026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,434.62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217,867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,375.01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320,249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,506.66</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-56,024,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764.94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-90,677,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581.03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-146,70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2,345.9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3,410,2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30.50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3,410,2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30.50</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-56,024,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764.94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-94,087,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811.53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-150,11</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2,576.4</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23.93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23.93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23.93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191,134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2,479,3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59.51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40,173,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383.41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252,658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,700.88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37,727,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321.13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917,293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,224.53</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247,640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,763.94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1,293,6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34,529,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199.69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180,896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,024.54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-6,539,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765.53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850,939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,836.26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172,859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1,555,7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38.06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1,728,5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97.85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247,640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,763.94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1,293,6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13.62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34,702,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059.48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182,451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,762.60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-6,539,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765.53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852,668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,434.11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-481,53</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-1,169,9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-24,348,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172.41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247,077</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,292.68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221,077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,629.73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-1,169,9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-24,348,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172.41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74,268,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087.80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48,749,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964.25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-481,53</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172,809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,204.88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172,327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,665.48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53,567,</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425.10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53,567,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425.10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-481,53</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119,241</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,779.78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118,760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,240.38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393,12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247,159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,224.54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123,662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34,702,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059.48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158,103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,590.19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240,537</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,527.15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46,063.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bl>
    <w:p>
      <w:pPr>
        <w:spacing w:line="240" w:lineRule="auto" w:before="3"/>
        <w:rPr>
          <w:rFonts w:ascii="Times New Roman" w:hAnsi="Times New Roman" w:cs="Times New Roman" w:eastAsia="Times New Roman" w:hint="default"/>
          <w:sz w:val="23"/>
          <w:szCs w:val="23"/>
        </w:rPr>
      </w:pPr>
    </w:p>
    <w:p>
      <w:pPr>
        <w:pStyle w:val="BodyText"/>
        <w:tabs>
          <w:tab w:pos="3574" w:val="left" w:leader="none"/>
          <w:tab w:pos="7715" w:val="left" w:leader="none"/>
        </w:tabs>
        <w:spacing w:line="240" w:lineRule="auto" w:before="44"/>
        <w:ind w:right="0"/>
        <w:jc w:val="left"/>
      </w:pPr>
      <w:r>
        <w:rPr/>
        <w:t>法定代表人：王永彬</w:t>
        <w:tab/>
        <w:t>主管会计工作负责人：陈道军</w:t>
        <w:tab/>
        <w:t>会计机构负责人：陈道军</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34,702,05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9.48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137,563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,960.86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813,070,6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33.26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34,702,05</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9.48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137,563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,960.86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813,070,6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33.26</w:t>
            </w: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5,471,323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49,241,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915.32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54,713,23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239.25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54,713,23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9.25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5,471,323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23.93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5,471,323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-5,471,3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23.93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40,173,38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3.41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186,805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,876.18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867,783,8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72.51</w:t>
            </w:r>
          </w:p>
        </w:tc>
      </w:tr>
    </w:tbl>
    <w:p>
      <w:pPr>
        <w:pStyle w:val="BodyText"/>
        <w:spacing w:line="240" w:lineRule="auto" w:before="51"/>
        <w:ind w:right="0"/>
        <w:jc w:val="left"/>
      </w:pPr>
      <w:r>
        <w:rPr/>
        <w:t>上期金额</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34,529,19</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9.69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202,687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,649.53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878,021,4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62.14</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172,859.7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1,555,7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1,728,597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.85</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34,702,05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9.48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204,243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,387.59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879,750,0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59.99</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-66,679,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426.73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-66,679,4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26.73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-66,679,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426.73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-66,679,4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26.73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393,120,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247,684,6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34,702,05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137,563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,960.86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813,070,6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33.26</w:t>
            </w:r>
          </w:p>
        </w:tc>
      </w:tr>
    </w:tbl>
    <w:p>
      <w:pPr>
        <w:spacing w:line="240" w:lineRule="auto" w:before="6"/>
        <w:rPr>
          <w:rFonts w:ascii="宋体" w:hAnsi="宋体" w:cs="宋体" w:eastAsia="宋体" w:hint="default"/>
          <w:sz w:val="20"/>
          <w:szCs w:val="20"/>
        </w:rPr>
      </w:pPr>
    </w:p>
    <w:p>
      <w:pPr>
        <w:pStyle w:val="BodyText"/>
        <w:tabs>
          <w:tab w:pos="3574" w:val="left" w:leader="none"/>
          <w:tab w:pos="7715" w:val="left" w:leader="none"/>
        </w:tabs>
        <w:spacing w:line="240" w:lineRule="auto" w:before="44"/>
        <w:ind w:right="0"/>
        <w:jc w:val="both"/>
      </w:pPr>
      <w:r>
        <w:rPr/>
        <w:t>法定代表人：王永彬</w:t>
        <w:tab/>
        <w:t>主管会计工作负责人：陈道军</w:t>
        <w:tab/>
        <w:t>会计机构负责人：陈道军</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三、公司基本情况" w:id="164"/>
      <w:bookmarkEnd w:id="164"/>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6972"/>
        <w:jc w:val="left"/>
      </w:pPr>
      <w:r>
        <w:rPr/>
        <w:t>（一）公司概况 公司名称：深圳亚联发展科技股份有限公司</w:t>
      </w:r>
    </w:p>
    <w:p>
      <w:pPr>
        <w:pStyle w:val="BodyText"/>
        <w:spacing w:line="300" w:lineRule="auto" w:before="19"/>
        <w:ind w:left="514" w:right="3929"/>
        <w:jc w:val="both"/>
      </w:pPr>
      <w:r>
        <w:rPr/>
        <w:t>注册地址：广东省深圳市南山区高新科技园后海大道</w:t>
      </w:r>
      <w:r>
        <w:rPr>
          <w:rFonts w:ascii="Times New Roman" w:hAnsi="Times New Roman" w:cs="Times New Roman" w:eastAsia="Times New Roman" w:hint="default"/>
        </w:rPr>
        <w:t>2388</w:t>
      </w:r>
      <w:r>
        <w:rPr/>
        <w:t>号怡化金融科技大厦</w:t>
      </w:r>
      <w:r>
        <w:rPr>
          <w:rFonts w:ascii="Times New Roman" w:hAnsi="Times New Roman" w:cs="Times New Roman" w:eastAsia="Times New Roman" w:hint="default"/>
        </w:rPr>
        <w:t>24</w:t>
      </w:r>
      <w:r>
        <w:rPr/>
        <w:t>层 办公地址：广东省深圳市南山区高新科技园后海大道</w:t>
      </w:r>
      <w:r>
        <w:rPr>
          <w:rFonts w:ascii="Times New Roman" w:hAnsi="Times New Roman" w:cs="Times New Roman" w:eastAsia="Times New Roman" w:hint="default"/>
        </w:rPr>
        <w:t>2388</w:t>
      </w:r>
      <w:r>
        <w:rPr/>
        <w:t>号怡化金融科技大厦</w:t>
      </w:r>
      <w:r>
        <w:rPr>
          <w:rFonts w:ascii="Times New Roman" w:hAnsi="Times New Roman" w:cs="Times New Roman" w:eastAsia="Times New Roman" w:hint="default"/>
        </w:rPr>
        <w:t>24</w:t>
      </w:r>
      <w:r>
        <w:rPr/>
        <w:t>层 注册资本：人民币</w:t>
      </w:r>
      <w:r>
        <w:rPr>
          <w:rFonts w:ascii="Times New Roman" w:hAnsi="Times New Roman" w:cs="Times New Roman" w:eastAsia="Times New Roman" w:hint="default"/>
        </w:rPr>
        <w:t>39,312</w:t>
      </w:r>
      <w:r>
        <w:rPr/>
        <w:t>万元</w:t>
      </w:r>
    </w:p>
    <w:p>
      <w:pPr>
        <w:pStyle w:val="BodyText"/>
        <w:spacing w:line="300" w:lineRule="auto" w:before="13"/>
        <w:ind w:left="514" w:right="7082"/>
        <w:jc w:val="left"/>
      </w:pPr>
      <w:r>
        <w:rPr/>
        <w:t>社会统一信用代码：</w:t>
      </w:r>
      <w:r>
        <w:rPr>
          <w:rFonts w:ascii="Times New Roman" w:hAnsi="Times New Roman" w:cs="Times New Roman" w:eastAsia="Times New Roman" w:hint="default"/>
        </w:rPr>
        <w:t>91440300708474420M </w:t>
      </w:r>
      <w:r>
        <w:rPr/>
        <w:t>法定代表人：王永彬</w:t>
      </w:r>
    </w:p>
    <w:p>
      <w:pPr>
        <w:pStyle w:val="BodyText"/>
        <w:spacing w:line="240" w:lineRule="auto" w:before="31"/>
        <w:ind w:left="514" w:right="0"/>
        <w:jc w:val="both"/>
      </w:pPr>
      <w:r>
        <w:rPr/>
        <w:t>经营期限：永续经营</w:t>
      </w:r>
    </w:p>
    <w:p>
      <w:pPr>
        <w:pStyle w:val="BodyText"/>
        <w:spacing w:line="316" w:lineRule="auto" w:before="76"/>
        <w:ind w:left="514" w:right="1032"/>
        <w:jc w:val="left"/>
      </w:pPr>
      <w:r>
        <w:rPr/>
        <w:t>（二）经营范围及主营业务 经营范围：生产经营光通信设备、无线通信多媒体系统设备及终端、接入网通信系统设备、交通信息设备、机电设备、</w:t>
      </w:r>
    </w:p>
    <w:p>
      <w:pPr>
        <w:pStyle w:val="BodyText"/>
        <w:spacing w:line="316" w:lineRule="auto" w:before="19"/>
        <w:ind w:right="1130"/>
        <w:jc w:val="both"/>
      </w:pPr>
      <w:r>
        <w:rPr>
          <w:spacing w:val="-2"/>
        </w:rPr>
        <w:t>矿用通讯设备、射频识别系统及配套产品，从事信息和通信系统网络技术研究开发，计算机应用软件开发，货物及技术进出</w:t>
      </w:r>
      <w:r>
        <w:rPr>
          <w:spacing w:val="-66"/>
        </w:rPr>
        <w:t> </w:t>
      </w:r>
      <w:r>
        <w:rPr>
          <w:spacing w:val="-66"/>
        </w:rPr>
      </w:r>
      <w:r>
        <w:rPr>
          <w:spacing w:val="-2"/>
        </w:rPr>
        <w:t>口（不含进口分销及国家专营专控商品），自有物业租赁，通信智能信号灯杆、通信智能信号塔的钢结构工程施工（获得相</w:t>
      </w:r>
      <w:r>
        <w:rPr>
          <w:spacing w:val="-68"/>
        </w:rPr>
        <w:t> </w:t>
      </w:r>
      <w:r>
        <w:rPr>
          <w:spacing w:val="-68"/>
        </w:rPr>
      </w:r>
      <w:r>
        <w:rPr/>
        <w:t>关部门许可及相应资质方可经营）。</w:t>
      </w:r>
    </w:p>
    <w:p>
      <w:pPr>
        <w:pStyle w:val="BodyText"/>
        <w:spacing w:line="316" w:lineRule="auto" w:before="19"/>
        <w:ind w:right="1133" w:firstLine="360"/>
        <w:jc w:val="both"/>
      </w:pPr>
      <w:r>
        <w:rPr>
          <w:spacing w:val="-2"/>
        </w:rPr>
        <w:t>主营业务：公司作为专业从事专网信息通信技术解决方案业务的服务商，主要为能源、交通等行业提供信息通信技术解</w:t>
      </w:r>
      <w:r>
        <w:rPr/>
        <w:t> 决方案，以及第三方支付业务。</w:t>
      </w:r>
    </w:p>
    <w:p>
      <w:pPr>
        <w:pStyle w:val="BodyText"/>
        <w:spacing w:line="316" w:lineRule="auto" w:before="19"/>
        <w:ind w:left="514" w:right="0"/>
        <w:jc w:val="left"/>
      </w:pPr>
      <w:r>
        <w:rPr/>
        <w:t>（三）公司历史沿革及设立情况 </w:t>
      </w:r>
      <w:r>
        <w:rPr>
          <w:spacing w:val="-1"/>
        </w:rPr>
        <w:t>公司原名为键桥通讯技术（深圳）有限公司，经深圳市人民政府外经贸粤深外资证字</w:t>
      </w:r>
      <w:r>
        <w:rPr>
          <w:rFonts w:ascii="Times New Roman" w:hAnsi="Times New Roman" w:cs="Times New Roman" w:eastAsia="Times New Roman" w:hint="default"/>
          <w:spacing w:val="-1"/>
        </w:rPr>
        <w:t>[1999]0020</w:t>
      </w:r>
      <w:r>
        <w:rPr>
          <w:spacing w:val="-1"/>
        </w:rPr>
        <w:t>号中华人民共和国台港</w:t>
      </w:r>
    </w:p>
    <w:p>
      <w:pPr>
        <w:pStyle w:val="BodyText"/>
        <w:spacing w:line="300" w:lineRule="auto"/>
        <w:ind w:right="1131"/>
        <w:jc w:val="both"/>
      </w:pPr>
      <w:r>
        <w:rPr>
          <w:spacing w:val="-1"/>
        </w:rPr>
        <w:t>澳侨投资企业批准证书及深圳市外商投资局深外资复</w:t>
      </w:r>
      <w:r>
        <w:rPr>
          <w:rFonts w:ascii="Times New Roman" w:hAnsi="Times New Roman" w:cs="Times New Roman" w:eastAsia="Times New Roman" w:hint="default"/>
          <w:spacing w:val="-1"/>
        </w:rPr>
        <w:t>[1999]0034</w:t>
      </w:r>
      <w:r>
        <w:rPr>
          <w:spacing w:val="-1"/>
        </w:rPr>
        <w:t>号文件批准成立。由键桥通讯技术有限公司出资组建，初始</w:t>
      </w:r>
      <w:r>
        <w:rPr>
          <w:spacing w:val="-54"/>
        </w:rPr>
        <w:t> </w:t>
      </w:r>
      <w:r>
        <w:rPr>
          <w:spacing w:val="-54"/>
        </w:rPr>
      </w:r>
      <w:r>
        <w:rPr/>
        <w:t>投资现金</w:t>
      </w:r>
      <w:r>
        <w:rPr>
          <w:rFonts w:ascii="Times New Roman" w:hAnsi="Times New Roman" w:cs="Times New Roman" w:eastAsia="Times New Roman" w:hint="default"/>
        </w:rPr>
        <w:t>40</w:t>
      </w:r>
      <w:r>
        <w:rPr/>
        <w:t>万美元，于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日取得深圳市工商行政管理局企独粤深总第</w:t>
      </w:r>
      <w:r>
        <w:rPr>
          <w:rFonts w:ascii="Times New Roman" w:hAnsi="Times New Roman" w:cs="Times New Roman" w:eastAsia="Times New Roman" w:hint="default"/>
        </w:rPr>
        <w:t>306270</w:t>
      </w:r>
      <w:r>
        <w:rPr/>
        <w:t>号企业法人营业执照。</w:t>
      </w:r>
    </w:p>
    <w:p>
      <w:pPr>
        <w:pStyle w:val="BodyText"/>
        <w:spacing w:line="240" w:lineRule="auto" w:before="13"/>
        <w:ind w:left="514" w:right="0"/>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月公司名称变更为深圳键桥通讯技术有限公司，其后经过多次增资和股权转让。</w:t>
      </w:r>
    </w:p>
    <w:p>
      <w:pPr>
        <w:pStyle w:val="BodyText"/>
        <w:spacing w:line="307" w:lineRule="auto" w:before="63"/>
        <w:ind w:right="1130" w:firstLine="360"/>
        <w:jc w:val="both"/>
      </w:pP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r>
        <w:rPr>
          <w:spacing w:val="-3"/>
        </w:rPr>
        <w:t>日，根据公司章程、中华人民共和国商务部商资批</w:t>
      </w:r>
      <w:r>
        <w:rPr>
          <w:rFonts w:ascii="Times New Roman" w:hAnsi="Times New Roman" w:cs="Times New Roman" w:eastAsia="Times New Roman" w:hint="default"/>
          <w:spacing w:val="-3"/>
        </w:rPr>
        <w:t>[2006]2476</w:t>
      </w:r>
      <w:r>
        <w:rPr>
          <w:spacing w:val="-3"/>
        </w:rPr>
        <w:t>号及深圳市贸易工业局深贸工资复</w:t>
      </w:r>
      <w:r>
        <w:rPr>
          <w:rFonts w:ascii="Times New Roman" w:hAnsi="Times New Roman" w:cs="Times New Roman" w:eastAsia="Times New Roman" w:hint="default"/>
          <w:spacing w:val="-3"/>
        </w:rPr>
        <w:t>[2006]2766</w:t>
      </w:r>
      <w:r>
        <w:rPr>
          <w:rFonts w:ascii="Times New Roman" w:hAnsi="Times New Roman" w:cs="Times New Roman" w:eastAsia="Times New Roman" w:hint="default"/>
        </w:rPr>
        <w:t> </w:t>
      </w:r>
      <w:r>
        <w:rPr>
          <w:spacing w:val="-2"/>
        </w:rPr>
        <w:t>号批复的规定，公司以变更设立的方式由原深圳键桥通讯技术有限公司变更为深圳键桥通讯技术股份有限公司，申请登记的</w:t>
      </w:r>
      <w:r>
        <w:rPr>
          <w:spacing w:val="-63"/>
        </w:rPr>
        <w:t> </w:t>
      </w:r>
      <w:r>
        <w:rPr>
          <w:spacing w:val="-63"/>
        </w:rPr>
      </w:r>
      <w:r>
        <w:rPr/>
        <w:t>注册资本为人民币</w:t>
      </w:r>
      <w:r>
        <w:rPr>
          <w:rFonts w:ascii="Times New Roman" w:hAnsi="Times New Roman" w:cs="Times New Roman" w:eastAsia="Times New Roman" w:hint="default"/>
        </w:rPr>
        <w:t>90,000,000.00</w:t>
      </w:r>
      <w:r>
        <w:rPr/>
        <w:t>元，以净资产出资</w:t>
      </w:r>
      <w:r>
        <w:rPr>
          <w:rFonts w:ascii="Times New Roman" w:hAnsi="Times New Roman" w:cs="Times New Roman" w:eastAsia="Times New Roman" w:hint="default"/>
        </w:rPr>
        <w:t>90,000,000.00</w:t>
      </w:r>
      <w:r>
        <w:rPr/>
        <w:t>元，并已于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日完成相关股本验证和工商信息变 更手续。</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4" w:right="0"/>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日，公司企业法人营业执照注册号变更为</w:t>
      </w:r>
      <w:r>
        <w:rPr>
          <w:rFonts w:ascii="Times New Roman" w:hAnsi="Times New Roman" w:cs="Times New Roman" w:eastAsia="Times New Roman" w:hint="default"/>
        </w:rPr>
        <w:t>440301501122077</w:t>
      </w:r>
      <w:r>
        <w:rPr/>
        <w:t>，并已取得变更后的企业法人营业执照。</w:t>
      </w:r>
    </w:p>
    <w:p>
      <w:pPr>
        <w:pStyle w:val="BodyText"/>
        <w:spacing w:line="300" w:lineRule="auto" w:before="63"/>
        <w:ind w:right="1130" w:firstLine="360"/>
        <w:jc w:val="both"/>
      </w:pP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13</w:t>
      </w:r>
      <w:r>
        <w:rPr>
          <w:spacing w:val="-1"/>
        </w:rPr>
        <w:t>日，中国证券监督管理委员会证监许可</w:t>
      </w:r>
      <w:r>
        <w:rPr>
          <w:rFonts w:ascii="Times New Roman" w:hAnsi="Times New Roman" w:cs="Times New Roman" w:eastAsia="Times New Roman" w:hint="default"/>
          <w:spacing w:val="-1"/>
        </w:rPr>
        <w:t>[2009]1176</w:t>
      </w:r>
      <w:r>
        <w:rPr>
          <w:spacing w:val="-1"/>
        </w:rPr>
        <w:t>号文《关于核准深圳键桥通讯技术股份有限公司首次公</w:t>
      </w:r>
      <w:r>
        <w:rPr/>
        <w:t> 开发行股票的批复》核准公司向社会公开发行人民币普通股（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3,000</w:t>
      </w:r>
      <w:r>
        <w:rPr/>
        <w:t>万股（每股面值</w:t>
      </w:r>
      <w:r>
        <w:rPr>
          <w:rFonts w:ascii="Times New Roman" w:hAnsi="Times New Roman" w:cs="Times New Roman" w:eastAsia="Times New Roman" w:hint="default"/>
        </w:rPr>
        <w:t>1</w:t>
      </w:r>
      <w:r>
        <w:rPr/>
        <w:t>元）。公司于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日在</w:t>
      </w:r>
      <w:r>
        <w:rPr>
          <w:spacing w:val="-81"/>
        </w:rPr>
        <w:t> </w:t>
      </w:r>
      <w:r>
        <w:rPr>
          <w:spacing w:val="-1"/>
        </w:rPr>
        <w:t>深圳证券交易所定价发行，</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日挂牌交易，新股发行成功后公司股本为</w:t>
      </w:r>
      <w:r>
        <w:rPr>
          <w:rFonts w:ascii="Times New Roman" w:hAnsi="Times New Roman" w:cs="Times New Roman" w:eastAsia="Times New Roman" w:hint="default"/>
          <w:spacing w:val="-1"/>
        </w:rPr>
        <w:t>120,000,000.00</w:t>
      </w:r>
      <w:r>
        <w:rPr>
          <w:spacing w:val="-1"/>
        </w:rPr>
        <w:t>元，此次增资公司于</w:t>
      </w:r>
      <w:r>
        <w:rPr>
          <w:rFonts w:ascii="Times New Roman" w:hAnsi="Times New Roman" w:cs="Times New Roman" w:eastAsia="Times New Roman" w:hint="default"/>
          <w:spacing w:val="-1"/>
        </w:rPr>
        <w:t>2009</w:t>
      </w:r>
      <w:r>
        <w:rPr>
          <w:spacing w:val="-1"/>
        </w:rPr>
        <w:t>年</w:t>
      </w:r>
      <w:r>
        <w:rPr>
          <w:spacing w:val="-64"/>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日取得深圳市科技工贸和信息化委员会深科工贸信资字</w:t>
      </w:r>
      <w:r>
        <w:rPr>
          <w:rFonts w:ascii="Times New Roman" w:hAnsi="Times New Roman" w:cs="Times New Roman" w:eastAsia="Times New Roman" w:hint="default"/>
        </w:rPr>
        <w:t>[2009]1157</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日办理工商信息</w:t>
      </w:r>
      <w:r>
        <w:rPr>
          <w:spacing w:val="-33"/>
        </w:rPr>
        <w:t> </w:t>
      </w:r>
      <w:r>
        <w:rPr>
          <w:spacing w:val="-33"/>
        </w:rPr>
      </w:r>
      <w:r>
        <w:rPr/>
        <w:t>变更手续。</w:t>
      </w:r>
    </w:p>
    <w:p>
      <w:pPr>
        <w:pStyle w:val="BodyText"/>
        <w:spacing w:line="300" w:lineRule="auto" w:before="31"/>
        <w:ind w:right="1132" w:firstLine="36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日，根据公司股东大会通过的《关于公司 </w:t>
      </w:r>
      <w:r>
        <w:rPr>
          <w:rFonts w:ascii="Times New Roman" w:hAnsi="Times New Roman" w:cs="Times New Roman" w:eastAsia="Times New Roman" w:hint="default"/>
        </w:rPr>
        <w:t>2009</w:t>
      </w:r>
      <w:r>
        <w:rPr>
          <w:rFonts w:ascii="Times New Roman" w:hAnsi="Times New Roman" w:cs="Times New Roman" w:eastAsia="Times New Roman" w:hint="default"/>
          <w:spacing w:val="43"/>
        </w:rPr>
        <w:t> </w:t>
      </w:r>
      <w:r>
        <w:rPr/>
        <w:t>年度利润分配方案》以及修改后的章程规定，公司增加注 </w:t>
      </w:r>
      <w:r>
        <w:rPr>
          <w:spacing w:val="-2"/>
        </w:rPr>
        <w:t>册资本人民币</w:t>
      </w:r>
      <w:r>
        <w:rPr>
          <w:rFonts w:ascii="Times New Roman" w:hAnsi="Times New Roman" w:cs="Times New Roman" w:eastAsia="Times New Roman" w:hint="default"/>
          <w:spacing w:val="-2"/>
        </w:rPr>
        <w:t>36,000,000.00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3</w:t>
      </w:r>
      <w:r>
        <w:rPr>
          <w:spacing w:val="-2"/>
        </w:rPr>
        <w:t>股的比例，以资本公积向全体股东转增股份总额</w:t>
      </w:r>
      <w:r>
        <w:rPr>
          <w:rFonts w:ascii="Times New Roman" w:hAnsi="Times New Roman" w:cs="Times New Roman" w:eastAsia="Times New Roman" w:hint="default"/>
          <w:spacing w:val="-2"/>
        </w:rPr>
        <w:t>36,000,000.00</w:t>
      </w:r>
      <w:r>
        <w:rPr>
          <w:spacing w:val="-2"/>
        </w:rPr>
        <w:t>股，每股面</w:t>
      </w:r>
      <w:r>
        <w:rPr>
          <w:spacing w:val="-42"/>
        </w:rPr>
        <w:t> </w:t>
      </w:r>
      <w:r>
        <w:rPr>
          <w:spacing w:val="-42"/>
        </w:rPr>
      </w:r>
      <w:r>
        <w:rPr>
          <w:spacing w:val="-2"/>
        </w:rPr>
        <w:t>值</w:t>
      </w:r>
      <w:r>
        <w:rPr>
          <w:rFonts w:ascii="Times New Roman" w:hAnsi="Times New Roman" w:cs="Times New Roman" w:eastAsia="Times New Roman" w:hint="default"/>
          <w:spacing w:val="-2"/>
        </w:rPr>
        <w:t>1</w:t>
      </w:r>
      <w:r>
        <w:rPr>
          <w:spacing w:val="-2"/>
        </w:rPr>
        <w:t>元，相应增加股本</w:t>
      </w:r>
      <w:r>
        <w:rPr>
          <w:rFonts w:ascii="Times New Roman" w:hAnsi="Times New Roman" w:cs="Times New Roman" w:eastAsia="Times New Roman" w:hint="default"/>
          <w:spacing w:val="-2"/>
        </w:rPr>
        <w:t>36,000,000.00</w:t>
      </w:r>
      <w:r>
        <w:rPr>
          <w:spacing w:val="-2"/>
        </w:rPr>
        <w:t>元，股权登记日期为</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19</w:t>
      </w:r>
      <w:r>
        <w:rPr>
          <w:spacing w:val="-2"/>
        </w:rPr>
        <w:t>日，变更后注册资本为人民币</w:t>
      </w:r>
      <w:r>
        <w:rPr>
          <w:rFonts w:ascii="Times New Roman" w:hAnsi="Times New Roman" w:cs="Times New Roman" w:eastAsia="Times New Roman" w:hint="default"/>
          <w:spacing w:val="-2"/>
        </w:rPr>
        <w:t>156,000,000.00</w:t>
      </w:r>
      <w:r>
        <w:rPr>
          <w:spacing w:val="-2"/>
        </w:rPr>
        <w:t>元，此次增</w:t>
      </w:r>
      <w:r>
        <w:rPr>
          <w:spacing w:val="-34"/>
        </w:rPr>
        <w:t> </w:t>
      </w:r>
      <w:r>
        <w:rPr>
          <w:spacing w:val="-34"/>
        </w:rPr>
      </w:r>
      <w:r>
        <w:rPr/>
        <w:t>资公司于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日取得深圳市科技工贸和信息化委员会深科工贸信资字</w:t>
      </w:r>
      <w:r>
        <w:rPr>
          <w:rFonts w:ascii="Times New Roman" w:hAnsi="Times New Roman" w:cs="Times New Roman" w:eastAsia="Times New Roman" w:hint="default"/>
        </w:rPr>
        <w:t>[2010]2172</w:t>
      </w:r>
      <w:r>
        <w:rPr/>
        <w:t>号文件批准，并已于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w:t>
      </w:r>
      <w:r>
        <w:rPr>
          <w:spacing w:val="-33"/>
        </w:rPr>
        <w:t> </w:t>
      </w:r>
      <w:r>
        <w:rPr/>
        <w:t>办理工商信息变更手续。</w:t>
      </w:r>
    </w:p>
    <w:p>
      <w:pPr>
        <w:pStyle w:val="BodyText"/>
        <w:spacing w:line="300" w:lineRule="auto" w:before="31"/>
        <w:ind w:right="1029" w:firstLine="36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日，根据公司股东大会通过的《公司</w:t>
      </w:r>
      <w:r>
        <w:rPr>
          <w:spacing w:val="-6"/>
        </w:rPr>
        <w:t> </w:t>
      </w:r>
      <w:r>
        <w:rPr>
          <w:rFonts w:ascii="Times New Roman" w:hAnsi="Times New Roman" w:cs="Times New Roman" w:eastAsia="Times New Roman" w:hint="default"/>
          <w:spacing w:val="-1"/>
        </w:rPr>
        <w:t>2010</w:t>
      </w:r>
      <w:r>
        <w:rPr>
          <w:spacing w:val="-1"/>
        </w:rPr>
        <w:t>年度利润分配及资本公积转增股本预案》以及修改后的章程规定，</w:t>
      </w:r>
      <w:r>
        <w:rPr/>
        <w:t> </w:t>
      </w:r>
      <w:r>
        <w:rPr>
          <w:spacing w:val="-2"/>
        </w:rPr>
        <w:t>公司增加注册资本人民币</w:t>
      </w:r>
      <w:r>
        <w:rPr>
          <w:rFonts w:ascii="Times New Roman" w:hAnsi="Times New Roman" w:cs="Times New Roman" w:eastAsia="Times New Roman" w:hint="default"/>
          <w:spacing w:val="-2"/>
        </w:rPr>
        <w:t>62,400,000.00</w:t>
      </w:r>
      <w:r>
        <w:rPr>
          <w:spacing w:val="-2"/>
        </w:rPr>
        <w:t>元：其中按每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4</w:t>
      </w:r>
      <w:r>
        <w:rPr>
          <w:spacing w:val="-2"/>
        </w:rPr>
        <w:t>股的比例，以资本公积向全体股东转增股份总额</w:t>
      </w:r>
      <w:r>
        <w:rPr>
          <w:rFonts w:ascii="Times New Roman" w:hAnsi="Times New Roman" w:cs="Times New Roman" w:eastAsia="Times New Roman" w:hint="default"/>
          <w:spacing w:val="-2"/>
        </w:rPr>
        <w:t>62,400,000.00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62,400,000.00</w:t>
      </w:r>
      <w:r>
        <w:rPr/>
        <w:t>元，股权登记日期为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日，变更后注册资本为人民币</w:t>
      </w:r>
      <w:r>
        <w:rPr>
          <w:rFonts w:ascii="Times New Roman" w:hAnsi="Times New Roman" w:cs="Times New Roman" w:eastAsia="Times New Roman" w:hint="default"/>
        </w:rPr>
        <w:t>218,400,000.00</w:t>
      </w:r>
      <w:r>
        <w:rPr>
          <w:rFonts w:ascii="Times New Roman" w:hAnsi="Times New Roman" w:cs="Times New Roman" w:eastAsia="Times New Roman" w:hint="default"/>
          <w:spacing w:val="-40"/>
        </w:rPr>
        <w:t> </w:t>
      </w:r>
      <w:r>
        <w:rPr>
          <w:spacing w:val="-2"/>
        </w:rPr>
        <w:t>元，此次增资公司于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日取得深圳市科技工贸和信息化委员会深科工贸信资字</w:t>
      </w:r>
      <w:r>
        <w:rPr>
          <w:rFonts w:ascii="Times New Roman" w:hAnsi="Times New Roman" w:cs="Times New Roman" w:eastAsia="Times New Roman" w:hint="default"/>
          <w:spacing w:val="-2"/>
        </w:rPr>
        <w:t>[2011]1493</w:t>
      </w:r>
      <w:r>
        <w:rPr>
          <w:spacing w:val="-2"/>
        </w:rPr>
        <w:t>号文件批准，并已于</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日办理工商信息变更手续。</w:t>
      </w:r>
    </w:p>
    <w:p>
      <w:pPr>
        <w:pStyle w:val="BodyText"/>
        <w:spacing w:line="300" w:lineRule="auto" w:before="13"/>
        <w:ind w:right="1128"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日，根据公司股东大会通过的《公司</w:t>
      </w:r>
      <w:r>
        <w:rPr>
          <w:rFonts w:ascii="Times New Roman" w:hAnsi="Times New Roman" w:cs="Times New Roman" w:eastAsia="Times New Roman" w:hint="default"/>
        </w:rPr>
        <w:t>2011</w:t>
      </w:r>
      <w:r>
        <w:rPr/>
        <w:t>年度利润分配及资本公积金转增股本预案》以及修改后的章程规 </w:t>
      </w:r>
      <w:r>
        <w:rPr>
          <w:spacing w:val="7"/>
        </w:rPr>
        <w:t>定，公司增加注册资本人民币</w:t>
      </w:r>
      <w:r>
        <w:rPr>
          <w:rFonts w:ascii="Times New Roman" w:hAnsi="Times New Roman" w:cs="Times New Roman" w:eastAsia="Times New Roman" w:hint="default"/>
          <w:spacing w:val="7"/>
        </w:rPr>
        <w:t>109,200,000.00</w:t>
      </w:r>
      <w:r>
        <w:rPr>
          <w:spacing w:val="7"/>
        </w:rPr>
        <w:t>元：其中按每</w:t>
      </w:r>
      <w:r>
        <w:rPr>
          <w:rFonts w:ascii="Times New Roman" w:hAnsi="Times New Roman" w:cs="Times New Roman" w:eastAsia="Times New Roman" w:hint="default"/>
          <w:spacing w:val="7"/>
        </w:rPr>
        <w:t>10</w:t>
      </w:r>
      <w:r>
        <w:rPr>
          <w:spacing w:val="7"/>
        </w:rPr>
        <w:t>股转增</w:t>
      </w:r>
      <w:r>
        <w:rPr>
          <w:rFonts w:ascii="Times New Roman" w:hAnsi="Times New Roman" w:cs="Times New Roman" w:eastAsia="Times New Roman" w:hint="default"/>
          <w:spacing w:val="7"/>
        </w:rPr>
        <w:t>5</w:t>
      </w:r>
      <w:r>
        <w:rPr>
          <w:spacing w:val="7"/>
        </w:rPr>
        <w:t>股的比例，以资本公积向全体股东转增股份总额</w:t>
      </w:r>
      <w:r>
        <w:rPr>
          <w:spacing w:val="-42"/>
        </w:rPr>
        <w:t> </w:t>
      </w:r>
      <w:r>
        <w:rPr>
          <w:spacing w:val="-42"/>
        </w:rPr>
      </w:r>
      <w:r>
        <w:rPr>
          <w:rFonts w:ascii="Times New Roman" w:hAnsi="Times New Roman" w:cs="Times New Roman" w:eastAsia="Times New Roman" w:hint="default"/>
        </w:rPr>
        <w:t>109,200,000.00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109,200,000.00</w:t>
      </w:r>
      <w:r>
        <w:rPr/>
        <w:t>元，股权登记日期为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日，变更后注册资本为人民 币</w:t>
      </w:r>
      <w:r>
        <w:rPr>
          <w:rFonts w:ascii="Times New Roman" w:hAnsi="Times New Roman" w:cs="Times New Roman" w:eastAsia="Times New Roman" w:hint="default"/>
        </w:rPr>
        <w:t>327,600,000.00</w:t>
      </w:r>
      <w:r>
        <w:rPr/>
        <w:t>元，此次增资于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日取得深圳市经济贸易和信息化委员会深经贸信息资质</w:t>
      </w:r>
      <w:r>
        <w:rPr>
          <w:rFonts w:ascii="Times New Roman" w:hAnsi="Times New Roman" w:cs="Times New Roman" w:eastAsia="Times New Roman" w:hint="default"/>
        </w:rPr>
        <w:t>[2012]I900</w:t>
      </w:r>
      <w:r>
        <w:rPr/>
        <w:t>号文件批</w:t>
      </w:r>
      <w:r>
        <w:rPr>
          <w:spacing w:val="31"/>
        </w:rPr>
        <w:t> </w:t>
      </w:r>
      <w:r>
        <w:rPr/>
        <w:t>准，并已于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日办理工商信息变更手续。</w:t>
      </w:r>
    </w:p>
    <w:p>
      <w:pPr>
        <w:pStyle w:val="BodyText"/>
        <w:spacing w:line="300" w:lineRule="auto" w:before="13"/>
        <w:ind w:right="1119"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日，根据公司股东大会通过的《公司</w:t>
      </w:r>
      <w:r>
        <w:rPr>
          <w:rFonts w:ascii="Times New Roman" w:hAnsi="Times New Roman" w:cs="Times New Roman" w:eastAsia="Times New Roman" w:hint="default"/>
        </w:rPr>
        <w:t>2012</w:t>
      </w:r>
      <w:r>
        <w:rPr/>
        <w:t>年度利润分配及资本公积金转增股本预案》以及修改后的章程规 </w:t>
      </w:r>
      <w:r>
        <w:rPr>
          <w:spacing w:val="10"/>
        </w:rPr>
        <w:t>定，公司增加注册资本人民币</w:t>
      </w:r>
      <w:r>
        <w:rPr>
          <w:rFonts w:ascii="Times New Roman" w:hAnsi="Times New Roman" w:cs="Times New Roman" w:eastAsia="Times New Roman" w:hint="default"/>
          <w:spacing w:val="10"/>
        </w:rPr>
        <w:t>65,520,000.00</w:t>
      </w:r>
      <w:r>
        <w:rPr>
          <w:spacing w:val="10"/>
        </w:rPr>
        <w:t>元：其中按每</w:t>
      </w:r>
      <w:r>
        <w:rPr>
          <w:rFonts w:ascii="Times New Roman" w:hAnsi="Times New Roman" w:cs="Times New Roman" w:eastAsia="Times New Roman" w:hint="default"/>
          <w:spacing w:val="10"/>
        </w:rPr>
        <w:t>10</w:t>
      </w:r>
      <w:r>
        <w:rPr>
          <w:spacing w:val="10"/>
        </w:rPr>
        <w:t>股转增</w:t>
      </w:r>
      <w:r>
        <w:rPr>
          <w:rFonts w:ascii="Times New Roman" w:hAnsi="Times New Roman" w:cs="Times New Roman" w:eastAsia="Times New Roman" w:hint="default"/>
          <w:spacing w:val="10"/>
        </w:rPr>
        <w:t>2</w:t>
      </w:r>
      <w:r>
        <w:rPr>
          <w:spacing w:val="10"/>
        </w:rPr>
        <w:t>股的比例，以资本公积向全体股东转增股份总额</w:t>
      </w:r>
      <w:r>
        <w:rPr>
          <w:spacing w:val="-86"/>
        </w:rPr>
        <w:t> </w:t>
      </w:r>
      <w:r>
        <w:rPr>
          <w:rFonts w:ascii="Times New Roman" w:hAnsi="Times New Roman" w:cs="Times New Roman" w:eastAsia="Times New Roman" w:hint="default"/>
        </w:rPr>
        <w:t>65,520,000.00</w:t>
      </w:r>
      <w:r>
        <w:rPr/>
        <w:t>股，每股面值</w:t>
      </w:r>
      <w:r>
        <w:rPr>
          <w:rFonts w:ascii="Times New Roman" w:hAnsi="Times New Roman" w:cs="Times New Roman" w:eastAsia="Times New Roman" w:hint="default"/>
        </w:rPr>
        <w:t>1</w:t>
      </w:r>
      <w:r>
        <w:rPr/>
        <w:t>元，相应增加股本</w:t>
      </w:r>
      <w:r>
        <w:rPr>
          <w:rFonts w:ascii="Times New Roman" w:hAnsi="Times New Roman" w:cs="Times New Roman" w:eastAsia="Times New Roman" w:hint="default"/>
        </w:rPr>
        <w:t>65,520,000.00</w:t>
      </w:r>
      <w:r>
        <w:rPr/>
        <w:t>元，股权登记日期为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日，变更后注册资本为人民币</w:t>
      </w:r>
    </w:p>
    <w:p>
      <w:pPr>
        <w:pStyle w:val="BodyText"/>
        <w:spacing w:line="300" w:lineRule="auto" w:before="13"/>
        <w:ind w:right="0"/>
        <w:jc w:val="left"/>
      </w:pPr>
      <w:r>
        <w:rPr>
          <w:rFonts w:ascii="Times New Roman" w:hAnsi="Times New Roman" w:cs="Times New Roman" w:eastAsia="Times New Roman" w:hint="default"/>
        </w:rPr>
        <w:t>393,120,000.00</w:t>
      </w:r>
      <w:r>
        <w:rPr/>
        <w:t>元，此次增资于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日取得深圳市经济贸易和信息化委员会深经贸信息资质</w:t>
      </w:r>
      <w:r>
        <w:rPr>
          <w:rFonts w:ascii="Times New Roman" w:hAnsi="Times New Roman" w:cs="Times New Roman" w:eastAsia="Times New Roman" w:hint="default"/>
        </w:rPr>
        <w:t>[2013]1108</w:t>
      </w:r>
      <w:r>
        <w:rPr/>
        <w:t>号文件批准，</w:t>
      </w:r>
      <w:r>
        <w:rPr>
          <w:spacing w:val="-72"/>
        </w:rPr>
        <w:t> </w:t>
      </w:r>
      <w:r>
        <w:rPr>
          <w:spacing w:val="-72"/>
        </w:rPr>
      </w:r>
      <w:r>
        <w:rPr/>
        <w:t>并已于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日办理工商信息变更手续。</w:t>
      </w:r>
    </w:p>
    <w:p>
      <w:pPr>
        <w:pStyle w:val="BodyText"/>
        <w:spacing w:line="240" w:lineRule="auto" w:before="13"/>
        <w:ind w:left="514" w:right="0"/>
        <w:jc w:val="left"/>
        <w:rPr>
          <w:rFonts w:ascii="Times New Roman" w:hAnsi="Times New Roman" w:cs="Times New Roman" w:eastAsia="Times New Roman" w:hint="default"/>
        </w:rPr>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日键桥通讯技术有限公司持有公司</w:t>
      </w:r>
      <w:r>
        <w:rPr>
          <w:rFonts w:ascii="Times New Roman" w:hAnsi="Times New Roman" w:cs="Times New Roman" w:eastAsia="Times New Roman" w:hint="default"/>
        </w:rPr>
        <w:t>15,</w:t>
      </w:r>
      <w:r>
        <w:rPr>
          <w:rFonts w:ascii="Times New Roman" w:hAnsi="Times New Roman" w:cs="Times New Roman" w:eastAsia="Times New Roman" w:hint="default"/>
          <w:spacing w:val="-2"/>
        </w:rPr>
        <w:t>0</w:t>
      </w:r>
      <w:r>
        <w:rPr>
          <w:rFonts w:ascii="Times New Roman" w:hAnsi="Times New Roman" w:cs="Times New Roman" w:eastAsia="Times New Roman" w:hint="default"/>
        </w:rPr>
        <w:t>33.89</w:t>
      </w:r>
      <w:r>
        <w:rPr/>
        <w:t>万股</w:t>
      </w:r>
      <w:r>
        <w:rPr>
          <w:spacing w:val="-78"/>
        </w:rPr>
        <w:t>，</w:t>
      </w:r>
      <w:r>
        <w:rPr/>
        <w:t>占键桥通讯股份总数的</w:t>
      </w:r>
      <w:r>
        <w:rPr>
          <w:rFonts w:ascii="Times New Roman" w:hAnsi="Times New Roman" w:cs="Times New Roman" w:eastAsia="Times New Roman" w:hint="default"/>
        </w:rPr>
        <w:t>38.2425%</w:t>
      </w:r>
      <w:r>
        <w:rPr>
          <w:spacing w:val="-78"/>
        </w:rPr>
        <w:t>，</w:t>
      </w:r>
      <w:r>
        <w:rPr/>
        <w:t>叶琼</w:t>
      </w:r>
      <w:r>
        <w:rPr>
          <w:spacing w:val="-79"/>
        </w:rPr>
        <w:t>、</w:t>
      </w:r>
      <w:r>
        <w:rPr>
          <w:rFonts w:ascii="Times New Roman" w:hAnsi="Times New Roman" w:cs="Times New Roman" w:eastAsia="Times New Roman" w:hint="default"/>
        </w:rPr>
        <w:t>Brenda</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2"/>
          <w:w w:val="99"/>
        </w:rPr>
        <w:t>Y</w:t>
      </w:r>
      <w:r>
        <w:rPr>
          <w:rFonts w:ascii="Times New Roman" w:hAnsi="Times New Roman" w:cs="Times New Roman" w:eastAsia="Times New Roman" w:hint="default"/>
          <w:spacing w:val="-1"/>
        </w:rPr>
        <w:t>a</w:t>
      </w:r>
      <w:r>
        <w:rPr>
          <w:rFonts w:ascii="Times New Roman" w:hAnsi="Times New Roman" w:cs="Times New Roman" w:eastAsia="Times New Roman" w:hint="default"/>
        </w:rPr>
        <w:t>p</w:t>
      </w:r>
    </w:p>
    <w:p>
      <w:pPr>
        <w:pStyle w:val="BodyText"/>
        <w:spacing w:line="300" w:lineRule="auto" w:before="63"/>
        <w:ind w:right="1119"/>
        <w:jc w:val="left"/>
      </w:pPr>
      <w:r>
        <w:rPr/>
        <w:t>（叶冰）和</w:t>
      </w:r>
      <w:r>
        <w:rPr>
          <w:rFonts w:ascii="Times New Roman" w:hAnsi="Times New Roman" w:cs="Times New Roman" w:eastAsia="Times New Roman" w:hint="default"/>
        </w:rPr>
        <w:t>David</w:t>
      </w:r>
      <w:r>
        <w:rPr>
          <w:rFonts w:ascii="Times New Roman" w:hAnsi="Times New Roman" w:cs="Times New Roman" w:eastAsia="Times New Roman" w:hint="default"/>
          <w:spacing w:val="-23"/>
        </w:rPr>
        <w:t> </w:t>
      </w:r>
      <w:r>
        <w:rPr>
          <w:rFonts w:ascii="Times New Roman" w:hAnsi="Times New Roman" w:cs="Times New Roman" w:eastAsia="Times New Roman" w:hint="default"/>
        </w:rPr>
        <w:t>Xun</w:t>
      </w:r>
      <w:r>
        <w:rPr>
          <w:rFonts w:ascii="Times New Roman" w:hAnsi="Times New Roman" w:cs="Times New Roman" w:eastAsia="Times New Roman" w:hint="default"/>
          <w:spacing w:val="-24"/>
        </w:rPr>
        <w:t> </w:t>
      </w:r>
      <w:r>
        <w:rPr>
          <w:rFonts w:ascii="Times New Roman" w:hAnsi="Times New Roman" w:cs="Times New Roman" w:eastAsia="Times New Roman" w:hint="default"/>
        </w:rPr>
        <w:t>Ge</w:t>
      </w:r>
      <w:r>
        <w:rPr/>
        <w:t>（葛迅）是键桥通讯技术有限公司实际控制人，因此叶琼、</w:t>
      </w:r>
      <w:r>
        <w:rPr>
          <w:rFonts w:ascii="Times New Roman" w:hAnsi="Times New Roman" w:cs="Times New Roman" w:eastAsia="Times New Roman" w:hint="default"/>
        </w:rPr>
        <w:t>Brenda</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3"/>
        </w:rPr>
        <w:t>Yap</w:t>
      </w:r>
      <w:r>
        <w:rPr>
          <w:spacing w:val="-3"/>
        </w:rPr>
        <w:t>（叶冰）和</w:t>
      </w:r>
      <w:r>
        <w:rPr>
          <w:rFonts w:ascii="Times New Roman" w:hAnsi="Times New Roman" w:cs="Times New Roman" w:eastAsia="Times New Roman" w:hint="default"/>
          <w:spacing w:val="-3"/>
        </w:rPr>
        <w:t>David</w:t>
      </w:r>
      <w:r>
        <w:rPr>
          <w:rFonts w:ascii="Times New Roman" w:hAnsi="Times New Roman" w:cs="Times New Roman" w:eastAsia="Times New Roman" w:hint="default"/>
          <w:spacing w:val="-23"/>
        </w:rPr>
        <w:t> </w:t>
      </w:r>
      <w:r>
        <w:rPr>
          <w:rFonts w:ascii="Times New Roman" w:hAnsi="Times New Roman" w:cs="Times New Roman" w:eastAsia="Times New Roman" w:hint="default"/>
        </w:rPr>
        <w:t>Xun</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4"/>
        </w:rPr>
        <w:t>Ge</w:t>
      </w:r>
      <w:r>
        <w:rPr>
          <w:spacing w:val="-4"/>
        </w:rPr>
        <w:t>（葛</w:t>
      </w:r>
      <w:r>
        <w:rPr>
          <w:spacing w:val="1"/>
        </w:rPr>
        <w:t> </w:t>
      </w:r>
      <w:r>
        <w:rPr/>
        <w:t>迅）为公司的实际控制人。</w:t>
      </w:r>
    </w:p>
    <w:p>
      <w:pPr>
        <w:pStyle w:val="BodyText"/>
        <w:spacing w:line="300" w:lineRule="auto" w:before="31"/>
        <w:ind w:right="1130"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日，键桥通讯技术有限公司（以下简称</w:t>
      </w:r>
      <w:r>
        <w:rPr>
          <w:rFonts w:ascii="Times New Roman" w:hAnsi="Times New Roman" w:cs="Times New Roman" w:eastAsia="Times New Roman" w:hint="default"/>
        </w:rPr>
        <w:t>“</w:t>
      </w:r>
      <w:r>
        <w:rPr/>
        <w:t>香港键桥</w:t>
      </w:r>
      <w:r>
        <w:rPr>
          <w:rFonts w:ascii="Times New Roman" w:hAnsi="Times New Roman" w:cs="Times New Roman" w:eastAsia="Times New Roman" w:hint="default"/>
        </w:rPr>
        <w:t>”</w:t>
      </w:r>
      <w:r>
        <w:rPr/>
        <w:t>）与嘉兴乾德精一投资合伙企业（有限合伙）（以下简 </w:t>
      </w:r>
      <w:r>
        <w:rPr>
          <w:spacing w:val="-1"/>
        </w:rPr>
        <w:t>称</w:t>
      </w:r>
      <w:r>
        <w:rPr>
          <w:rFonts w:ascii="Times New Roman" w:hAnsi="Times New Roman" w:cs="Times New Roman" w:eastAsia="Times New Roman" w:hint="default"/>
          <w:spacing w:val="-1"/>
        </w:rPr>
        <w:t>“</w:t>
      </w:r>
      <w:r>
        <w:rPr>
          <w:spacing w:val="-1"/>
        </w:rPr>
        <w:t>乾德精一</w:t>
      </w:r>
      <w:r>
        <w:rPr>
          <w:rFonts w:ascii="Times New Roman" w:hAnsi="Times New Roman" w:cs="Times New Roman" w:eastAsia="Times New Roman" w:hint="default"/>
          <w:spacing w:val="-1"/>
        </w:rPr>
        <w:t>”</w:t>
      </w:r>
      <w:r>
        <w:rPr>
          <w:spacing w:val="-1"/>
        </w:rPr>
        <w:t>）签署了《股份转让协议》，乾德精一协议受让香港键桥持有的键桥通讯无限售流通股</w:t>
      </w:r>
      <w:r>
        <w:rPr>
          <w:rFonts w:ascii="Times New Roman" w:hAnsi="Times New Roman" w:cs="Times New Roman" w:eastAsia="Times New Roman" w:hint="default"/>
          <w:spacing w:val="-1"/>
        </w:rPr>
        <w:t>7,800</w:t>
      </w:r>
      <w:r>
        <w:rPr>
          <w:spacing w:val="-1"/>
        </w:rPr>
        <w:t>万股。</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spacing w:val="-52"/>
        </w:rPr>
        <w:t> </w:t>
      </w:r>
      <w:r>
        <w:rPr>
          <w:rFonts w:ascii="Times New Roman" w:hAnsi="Times New Roman" w:cs="Times New Roman" w:eastAsia="Times New Roman" w:hint="default"/>
          <w:spacing w:val="-2"/>
        </w:rPr>
        <w:t>19</w:t>
      </w:r>
      <w:r>
        <w:rPr>
          <w:spacing w:val="-2"/>
        </w:rPr>
        <w:t>日，中国证券登记结算有限责任公司深圳分公司出具了《过户登记确认书》，本次股份转让已完成过户登记手续。本次股</w:t>
      </w:r>
      <w:r>
        <w:rPr>
          <w:spacing w:val="-64"/>
        </w:rPr>
        <w:t> </w:t>
      </w:r>
      <w:r>
        <w:rPr>
          <w:spacing w:val="-64"/>
        </w:rPr>
      </w:r>
      <w:r>
        <w:rPr/>
        <w:t>份过户登记手续完成后，乾德精一持有键桥通讯股份</w:t>
      </w:r>
      <w:r>
        <w:rPr>
          <w:rFonts w:ascii="Times New Roman" w:hAnsi="Times New Roman" w:cs="Times New Roman" w:eastAsia="Times New Roman" w:hint="default"/>
        </w:rPr>
        <w:t>7,800</w:t>
      </w:r>
      <w:r>
        <w:rPr/>
        <w:t>万股，占键桥通讯股份总数的</w:t>
      </w:r>
      <w:r>
        <w:rPr>
          <w:rFonts w:ascii="Times New Roman" w:hAnsi="Times New Roman" w:cs="Times New Roman" w:eastAsia="Times New Roman" w:hint="default"/>
        </w:rPr>
        <w:t>19.84%</w:t>
      </w:r>
      <w:r>
        <w:rPr/>
        <w:t>，成为公司第一大股东；香</w:t>
      </w:r>
      <w:r>
        <w:rPr>
          <w:spacing w:val="-57"/>
        </w:rPr>
        <w:t> </w:t>
      </w:r>
      <w:r>
        <w:rPr>
          <w:spacing w:val="-57"/>
        </w:rPr>
      </w:r>
      <w:r>
        <w:rPr/>
        <w:t>港键桥持有键桥通讯股份</w:t>
      </w:r>
      <w:r>
        <w:rPr>
          <w:rFonts w:ascii="Times New Roman" w:hAnsi="Times New Roman" w:cs="Times New Roman" w:eastAsia="Times New Roman" w:hint="default"/>
        </w:rPr>
        <w:t>7,233.89</w:t>
      </w:r>
      <w:r>
        <w:rPr/>
        <w:t>万股，占键桥通讯股份总数的</w:t>
      </w:r>
      <w:r>
        <w:rPr>
          <w:rFonts w:ascii="Times New Roman" w:hAnsi="Times New Roman" w:cs="Times New Roman" w:eastAsia="Times New Roman" w:hint="default"/>
        </w:rPr>
        <w:t>18.40%</w:t>
      </w:r>
      <w:r>
        <w:rPr/>
        <w:t>，为键桥通讯第二大股东。</w:t>
      </w:r>
    </w:p>
    <w:p>
      <w:pPr>
        <w:pStyle w:val="BodyText"/>
        <w:spacing w:line="300" w:lineRule="auto" w:before="13"/>
        <w:ind w:right="1032" w:firstLine="36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日，香港键桥分别与黄喜胜、王雁铭签署了《键桥通讯技术有限公司与黄喜胜关于深圳键桥通讯技术股份 </w:t>
      </w:r>
      <w:r>
        <w:rPr>
          <w:spacing w:val="6"/>
        </w:rPr>
        <w:t>有限公司</w:t>
      </w:r>
      <w:r>
        <w:rPr>
          <w:rFonts w:ascii="Times New Roman" w:hAnsi="Times New Roman" w:cs="Times New Roman" w:eastAsia="Times New Roman" w:hint="default"/>
          <w:spacing w:val="6"/>
        </w:rPr>
        <w:t>28,692,110</w:t>
      </w:r>
      <w:r>
        <w:rPr>
          <w:spacing w:val="6"/>
        </w:rPr>
        <w:t>股股份之股份转让协议》、《键桥通讯技术有限公司与王雁铭关于深圳键桥通讯技术股份有限公司</w:t>
      </w:r>
      <w:r>
        <w:rPr>
          <w:spacing w:val="-80"/>
        </w:rPr>
        <w:t> </w:t>
      </w:r>
      <w:r>
        <w:rPr>
          <w:spacing w:val="-80"/>
        </w:rPr>
      </w:r>
      <w:r>
        <w:rPr>
          <w:rFonts w:ascii="Times New Roman" w:hAnsi="Times New Roman" w:cs="Times New Roman" w:eastAsia="Times New Roman" w:hint="default"/>
          <w:spacing w:val="-8"/>
        </w:rPr>
        <w:t>19,656,000</w:t>
      </w:r>
      <w:r>
        <w:rPr>
          <w:spacing w:val="-8"/>
        </w:rPr>
        <w:t>股股份之股份转让协议》，并由中华人民共和国广东省深圳市福田公证处出具了（</w:t>
      </w:r>
      <w:r>
        <w:rPr>
          <w:rFonts w:ascii="Times New Roman" w:hAnsi="Times New Roman" w:cs="Times New Roman" w:eastAsia="Times New Roman" w:hint="default"/>
          <w:spacing w:val="-8"/>
        </w:rPr>
        <w:t>2016</w:t>
      </w:r>
      <w:r>
        <w:rPr>
          <w:spacing w:val="-8"/>
        </w:rPr>
        <w:t>）深福证字第</w:t>
      </w:r>
      <w:r>
        <w:rPr>
          <w:rFonts w:ascii="Times New Roman" w:hAnsi="Times New Roman" w:cs="Times New Roman" w:eastAsia="Times New Roman" w:hint="default"/>
          <w:spacing w:val="-8"/>
        </w:rPr>
        <w:t>50511</w:t>
      </w:r>
      <w:r>
        <w:rPr>
          <w:spacing w:val="-8"/>
        </w:rPr>
        <w:t>号、（</w:t>
      </w:r>
      <w:r>
        <w:rPr>
          <w:rFonts w:ascii="Times New Roman" w:hAnsi="Times New Roman" w:cs="Times New Roman" w:eastAsia="Times New Roman" w:hint="default"/>
          <w:spacing w:val="-8"/>
        </w:rPr>
        <w:t>2016</w:t>
      </w:r>
      <w:r>
        <w:rPr>
          <w:spacing w:val="-8"/>
        </w:rPr>
        <w:t>）</w:t>
      </w:r>
      <w:r>
        <w:rPr>
          <w:spacing w:val="-75"/>
        </w:rPr>
        <w:t> </w:t>
      </w:r>
      <w:r>
        <w:rPr>
          <w:spacing w:val="-2"/>
        </w:rPr>
        <w:t>深福证字第</w:t>
      </w:r>
      <w:r>
        <w:rPr>
          <w:rFonts w:ascii="Times New Roman" w:hAnsi="Times New Roman" w:cs="Times New Roman" w:eastAsia="Times New Roman" w:hint="default"/>
          <w:spacing w:val="-2"/>
        </w:rPr>
        <w:t>50512</w:t>
      </w:r>
      <w:r>
        <w:rPr>
          <w:spacing w:val="-2"/>
        </w:rPr>
        <w:t>号《公证书》。</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日，中国证券登记结算有限责任公司出具了《证券过户登记确认书》，本次股</w:t>
      </w:r>
      <w:r>
        <w:rPr>
          <w:spacing w:val="-59"/>
        </w:rPr>
        <w:t> </w:t>
      </w:r>
      <w:r>
        <w:rPr>
          <w:spacing w:val="-59"/>
        </w:rPr>
      </w:r>
      <w:r>
        <w:rPr/>
        <w:t>份转让已完成过户登记手续的办理，本次股份过户登记手续完成后，香港键桥持有公司</w:t>
      </w:r>
      <w:r>
        <w:rPr>
          <w:rFonts w:ascii="Times New Roman" w:hAnsi="Times New Roman" w:cs="Times New Roman" w:eastAsia="Times New Roman" w:hint="default"/>
        </w:rPr>
        <w:t>23,990,806</w:t>
      </w:r>
      <w:r>
        <w:rPr/>
        <w:t>股股份，占公司股份总数</w:t>
      </w:r>
      <w:r>
        <w:rPr>
          <w:spacing w:val="-84"/>
        </w:rPr>
        <w:t> </w:t>
      </w:r>
      <w:r>
        <w:rPr>
          <w:spacing w:val="-84"/>
        </w:rPr>
      </w:r>
      <w:r>
        <w:rPr/>
        <w:t>的</w:t>
      </w:r>
      <w:r>
        <w:rPr>
          <w:rFonts w:ascii="Times New Roman" w:hAnsi="Times New Roman" w:cs="Times New Roman" w:eastAsia="Times New Roman" w:hint="default"/>
        </w:rPr>
        <w:t>6.10%</w:t>
      </w:r>
      <w:r>
        <w:rPr/>
        <w:t>；黄喜胜持有公司</w:t>
      </w:r>
      <w:r>
        <w:rPr>
          <w:rFonts w:ascii="Times New Roman" w:hAnsi="Times New Roman" w:cs="Times New Roman" w:eastAsia="Times New Roman" w:hint="default"/>
        </w:rPr>
        <w:t>28,692,110</w:t>
      </w:r>
      <w:r>
        <w:rPr/>
        <w:t>股股份，占公司股份总数的</w:t>
      </w:r>
      <w:r>
        <w:rPr>
          <w:rFonts w:ascii="Times New Roman" w:hAnsi="Times New Roman" w:cs="Times New Roman" w:eastAsia="Times New Roman" w:hint="default"/>
        </w:rPr>
        <w:t>7.30%</w:t>
      </w:r>
      <w:r>
        <w:rPr/>
        <w:t>；王雁铭持有公司</w:t>
      </w:r>
      <w:r>
        <w:rPr>
          <w:rFonts w:ascii="Times New Roman" w:hAnsi="Times New Roman" w:cs="Times New Roman" w:eastAsia="Times New Roman" w:hint="default"/>
        </w:rPr>
        <w:t>19,656,000</w:t>
      </w:r>
      <w:r>
        <w:rPr/>
        <w:t>股股份，占公司股份总</w:t>
      </w:r>
      <w:r>
        <w:rPr>
          <w:spacing w:val="-34"/>
        </w:rPr>
        <w:t> </w:t>
      </w:r>
      <w:r>
        <w:rPr>
          <w:spacing w:val="-34"/>
        </w:rPr>
      </w:r>
      <w:r>
        <w:rPr/>
        <w:t>数的</w:t>
      </w:r>
      <w:r>
        <w:rPr>
          <w:rFonts w:ascii="Times New Roman" w:hAnsi="Times New Roman" w:cs="Times New Roman" w:eastAsia="Times New Roman" w:hint="default"/>
        </w:rPr>
        <w:t>5.00%</w:t>
      </w:r>
      <w:r>
        <w:rPr/>
        <w:t>。</w:t>
      </w:r>
    </w:p>
    <w:p>
      <w:pPr>
        <w:pStyle w:val="BodyText"/>
        <w:spacing w:line="240" w:lineRule="auto" w:before="13"/>
        <w:ind w:left="514" w:right="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月公司名称变更为深圳亚联发展科技股份有限公司。</w:t>
      </w:r>
    </w:p>
    <w:p>
      <w:pPr>
        <w:pStyle w:val="BodyText"/>
        <w:spacing w:line="316" w:lineRule="auto" w:before="63"/>
        <w:ind w:left="514" w:right="0"/>
        <w:jc w:val="left"/>
      </w:pPr>
      <w:r>
        <w:rPr/>
        <w:t>（四）公司的基本组织架构 </w:t>
      </w:r>
      <w:r>
        <w:rPr>
          <w:spacing w:val="-2"/>
        </w:rPr>
        <w:t>本公司依法建立了股东大会、董事会、监事会，制定了《股东大会议事规则》、《董事会议事规则》、《监事会议事规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spacing w:val="-2"/>
        </w:rPr>
        <w:t>则》、《总经理工作细则》和《独立董事工作制度》等。公司董事会聘任了总经理、执行总经理、副总经理、财务总监及董</w:t>
      </w:r>
      <w:r>
        <w:rPr>
          <w:spacing w:val="-70"/>
        </w:rPr>
        <w:t> </w:t>
      </w:r>
      <w:r>
        <w:rPr>
          <w:spacing w:val="-70"/>
        </w:rPr>
      </w:r>
      <w:r>
        <w:rPr/>
        <w:t>事会秘书，并根据生产经营需要分别设置了研发中心、资质管理部、市场部、交付管理部、财务部、人力资源部、总裁办、 品牌公关部、董事会秘书处、内部审计部等职能管理部门中心。</w:t>
      </w:r>
    </w:p>
    <w:p>
      <w:pPr>
        <w:pStyle w:val="BodyText"/>
        <w:spacing w:line="319" w:lineRule="auto" w:before="19"/>
        <w:ind w:left="514" w:right="0"/>
        <w:jc w:val="left"/>
      </w:pPr>
      <w:r>
        <w:rPr/>
        <w:t>（五）公司的实际控制人 乾德精一持有公司</w:t>
      </w:r>
      <w:r>
        <w:rPr>
          <w:rFonts w:ascii="Times New Roman" w:hAnsi="Times New Roman" w:cs="Times New Roman" w:eastAsia="Times New Roman" w:hint="default"/>
        </w:rPr>
        <w:t>7,800</w:t>
      </w:r>
      <w:r>
        <w:rPr/>
        <w:t>万股股份，占公司股份总数的</w:t>
      </w:r>
      <w:r>
        <w:rPr>
          <w:rFonts w:ascii="Times New Roman" w:hAnsi="Times New Roman" w:cs="Times New Roman" w:eastAsia="Times New Roman" w:hint="default"/>
        </w:rPr>
        <w:t>19.84%</w:t>
      </w:r>
      <w:r>
        <w:rPr/>
        <w:t>，乾德精一为公司控股股东，深圳精一为乾德精一的普通</w:t>
      </w:r>
    </w:p>
    <w:p>
      <w:pPr>
        <w:pStyle w:val="BodyText"/>
        <w:spacing w:line="300" w:lineRule="auto"/>
        <w:ind w:right="1117"/>
        <w:jc w:val="left"/>
      </w:pPr>
      <w:r>
        <w:rPr>
          <w:spacing w:val="-1"/>
        </w:rPr>
        <w:t>合伙人、执行事务合伙人，刘辉女士持有深圳精一</w:t>
      </w:r>
      <w:r>
        <w:rPr>
          <w:rFonts w:ascii="Times New Roman" w:hAnsi="Times New Roman" w:cs="Times New Roman" w:eastAsia="Times New Roman" w:hint="default"/>
          <w:spacing w:val="-1"/>
        </w:rPr>
        <w:t>99%</w:t>
      </w:r>
      <w:r>
        <w:rPr>
          <w:spacing w:val="-1"/>
        </w:rPr>
        <w:t>的股权，为深圳精一的控股股东，乾德精一的实际控制人。因此，刘</w:t>
      </w:r>
      <w:r>
        <w:rPr/>
        <w:t> 辉女士成为公司的实际控制人。</w:t>
      </w:r>
    </w:p>
    <w:p>
      <w:pPr>
        <w:pStyle w:val="BodyText"/>
        <w:spacing w:line="300" w:lineRule="auto" w:before="31"/>
        <w:ind w:left="514" w:right="2582"/>
        <w:jc w:val="left"/>
      </w:pPr>
      <w:r>
        <w:rPr/>
        <w:t>（六）本财务报表业经本公司董事会于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日决议批准报出。 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15</w:t>
      </w:r>
      <w:r>
        <w:rPr/>
        <w:t>家，比上年增加</w:t>
      </w:r>
      <w:r>
        <w:rPr>
          <w:rFonts w:ascii="Times New Roman" w:hAnsi="Times New Roman" w:cs="Times New Roman" w:eastAsia="Times New Roman" w:hint="default"/>
        </w:rPr>
        <w:t>1</w:t>
      </w:r>
      <w:r>
        <w:rPr/>
        <w:t>家。详见本附注七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2" w:firstLine="360"/>
        <w:jc w:val="left"/>
      </w:pPr>
      <w:r>
        <w:rPr/>
        <w:t>本公司财务报表以持续经营假设为基础，根据实际发生的交易和事项，按照财政部发布的企业会计准则及其应用指南、 </w:t>
      </w:r>
      <w:r>
        <w:rPr>
          <w:spacing w:val="-2"/>
        </w:rPr>
        <w:t>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w:t>
      </w:r>
      <w:r>
        <w:rPr>
          <w:spacing w:val="-44"/>
        </w:rPr>
        <w:t> </w:t>
      </w:r>
      <w:r>
        <w:rPr>
          <w:spacing w:val="-44"/>
        </w:rPr>
      </w:r>
      <w:r>
        <w:rPr>
          <w:spacing w:val="-2"/>
        </w:rPr>
        <w:t>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年修订）的披露规定编制。根据企业会计准则的相关规定，本公司会计核算以权责</w:t>
      </w:r>
      <w:r>
        <w:rPr>
          <w:spacing w:val="-60"/>
        </w:rPr>
        <w:t> </w:t>
      </w:r>
      <w:r>
        <w:rPr>
          <w:spacing w:val="-60"/>
        </w:rPr>
      </w:r>
      <w:r>
        <w:rPr>
          <w:spacing w:val="-2"/>
        </w:rPr>
        <w:t>发生制为基础。除某些金融工具外，本财务报表均以历史成本为计量基础。资产如果发生减值，则按照相关规定计提相应的</w:t>
      </w:r>
      <w:r>
        <w:rPr>
          <w:spacing w:val="-66"/>
        </w:rPr>
        <w:t> </w:t>
      </w:r>
      <w:r>
        <w:rPr>
          <w:spacing w:val="-66"/>
        </w:rPr>
      </w:r>
      <w:r>
        <w:rPr/>
        <w:t>减值准备。</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right="8232"/>
        <w:jc w:val="left"/>
      </w:pPr>
      <w:r>
        <w:rPr/>
        <w:t>软件与信息技术服务业 具体会计政策和会计估计提示：</w:t>
      </w:r>
    </w:p>
    <w:p>
      <w:pPr>
        <w:pStyle w:val="BodyText"/>
        <w:spacing w:line="309" w:lineRule="auto" w:before="28"/>
        <w:ind w:right="1133" w:firstLine="360"/>
        <w:jc w:val="both"/>
      </w:pPr>
      <w:r>
        <w:rPr/>
        <w:t>本公司及主要子公司从事专网信息通信技术解决方案业务和第三方支付业务。本公司及各子公司根据实际生产经营特 </w:t>
      </w:r>
      <w:r>
        <w:rPr>
          <w:spacing w:val="-3"/>
        </w:rPr>
        <w:t>点，依据相关企业会计准则的规定，对收入确认等交易和事项制定了若干项具体会计政策和会计估计，详见本附注四、</w:t>
      </w:r>
      <w:r>
        <w:rPr>
          <w:rFonts w:ascii="Times New Roman" w:hAnsi="Times New Roman" w:cs="Times New Roman" w:eastAsia="Times New Roman" w:hint="default"/>
          <w:spacing w:val="-3"/>
        </w:rPr>
        <w:t>23“</w:t>
      </w:r>
      <w:r>
        <w:rPr>
          <w:spacing w:val="-3"/>
        </w:rPr>
        <w:t>收</w:t>
      </w:r>
      <w:r>
        <w:rPr>
          <w:spacing w:val="-86"/>
        </w:rPr>
        <w:t> </w:t>
      </w:r>
      <w:r>
        <w:rPr/>
        <w:t>入</w:t>
      </w:r>
      <w:r>
        <w:rPr>
          <w:rFonts w:ascii="Times New Roman" w:hAnsi="Times New Roman" w:cs="Times New Roman" w:eastAsia="Times New Roman" w:hint="default"/>
        </w:rPr>
        <w:t>”</w:t>
      </w:r>
      <w:r>
        <w:rPr/>
        <w:t>各项描述。关于管理层所作出的重大会计判断和估计的说明，请参阅附注四、</w:t>
      </w:r>
      <w:r>
        <w:rPr>
          <w:rFonts w:ascii="Times New Roman" w:hAnsi="Times New Roman" w:cs="Times New Roman" w:eastAsia="Times New Roman" w:hint="default"/>
        </w:rPr>
        <w:t>29“</w:t>
      </w:r>
      <w:r>
        <w:rPr/>
        <w:t>重大会计判断和估计</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日合并及母公司的财务状况</w:t>
      </w:r>
      <w:r>
        <w:rPr/>
        <w:t> </w:t>
      </w:r>
      <w:r>
        <w:rPr>
          <w:spacing w:val="-2"/>
        </w:rPr>
        <w:t>及</w:t>
      </w:r>
      <w:r>
        <w:rPr>
          <w:rFonts w:ascii="Times New Roman" w:hAnsi="Times New Roman" w:cs="Times New Roman" w:eastAsia="Times New Roman" w:hint="default"/>
          <w:spacing w:val="-2"/>
        </w:rPr>
        <w:t>2018</w:t>
      </w:r>
      <w:r>
        <w:rPr>
          <w:spacing w:val="-2"/>
        </w:rPr>
        <w:t>年度合并及母公司的经营成果和现金流量等有关信息。此外，本公司的财务报表在所有重大方面符合中国证券监督管</w:t>
      </w:r>
      <w:r>
        <w:rPr>
          <w:spacing w:val="-60"/>
        </w:rPr>
        <w:t> </w:t>
      </w:r>
      <w:r>
        <w:rPr>
          <w:spacing w:val="-60"/>
        </w:rPr>
      </w:r>
      <w:r>
        <w:rPr>
          <w:spacing w:val="-2"/>
        </w:rPr>
        <w:t>理委员会</w:t>
      </w:r>
      <w:r>
        <w:rPr>
          <w:rFonts w:ascii="Times New Roman" w:hAnsi="Times New Roman" w:cs="Times New Roman" w:eastAsia="Times New Roman" w:hint="default"/>
          <w:spacing w:val="-2"/>
        </w:rPr>
        <w:t>2014</w:t>
      </w:r>
      <w:r>
        <w:rPr>
          <w:spacing w:val="-2"/>
        </w:rPr>
        <w:t>年修订的《公开发行证券的公司信息披露编报规则第</w:t>
      </w:r>
      <w:r>
        <w:rPr>
          <w:rFonts w:ascii="Times New Roman" w:hAnsi="Times New Roman" w:cs="Times New Roman" w:eastAsia="Times New Roman" w:hint="default"/>
          <w:spacing w:val="-2"/>
        </w:rPr>
        <w:t>15</w:t>
      </w:r>
      <w:r>
        <w:rPr>
          <w:spacing w:val="-2"/>
        </w:rPr>
        <w:t>号－财务报告的一般规定》有关财务报表及其附注的披</w:t>
      </w:r>
      <w:r>
        <w:rPr>
          <w:spacing w:val="-58"/>
        </w:rPr>
        <w:t> </w:t>
      </w:r>
      <w:r>
        <w:rPr>
          <w:spacing w:val="-58"/>
        </w:rPr>
      </w:r>
      <w:r>
        <w:rPr/>
        <w:t>露要求。</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本公司的会计期间分为年度和中期，会计中期指短于一个完整的会计年度的报告期间。本公司会计年度采用公历年度，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人民币为本公司及境内子公司经营所处的主要经济环境中的货币，本公司及境内子公司以人民币为记账本位币。本公司</w:t>
      </w:r>
      <w:r>
        <w:rPr/>
        <w:t> </w:t>
      </w:r>
      <w:r>
        <w:rPr>
          <w:spacing w:val="-2"/>
        </w:rPr>
        <w:t>之境外子公司根据其经营所处的主要经济环境中的货币确定港币为其记账本位币。本公司编制本财务报表时所采用的货币为</w:t>
      </w:r>
      <w:r>
        <w:rPr>
          <w:spacing w:val="-64"/>
        </w:rPr>
        <w:t> </w:t>
      </w:r>
      <w:r>
        <w:rPr>
          <w:spacing w:val="-64"/>
        </w:rPr>
      </w:r>
      <w:r>
        <w:rPr/>
        <w:t>人民币。</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300" w:lineRule="auto" w:before="19"/>
        <w:ind w:left="51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before="31"/>
        <w:ind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pStyle w:val="BodyText"/>
        <w:spacing w:line="316" w:lineRule="auto" w:before="19"/>
        <w:ind w:right="1050"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pStyle w:val="BodyText"/>
        <w:spacing w:line="240" w:lineRule="auto" w:before="19"/>
        <w:ind w:left="514" w:right="0"/>
        <w:jc w:val="left"/>
      </w:pPr>
      <w:r>
        <w:rPr/>
        <w:t>合并方为进行企业合并发生的各项直接费用，于发生时计入当期损益。</w:t>
      </w:r>
    </w:p>
    <w:p>
      <w:pPr>
        <w:pStyle w:val="BodyText"/>
        <w:spacing w:line="300" w:lineRule="auto" w:before="76"/>
        <w:ind w:left="514" w:right="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31"/>
        <w:ind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pStyle w:val="BodyText"/>
        <w:spacing w:line="316" w:lineRule="auto" w:before="19"/>
        <w:ind w:right="1131"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5"/>
        </w:rPr>
        <w:t> </w:t>
      </w:r>
      <w:r>
        <w:rPr>
          <w:spacing w:val="-65"/>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pStyle w:val="BodyText"/>
        <w:spacing w:line="312" w:lineRule="auto" w:before="19"/>
        <w:ind w:right="1128"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3"/>
        <w:ind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240" w:lineRule="auto" w:before="13"/>
        <w:ind w:left="514" w:right="0"/>
        <w:jc w:val="left"/>
      </w:pPr>
      <w:r>
        <w:rPr/>
        <w:t>在个别财务报表中，以购买日之前所持被购买方的股权投资的账面价值与购买日新增投资成本之和，作为该项投资的初</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始投资成本；购买日之前持有的被购买方的股权涉及其他综合收益的，在处置该项投资时将与其相关的其他综合收益采用与</w:t>
      </w:r>
      <w:r>
        <w:rPr>
          <w:spacing w:val="-64"/>
        </w:rPr>
        <w:t> </w:t>
      </w:r>
      <w:r>
        <w:rPr>
          <w:spacing w:val="-64"/>
        </w:rPr>
      </w: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pStyle w:val="BodyText"/>
        <w:spacing w:line="319" w:lineRule="auto" w:before="19"/>
        <w:ind w:right="1131"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5"/>
        <w:rPr>
          <w:rFonts w:ascii="宋体" w:hAnsi="宋体" w:cs="宋体" w:eastAsia="宋体" w:hint="default"/>
          <w:sz w:val="22"/>
          <w:szCs w:val="22"/>
        </w:rPr>
      </w:pPr>
    </w:p>
    <w:p>
      <w:pPr>
        <w:pStyle w:val="Heading4"/>
        <w:spacing w:line="240" w:lineRule="auto"/>
        <w:ind w:right="0"/>
        <w:jc w:val="both"/>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31"/>
        <w:ind w:right="1131"/>
        <w:jc w:val="both"/>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pStyle w:val="BodyText"/>
        <w:spacing w:line="240" w:lineRule="auto" w:before="19"/>
        <w:ind w:left="514" w:right="0"/>
        <w:jc w:val="left"/>
      </w:pPr>
      <w:r>
        <w:rPr/>
        <w:t>一旦相关事实和情况的变化导致上述控制定义涉及的相关要素发生了变化，本公司将进行重新评估。</w:t>
      </w:r>
    </w:p>
    <w:p>
      <w:pPr>
        <w:pStyle w:val="BodyText"/>
        <w:spacing w:line="300" w:lineRule="auto" w:before="76"/>
        <w:ind w:left="514" w:right="0"/>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31"/>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4"/>
        </w:rPr>
        <w:t> </w:t>
      </w:r>
      <w:r>
        <w:rPr>
          <w:spacing w:val="-64"/>
        </w:rPr>
      </w:r>
      <w:r>
        <w:rPr/>
        <w:t>时调整合并财务报表的对比数。</w:t>
      </w:r>
    </w:p>
    <w:p>
      <w:pPr>
        <w:pStyle w:val="BodyText"/>
        <w:spacing w:line="316" w:lineRule="auto" w:before="19"/>
        <w:ind w:right="113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6" w:lineRule="auto" w:before="19"/>
        <w:ind w:left="514"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2" w:lineRule="auto" w:before="31"/>
        <w:ind w:right="1129"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3"/>
        </w:rPr>
        <w:t> </w:t>
      </w:r>
      <w:r>
        <w:rPr>
          <w:spacing w:val="-63"/>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w:t>
      </w:r>
      <w:r>
        <w:rPr>
          <w:spacing w:val="-74"/>
        </w:rPr>
        <w:t> </w:t>
      </w:r>
      <w:r>
        <w:rPr>
          <w:spacing w:val="-74"/>
        </w:rPr>
      </w:r>
      <w:r>
        <w:rPr/>
        <w:t>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2" w:lineRule="auto" w:before="3"/>
        <w:ind w:right="1032"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29" w:firstLine="360"/>
        <w:jc w:val="both"/>
      </w:pPr>
      <w:r>
        <w:rPr/>
        <w:t>本公司对合营企业的投资采用权益法核算，按照本附注四、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6" w:lineRule="auto" w:before="31"/>
        <w:ind w:right="1131" w:firstLine="360"/>
        <w:jc w:val="both"/>
      </w:pPr>
      <w:r>
        <w:rPr>
          <w:spacing w:val="-2"/>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19"/>
        <w:ind w:right="1131" w:firstLine="360"/>
        <w:jc w:val="both"/>
      </w:pPr>
      <w:r>
        <w:rPr>
          <w:spacing w:val="-2"/>
        </w:rPr>
        <w:t>当本公司作为合营方向共同经营投出或出售资产（该资产不构成业务，下同）、或者自共同经营购买资产时，在该等资</w:t>
      </w:r>
      <w:r>
        <w:rPr/>
        <w:t> </w:t>
      </w:r>
      <w:r>
        <w:rPr>
          <w:spacing w:val="-2"/>
        </w:rPr>
        <w:t>产出售给第三方之前，本公司仅确认因该交易产生的损益中归属于共同经营其他参与方的部分。该等资产发生符合《企业会</w:t>
      </w:r>
      <w:r>
        <w:rPr>
          <w:spacing w:val="-66"/>
        </w:rPr>
        <w:t> </w:t>
      </w:r>
      <w:r>
        <w:rPr>
          <w:spacing w:val="-66"/>
        </w:rPr>
      </w:r>
      <w:r>
        <w:rPr/>
        <w:t>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w:t>
      </w:r>
      <w:r>
        <w:rPr>
          <w:spacing w:val="-83"/>
        </w:rPr>
        <w:t> </w:t>
      </w:r>
      <w:r>
        <w:rPr>
          <w:spacing w:val="-83"/>
        </w:rPr>
      </w:r>
      <w:r>
        <w:rPr/>
        <w:t>该损失；对于本公司自共同经营购买资产的情况，本公司按承担的份额确认该损失。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5"/>
        <w:rPr>
          <w:rFonts w:ascii="宋体" w:hAnsi="宋体" w:cs="宋体" w:eastAsia="宋体" w:hint="default"/>
          <w:sz w:val="22"/>
          <w:szCs w:val="22"/>
        </w:rPr>
      </w:pPr>
    </w:p>
    <w:p>
      <w:pPr>
        <w:pStyle w:val="Heading4"/>
        <w:spacing w:line="240" w:lineRule="auto"/>
        <w:ind w:right="0"/>
        <w:jc w:val="both"/>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本公司发生的外币交易在初始确认时，按交易日的即期汇率（通常指中国人民银行公布的当日外汇牌价的中间价）折算</w:t>
      </w:r>
    </w:p>
    <w:p>
      <w:pPr>
        <w:pStyle w:val="BodyText"/>
        <w:spacing w:line="240" w:lineRule="auto" w:before="31"/>
        <w:ind w:right="0"/>
        <w:jc w:val="both"/>
      </w:pPr>
      <w:r>
        <w:rPr/>
        <w:t>为记账本位币金额，但公司发生的外币兑换业务或涉及外币兑换的交易事项，按照实际采用的汇率折算为记账本位币金额。</w:t>
      </w:r>
    </w:p>
    <w:p>
      <w:pPr>
        <w:pStyle w:val="BodyText"/>
        <w:spacing w:line="300" w:lineRule="auto" w:before="76"/>
        <w:ind w:left="51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before="31"/>
        <w:ind w:right="1131"/>
        <w:jc w:val="both"/>
      </w:pPr>
      <w:r>
        <w:rPr>
          <w:spacing w:val="-2"/>
        </w:rPr>
        <w:t>本化条件的资产相关的外币专门借款产生的汇兑差额按照借款费用资本化的原则处理；②用于境外经营净投资有效套期的套</w:t>
      </w:r>
      <w:r>
        <w:rPr>
          <w:spacing w:val="-64"/>
        </w:rPr>
        <w:t> </w:t>
      </w:r>
      <w:r>
        <w:rPr>
          <w:spacing w:val="-64"/>
        </w:rPr>
      </w:r>
      <w:r>
        <w:rPr>
          <w:spacing w:val="-2"/>
        </w:rPr>
        <w:t>期工具的汇兑差额（该差额计入其他综合收益，直至净投资被处置才被确认为当期损益）；以及③可供出售的外币货币性项</w:t>
      </w:r>
      <w:r>
        <w:rPr>
          <w:spacing w:val="-66"/>
        </w:rPr>
        <w:t> </w:t>
      </w:r>
      <w:r>
        <w:rPr>
          <w:spacing w:val="-66"/>
        </w:rPr>
      </w:r>
      <w:r>
        <w:rPr/>
        <w:t>目除摊余成本之外的其他账面余额变动产生的汇兑差额计入其他综合收益之外，均计入当期损益。</w:t>
      </w:r>
    </w:p>
    <w:p>
      <w:pPr>
        <w:pStyle w:val="BodyText"/>
        <w:spacing w:line="316" w:lineRule="auto" w:before="19"/>
        <w:ind w:right="1131" w:firstLine="360"/>
        <w:jc w:val="both"/>
      </w:pPr>
      <w:r>
        <w:rPr>
          <w:spacing w:val="-2"/>
        </w:rPr>
        <w:t>编制合并财务报表涉及境外经营的，如有实质上构成对境外经营净投资的外币货币性项目，因汇率变动而产生的汇兑差</w:t>
      </w:r>
      <w:r>
        <w:rPr/>
        <w:t> 额，计入其他综合收益；处置境外经营时，转入处置当期损益。</w:t>
      </w:r>
    </w:p>
    <w:p>
      <w:pPr>
        <w:pStyle w:val="BodyText"/>
        <w:spacing w:line="316" w:lineRule="auto" w:before="19"/>
        <w:ind w:right="1132"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300" w:lineRule="auto" w:before="19"/>
        <w:ind w:left="514"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300" w:lineRule="auto" w:before="31"/>
        <w:ind w:left="514" w:right="0" w:hanging="36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w:t>
      </w:r>
    </w:p>
    <w:p>
      <w:pPr>
        <w:pStyle w:val="BodyText"/>
        <w:spacing w:line="300" w:lineRule="auto" w:before="31"/>
        <w:ind w:right="1131"/>
        <w:jc w:val="both"/>
      </w:pP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p>
    <w:p>
      <w:pPr>
        <w:spacing w:after="0" w:line="300" w:lineRule="auto"/>
        <w:jc w:val="both"/>
        <w:sectPr>
          <w:footerReference w:type="default" r:id="rId15"/>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2"/>
        <w:jc w:val="left"/>
      </w:pPr>
      <w:r>
        <w:rPr>
          <w:spacing w:val="-2"/>
        </w:rPr>
        <w:t>目计算列示；折算后资产类项目与负债类项目和所有者权益类项目合计数的差额，作为外币报表折算差额，确认为其他综合</w:t>
      </w:r>
      <w:r>
        <w:rPr>
          <w:spacing w:val="-66"/>
        </w:rPr>
        <w:t> </w:t>
      </w:r>
      <w:r>
        <w:rPr>
          <w:spacing w:val="-66"/>
        </w:rPr>
      </w:r>
      <w:r>
        <w:rPr/>
        <w:t>收益。处置境外经营并丧失控制权时，将资产负债表中所有者权益项目下列示的、与该境外经营相关的外币报表折算差额， 全部或按处置该境外经营的比例转入处置当期损益。</w:t>
      </w:r>
    </w:p>
    <w:p>
      <w:pPr>
        <w:pStyle w:val="BodyText"/>
        <w:spacing w:line="319" w:lineRule="auto" w:before="19"/>
        <w:ind w:right="1132"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pStyle w:val="BodyText"/>
        <w:spacing w:line="316" w:lineRule="auto" w:before="17"/>
        <w:ind w:left="514"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w:t>
      </w:r>
    </w:p>
    <w:p>
      <w:pPr>
        <w:pStyle w:val="BodyText"/>
        <w:spacing w:line="316" w:lineRule="auto" w:before="19"/>
        <w:ind w:left="514" w:right="1026" w:hanging="360"/>
        <w:jc w:val="left"/>
      </w:pPr>
      <w:r>
        <w:rPr/>
        <w:t>表中所有者权益项目下列示的</w:t>
      </w:r>
      <w:r>
        <w:rPr>
          <w:spacing w:val="-87"/>
        </w:rPr>
        <w:t>、</w:t>
      </w:r>
      <w:r>
        <w:rPr/>
        <w:t>与该境外经营相关的归属于母公司所有者权益的外币报表折算差额</w:t>
      </w:r>
      <w:r>
        <w:rPr>
          <w:spacing w:val="-87"/>
        </w:rPr>
        <w:t>，</w:t>
      </w:r>
      <w:r>
        <w:rPr/>
        <w:t>全部转入处置当期损益。</w:t>
      </w:r>
      <w:r>
        <w:rPr/>
        <w:t> 在处置部分股权投资或其他原因导致持有境外经营权益比例降低但不丧失对境外经营控制权时</w:t>
      </w:r>
      <w:r>
        <w:rPr>
          <w:spacing w:val="-82"/>
        </w:rPr>
        <w:t>，</w:t>
      </w:r>
      <w:r>
        <w:rPr/>
        <w:t>与该境外经营处置部分</w:t>
      </w:r>
    </w:p>
    <w:p>
      <w:pPr>
        <w:pStyle w:val="BodyText"/>
        <w:spacing w:line="316" w:lineRule="auto" w:before="19"/>
        <w:ind w:right="1032"/>
        <w:jc w:val="left"/>
      </w:pPr>
      <w:r>
        <w:rPr/>
        <w:t>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t>在本公司成为金融工具合同的一方时确认一项金融资产或金融负债。金融资产和金融负债在初始确认时以公允价值计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51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w:t>
      </w:r>
    </w:p>
    <w:p>
      <w:pPr>
        <w:pStyle w:val="BodyText"/>
        <w:spacing w:line="319" w:lineRule="auto" w:before="31"/>
        <w:ind w:right="1032"/>
        <w:jc w:val="left"/>
      </w:pPr>
      <w:r>
        <w:rPr>
          <w:spacing w:val="-4"/>
        </w:rPr>
        <w:t>融工具存在活跃市场的，本公司采用活跃市场中的报价确定其公允价值。活跃市场中的报价是指易于定期从交易所、经纪商、</w:t>
      </w:r>
      <w:r>
        <w:rPr>
          <w:spacing w:val="-44"/>
        </w:rPr>
        <w:t> </w:t>
      </w:r>
      <w:r>
        <w:rPr>
          <w:spacing w:val="-44"/>
        </w:rPr>
      </w:r>
      <w:r>
        <w:rPr/>
        <w:t>行业协会、定价服务机构等获得的价格，且代表了在公平交易中实际发生的市场交易的价格。金融工具不存在活跃市场的， </w:t>
      </w:r>
      <w:r>
        <w:rPr>
          <w:spacing w:val="-2"/>
        </w:rPr>
        <w:t>本公司采用估值技术确定其公允价值。估值技术包括参考熟悉情况并自愿交易的各方最近进行的市场交易中使用的价格、参</w:t>
      </w:r>
      <w:r>
        <w:rPr>
          <w:spacing w:val="-64"/>
        </w:rPr>
        <w:t> </w:t>
      </w:r>
      <w:r>
        <w:rPr>
          <w:spacing w:val="-64"/>
        </w:rPr>
      </w:r>
      <w:r>
        <w:rPr/>
        <w:t>照实质上相同的其他金融工具当前的公允价值、现金流量折现法和期权定价模型等。</w:t>
      </w:r>
    </w:p>
    <w:p>
      <w:pPr>
        <w:pStyle w:val="BodyText"/>
        <w:spacing w:line="300" w:lineRule="auto" w:before="17"/>
        <w:ind w:left="514"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240" w:lineRule="auto" w:before="31"/>
        <w:ind w:right="0"/>
        <w:jc w:val="left"/>
      </w:pPr>
      <w:r>
        <w:rPr/>
        <w:t>计入当期损益的金融资产、持有至到期投资、贷款和应收款项以及可供出售金融资产。</w:t>
      </w:r>
    </w:p>
    <w:p>
      <w:pPr>
        <w:pStyle w:val="BodyText"/>
        <w:spacing w:line="316" w:lineRule="auto" w:before="76"/>
        <w:ind w:left="514" w:right="0"/>
        <w:jc w:val="left"/>
      </w:pPr>
      <w:r>
        <w:rPr/>
        <w:t>①以公允价值计量且其变动计入当期损益的金融资产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w:t>
      </w:r>
    </w:p>
    <w:p>
      <w:pPr>
        <w:pStyle w:val="BodyText"/>
        <w:spacing w:line="309" w:lineRule="auto"/>
        <w:ind w:right="1130"/>
        <w:jc w:val="both"/>
      </w:pPr>
      <w:r>
        <w:rPr>
          <w:spacing w:val="-2"/>
        </w:rPr>
        <w:t>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属于衍生工</w:t>
      </w:r>
      <w:r>
        <w:rPr>
          <w:spacing w:val="-48"/>
        </w:rPr>
        <w:t> </w:t>
      </w:r>
      <w:r>
        <w:rPr>
          <w:spacing w:val="-2"/>
        </w:rPr>
        <w:t>具，但是，被指定且为有效套期工具的衍生工具、属于财务担保合同的衍生工具、与在活跃市场中没有报价且其公允价值不</w:t>
      </w:r>
      <w:r>
        <w:rPr>
          <w:spacing w:val="-66"/>
        </w:rPr>
        <w:t> </w:t>
      </w:r>
      <w:r>
        <w:rPr>
          <w:spacing w:val="-66"/>
        </w:rPr>
      </w:r>
      <w:r>
        <w:rPr/>
        <w:t>能可靠计量的权益工具投资挂钩并须通过交付该权益工具结算的衍生工具除外。</w:t>
      </w:r>
    </w:p>
    <w:p>
      <w:pPr>
        <w:pStyle w:val="BodyText"/>
        <w:spacing w:line="307" w:lineRule="auto" w:before="24"/>
        <w:ind w:right="1130" w:firstLine="36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w:t>
      </w:r>
      <w:r>
        <w:rPr/>
        <w:t> </w:t>
      </w:r>
      <w:r>
        <w:rPr>
          <w:spacing w:val="-2"/>
        </w:rPr>
        <w:t>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w:t>
      </w:r>
      <w:r>
        <w:rPr>
          <w:spacing w:val="-48"/>
        </w:rPr>
        <w:t> </w:t>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26"/>
        <w:ind w:right="1131"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19" w:lineRule="auto" w:before="19"/>
        <w:ind w:left="514" w:right="1118"/>
        <w:jc w:val="left"/>
      </w:pPr>
      <w:r>
        <w:rPr/>
        <w:t>②持有至到期投资 是指到期日固定、回收金额固定或可确定，且本公司有明确意图和能力持有至到期的非衍生金融资产。 </w:t>
      </w:r>
      <w:r>
        <w:rPr>
          <w:spacing w:val="-2"/>
        </w:rPr>
        <w:t>持有至到期投资采用实际利率法，按摊余成本进行后续计量，在终止确认、发生减值或摊销时产生的利得或损失，计入</w:t>
      </w:r>
    </w:p>
    <w:p>
      <w:pPr>
        <w:pStyle w:val="BodyText"/>
        <w:spacing w:line="240" w:lineRule="auto" w:before="17"/>
        <w:ind w:right="0"/>
        <w:jc w:val="left"/>
      </w:pPr>
      <w:r>
        <w:rPr/>
        <w:t>当期损益。</w:t>
      </w:r>
    </w:p>
    <w:p>
      <w:pPr>
        <w:pStyle w:val="BodyText"/>
        <w:spacing w:line="316" w:lineRule="auto" w:before="76"/>
        <w:ind w:right="1132" w:firstLine="360"/>
        <w:jc w:val="both"/>
      </w:pPr>
      <w:r>
        <w:rPr>
          <w:spacing w:val="-2"/>
        </w:rPr>
        <w:t>实际利率法是指按照金融资产或金融负债（含一组金融资产或金融负债）的实际利率计算其摊余成本及各期利息收入或</w:t>
      </w:r>
      <w:r>
        <w:rPr/>
        <w:t> </w:t>
      </w:r>
      <w:r>
        <w:rPr>
          <w:spacing w:val="-2"/>
        </w:rPr>
        <w:t>支出的方法。实际利率是指将金融资产或金融负债在预期存续期间或适用的更短期间内的未来现金流量，折现为该金融资产</w:t>
      </w:r>
    </w:p>
    <w:p>
      <w:pPr>
        <w:spacing w:after="0" w:line="316" w:lineRule="auto"/>
        <w:jc w:val="both"/>
        <w:sectPr>
          <w:footerReference w:type="default" r:id="rId16"/>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left="514" w:right="0" w:hanging="360"/>
        <w:jc w:val="left"/>
      </w:pPr>
      <w:r>
        <w:rPr/>
        <w:t>或金融负债当前账面价值所使用的利率。 </w:t>
      </w:r>
      <w:r>
        <w:rPr>
          <w:spacing w:val="-2"/>
        </w:rPr>
        <w:t>在计算实际利率时，本公司将在考虑金融资产或金融负债所有合同条款的基础上预计未来现金流量（不考虑未来的信用</w:t>
      </w:r>
    </w:p>
    <w:p>
      <w:pPr>
        <w:pStyle w:val="BodyText"/>
        <w:spacing w:line="316" w:lineRule="auto" w:before="19"/>
        <w:ind w:right="1130"/>
        <w:jc w:val="both"/>
      </w:pPr>
      <w:r>
        <w:rPr>
          <w:spacing w:val="-2"/>
        </w:rPr>
        <w:t>损失），同时还将考虑金融资产或金融负债合同各方之间支付或收取的、属于实际利率组成部分的各项收费、交易费用及折</w:t>
      </w:r>
      <w:r>
        <w:rPr>
          <w:spacing w:val="-65"/>
        </w:rPr>
        <w:t> </w:t>
      </w:r>
      <w:r>
        <w:rPr>
          <w:spacing w:val="-65"/>
        </w:rPr>
      </w:r>
      <w:r>
        <w:rPr/>
        <w:t>价或溢价等。</w:t>
      </w:r>
    </w:p>
    <w:p>
      <w:pPr>
        <w:pStyle w:val="BodyText"/>
        <w:spacing w:line="316" w:lineRule="auto" w:before="19"/>
        <w:ind w:left="514" w:right="0"/>
        <w:jc w:val="left"/>
      </w:pPr>
      <w:r>
        <w:rPr/>
        <w:t>③贷款和应收款项 </w:t>
      </w:r>
      <w:r>
        <w:rPr>
          <w:spacing w:val="-2"/>
        </w:rPr>
        <w:t>是指在活跃市场中没有报价、回收金额固定或可确定的非衍生金融资产。本公司划分为贷款和应收款的金融资产包括应</w:t>
      </w:r>
    </w:p>
    <w:p>
      <w:pPr>
        <w:pStyle w:val="BodyText"/>
        <w:spacing w:line="316" w:lineRule="auto" w:before="19"/>
        <w:ind w:left="514" w:right="0" w:hanging="360"/>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both"/>
      </w:pPr>
      <w:r>
        <w:rPr/>
        <w:t>当期损益。</w:t>
      </w:r>
    </w:p>
    <w:p>
      <w:pPr>
        <w:pStyle w:val="BodyText"/>
        <w:spacing w:line="316" w:lineRule="auto" w:before="76"/>
        <w:ind w:left="514" w:right="1032"/>
        <w:jc w:val="left"/>
      </w:pPr>
      <w:r>
        <w:rPr/>
        <w:t>④可供出售金融资产 包括初始确认时即被指定为可供出售的非衍生金融资产，以及除了以公允价值计量且其变动计入当期损益的金融资产、</w:t>
      </w:r>
    </w:p>
    <w:p>
      <w:pPr>
        <w:pStyle w:val="BodyText"/>
        <w:spacing w:line="316" w:lineRule="auto" w:before="19"/>
        <w:ind w:left="514" w:right="0" w:hanging="360"/>
        <w:jc w:val="left"/>
      </w:pPr>
      <w:r>
        <w:rPr/>
        <w:t>贷款和应收款项、持有至到期投资以外的金融资产。 </w:t>
      </w:r>
      <w:r>
        <w:rPr>
          <w:spacing w:val="-2"/>
        </w:rPr>
        <w:t>可供出售债务工具投资的期末成本按照其摊余成本法确定，即初始确认金额扣除已偿还的本金，加上或减去采用实际利</w:t>
      </w:r>
    </w:p>
    <w:p>
      <w:pPr>
        <w:pStyle w:val="BodyText"/>
        <w:spacing w:line="316" w:lineRule="auto" w:before="19"/>
        <w:ind w:right="1132"/>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right="1131"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316" w:lineRule="auto" w:before="19"/>
        <w:ind w:left="514" w:right="0"/>
        <w:jc w:val="left"/>
      </w:pPr>
      <w:r>
        <w:rPr/>
        <w:t>可供出售金融资产持有期间取得的利息及被投资单位宣告发放的现金股利，计入投资收益。 </w:t>
      </w:r>
      <w:r>
        <w:rPr>
          <w:spacing w:val="-2"/>
        </w:rPr>
        <w:t>因持有意图或能力发生改变，或公允价值不再能够可靠计量，或根据《企业会计准则第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金融工具确认和计量》第</w:t>
      </w:r>
    </w:p>
    <w:p>
      <w:pPr>
        <w:pStyle w:val="BodyText"/>
        <w:spacing w:line="319" w:lineRule="auto"/>
        <w:ind w:right="1131"/>
        <w:jc w:val="both"/>
      </w:pPr>
      <w:r>
        <w:rPr>
          <w:spacing w:val="-2"/>
        </w:rPr>
        <w:t>十六条规定将持有至到期投资重分类为可供出售金融资产的期限已超过两个完整的会计年度，使金融资产不再适合按照公允</w:t>
      </w:r>
      <w:r>
        <w:rPr>
          <w:spacing w:val="-64"/>
        </w:rPr>
        <w:t> </w:t>
      </w:r>
      <w:r>
        <w:rPr>
          <w:spacing w:val="-64"/>
        </w:rPr>
      </w:r>
      <w:r>
        <w:rPr>
          <w:spacing w:val="-2"/>
        </w:rPr>
        <w:t>价值计量时，本公司将可供出售金融资产改按成本或摊余成本计量。重分类日，该金融资产的成本或摊余成本为该日的公允</w:t>
      </w:r>
      <w:r>
        <w:rPr>
          <w:spacing w:val="-66"/>
        </w:rPr>
        <w:t> </w:t>
      </w:r>
      <w:r>
        <w:rPr>
          <w:spacing w:val="-66"/>
        </w:rPr>
      </w:r>
      <w:r>
        <w:rPr/>
        <w:t>价值或账面价值。</w:t>
      </w:r>
    </w:p>
    <w:p>
      <w:pPr>
        <w:pStyle w:val="BodyText"/>
        <w:spacing w:line="316" w:lineRule="auto" w:before="17"/>
        <w:ind w:right="1131" w:firstLine="360"/>
        <w:jc w:val="both"/>
      </w:pPr>
      <w:r>
        <w:rPr>
          <w:spacing w:val="-2"/>
        </w:rPr>
        <w:t>该金融资产有固定到期日的，与该金融资产相关、原计入其他综合收益的利得或损失，在该金融资产的剩余期限内，采</w:t>
      </w:r>
      <w:r>
        <w:rPr/>
        <w:t> </w:t>
      </w:r>
      <w:r>
        <w:rPr>
          <w:spacing w:val="-2"/>
        </w:rPr>
        <w:t>用实际利率法摊销，计入当期损益；该金融资产的摊余成本与到期日金额之间的差额，在该金融资产的剩余期限内，采用实</w:t>
      </w:r>
      <w:r>
        <w:rPr>
          <w:spacing w:val="-66"/>
        </w:rPr>
        <w:t> </w:t>
      </w:r>
      <w:r>
        <w:rPr>
          <w:spacing w:val="-66"/>
        </w:rPr>
      </w:r>
      <w:r>
        <w:rPr>
          <w:spacing w:val="-2"/>
        </w:rPr>
        <w:t>际利率法摊销，计入当期损益。该金融资产没有固定到期日的，原计入其他综合收益的利得或损失仍保留在股东权益中，在</w:t>
      </w:r>
      <w:r>
        <w:rPr>
          <w:spacing w:val="-66"/>
        </w:rPr>
        <w:t> </w:t>
      </w:r>
      <w:r>
        <w:rPr>
          <w:spacing w:val="-66"/>
        </w:rPr>
      </w:r>
      <w:r>
        <w:rPr/>
        <w:t>该金融资产被处置时转出，计入当期损益。</w:t>
      </w:r>
    </w:p>
    <w:p>
      <w:pPr>
        <w:pStyle w:val="BodyText"/>
        <w:spacing w:line="300" w:lineRule="auto" w:before="19"/>
        <w:ind w:left="514" w:right="0"/>
        <w:jc w:val="left"/>
      </w:pPr>
      <w:r>
        <w:rPr/>
        <w:t>（</w:t>
      </w:r>
      <w:r>
        <w:rPr>
          <w:rFonts w:ascii="Times New Roman" w:hAnsi="Times New Roman" w:cs="Times New Roman" w:eastAsia="Times New Roman" w:hint="default"/>
        </w:rPr>
        <w:t>3</w:t>
      </w:r>
      <w:r>
        <w:rPr/>
        <w:t>）金融资产减值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4" w:right="0" w:hanging="360"/>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16" w:lineRule="auto" w:before="19"/>
        <w:ind w:right="1131"/>
        <w:jc w:val="both"/>
      </w:pPr>
      <w:r>
        <w:rPr>
          <w:spacing w:val="-2"/>
        </w:rPr>
        <w:t>类似信用风险特征的金融资产组合中进行减值测试。单独测试未发生减值的金融资产（包括单项金额重大和不重大的金融资</w:t>
      </w:r>
      <w:r>
        <w:rPr>
          <w:spacing w:val="-64"/>
        </w:rPr>
        <w:t> </w:t>
      </w:r>
      <w:r>
        <w:rPr>
          <w:spacing w:val="-64"/>
        </w:rPr>
      </w:r>
      <w:r>
        <w:rPr>
          <w:spacing w:val="-2"/>
        </w:rPr>
        <w:t>产），包括在具有类似信用风险特征的金融资产组合中再进行减值测试。已单项确认减值损失的金融资产，不包括在具有类</w:t>
      </w:r>
      <w:r>
        <w:rPr>
          <w:spacing w:val="-66"/>
        </w:rPr>
        <w:t> </w:t>
      </w:r>
      <w:r>
        <w:rPr>
          <w:spacing w:val="-66"/>
        </w:rPr>
      </w:r>
      <w:r>
        <w:rPr/>
        <w:t>似信用风险特征的金融资产组合中进行减值测试。</w:t>
      </w:r>
    </w:p>
    <w:p>
      <w:pPr>
        <w:pStyle w:val="BodyText"/>
        <w:spacing w:line="316" w:lineRule="auto" w:before="19"/>
        <w:ind w:left="514" w:right="0"/>
        <w:jc w:val="left"/>
      </w:pPr>
      <w:r>
        <w:rPr/>
        <w:t>①持有至到期投资、贷款和应收款项减值 </w:t>
      </w:r>
      <w:r>
        <w:rPr>
          <w:spacing w:val="-2"/>
        </w:rPr>
        <w:t>以成本或摊余成本计量的金融资产将其账面价值减记至预计未来现金流量现值，减记金额确认为减值损失，计入当期损</w:t>
      </w:r>
    </w:p>
    <w:p>
      <w:pPr>
        <w:pStyle w:val="BodyText"/>
        <w:spacing w:line="316" w:lineRule="auto" w:before="19"/>
        <w:ind w:right="1131"/>
        <w:jc w:val="both"/>
      </w:pPr>
      <w:r>
        <w:rPr>
          <w:spacing w:val="-2"/>
        </w:rPr>
        <w:t>益。金融资产在确认减值损失后，如有客观证据表明该金融资产价值已恢复，且客观上与确认该损失后发生的事项有关，原</w:t>
      </w:r>
      <w:r>
        <w:rPr>
          <w:spacing w:val="-66"/>
        </w:rPr>
        <w:t> </w:t>
      </w:r>
      <w:r>
        <w:rPr>
          <w:spacing w:val="-66"/>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316" w:lineRule="auto" w:before="19"/>
        <w:ind w:left="514" w:right="0"/>
        <w:jc w:val="left"/>
      </w:pPr>
      <w:r>
        <w:rPr/>
        <w:t>②可供出售金融资产减值 </w:t>
      </w:r>
      <w:r>
        <w:rPr>
          <w:spacing w:val="-2"/>
        </w:rPr>
        <w:t>当综合相关因素判断可供出售权益工具投资公允价值下跌是严重或非暂时性下跌时，表明该可供出售权益工具投资发生</w:t>
      </w:r>
    </w:p>
    <w:p>
      <w:pPr>
        <w:pStyle w:val="BodyText"/>
        <w:spacing w:line="240" w:lineRule="auto" w:before="19"/>
        <w:ind w:right="0"/>
        <w:jc w:val="both"/>
      </w:pPr>
      <w:r>
        <w:rPr/>
        <w:t>减值。</w:t>
      </w:r>
    </w:p>
    <w:p>
      <w:pPr>
        <w:pStyle w:val="BodyText"/>
        <w:spacing w:line="240" w:lineRule="auto" w:before="76"/>
        <w:ind w:left="514" w:right="0"/>
        <w:jc w:val="left"/>
      </w:pPr>
      <w:r>
        <w:rPr/>
        <w:t>可供出售金融资产发生减值时，将原计入其他综合收益的因公允价值下降形成的累计损失予以转出并计入当期损益，该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1032" w:hanging="360"/>
        <w:jc w:val="left"/>
      </w:pPr>
      <w:r>
        <w:rPr/>
        <w:t>转出的累计损失为该资产初始取得成本扣除已收回本金和已摊销金额、当前公允价值和原已计入损益的减值损失后的余额。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w:t>
      </w:r>
    </w:p>
    <w:p>
      <w:pPr>
        <w:pStyle w:val="BodyText"/>
        <w:spacing w:line="316" w:lineRule="auto" w:before="19"/>
        <w:ind w:right="1118"/>
        <w:jc w:val="left"/>
      </w:pPr>
      <w:r>
        <w:rPr>
          <w:spacing w:val="-2"/>
        </w:rPr>
        <w:t>的减值损失予以转回，可供出售权益工具投资的减值损失转回确认为其他综合收益，可供出售债务工具的减值损失转回计入</w:t>
      </w:r>
      <w:r>
        <w:rPr>
          <w:spacing w:val="-64"/>
        </w:rPr>
        <w:t> </w:t>
      </w:r>
      <w:r>
        <w:rPr>
          <w:spacing w:val="-64"/>
        </w:rPr>
      </w:r>
      <w:r>
        <w:rPr/>
        <w:t>当期损益。</w:t>
      </w:r>
    </w:p>
    <w:p>
      <w:pPr>
        <w:pStyle w:val="BodyText"/>
        <w:spacing w:line="316" w:lineRule="auto" w:before="19"/>
        <w:ind w:right="1131" w:firstLine="360"/>
        <w:jc w:val="both"/>
      </w:pPr>
      <w:r>
        <w:rPr>
          <w:spacing w:val="-2"/>
        </w:rPr>
        <w:t>在活跃市场中没有报价且其公允价值不能可靠计量的权益工具投资，或与该权益工具挂钩并须通过交付该权益工具结算</w:t>
      </w:r>
      <w:r>
        <w:rPr/>
        <w:t> 的衍生金融资产的减值损失，不予转回。</w:t>
      </w:r>
    </w:p>
    <w:p>
      <w:pPr>
        <w:pStyle w:val="BodyText"/>
        <w:spacing w:line="300" w:lineRule="auto" w:before="19"/>
        <w:ind w:left="514" w:right="0"/>
        <w:jc w:val="left"/>
      </w:pPr>
      <w:r>
        <w:rPr/>
        <w:t>（</w:t>
      </w: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0"/>
        <w:jc w:val="left"/>
      </w:pPr>
      <w:r>
        <w:rPr>
          <w:spacing w:val="-2"/>
        </w:rPr>
        <w:t>将金融资产所有权上几乎所有的风险和报酬转移给转入方；③该金融资产已转移，虽然企业既没有转移也没有保留金融资产</w:t>
      </w:r>
      <w:r>
        <w:rPr>
          <w:spacing w:val="-64"/>
        </w:rPr>
        <w:t> </w:t>
      </w:r>
      <w:r>
        <w:rPr>
          <w:spacing w:val="-64"/>
        </w:rPr>
      </w:r>
      <w:r>
        <w:rPr/>
        <w:t>所有权上几乎所有的风险和报酬，但是放弃了对该金融资产控制。</w:t>
      </w:r>
    </w:p>
    <w:p>
      <w:pPr>
        <w:pStyle w:val="BodyText"/>
        <w:spacing w:line="316" w:lineRule="auto" w:before="19"/>
        <w:ind w:right="1132"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6"/>
        </w:rPr>
        <w:t> </w:t>
      </w:r>
      <w:r>
        <w:rPr>
          <w:spacing w:val="-66"/>
        </w:rPr>
      </w:r>
      <w:r>
        <w:rPr/>
        <w:t>值变动使企业面临的风险水平。</w:t>
      </w:r>
    </w:p>
    <w:p>
      <w:pPr>
        <w:pStyle w:val="BodyText"/>
        <w:spacing w:line="316" w:lineRule="auto" w:before="19"/>
        <w:ind w:right="1131"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right="1131"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right="1132"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4"/>
        </w:rPr>
        <w:t> </w:t>
      </w:r>
      <w:r>
        <w:rPr>
          <w:spacing w:val="-64"/>
        </w:rPr>
      </w:r>
      <w:r>
        <w:rPr/>
        <w:t>险和报酬的，则继续判断企业是否对该资产保留了控制，并根据前面各段所述的原则进行会计处理。</w:t>
      </w:r>
    </w:p>
    <w:p>
      <w:pPr>
        <w:pStyle w:val="BodyText"/>
        <w:spacing w:line="300" w:lineRule="auto" w:before="19"/>
        <w:ind w:left="514" w:right="103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0"/>
        <w:jc w:val="left"/>
      </w:pPr>
      <w:r>
        <w:rPr>
          <w:spacing w:val="-2"/>
        </w:rPr>
        <w:t>以公允价值计量。对于以公允价值计量且其变动计入当期损益的金融负债，相关的交易费用直接计入当期损益，对于其他金</w:t>
      </w:r>
      <w:r>
        <w:rPr>
          <w:spacing w:val="-65"/>
        </w:rPr>
        <w:t> </w:t>
      </w:r>
      <w:r>
        <w:rPr>
          <w:spacing w:val="-65"/>
        </w:rPr>
      </w:r>
      <w:r>
        <w:rPr/>
        <w:t>融负债，相关交易费用计入初始确认金额。</w:t>
      </w:r>
    </w:p>
    <w:p>
      <w:pPr>
        <w:pStyle w:val="BodyText"/>
        <w:spacing w:line="316" w:lineRule="auto" w:before="19"/>
        <w:ind w:left="514" w:right="0"/>
        <w:jc w:val="left"/>
      </w:pPr>
      <w:r>
        <w:rPr/>
        <w:t>①以公允价值计量且其变动计入当期损益的金融负债 分类为交易性金融负债和在初始确认时指定为以公允价值计量且其变动计入当期损益的金融负债的条件与分类为交易</w:t>
      </w:r>
    </w:p>
    <w:p>
      <w:pPr>
        <w:pStyle w:val="BodyText"/>
        <w:spacing w:line="316" w:lineRule="auto" w:before="19"/>
        <w:ind w:left="514" w:right="0" w:hanging="360"/>
        <w:jc w:val="left"/>
      </w:pPr>
      <w:r>
        <w:rPr/>
        <w:t>性金融资产和在初始确认时指定为以公允价值计量且其变动计入当期损益的金融资产的条件一致。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w:t>
      </w:r>
    </w:p>
    <w:p>
      <w:pPr>
        <w:pStyle w:val="BodyText"/>
        <w:spacing w:line="316" w:lineRule="auto" w:before="19"/>
        <w:ind w:left="514" w:right="0" w:hanging="360"/>
        <w:jc w:val="left"/>
      </w:pPr>
      <w:r>
        <w:rPr/>
        <w:t>与该等金融负债相关的股利和利息支出计入当期损益。②其他金融负债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19"/>
        <w:ind w:right="1118"/>
        <w:jc w:val="left"/>
      </w:pPr>
      <w:r>
        <w:rPr>
          <w:spacing w:val="-2"/>
        </w:rPr>
        <w:t>成本进行后续计量。其他金融负债采用实际利率法，按摊余成本进行后续计量，终止确认或摊销产生的利得或损失计入当期</w:t>
      </w:r>
      <w:r>
        <w:rPr>
          <w:spacing w:val="-66"/>
        </w:rPr>
        <w:t> </w:t>
      </w:r>
      <w:r>
        <w:rPr>
          <w:spacing w:val="-66"/>
        </w:rPr>
      </w:r>
      <w:r>
        <w:rPr/>
        <w:t>损益。</w:t>
      </w:r>
    </w:p>
    <w:p>
      <w:pPr>
        <w:pStyle w:val="BodyText"/>
        <w:spacing w:line="316" w:lineRule="auto" w:before="19"/>
        <w:ind w:left="514" w:right="3912"/>
        <w:jc w:val="left"/>
      </w:pPr>
      <w:r>
        <w:rPr/>
        <w:t>③财务担保合同 不属于指定为以公允价值计量且其变动计入当期损益的金融负债的财务担保合同，</w:t>
      </w:r>
    </w:p>
    <w:p>
      <w:pPr>
        <w:pStyle w:val="BodyText"/>
        <w:spacing w:line="240" w:lineRule="auto" w:before="19"/>
        <w:ind w:left="514" w:right="0"/>
        <w:jc w:val="left"/>
      </w:pPr>
      <w:r>
        <w:rPr/>
        <w:t>以公允价值进行初始确认，在初始确认后按照《企业会计准则第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或有事项》确定的金额和初始确认金额扣除按照</w:t>
      </w:r>
    </w:p>
    <w:p>
      <w:pPr>
        <w:pStyle w:val="BodyText"/>
        <w:spacing w:line="240" w:lineRule="auto" w:before="63"/>
        <w:ind w:right="0"/>
        <w:jc w:val="left"/>
      </w:pPr>
      <w:r>
        <w:rPr/>
        <w:t>《企业会计准则第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收入》的原则确定的累计摊销额后的余额之中的较高者进行后续计量。</w:t>
      </w:r>
    </w:p>
    <w:p>
      <w:pPr>
        <w:pStyle w:val="BodyText"/>
        <w:spacing w:line="300" w:lineRule="auto" w:before="63"/>
        <w:ind w:left="514" w:right="0"/>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w:t>
      </w:r>
    </w:p>
    <w:p>
      <w:pPr>
        <w:pStyle w:val="BodyText"/>
        <w:spacing w:line="316" w:lineRule="auto" w:before="32"/>
        <w:ind w:right="0"/>
        <w:jc w:val="left"/>
      </w:pPr>
      <w:r>
        <w:rPr>
          <w:spacing w:val="-2"/>
        </w:rPr>
        <w:t>订协议，以承担新金融负债方式替换现存金融负债，且新金融负债与现存金融负债的合同条款实质上不同的，终止确认现存</w:t>
      </w:r>
      <w:r>
        <w:rPr>
          <w:spacing w:val="-66"/>
        </w:rPr>
        <w:t> </w:t>
      </w:r>
      <w:r>
        <w:rPr>
          <w:spacing w:val="-66"/>
        </w:rPr>
      </w:r>
      <w:r>
        <w:rPr/>
        <w:t>金融负债，并同时确认新金融负债。</w:t>
      </w:r>
    </w:p>
    <w:p>
      <w:pPr>
        <w:pStyle w:val="BodyText"/>
        <w:spacing w:line="316" w:lineRule="auto" w:before="19"/>
        <w:ind w:right="1132" w:firstLine="360"/>
        <w:jc w:val="both"/>
      </w:pPr>
      <w:r>
        <w:rPr>
          <w:spacing w:val="-2"/>
        </w:rPr>
        <w:t>金融负债全部或部分终止确认的，将终止确认部分的账面价值与支付的对价（包括转出的非现金资产或承担的新金融负</w:t>
      </w:r>
      <w:r>
        <w:rPr/>
        <w:t> 债）之间的差额，计入当期损益。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w:t>
      </w:r>
    </w:p>
    <w:p>
      <w:pPr>
        <w:pStyle w:val="BodyText"/>
        <w:spacing w:line="316" w:lineRule="auto" w:before="31"/>
        <w:ind w:right="0"/>
        <w:jc w:val="left"/>
      </w:pPr>
      <w:r>
        <w:rPr>
          <w:spacing w:val="-2"/>
        </w:rPr>
        <w:t>的衍生工具，其公允价值变动形成的利得或损失将根据套期关系的性质按照套期会计的要求确定计入损益的期间外，其余衍</w:t>
      </w:r>
      <w:r>
        <w:rPr>
          <w:spacing w:val="-64"/>
        </w:rPr>
        <w:t> </w:t>
      </w:r>
      <w:r>
        <w:rPr>
          <w:spacing w:val="-64"/>
        </w:rPr>
      </w:r>
      <w:r>
        <w:rPr/>
        <w:t>生工具的公允价值变动计入当期损益。</w:t>
      </w:r>
    </w:p>
    <w:p>
      <w:pPr>
        <w:pStyle w:val="BodyText"/>
        <w:spacing w:line="316" w:lineRule="auto" w:before="19"/>
        <w:ind w:right="0"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4"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31"/>
        <w:ind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9"/>
        <w:ind w:left="514" w:right="1118"/>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w:t>
      </w:r>
    </w:p>
    <w:p>
      <w:pPr>
        <w:pStyle w:val="BodyText"/>
        <w:spacing w:line="316" w:lineRule="auto" w:before="31"/>
        <w:ind w:left="514" w:right="1032" w:hanging="360"/>
        <w:jc w:val="left"/>
      </w:pPr>
      <w:r>
        <w:rPr>
          <w:spacing w:val="-4"/>
        </w:rPr>
        <w:t>或注销权益工具作为权益的变动处理。本公司不确认权益工具的公允价值变动。与权益性交易相关的交易费用从权益中扣减。</w:t>
      </w:r>
      <w:r>
        <w:rPr>
          <w:spacing w:val="-43"/>
        </w:rPr>
        <w:t> </w:t>
      </w:r>
      <w:r>
        <w:rPr>
          <w:spacing w:val="-43"/>
        </w:rPr>
      </w:r>
      <w:r>
        <w:rPr/>
        <w:t>本公司对权益工具持有方的各种分配（不包括股票股利），减少股东权益。本公司不确认权益工具的公允价值变动额。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1、应收票据及应收账款" w:id="179"/>
      <w:bookmarkEnd w:id="179"/>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29"/>
        <w:gridCol w:w="5740"/>
      </w:tblGrid>
      <w:tr>
        <w:trPr>
          <w:trHeight w:val="714"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万元以上的应收款项确认为单项金额重大的 应收款项。</w:t>
            </w:r>
          </w:p>
        </w:tc>
      </w:tr>
      <w:tr>
        <w:trPr>
          <w:trHeight w:val="1338"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3"/>
                <w:sz w:val="18"/>
                <w:szCs w:val="18"/>
              </w:rPr>
              <w:t>本公司对单项金额重大的应收款项单独进行减值测试，单独测试未发生减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值的金融资产，包括在具有类似信用风险特征的金融资产组合中进行减值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测试。单项测试已确认减值损失的应收款项，不再包括在具有类似信用风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险特征的应收款项组合中进行减值测试。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：按账龄划分的信用风险特征组合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第三方支付业务的应收款项</w:t>
            </w:r>
          </w:p>
        </w:tc>
        <w:tc>
          <w:tcPr>
            <w:tcW w:w="32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8"/>
        <w:gridCol w:w="6591"/>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单项金额虽不重大但单项计提坏账准备的应收款项。</w:t>
            </w:r>
          </w:p>
        </w:tc>
      </w:tr>
      <w:tr>
        <w:trPr>
          <w:trHeight w:val="1026"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5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本公司对于单项金额虽不重大但具备以下特征的应收款项，单独进行减值测试，有 客观证据表明其发生了减值的，根据其未来现金流量现值低于其账面价值的差额， 确认减值损失，计提坏账准备。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300" w:lineRule="auto" w:before="115"/>
        <w:ind w:left="514" w:right="2652"/>
        <w:jc w:val="left"/>
      </w:pPr>
      <w:r>
        <w:rPr/>
        <w:t>（</w:t>
      </w:r>
      <w:r>
        <w:rPr>
          <w:rFonts w:ascii="Times New Roman" w:hAnsi="Times New Roman" w:cs="Times New Roman" w:eastAsia="Times New Roman" w:hint="default"/>
        </w:rPr>
        <w:t>1</w:t>
      </w:r>
      <w:r>
        <w:rPr/>
        <w:t>）存货的分类 存货主要包括库存商品、原材料、委托加工商品、在产品、工程施工、发出商品、低值易耗品等。</w:t>
      </w:r>
    </w:p>
    <w:p>
      <w:pPr>
        <w:pStyle w:val="BodyText"/>
        <w:spacing w:line="300" w:lineRule="auto" w:before="31"/>
        <w:ind w:left="514" w:right="1392"/>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514" w:right="0"/>
        <w:jc w:val="left"/>
      </w:pPr>
      <w:r>
        <w:rPr/>
        <w:t>（</w:t>
      </w:r>
      <w:r>
        <w:rPr>
          <w:rFonts w:ascii="Times New Roman" w:hAnsi="Times New Roman" w:cs="Times New Roman" w:eastAsia="Times New Roman" w:hint="default"/>
        </w:rPr>
        <w:t>3</w:t>
      </w:r>
      <w:r>
        <w:rPr/>
        <w:t>）存货可变现净值的确认和跌价准备的计提方法 </w:t>
      </w:r>
      <w:r>
        <w:rPr>
          <w:spacing w:val="-2"/>
        </w:rPr>
        <w:t>可变现净值是指在日常活动中，存货的估计售价减去至完工时估计将要发生的成本、估计的销售费用以及相关税费后的</w:t>
      </w:r>
    </w:p>
    <w:p>
      <w:pPr>
        <w:pStyle w:val="BodyText"/>
        <w:spacing w:line="316" w:lineRule="auto" w:before="31"/>
        <w:ind w:left="514" w:right="1032" w:hanging="360"/>
        <w:jc w:val="left"/>
      </w:pPr>
      <w:r>
        <w:rPr/>
        <w:t>金额。在确定存货的可变现净值时，以取得的确凿证据为基础，同时考虑持有存货的目的以及资产负债表日后事项的影响。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w:t>
      </w:r>
    </w:p>
    <w:p>
      <w:pPr>
        <w:pStyle w:val="BodyText"/>
        <w:spacing w:line="316" w:lineRule="auto" w:before="19"/>
        <w:ind w:left="514" w:right="0" w:hanging="360"/>
        <w:jc w:val="left"/>
      </w:pPr>
      <w:r>
        <w:rPr/>
        <w:t>备通常按单个存货项目的成本高于其可变现净值的差额提取。 </w:t>
      </w:r>
      <w:r>
        <w:rPr>
          <w:spacing w:val="-2"/>
        </w:rPr>
        <w:t>计提存货跌价准备后，如果以前减记存货价值的影响因素已经消失，导致存货的可变现净值高于其账面价值的，在原已</w:t>
      </w:r>
    </w:p>
    <w:p>
      <w:pPr>
        <w:pStyle w:val="BodyText"/>
        <w:spacing w:line="240" w:lineRule="auto" w:before="19"/>
        <w:ind w:right="0"/>
        <w:jc w:val="left"/>
      </w:pPr>
      <w:r>
        <w:rPr/>
        <w:t>计提的存货跌价准备金额内予以转回，转回的金额计入当期损益。</w:t>
      </w:r>
    </w:p>
    <w:p>
      <w:pPr>
        <w:pStyle w:val="BodyText"/>
        <w:spacing w:line="240" w:lineRule="auto" w:before="76"/>
        <w:ind w:left="514"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514" w:right="7152"/>
        <w:jc w:val="left"/>
      </w:pPr>
      <w:r>
        <w:rPr/>
        <w:t>（</w:t>
      </w:r>
      <w:r>
        <w:rPr>
          <w:rFonts w:ascii="Times New Roman" w:hAnsi="Times New Roman" w:cs="Times New Roman" w:eastAsia="Times New Roman" w:hint="default"/>
        </w:rPr>
        <w:t>5</w:t>
      </w:r>
      <w:r>
        <w:rPr/>
        <w:t>）低值易耗品和包装物的摊销方法 低值易耗品于领用时按一次摊销法摊销。</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0"/>
        <w:jc w:val="left"/>
      </w:pPr>
      <w:r>
        <w:rPr/>
        <w:t>（</w:t>
      </w:r>
      <w:r>
        <w:rPr>
          <w:rFonts w:ascii="Times New Roman" w:hAnsi="Times New Roman" w:cs="Times New Roman" w:eastAsia="Times New Roman" w:hint="default"/>
        </w:rPr>
        <w:t>1</w:t>
      </w:r>
      <w:r>
        <w:rPr/>
        <w:t>）持有待售的非流动资产或处置组的分类 </w:t>
      </w:r>
      <w:r>
        <w:rPr>
          <w:spacing w:val="-2"/>
        </w:rPr>
        <w:t>将同时满足下列条件的非流动资产或处置组划分为持有待售类别：①根据类似交易中出售此类资产或处置组的惯例，在</w:t>
      </w:r>
    </w:p>
    <w:p>
      <w:pPr>
        <w:pStyle w:val="BodyText"/>
        <w:spacing w:line="316" w:lineRule="auto" w:before="31"/>
        <w:ind w:right="1118"/>
        <w:jc w:val="left"/>
      </w:pPr>
      <w:r>
        <w:rPr>
          <w:spacing w:val="-2"/>
        </w:rPr>
        <w:t>当前状况下即可立即出售；②出售极可能发生，即公司已经就出售计划作出决议且获得确定的购买承诺，预计出售将在一年</w:t>
      </w:r>
      <w:r>
        <w:rPr>
          <w:spacing w:val="-66"/>
        </w:rPr>
        <w:t> </w:t>
      </w:r>
      <w:r>
        <w:rPr>
          <w:spacing w:val="-66"/>
        </w:rPr>
      </w:r>
      <w:r>
        <w:rPr/>
        <w:t>内完成。</w:t>
      </w:r>
    </w:p>
    <w:p>
      <w:pPr>
        <w:pStyle w:val="BodyText"/>
        <w:spacing w:line="240" w:lineRule="auto" w:before="19"/>
        <w:ind w:left="514" w:right="0"/>
        <w:jc w:val="left"/>
      </w:pPr>
      <w:r>
        <w:rPr/>
        <w:t>公司专为转售而取得的非流动资产或处置组，在取得日满足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的条件，且短期（通常为</w:t>
      </w:r>
      <w:r>
        <w:rPr>
          <w:rFonts w:ascii="Times New Roman" w:hAnsi="Times New Roman" w:cs="Times New Roman" w:eastAsia="Times New Roman" w:hint="default"/>
        </w:rPr>
        <w:t>3</w:t>
      </w:r>
      <w:r>
        <w:rPr/>
        <w:t>个月）</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jc w:val="both"/>
      </w:pPr>
      <w:r>
        <w:rPr>
          <w:spacing w:val="-2"/>
        </w:rPr>
        <w:t>内很可能满足持有待售类别的其他划分条件的，在取得日将其划分为持有待售类别。因公司无法控制的下列原因之一，导致</w:t>
      </w:r>
      <w:r>
        <w:rPr>
          <w:spacing w:val="-66"/>
        </w:rPr>
        <w:t> </w:t>
      </w:r>
      <w:r>
        <w:rPr>
          <w:spacing w:val="-66"/>
        </w:rPr>
      </w:r>
      <w:r>
        <w:rPr>
          <w:spacing w:val="-2"/>
        </w:rPr>
        <w:t>非关联方之间的交易未能在一年内完成，且公司仍然承诺出售非流动资产或处置组的，继续将非流动资产或处置组划分为持</w:t>
      </w:r>
      <w:r>
        <w:rPr>
          <w:spacing w:val="-64"/>
        </w:rPr>
        <w:t> </w:t>
      </w:r>
      <w:r>
        <w:rPr>
          <w:spacing w:val="-64"/>
        </w:rPr>
      </w:r>
      <w:r>
        <w:rPr>
          <w:spacing w:val="-2"/>
        </w:rPr>
        <w:t>有待售类别：①买方或其他方意外设定导致出售延期的条件，公司针对这些条件已经及时采取行动，且预计能够自设定导致</w:t>
      </w:r>
      <w:r>
        <w:rPr>
          <w:spacing w:val="-66"/>
        </w:rPr>
        <w:t> </w:t>
      </w:r>
      <w:r>
        <w:rPr>
          <w:spacing w:val="-66"/>
        </w:rPr>
      </w:r>
      <w:r>
        <w:rPr>
          <w:spacing w:val="-2"/>
        </w:rPr>
        <w:t>出售延期的条件起一年内顺利化解延期因素；②因发生罕见情况，导致持有待售的非流动资产或处置组未能在一年内完成出</w:t>
      </w:r>
      <w:r>
        <w:rPr>
          <w:spacing w:val="-64"/>
        </w:rPr>
        <w:t> </w:t>
      </w:r>
      <w:r>
        <w:rPr>
          <w:spacing w:val="-64"/>
        </w:rPr>
      </w:r>
      <w:r>
        <w:rPr/>
        <w:t>售，公司在最初一年内已经针对这些新情况采取必要措施且重新满足了持有待售类别的划分条件。</w:t>
      </w:r>
    </w:p>
    <w:p>
      <w:pPr>
        <w:pStyle w:val="BodyText"/>
        <w:spacing w:line="240" w:lineRule="auto" w:before="17"/>
        <w:ind w:left="514" w:right="0"/>
        <w:jc w:val="left"/>
      </w:pPr>
      <w:r>
        <w:rPr/>
        <w:t>（</w:t>
      </w:r>
      <w:r>
        <w:rPr>
          <w:rFonts w:ascii="Times New Roman" w:hAnsi="Times New Roman" w:cs="Times New Roman" w:eastAsia="Times New Roman" w:hint="default"/>
        </w:rPr>
        <w:t>2</w:t>
      </w:r>
      <w:r>
        <w:rPr/>
        <w:t>）持有待售的非流动资产或处置组的计量</w:t>
      </w:r>
    </w:p>
    <w:p>
      <w:pPr>
        <w:pStyle w:val="BodyText"/>
        <w:spacing w:line="316" w:lineRule="auto" w:before="63"/>
        <w:ind w:right="1131" w:firstLine="360"/>
        <w:jc w:val="both"/>
      </w:pPr>
      <w:r>
        <w:rPr>
          <w:spacing w:val="-2"/>
        </w:rPr>
        <w:t>①初始计量和后续计量初始计量和在资产负债表日重新计量持有待售的非流动资产或处置组时，其账面价值高于公允价</w:t>
      </w:r>
      <w:r>
        <w:rPr/>
        <w:t> </w:t>
      </w:r>
      <w:r>
        <w:rPr>
          <w:spacing w:val="-2"/>
        </w:rPr>
        <w:t>值减去出售费用后的净额的，将账面价值减记至公允价值减去出售费用后的净额，减记的金额确认为资产减值损失，计入当</w:t>
      </w:r>
      <w:r>
        <w:rPr>
          <w:spacing w:val="-66"/>
        </w:rPr>
        <w:t> </w:t>
      </w:r>
      <w:r>
        <w:rPr>
          <w:spacing w:val="-66"/>
        </w:rPr>
      </w:r>
      <w:r>
        <w:rPr/>
        <w:t>期损益，同时计提持有待售资产减值准备。</w:t>
      </w:r>
    </w:p>
    <w:p>
      <w:pPr>
        <w:pStyle w:val="BodyText"/>
        <w:spacing w:line="316" w:lineRule="auto" w:before="19"/>
        <w:ind w:right="1131" w:firstLine="360"/>
        <w:jc w:val="both"/>
      </w:pPr>
      <w:r>
        <w:rPr>
          <w:spacing w:val="-2"/>
        </w:rPr>
        <w:t>对于取得日划分为持有待售类别的非流动资产或处置组，在初始计量时比较假定其不划分为持有待售类别情况下的初始</w:t>
      </w:r>
      <w:r>
        <w:rPr/>
        <w:t> </w:t>
      </w:r>
      <w:r>
        <w:rPr>
          <w:spacing w:val="-2"/>
        </w:rPr>
        <w:t>计量金额和公允价值减去出售费用后的净额，以两者孰低计量。除企业合并中取得的非流动资产或处置组外，由非流动资产</w:t>
      </w:r>
      <w:r>
        <w:rPr>
          <w:spacing w:val="-66"/>
        </w:rPr>
        <w:t> </w:t>
      </w:r>
      <w:r>
        <w:rPr>
          <w:spacing w:val="-66"/>
        </w:rPr>
      </w:r>
      <w:r>
        <w:rPr>
          <w:spacing w:val="-2"/>
        </w:rPr>
        <w:t>或处置组以公允价值减去出售费用后的净额作为初始计量金额而产生的差额，计入当期损益。对于持有待售的处置组确认的</w:t>
      </w:r>
      <w:r>
        <w:rPr>
          <w:spacing w:val="-64"/>
        </w:rPr>
        <w:t> </w:t>
      </w:r>
      <w:r>
        <w:rPr>
          <w:spacing w:val="-64"/>
        </w:rPr>
      </w:r>
      <w:r>
        <w:rPr>
          <w:spacing w:val="-2"/>
        </w:rPr>
        <w:t>资产减值损失金额，先抵减处置组中商誉的账面价值，再根据处置组中的各项非流动资产账面价值所占比重，按比例抵减其</w:t>
      </w:r>
      <w:r>
        <w:rPr>
          <w:spacing w:val="-66"/>
        </w:rPr>
        <w:t> </w:t>
      </w:r>
      <w:r>
        <w:rPr>
          <w:spacing w:val="-66"/>
        </w:rPr>
      </w:r>
      <w:r>
        <w:rPr>
          <w:spacing w:val="-2"/>
        </w:rPr>
        <w:t>账面价值。持有待售的非流动资产或处置组中的非流动资产不计提折旧或摊销，持有待售的处置组中负债的利息和其他费用</w:t>
      </w:r>
      <w:r>
        <w:rPr>
          <w:spacing w:val="-64"/>
        </w:rPr>
        <w:t> </w:t>
      </w:r>
      <w:r>
        <w:rPr>
          <w:spacing w:val="-64"/>
        </w:rPr>
      </w:r>
      <w:r>
        <w:rPr/>
        <w:t>继续予以确认。</w:t>
      </w:r>
    </w:p>
    <w:p>
      <w:pPr>
        <w:pStyle w:val="BodyText"/>
        <w:spacing w:line="316" w:lineRule="auto" w:before="19"/>
        <w:ind w:left="514" w:right="0"/>
        <w:jc w:val="left"/>
      </w:pPr>
      <w:r>
        <w:rPr/>
        <w:t>②资产减值损失转回的会计处理 </w:t>
      </w:r>
      <w:r>
        <w:rPr>
          <w:spacing w:val="-2"/>
        </w:rPr>
        <w:t>后续资产负债表日持有待售的非流动资产公允价值减去出售费用后的净额增加的，以前减记的金额予以恢复，并在划分</w:t>
      </w:r>
    </w:p>
    <w:p>
      <w:pPr>
        <w:pStyle w:val="BodyText"/>
        <w:spacing w:line="316" w:lineRule="auto" w:before="19"/>
        <w:ind w:right="1118"/>
        <w:jc w:val="left"/>
      </w:pPr>
      <w:r>
        <w:rPr>
          <w:spacing w:val="-2"/>
        </w:rPr>
        <w:t>为持有待售类别后确认的资产减值损失金额内转回，转回金额计入当期损益。划分为持有待售类别前确认的资产减值损失不</w:t>
      </w:r>
      <w:r>
        <w:rPr>
          <w:spacing w:val="-64"/>
        </w:rPr>
        <w:t> </w:t>
      </w:r>
      <w:r>
        <w:rPr>
          <w:spacing w:val="-64"/>
        </w:rPr>
      </w:r>
      <w:r>
        <w:rPr/>
        <w:t>转回。</w:t>
      </w:r>
    </w:p>
    <w:p>
      <w:pPr>
        <w:pStyle w:val="BodyText"/>
        <w:spacing w:line="316" w:lineRule="auto" w:before="19"/>
        <w:ind w:right="1132" w:firstLine="360"/>
        <w:jc w:val="both"/>
      </w:pPr>
      <w:r>
        <w:rPr>
          <w:spacing w:val="-2"/>
        </w:rPr>
        <w:t>后续资产负债表日持有待售的处置组公允价值减去出售费用后的净额增加的，以前减记的金额予以恢复，并在划分为持</w:t>
      </w:r>
      <w:r>
        <w:rPr/>
        <w:t> 有待售类别后非流动资产确认的资产减值损失金额内转回，转回金额计入当期损益。</w:t>
      </w:r>
    </w:p>
    <w:p>
      <w:pPr>
        <w:pStyle w:val="BodyText"/>
        <w:spacing w:line="319" w:lineRule="auto" w:before="19"/>
        <w:ind w:left="514" w:right="0"/>
        <w:jc w:val="left"/>
      </w:pPr>
      <w:r>
        <w:rPr/>
        <w:t>已抵减的商誉账面价值，以及非流动资产在划分为持有待售类别前确认的资产减值损失不转回。 </w:t>
      </w:r>
      <w:r>
        <w:rPr>
          <w:spacing w:val="-2"/>
        </w:rPr>
        <w:t>持有待售的处置组确认的资产减值损失后续转回金额，根据处置组中除商誉外各项非流动资产账面价值所占比重，按比</w:t>
      </w:r>
    </w:p>
    <w:p>
      <w:pPr>
        <w:pStyle w:val="BodyText"/>
        <w:spacing w:line="240" w:lineRule="auto" w:before="17"/>
        <w:ind w:right="0"/>
        <w:jc w:val="left"/>
      </w:pPr>
      <w:r>
        <w:rPr/>
        <w:t>例增加其账面价值。</w:t>
      </w:r>
    </w:p>
    <w:p>
      <w:pPr>
        <w:pStyle w:val="BodyText"/>
        <w:spacing w:line="316" w:lineRule="auto" w:before="76"/>
        <w:ind w:left="514" w:right="0"/>
        <w:jc w:val="left"/>
      </w:pPr>
      <w:r>
        <w:rPr/>
        <w:t>③不再继续划分为持有待售类别以及终止确认的会计处理 非流动资产或处置组因不再满足持有待售类别的划分条件而不再继续划分为持有待售类别或非流动资产从持有待售的</w:t>
      </w:r>
    </w:p>
    <w:p>
      <w:pPr>
        <w:pStyle w:val="BodyText"/>
        <w:spacing w:line="319" w:lineRule="auto" w:before="19"/>
        <w:ind w:right="0"/>
        <w:jc w:val="left"/>
      </w:pPr>
      <w:r>
        <w:rPr>
          <w:spacing w:val="-1"/>
        </w:rPr>
        <w:t>处置组中移除时，按照以下两者孰低计量：</w:t>
      </w:r>
      <w:r>
        <w:rPr>
          <w:rFonts w:ascii="Times New Roman" w:hAnsi="Times New Roman" w:cs="Times New Roman" w:eastAsia="Times New Roman" w:hint="default"/>
          <w:spacing w:val="-1"/>
        </w:rPr>
        <w:t>A</w:t>
      </w:r>
      <w:r>
        <w:rPr>
          <w:spacing w:val="-1"/>
        </w:rPr>
        <w:t>划分为持有待售类别前的账面价值，按照假定不划分为持有待售类别情况下本</w:t>
      </w:r>
      <w:r>
        <w:rPr>
          <w:spacing w:val="-70"/>
        </w:rPr>
        <w:t> </w:t>
      </w:r>
      <w:r>
        <w:rPr>
          <w:spacing w:val="-70"/>
        </w:rPr>
      </w:r>
      <w:r>
        <w:rPr/>
        <w:t>应确认的折旧、摊销或减值等进行调整后的金额；</w:t>
      </w:r>
      <w:r>
        <w:rPr>
          <w:rFonts w:ascii="Times New Roman" w:hAnsi="Times New Roman" w:cs="Times New Roman" w:eastAsia="Times New Roman" w:hint="default"/>
        </w:rPr>
        <w:t>B</w:t>
      </w:r>
      <w:r>
        <w:rPr/>
        <w:t>可收回金额。 终止确认持有待售的非流动资产或处置组时，将尚未确认的利得或损失计入当期损益。</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14、发放贷款及垫款" w:id="185"/>
      <w:bookmarkEnd w:id="185"/>
      <w:r>
        <w:rPr>
          <w:b w:val="0"/>
          <w:bCs w:val="0"/>
        </w:rPr>
      </w:r>
      <w:r>
        <w:rPr>
          <w:rFonts w:ascii="Times New Roman" w:hAnsi="Times New Roman" w:cs="Times New Roman" w:eastAsia="Times New Roman" w:hint="default"/>
        </w:rPr>
        <w:t>14</w:t>
      </w:r>
      <w:r>
        <w:rPr/>
        <w:t>、发放贷款及垫款</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60"/>
        <w:jc w:val="both"/>
      </w:pPr>
      <w:r>
        <w:rPr>
          <w:spacing w:val="-2"/>
        </w:rPr>
        <w:t>本公司对贷款减值情况进行综合评估时，根据信用风险特征相似性和相关性对贷款进行分类。公司以五级分类为基础计</w:t>
      </w:r>
      <w:r>
        <w:rPr/>
        <w:t> 提贷款损失准备。</w:t>
      </w:r>
    </w:p>
    <w:p>
      <w:pPr>
        <w:pStyle w:val="BodyText"/>
        <w:spacing w:line="240" w:lineRule="auto" w:before="58"/>
        <w:ind w:left="454" w:right="0"/>
        <w:jc w:val="left"/>
      </w:pPr>
      <w:r>
        <w:rPr/>
        <w:t>公司贷款五级分类及贷款损失准备计提比例：</w:t>
      </w:r>
    </w:p>
    <w:p>
      <w:pPr>
        <w:spacing w:line="240" w:lineRule="auto" w:before="13"/>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851"/>
        <w:gridCol w:w="6805"/>
        <w:gridCol w:w="2200"/>
      </w:tblGrid>
      <w:tr>
        <w:trPr>
          <w:trHeight w:val="432" w:hRule="exact"/>
        </w:trPr>
        <w:tc>
          <w:tcPr>
            <w:tcW w:w="851"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55" w:right="0"/>
              <w:jc w:val="left"/>
              <w:rPr>
                <w:rFonts w:ascii="宋体" w:hAnsi="宋体" w:cs="宋体" w:eastAsia="宋体" w:hint="default"/>
                <w:sz w:val="18"/>
                <w:szCs w:val="18"/>
              </w:rPr>
            </w:pPr>
            <w:r>
              <w:rPr>
                <w:rFonts w:ascii="宋体" w:hAnsi="宋体" w:cs="宋体" w:eastAsia="宋体" w:hint="default"/>
                <w:sz w:val="18"/>
                <w:szCs w:val="18"/>
              </w:rPr>
              <w:t>贷款分类</w:t>
            </w:r>
          </w:p>
        </w:tc>
        <w:tc>
          <w:tcPr>
            <w:tcW w:w="6805"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分类依据</w:t>
            </w:r>
          </w:p>
        </w:tc>
        <w:tc>
          <w:tcPr>
            <w:tcW w:w="2200"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right="54"/>
              <w:jc w:val="right"/>
              <w:rPr>
                <w:rFonts w:ascii="Times New Roman" w:hAnsi="Times New Roman" w:cs="Times New Roman" w:eastAsia="Times New Roman" w:hint="default"/>
                <w:sz w:val="18"/>
                <w:szCs w:val="18"/>
              </w:rPr>
            </w:pPr>
            <w:r>
              <w:rPr>
                <w:rFonts w:ascii="宋体" w:hAnsi="宋体" w:cs="宋体" w:eastAsia="宋体" w:hint="default"/>
                <w:sz w:val="18"/>
                <w:szCs w:val="18"/>
              </w:rPr>
              <w:t>贷款损失准备计提比例</w:t>
            </w:r>
            <w:r>
              <w:rPr>
                <w:rFonts w:ascii="Times New Roman" w:hAnsi="Times New Roman" w:cs="Times New Roman" w:eastAsia="Times New Roman" w:hint="default"/>
                <w:sz w:val="18"/>
                <w:szCs w:val="18"/>
              </w:rPr>
              <w:t>(%)</w:t>
            </w:r>
          </w:p>
        </w:tc>
      </w:tr>
      <w:tr>
        <w:trPr>
          <w:trHeight w:val="432" w:hRule="exact"/>
        </w:trPr>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正常</w:t>
            </w:r>
          </w:p>
        </w:tc>
        <w:tc>
          <w:tcPr>
            <w:tcW w:w="6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借款人能够履行合同，没有足够理由怀疑贷款本息不能按时足额偿还；</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w:t>
            </w:r>
          </w:p>
        </w:tc>
      </w:tr>
      <w:tr>
        <w:trPr>
          <w:trHeight w:val="432" w:hRule="exact"/>
        </w:trPr>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关注</w:t>
            </w:r>
          </w:p>
        </w:tc>
        <w:tc>
          <w:tcPr>
            <w:tcW w:w="6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借款人目前有能力偿还贷款本息，但存在一些可能对偿还产生不利影响的因素；</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w:t>
            </w:r>
          </w:p>
        </w:tc>
      </w:tr>
      <w:tr>
        <w:trPr>
          <w:trHeight w:val="744" w:hRule="exact"/>
        </w:trPr>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次级</w:t>
            </w:r>
          </w:p>
        </w:tc>
        <w:tc>
          <w:tcPr>
            <w:tcW w:w="680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2"/>
              <w:ind w:left="1" w:right="-1"/>
              <w:jc w:val="left"/>
              <w:rPr>
                <w:rFonts w:ascii="宋体" w:hAnsi="宋体" w:cs="宋体" w:eastAsia="宋体" w:hint="default"/>
                <w:sz w:val="18"/>
                <w:szCs w:val="18"/>
              </w:rPr>
            </w:pPr>
            <w:r>
              <w:rPr>
                <w:rFonts w:ascii="宋体" w:hAnsi="宋体" w:cs="宋体" w:eastAsia="宋体" w:hint="default"/>
                <w:spacing w:val="-2"/>
                <w:sz w:val="18"/>
                <w:szCs w:val="18"/>
              </w:rPr>
              <w:t>借款人的还款能力出现明显的问题，依靠其正常经营收入已无法保证足额偿还本息，即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使执行担保，也可能会造成一定损失；</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w:t>
            </w:r>
          </w:p>
        </w:tc>
      </w:tr>
      <w:tr>
        <w:trPr>
          <w:trHeight w:val="432" w:hRule="exact"/>
        </w:trPr>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可疑</w:t>
            </w:r>
          </w:p>
        </w:tc>
        <w:tc>
          <w:tcPr>
            <w:tcW w:w="6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借款人无法足额偿还本息，及时执行担保，也肯定要造成较大损失；</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w:t>
            </w:r>
          </w:p>
        </w:tc>
      </w:tr>
      <w:tr>
        <w:trPr>
          <w:trHeight w:val="433" w:hRule="exact"/>
        </w:trPr>
        <w:tc>
          <w:tcPr>
            <w:tcW w:w="8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6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1" w:right="-1"/>
              <w:jc w:val="left"/>
              <w:rPr>
                <w:rFonts w:ascii="宋体" w:hAnsi="宋体" w:cs="宋体" w:eastAsia="宋体" w:hint="default"/>
                <w:sz w:val="18"/>
                <w:szCs w:val="18"/>
              </w:rPr>
            </w:pPr>
            <w:r>
              <w:rPr>
                <w:rFonts w:ascii="宋体" w:hAnsi="宋体" w:cs="宋体" w:eastAsia="宋体" w:hint="default"/>
                <w:spacing w:val="-2"/>
                <w:sz w:val="18"/>
                <w:szCs w:val="18"/>
              </w:rPr>
              <w:t>在采取所有可能的措施和一切必要的法律程序之后，本息仍然无法收回，或只能收回少</w:t>
            </w:r>
          </w:p>
        </w:tc>
        <w:tc>
          <w:tcPr>
            <w:tcW w:w="2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4" w:type="dxa"/>
        <w:tblLayout w:type="fixed"/>
        <w:tblCellMar>
          <w:top w:w="0" w:type="dxa"/>
          <w:left w:w="0" w:type="dxa"/>
          <w:bottom w:w="0" w:type="dxa"/>
          <w:right w:w="0" w:type="dxa"/>
        </w:tblCellMar>
        <w:tblLook w:val="01E0"/>
      </w:tblPr>
      <w:tblGrid>
        <w:gridCol w:w="851"/>
        <w:gridCol w:w="6805"/>
        <w:gridCol w:w="2200"/>
      </w:tblGrid>
      <w:tr>
        <w:trPr>
          <w:trHeight w:val="392" w:hRule="exact"/>
        </w:trPr>
        <w:tc>
          <w:tcPr>
            <w:tcW w:w="851" w:type="dxa"/>
            <w:tcBorders>
              <w:top w:val="single" w:sz="8" w:space="0" w:color="000000"/>
              <w:left w:val="single" w:sz="8" w:space="0" w:color="000000"/>
              <w:bottom w:val="single" w:sz="8" w:space="0" w:color="000000"/>
              <w:right w:val="single" w:sz="8" w:space="0" w:color="000000"/>
            </w:tcBorders>
          </w:tcPr>
          <w:p>
            <w:pPr/>
          </w:p>
        </w:tc>
        <w:tc>
          <w:tcPr>
            <w:tcW w:w="68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220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15、长期股权投资" w:id="186"/>
      <w:bookmarkEnd w:id="186"/>
      <w:r>
        <w:rPr>
          <w:b w:val="0"/>
          <w:bCs w:val="0"/>
        </w:rPr>
      </w:r>
      <w:r>
        <w:rPr>
          <w:rFonts w:ascii="Times New Roman" w:hAnsi="Times New Roman" w:cs="Times New Roman" w:eastAsia="Times New Roman" w:hint="default"/>
        </w:rPr>
        <w:t>15</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pStyle w:val="BodyText"/>
        <w:spacing w:line="316" w:lineRule="auto"/>
        <w:ind w:right="1132"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300" w:lineRule="auto" w:before="19"/>
        <w:ind w:left="514"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w:t>
      </w:r>
    </w:p>
    <w:p>
      <w:pPr>
        <w:pStyle w:val="BodyText"/>
        <w:spacing w:line="314" w:lineRule="auto" w:before="31"/>
        <w:ind w:right="1129"/>
        <w:jc w:val="both"/>
      </w:pPr>
      <w:r>
        <w:rPr>
          <w:spacing w:val="-2"/>
        </w:rPr>
        <w:t>面价值的份额作为长期股权投资的初始投资成本。长期股权投资初始投资成本与支付的现金、转让的非现金资产以及所承担</w:t>
      </w:r>
      <w:r>
        <w:rPr>
          <w:spacing w:val="-64"/>
        </w:rPr>
        <w:t> </w:t>
      </w:r>
      <w:r>
        <w:rPr>
          <w:spacing w:val="-64"/>
        </w:rPr>
      </w:r>
      <w:r>
        <w:rPr>
          <w:spacing w:val="-2"/>
        </w:rPr>
        <w:t>债务账面价值之间的差额，调整资本公积；资本公积不足冲减的，调整留存收益。以发行权益性证券作为合并对价的，在合</w:t>
      </w:r>
      <w:r>
        <w:rPr>
          <w:spacing w:val="-66"/>
        </w:rPr>
        <w:t> </w:t>
      </w:r>
      <w:r>
        <w:rPr>
          <w:spacing w:val="-66"/>
        </w:rPr>
      </w:r>
      <w:r>
        <w:rPr>
          <w:spacing w:val="-2"/>
        </w:rPr>
        <w:t>并日按照被合并方所有者权益在最终控制方合并财务报表中的账面价值的份额作为长期股权投资的初始投资成本，按照发行</w:t>
      </w:r>
      <w:r>
        <w:rPr>
          <w:spacing w:val="-64"/>
        </w:rPr>
        <w:t> </w:t>
      </w:r>
      <w:r>
        <w:rPr>
          <w:spacing w:val="-64"/>
        </w:rPr>
      </w:r>
      <w:r>
        <w:rPr>
          <w:spacing w:val="-2"/>
        </w:rPr>
        <w:t>股份的面值总额作为股本，长期股权投资初始投资成本与所发行股份面值总额之间的差额，调整资本公积；资本公积不足冲</w:t>
      </w:r>
      <w:r>
        <w:rPr>
          <w:spacing w:val="-66"/>
        </w:rPr>
        <w:t> </w:t>
      </w:r>
      <w:r>
        <w:rPr>
          <w:spacing w:val="-66"/>
        </w:rPr>
      </w:r>
      <w:r>
        <w:rPr>
          <w:spacing w:val="-2"/>
        </w:rPr>
        <w:t>减的，调整留存收益。通过多次交易分步取得同一控制下被合并方的股权，最终形成同一控制下企业合并的，应分别是否属</w:t>
      </w:r>
      <w:r>
        <w:rPr>
          <w:spacing w:val="-66"/>
        </w:rPr>
        <w:t> </w:t>
      </w:r>
      <w:r>
        <w:rPr>
          <w:spacing w:val="-66"/>
        </w:rPr>
      </w:r>
      <w:r>
        <w:rPr/>
        <w:t>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w:t>
      </w:r>
      <w:r>
        <w:rPr>
          <w:spacing w:val="-40"/>
        </w:rPr>
        <w:t> </w:t>
      </w:r>
      <w:r>
        <w:rPr/>
        <w:t>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的，在合并日按照应享有被合并方所有者权益在最终控制方合并财务报表中的账面价值的份额作为长期股权投资的初始</w:t>
      </w:r>
      <w:r>
        <w:rPr>
          <w:spacing w:val="-77"/>
        </w:rPr>
        <w:t> </w:t>
      </w:r>
      <w:r>
        <w:rPr>
          <w:spacing w:val="-77"/>
        </w:rPr>
      </w:r>
      <w:r>
        <w:rPr>
          <w:spacing w:val="-2"/>
        </w:rPr>
        <w:t>投资成本，长期股权投资初始投资成本与达到合并前的长期股权投资账面价值加上合并日进一步取得股份新支付对价的账面</w:t>
      </w:r>
      <w:r>
        <w:rPr>
          <w:spacing w:val="-64"/>
        </w:rPr>
        <w:t> </w:t>
      </w:r>
      <w:r>
        <w:rPr>
          <w:spacing w:val="-64"/>
        </w:rPr>
      </w:r>
      <w:r>
        <w:rPr>
          <w:spacing w:val="-2"/>
        </w:rPr>
        <w:t>价值之和的差额，调整资本公积；资本公积不足冲减的，调整留存收益。合并日之前持有的股权投资因采用权益法核算或为</w:t>
      </w:r>
      <w:r>
        <w:rPr>
          <w:spacing w:val="-66"/>
        </w:rPr>
        <w:t> </w:t>
      </w:r>
      <w:r>
        <w:rPr>
          <w:spacing w:val="-66"/>
        </w:rPr>
      </w:r>
      <w:r>
        <w:rPr/>
        <w:t>可供出售金融资产而确认的其他综合收益，暂不进行会计处理。</w:t>
      </w:r>
    </w:p>
    <w:p>
      <w:pPr>
        <w:pStyle w:val="BodyText"/>
        <w:spacing w:line="312" w:lineRule="auto" w:before="21"/>
        <w:ind w:right="1130" w:firstLine="360"/>
        <w:jc w:val="both"/>
      </w:pPr>
      <w:r>
        <w:rPr>
          <w:spacing w:val="-2"/>
        </w:rPr>
        <w:t>对于非同一控制下的企业合并取得的长期股权投资，在购买日按照合并成本作为长期股权投资的初始投资成本，合并成</w:t>
      </w:r>
      <w:r>
        <w:rPr/>
        <w:t> </w:t>
      </w:r>
      <w:r>
        <w:rPr>
          <w:spacing w:val="-2"/>
        </w:rPr>
        <w:t>本包括包括购买方付出的资产、发生或承担的负债、发行的权益性证券的公允价值之和。通过多次交易分步取得被购买方的</w:t>
      </w:r>
      <w:r>
        <w:rPr>
          <w:spacing w:val="-66"/>
        </w:rPr>
        <w:t> </w:t>
      </w:r>
      <w:r>
        <w:rPr>
          <w:spacing w:val="-66"/>
        </w:rPr>
      </w:r>
      <w:r>
        <w:rPr>
          <w:spacing w:val="-1"/>
        </w:rPr>
        <w:t>股权，最终形成非同一控制下的企业合并的，应分别是否属于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w:t>
      </w:r>
      <w:r>
        <w:rPr>
          <w:spacing w:val="-78"/>
        </w:rPr>
        <w:t> </w:t>
      </w:r>
      <w:r>
        <w:rPr>
          <w:spacing w:val="-78"/>
        </w:rPr>
      </w:r>
      <w:r>
        <w:rPr>
          <w:spacing w:val="-2"/>
        </w:rPr>
        <w:t>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w:t>
      </w:r>
      <w:r>
        <w:rPr>
          <w:spacing w:val="-44"/>
        </w:rPr>
        <w:t> </w:t>
      </w:r>
      <w:r>
        <w:rPr>
          <w:spacing w:val="-44"/>
        </w:rPr>
      </w:r>
      <w:r>
        <w:rPr>
          <w:spacing w:val="-2"/>
        </w:rPr>
        <w:t>本之和，作为改按成本法核算的长期股权投资的初始投资成本。原持有的股权采用权益法核算的，相关其他综合收益暂不进</w:t>
      </w:r>
      <w:r>
        <w:rPr>
          <w:spacing w:val="-66"/>
        </w:rPr>
        <w:t> </w:t>
      </w:r>
      <w:r>
        <w:rPr>
          <w:spacing w:val="-66"/>
        </w:rPr>
      </w:r>
      <w:r>
        <w:rPr>
          <w:spacing w:val="-2"/>
        </w:rPr>
        <w:t>行会计处理。原持有股权投资为可供出售金融资产的，其公允价值与账面价值之间的差额，以及原计入其他综合收益的累计</w:t>
      </w:r>
      <w:r>
        <w:rPr>
          <w:spacing w:val="-66"/>
        </w:rPr>
        <w:t> </w:t>
      </w:r>
      <w:r>
        <w:rPr>
          <w:spacing w:val="-66"/>
        </w:rPr>
      </w:r>
      <w:r>
        <w:rPr/>
        <w:t>公允价值变动转入当期损益。</w:t>
      </w:r>
    </w:p>
    <w:p>
      <w:pPr>
        <w:pStyle w:val="BodyText"/>
        <w:spacing w:line="316" w:lineRule="auto" w:before="22"/>
        <w:ind w:right="1133" w:firstLine="360"/>
        <w:jc w:val="both"/>
      </w:pPr>
      <w:r>
        <w:rPr>
          <w:spacing w:val="-2"/>
        </w:rPr>
        <w:t>合并方或购买方为企业合并发生的审计、法律服务、评估咨询等中介费用以及其他相关管理费用，于发生时计入当期损</w:t>
      </w:r>
      <w:r>
        <w:rPr/>
        <w:t> 益。</w:t>
      </w:r>
    </w:p>
    <w:p>
      <w:pPr>
        <w:pStyle w:val="BodyText"/>
        <w:spacing w:line="314" w:lineRule="auto" w:before="19"/>
        <w:ind w:right="1132" w:firstLine="360"/>
        <w:jc w:val="both"/>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300" w:lineRule="auto" w:before="20"/>
        <w:ind w:left="51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w:t>
      </w:r>
    </w:p>
    <w:p>
      <w:pPr>
        <w:pStyle w:val="BodyText"/>
        <w:spacing w:line="240" w:lineRule="auto" w:before="31"/>
        <w:ind w:right="0"/>
        <w:jc w:val="both"/>
      </w:pPr>
      <w:r>
        <w:rPr/>
        <w:t>表采用成本法核算能够对被投资单位实施控制的长期股权投资。</w:t>
      </w:r>
    </w:p>
    <w:p>
      <w:pPr>
        <w:pStyle w:val="BodyText"/>
        <w:spacing w:line="316" w:lineRule="auto" w:before="77"/>
        <w:ind w:left="514" w:right="0"/>
        <w:jc w:val="left"/>
      </w:pPr>
      <w:r>
        <w:rPr/>
        <w:t>①成本法核算的长期股权投资 </w:t>
      </w:r>
      <w:r>
        <w:rPr>
          <w:spacing w:val="-2"/>
        </w:rPr>
        <w:t>采用成本法核算时，长期股权投资按初始投资成本计价，追加或收回投资调整长期股权投资的成本。除取得投资时实际</w:t>
      </w:r>
    </w:p>
    <w:p>
      <w:pPr>
        <w:pStyle w:val="BodyText"/>
        <w:spacing w:line="316" w:lineRule="auto" w:before="19"/>
        <w:ind w:right="1131"/>
        <w:jc w:val="both"/>
      </w:pP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4" w:right="0"/>
        <w:jc w:val="left"/>
      </w:pPr>
      <w:r>
        <w:rPr/>
        <w:t>②权益法核算的长期股权投资 </w:t>
      </w:r>
      <w:r>
        <w:rPr>
          <w:spacing w:val="-2"/>
        </w:rPr>
        <w:t>采用权益法核算时，长期股权投资的初始投资成本大于投资时应享有被投资单位可辨认净资产公允价值份额的，不调整</w:t>
      </w:r>
    </w:p>
    <w:p>
      <w:pPr>
        <w:pStyle w:val="BodyText"/>
        <w:spacing w:line="316" w:lineRule="auto" w:before="19"/>
        <w:ind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032" w:firstLine="360"/>
        <w:jc w:val="left"/>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3"/>
        </w:rPr>
        <w:t> </w:t>
      </w:r>
      <w:r>
        <w:rPr>
          <w:spacing w:val="-43"/>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pStyle w:val="BodyText"/>
        <w:spacing w:line="316" w:lineRule="auto" w:before="19"/>
        <w:ind w:right="1131" w:firstLine="360"/>
        <w:jc w:val="both"/>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316" w:lineRule="auto" w:before="19"/>
        <w:ind w:left="514" w:right="0"/>
        <w:jc w:val="left"/>
      </w:pPr>
      <w:r>
        <w:rPr/>
        <w:t>③收购少数股权 </w:t>
      </w:r>
      <w:r>
        <w:rPr>
          <w:spacing w:val="-2"/>
        </w:rPr>
        <w:t>在编制合并财务报表时，因购买少数股权新增的长期股权投资与按照新增持股比例计算应享有子公司自购买日（或合并</w:t>
      </w:r>
    </w:p>
    <w:p>
      <w:pPr>
        <w:pStyle w:val="BodyText"/>
        <w:spacing w:line="240" w:lineRule="auto" w:before="19"/>
        <w:ind w:right="0"/>
        <w:jc w:val="left"/>
      </w:pPr>
      <w:r>
        <w:rPr/>
        <w:t>日）开始持续计算的净资产份额之间的差额，调整资本公积，资本公积不足冲减的，调整留存收益。</w:t>
      </w:r>
    </w:p>
    <w:p>
      <w:pPr>
        <w:pStyle w:val="BodyText"/>
        <w:spacing w:line="316" w:lineRule="auto" w:before="76"/>
        <w:ind w:left="514" w:right="0"/>
        <w:jc w:val="left"/>
      </w:pPr>
      <w:r>
        <w:rPr/>
        <w:t>④处置长期股权投资 </w:t>
      </w:r>
      <w:r>
        <w:rPr>
          <w:spacing w:val="-2"/>
        </w:rPr>
        <w:t>在合并财务报表中，母公司在不丧失控制权的情况下部分处置对子公司的长期股权投资，处置价款与处置长期股权投资</w:t>
      </w:r>
    </w:p>
    <w:p>
      <w:pPr>
        <w:pStyle w:val="BodyText"/>
        <w:spacing w:line="316" w:lineRule="auto" w:before="19"/>
        <w:ind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14"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w:t>
      </w:r>
    </w:p>
    <w:p>
      <w:pPr>
        <w:pStyle w:val="BodyText"/>
        <w:spacing w:line="316" w:lineRule="auto" w:before="19"/>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pStyle w:val="BodyText"/>
        <w:spacing w:line="316" w:lineRule="auto" w:before="19"/>
        <w:ind w:right="1131" w:firstLine="360"/>
        <w:jc w:val="both"/>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6"/>
        </w:rPr>
        <w:t> </w:t>
      </w:r>
      <w:r>
        <w:rPr>
          <w:spacing w:val="-66"/>
        </w:rPr>
      </w:r>
      <w:r>
        <w:rPr/>
        <w:t>外的其他所有者权益变动按比例结转当期损益。</w:t>
      </w:r>
    </w:p>
    <w:p>
      <w:pPr>
        <w:pStyle w:val="BodyText"/>
        <w:spacing w:line="316" w:lineRule="auto" w:before="19"/>
        <w:ind w:right="113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2" w:firstLine="360"/>
        <w:jc w:val="left"/>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pStyle w:val="BodyText"/>
        <w:spacing w:line="316" w:lineRule="auto" w:before="17"/>
        <w:ind w:right="1130" w:firstLine="360"/>
        <w:jc w:val="both"/>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3"/>
        </w:rPr>
        <w:t> </w:t>
      </w:r>
      <w:r>
        <w:rPr>
          <w:spacing w:val="-63"/>
        </w:rPr>
      </w:r>
      <w:r>
        <w:rPr/>
        <w:t>权投资账面价值之间的差额，先确认为其他综合收益，到丧失控制权时再一并转入丧失控制权的当期损益。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6、投资性房地产" w:id="187"/>
      <w:bookmarkEnd w:id="187"/>
      <w:r>
        <w:rPr>
          <w:b w:val="0"/>
          <w:bCs w:val="0"/>
        </w:rPr>
      </w:r>
      <w:r>
        <w:rPr>
          <w:rFonts w:ascii="Times New Roman" w:hAnsi="Times New Roman" w:cs="Times New Roman" w:eastAsia="Times New Roman" w:hint="default"/>
        </w:rPr>
        <w:t>16</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BodyText"/>
        <w:spacing w:line="316" w:lineRule="auto" w:before="25"/>
        <w:ind w:right="113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转让的土地使用权、已出租的建筑物等。此外，对于本公司持有以备经营出租的空置建筑物，若董事会（或类似机构）作出</w:t>
      </w:r>
      <w:r>
        <w:rPr>
          <w:spacing w:val="-68"/>
        </w:rPr>
        <w:t> </w:t>
      </w:r>
      <w:r>
        <w:rPr>
          <w:spacing w:val="-68"/>
        </w:rPr>
      </w:r>
      <w:r>
        <w:rPr/>
        <w:t>书面决议，明确表示将其用于经营出租且持有意图短期内不再发生变化的，也作为投资性房地产列报。</w:t>
      </w:r>
    </w:p>
    <w:p>
      <w:pPr>
        <w:pStyle w:val="BodyText"/>
        <w:spacing w:line="316" w:lineRule="auto" w:before="19"/>
        <w:ind w:right="1131" w:firstLine="360"/>
        <w:jc w:val="both"/>
      </w:pPr>
      <w:r>
        <w:rPr>
          <w:spacing w:val="-2"/>
        </w:rPr>
        <w:t>投资性房地产按成本进行初始计量。与投资性房地产有关的后续支出，如果与该资产有关的经济利益很可能流入且其成</w:t>
      </w:r>
      <w:r>
        <w:rPr/>
        <w:t> 本能可靠地计量，则计入投资性房地产成本。其他后续支出，在发生时计入当期损益。</w:t>
      </w:r>
    </w:p>
    <w:p>
      <w:pPr>
        <w:pStyle w:val="BodyText"/>
        <w:spacing w:line="309" w:lineRule="auto" w:before="19"/>
        <w:ind w:left="514" w:right="0"/>
        <w:jc w:val="left"/>
      </w:pPr>
      <w:r>
        <w:rPr/>
        <w:t>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w:t>
      </w:r>
      <w:r>
        <w:rPr>
          <w:spacing w:val="-2"/>
        </w:rPr>
        <w:t>自用房地产或存货转换为投资性房地产或投资性房地产转换为自用房地产时，按转换前的账面价值作为转换后的入账价</w:t>
      </w:r>
    </w:p>
    <w:p>
      <w:pPr>
        <w:pStyle w:val="BodyText"/>
        <w:spacing w:line="240" w:lineRule="auto" w:before="24"/>
        <w:ind w:right="0"/>
        <w:jc w:val="left"/>
      </w:pPr>
      <w:r>
        <w:rPr/>
        <w:t>值。</w:t>
      </w:r>
    </w:p>
    <w:p>
      <w:pPr>
        <w:pStyle w:val="BodyText"/>
        <w:spacing w:line="316" w:lineRule="auto" w:before="76"/>
        <w:ind w:right="1132"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7、固定资产" w:id="188"/>
      <w:bookmarkEnd w:id="188"/>
      <w:r>
        <w:rPr>
          <w:b w:val="0"/>
          <w:bCs w:val="0"/>
        </w:rPr>
      </w:r>
      <w:r>
        <w:rPr>
          <w:rFonts w:ascii="Times New Roman" w:hAnsi="Times New Roman" w:cs="Times New Roman" w:eastAsia="Times New Roman" w:hint="default"/>
        </w:rPr>
        <w:t>17</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固定资产是指为生产商品、提供劳务、出租或经营管理而持有的，使用寿命超过一个会计年度的有形资产。固定资产仅</w:t>
      </w:r>
      <w:r>
        <w:rPr/>
        <w:t> </w:t>
      </w:r>
      <w:r>
        <w:rPr>
          <w:spacing w:val="-2"/>
        </w:rPr>
        <w:t>在与其有关的经济利益很可能流入本公司，且其成本能够可靠地计量时才予以确认。固定资产按成本并考虑预计弃置费用因</w:t>
      </w:r>
      <w:r>
        <w:rPr>
          <w:spacing w:val="-64"/>
        </w:rPr>
        <w:t> </w:t>
      </w:r>
      <w:r>
        <w:rPr>
          <w:spacing w:val="-64"/>
        </w:rPr>
      </w:r>
      <w:r>
        <w:rPr/>
        <w:t>素的影响进行初始计量。</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9-18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917"/>
        <w:gridCol w:w="1914"/>
        <w:gridCol w:w="1914"/>
        <w:gridCol w:w="1914"/>
        <w:gridCol w:w="1914"/>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运营机具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w:t>
            </w:r>
          </w:p>
        </w:tc>
      </w:tr>
    </w:tbl>
    <w:p>
      <w:pPr>
        <w:pStyle w:val="BodyText"/>
        <w:spacing w:line="316" w:lineRule="auto" w:before="10"/>
        <w:ind w:right="1133" w:firstLine="480"/>
        <w:jc w:val="both"/>
      </w:pPr>
      <w:r>
        <w:rPr>
          <w:spacing w:val="-1"/>
        </w:rPr>
        <w:t>预计净残值是指假定固定资产预计使用寿命已满并处于使用寿命终了时的预期状态，本公司目前从该项资产处置中获</w:t>
      </w:r>
      <w:r>
        <w:rPr/>
        <w:t> 得的扣除预计处置费用后的金额。</w:t>
      </w:r>
    </w:p>
    <w:p>
      <w:pPr>
        <w:pStyle w:val="BodyText"/>
        <w:spacing w:line="240" w:lineRule="auto" w:before="19"/>
        <w:ind w:left="634" w:right="0"/>
        <w:jc w:val="left"/>
      </w:pPr>
      <w:r>
        <w:rPr/>
        <w:t>固定资产的减值测试方法和减值准备计提方法详见附注四、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权的在租赁资产使用寿命内计提折旧，无法合理确定租赁期届满能够取得租赁资产所有权的，在租赁期与租赁资产使用寿命</w:t>
      </w:r>
      <w:r>
        <w:rPr>
          <w:spacing w:val="-64"/>
        </w:rPr>
        <w:t> </w:t>
      </w:r>
      <w:r>
        <w:rPr>
          <w:spacing w:val="-64"/>
        </w:rPr>
      </w:r>
      <w:r>
        <w:rPr/>
        <w:t>两者中较短的期间内计提折旧。</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4）其他说明" w:id="192"/>
      <w:bookmarkEnd w:id="19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与固定资产有关的后续支出，如果与该固定资产有关的经济利益很可能流入且其成本能可靠地计量，则计入固定资产成</w:t>
      </w:r>
      <w:r>
        <w:rPr/>
        <w:t> </w:t>
      </w:r>
      <w:r>
        <w:rPr>
          <w:spacing w:val="-2"/>
        </w:rPr>
        <w:t>本，并终止确认被替换部分的账面价值。除此以外的其他后续支出，在发生时计入当期损益。当固定资产处于处置状态或预</w:t>
      </w:r>
      <w:r>
        <w:rPr>
          <w:spacing w:val="-65"/>
        </w:rPr>
        <w:t> </w:t>
      </w:r>
      <w:r>
        <w:rPr>
          <w:spacing w:val="-65"/>
        </w:rPr>
      </w:r>
      <w:r>
        <w:rPr>
          <w:spacing w:val="-2"/>
        </w:rPr>
        <w:t>期通过使用或处置不能产生经济利益时，终止确认该固定资产。固定资产出售、转让、报废或毁损的处置收入扣除其账面价</w:t>
      </w:r>
      <w:r>
        <w:rPr>
          <w:spacing w:val="-66"/>
        </w:rPr>
        <w:t> </w:t>
      </w:r>
      <w:r>
        <w:rPr>
          <w:spacing w:val="-66"/>
        </w:rPr>
      </w:r>
      <w:r>
        <w:rPr>
          <w:spacing w:val="-2"/>
        </w:rPr>
        <w:t>值和相关税费后的差额计入当期损益。本公司至少于年度终了对固定资产的使用寿命、预计净残值和折旧方法进行复核，如</w:t>
      </w:r>
      <w:r>
        <w:rPr>
          <w:spacing w:val="-66"/>
        </w:rPr>
        <w:t> </w:t>
      </w:r>
      <w:r>
        <w:rPr>
          <w:spacing w:val="-66"/>
        </w:rPr>
      </w:r>
      <w:r>
        <w:rPr/>
        <w:t>发生改变则作为会计估计变更处理。</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18、在建工程" w:id="193"/>
      <w:bookmarkEnd w:id="193"/>
      <w:r>
        <w:rPr>
          <w:b w:val="0"/>
          <w:bCs w:val="0"/>
        </w:rPr>
      </w:r>
      <w:r>
        <w:rPr>
          <w:rFonts w:ascii="Times New Roman" w:hAnsi="Times New Roman" w:cs="Times New Roman" w:eastAsia="Times New Roman" w:hint="default"/>
        </w:rPr>
        <w:t>18</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357" w:lineRule="auto" w:before="28"/>
        <w:ind w:left="454" w:right="0" w:hanging="300"/>
        <w:jc w:val="left"/>
      </w:pPr>
      <w:r>
        <w:rPr/>
        <w:t>软件与信息技术服务业 </w:t>
      </w:r>
      <w:r>
        <w:rPr>
          <w:spacing w:val="-1"/>
        </w:rPr>
        <w:t>在建工程成本按实际工程支出确定，包括在建期间发生的各项工程支出、工程达到预定可使用状态前的资本化的借款费</w:t>
      </w:r>
    </w:p>
    <w:p>
      <w:pPr>
        <w:pStyle w:val="BodyText"/>
        <w:spacing w:line="224" w:lineRule="exact"/>
        <w:ind w:right="0"/>
        <w:jc w:val="left"/>
      </w:pPr>
      <w:r>
        <w:rPr/>
        <w:t>用以及其他相关费用等。在建工程在达到预定可使用状态后结转为固定资产。</w:t>
      </w:r>
    </w:p>
    <w:p>
      <w:pPr>
        <w:pStyle w:val="BodyText"/>
        <w:spacing w:line="240" w:lineRule="auto" w:before="76"/>
        <w:ind w:left="514" w:right="0"/>
        <w:jc w:val="left"/>
      </w:pPr>
      <w:r>
        <w:rPr/>
        <w:t>在建工程的减值测试方法和减值准备计提方法详见附注四、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9、借款费用" w:id="194"/>
      <w:bookmarkEnd w:id="194"/>
      <w:r>
        <w:rPr>
          <w:b w:val="0"/>
          <w:bCs w:val="0"/>
        </w:rPr>
      </w:r>
      <w:r>
        <w:rPr>
          <w:rFonts w:ascii="Times New Roman" w:hAnsi="Times New Roman" w:cs="Times New Roman" w:eastAsia="Times New Roman" w:hint="default"/>
        </w:rPr>
        <w:t>19</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80"/>
        <w:jc w:val="both"/>
      </w:pPr>
      <w:r>
        <w:rPr>
          <w:spacing w:val="-1"/>
        </w:rPr>
        <w:t>借款费用包括借款利息、折价或溢价的摊销、辅助费用以及因外币借款而发生的汇兑差额等。可直接归属于符合资本</w:t>
      </w:r>
      <w:r>
        <w:rPr/>
        <w:t>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6" w:lineRule="auto" w:before="19"/>
        <w:ind w:right="1131" w:firstLine="480"/>
        <w:jc w:val="both"/>
      </w:pPr>
      <w:r>
        <w:rPr>
          <w:spacing w:val="-1"/>
        </w:rPr>
        <w:t>专门借款当期实际发生的利息费用，减去尚未动用的借款资金存入银行取得的利息收入或进行暂时性投资取得的投资</w:t>
      </w:r>
      <w:r>
        <w:rPr/>
        <w:t>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16" w:lineRule="auto" w:before="19"/>
        <w:ind w:left="634" w:right="0"/>
        <w:jc w:val="left"/>
      </w:pPr>
      <w:r>
        <w:rPr/>
        <w:t>资本化期间内，外币专门借款的汇兑差额全部予以资本化；外币一般借款的汇兑差额计入当期损益。 </w:t>
      </w:r>
      <w:r>
        <w:rPr>
          <w:spacing w:val="-1"/>
        </w:rPr>
        <w:t>符合资本化条件的资产指需要经过相当长时间的购建或者生产活动才能达到预定可使用或可销售状态的固定资产、投</w:t>
      </w:r>
    </w:p>
    <w:p>
      <w:pPr>
        <w:pStyle w:val="BodyText"/>
        <w:spacing w:line="316" w:lineRule="auto" w:before="19"/>
        <w:ind w:left="634" w:right="0" w:hanging="480"/>
        <w:jc w:val="left"/>
      </w:pPr>
      <w:r>
        <w:rPr/>
        <w:t>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w:t>
      </w:r>
    </w:p>
    <w:p>
      <w:pPr>
        <w:pStyle w:val="BodyText"/>
        <w:spacing w:line="235" w:lineRule="exact"/>
        <w:ind w:right="0"/>
        <w:jc w:val="left"/>
      </w:pPr>
      <w:r>
        <w:rPr/>
        <w:t>资本化，直至资产的购建或生产活动重新开始。</w:t>
      </w:r>
    </w:p>
    <w:p>
      <w:pPr>
        <w:spacing w:after="0" w:line="235" w:lineRule="exact"/>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0、无形资产" w:id="195"/>
      <w:bookmarkEnd w:id="195"/>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0" w:hanging="360"/>
        <w:jc w:val="left"/>
      </w:pPr>
      <w:r>
        <w:rPr/>
        <w:t>无形资产是指本公司拥有或者控制的没有实物形态的可辨认非货币性资产。 </w:t>
      </w:r>
      <w:r>
        <w:rPr>
          <w:spacing w:val="-4"/>
        </w:rPr>
        <w:t>无形资产按成本进行初始计量。与无形资产有关的支出，如果相关的经济利益很可能流入本公司且其成本能可靠地计量，</w:t>
      </w:r>
    </w:p>
    <w:p>
      <w:pPr>
        <w:pStyle w:val="BodyText"/>
        <w:spacing w:line="316" w:lineRule="auto" w:before="19"/>
        <w:ind w:left="514" w:right="0" w:hanging="360"/>
        <w:jc w:val="left"/>
      </w:pPr>
      <w:r>
        <w:rPr/>
        <w:t>则计入无形资产成本。除此以外的其他项目的支出，在发生时计入当期损益。 </w:t>
      </w:r>
      <w:r>
        <w:rPr>
          <w:spacing w:val="-2"/>
        </w:rPr>
        <w:t>取得的土地使用权通常作为无形资产核算。自行开发建造厂房等建筑物，相关的土地使用权支出和建筑物建造成本则分</w:t>
      </w:r>
    </w:p>
    <w:p>
      <w:pPr>
        <w:pStyle w:val="BodyText"/>
        <w:spacing w:line="316" w:lineRule="auto" w:before="19"/>
        <w:ind w:right="0"/>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right="0" w:firstLine="360"/>
        <w:jc w:val="left"/>
      </w:pPr>
      <w:r>
        <w:rPr>
          <w:spacing w:val="-2"/>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6" w:lineRule="auto" w:before="19"/>
        <w:ind w:right="1130" w:firstLine="360"/>
        <w:jc w:val="both"/>
      </w:pPr>
      <w:r>
        <w:rPr>
          <w:spacing w:val="-2"/>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3"/>
        </w:rPr>
        <w:t> </w:t>
      </w:r>
      <w:r>
        <w:rPr>
          <w:spacing w:val="-63"/>
        </w:rPr>
      </w:r>
      <w:r>
        <w:rPr/>
        <w:t>计其使用寿命并按照使用寿命有限的无形资产的摊销政策进行摊销。</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5352" w:hanging="360"/>
        <w:jc w:val="left"/>
      </w:pPr>
      <w:r>
        <w:rPr/>
        <w:t>本公司内部研究开发项目的支出分为研究阶段支出与开发阶段支出。 研究阶段的支出，于发生时计入当期损益。</w:t>
      </w:r>
    </w:p>
    <w:p>
      <w:pPr>
        <w:pStyle w:val="BodyText"/>
        <w:spacing w:line="240" w:lineRule="auto" w:before="19"/>
        <w:ind w:left="514" w:right="0"/>
        <w:jc w:val="left"/>
      </w:pPr>
      <w:r>
        <w:rPr/>
        <w:t>开发阶段的支出同时满足下列条件的，确认为无形资产，不能满足下述条件的开发阶段的支出计入当期损益：</w:t>
      </w:r>
    </w:p>
    <w:p>
      <w:pPr>
        <w:pStyle w:val="BodyText"/>
        <w:spacing w:line="240" w:lineRule="auto" w:before="76"/>
        <w:ind w:left="514" w:right="0"/>
        <w:jc w:val="left"/>
      </w:pPr>
      <w:r>
        <w:rPr/>
        <w:t>①完成该无形资产以使其能够使用或出售在技术上具有可行性；</w:t>
      </w:r>
    </w:p>
    <w:p>
      <w:pPr>
        <w:pStyle w:val="BodyText"/>
        <w:spacing w:line="240" w:lineRule="auto" w:before="77"/>
        <w:ind w:left="514" w:right="0"/>
        <w:jc w:val="left"/>
      </w:pPr>
      <w:r>
        <w:rPr/>
        <w:t>②具有完成该无形资产并使用或出售的意图；</w:t>
      </w:r>
    </w:p>
    <w:p>
      <w:pPr>
        <w:pStyle w:val="BodyText"/>
        <w:spacing w:line="316" w:lineRule="auto" w:before="76"/>
        <w:ind w:right="0" w:firstLine="360"/>
        <w:jc w:val="left"/>
      </w:pPr>
      <w:r>
        <w:rPr>
          <w:spacing w:val="-2"/>
        </w:rPr>
        <w:t>③无形资产产生经济利益的方式，包括能够证明运用该无形资产生产的产品存在市场或无形资产自身存在市场，无形资</w:t>
      </w:r>
      <w:r>
        <w:rPr/>
        <w:t> 产将在内部使用的，能够证明其有用性；</w:t>
      </w:r>
    </w:p>
    <w:p>
      <w:pPr>
        <w:pStyle w:val="BodyText"/>
        <w:spacing w:line="240" w:lineRule="auto" w:before="19"/>
        <w:ind w:left="514" w:right="0"/>
        <w:jc w:val="left"/>
      </w:pPr>
      <w:r>
        <w:rPr/>
        <w:t>④有足够的技术、财务资源和其他资源支持，以完成该无形资产的开发，并有能力使用或出售该无形资产；</w:t>
      </w:r>
    </w:p>
    <w:p>
      <w:pPr>
        <w:pStyle w:val="BodyText"/>
        <w:spacing w:line="316" w:lineRule="auto" w:before="76"/>
        <w:ind w:left="514" w:right="3912"/>
        <w:jc w:val="left"/>
      </w:pPr>
      <w:r>
        <w:rPr/>
        <w:t>⑤归属于该无形资产开发阶段的支出能够可靠地计量。 无法区分研究阶段支出和开发阶段支出的，将发生的研发支出全部计入当期损益。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无形资产的减值测试方法及减值准备计提方法" w:id="198"/>
      <w:bookmarkEnd w:id="198"/>
      <w:r>
        <w:rPr>
          <w:b w:val="0"/>
          <w:bCs w:val="0"/>
        </w:rPr>
      </w:r>
      <w:r>
        <w:rPr/>
        <w:t>（</w:t>
      </w:r>
      <w:r>
        <w:rPr>
          <w:rFonts w:ascii="Times New Roman" w:hAnsi="Times New Roman" w:cs="Times New Roman" w:eastAsia="Times New Roman" w:hint="default"/>
        </w:rPr>
        <w:t>3</w:t>
      </w:r>
      <w:r>
        <w:rPr/>
        <w:t>）无形资产的减值测试方法及减值准备计提方法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无形资产的减值测试方法和减值准备计提方法详见附注四、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1、长期资产减值" w:id="199"/>
      <w:bookmarkEnd w:id="199"/>
      <w:r>
        <w:rPr>
          <w:b w:val="0"/>
          <w:bCs w:val="0"/>
        </w:rPr>
      </w:r>
      <w:r>
        <w:rPr>
          <w:rFonts w:ascii="Times New Roman" w:hAnsi="Times New Roman" w:cs="Times New Roman" w:eastAsia="Times New Roman" w:hint="default"/>
        </w:rPr>
        <w:t>21</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480"/>
        <w:jc w:val="left"/>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 每年均进行减值测试。</w:t>
      </w:r>
    </w:p>
    <w:p>
      <w:pPr>
        <w:pStyle w:val="BodyText"/>
        <w:spacing w:line="316" w:lineRule="auto" w:before="19"/>
        <w:ind w:right="1131" w:firstLine="480"/>
        <w:jc w:val="both"/>
      </w:pPr>
      <w:r>
        <w:rPr>
          <w:spacing w:val="-1"/>
        </w:rPr>
        <w:t>减值测试结果表明资产的可收回金额低于其账面价值的，按其差额计提减值准备并计入减值损失。可收回金额为资产</w:t>
      </w:r>
      <w:r>
        <w:rPr/>
        <w:t> </w:t>
      </w: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认，如果难以对单项资产的可收回金额进行估计的，以该资产所属的资产组确定资产组的可收回金额。资产组是能够独立产</w:t>
      </w:r>
      <w:r>
        <w:rPr>
          <w:spacing w:val="-66"/>
        </w:rPr>
        <w:t> </w:t>
      </w:r>
      <w:r>
        <w:rPr>
          <w:spacing w:val="-66"/>
        </w:rPr>
      </w:r>
      <w:r>
        <w:rPr/>
        <w:t>生现金流入的最小资产组合。</w:t>
      </w:r>
    </w:p>
    <w:p>
      <w:pPr>
        <w:pStyle w:val="BodyText"/>
        <w:spacing w:line="319" w:lineRule="auto" w:before="19"/>
        <w:ind w:right="1131" w:firstLine="480"/>
        <w:jc w:val="both"/>
      </w:pPr>
      <w:r>
        <w:rPr>
          <w:spacing w:val="-1"/>
        </w:rPr>
        <w:t>在财务报表中单独列示的商誉，在进行减值测试时，将商誉的账面价值分摊至预期从企业合并的协同效应中受益的资</w:t>
      </w:r>
      <w:r>
        <w:rPr/>
        <w:t>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7"/>
        <w:ind w:left="634" w:right="0"/>
        <w:jc w:val="left"/>
      </w:pPr>
      <w:r>
        <w:rPr/>
        <w:t>上述资产减值损失一经确认，以后期间不予转回价值得以恢复的部分。</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2、长期待摊费用" w:id="200"/>
      <w:bookmarkEnd w:id="200"/>
      <w:r>
        <w:rPr>
          <w:b w:val="0"/>
          <w:bCs w:val="0"/>
        </w:rPr>
      </w:r>
      <w:r>
        <w:rPr>
          <w:rFonts w:ascii="Times New Roman" w:hAnsi="Times New Roman" w:cs="Times New Roman" w:eastAsia="Times New Roman" w:hint="default"/>
        </w:rPr>
        <w:t>22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00"/>
        <w:jc w:val="left"/>
      </w:pPr>
      <w:r>
        <w:rPr>
          <w:spacing w:val="-1"/>
        </w:rPr>
        <w:t>长期待摊费用为已经发生但应由报告期和以后各期负担的分摊期限在一年以上的各项费用。本公司的长期待摊费用主要</w:t>
      </w:r>
      <w:r>
        <w:rPr/>
        <w:t> 包括装修费等。长期待摊费用在预计受益期间按直线法摊销。</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3、职工薪酬" w:id="201"/>
      <w:bookmarkEnd w:id="201"/>
      <w:r>
        <w:rPr>
          <w:b w:val="0"/>
          <w:bCs w:val="0"/>
        </w:rPr>
      </w:r>
      <w:r>
        <w:rPr>
          <w:rFonts w:ascii="Times New Roman" w:hAnsi="Times New Roman" w:cs="Times New Roman" w:eastAsia="Times New Roman" w:hint="default"/>
        </w:rPr>
        <w:t>23</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202"/>
      <w:bookmarkEnd w:id="20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00"/>
        <w:jc w:val="left"/>
      </w:pPr>
      <w:r>
        <w:rPr/>
        <w:t>短期薪酬主要包括工资、奖金、津贴和补贴、职工福利费、医疗保险费、生育保险费、工伤保险费、住房公积金、工会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离职后福利的会计处理方法" w:id="203"/>
      <w:bookmarkEnd w:id="20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00"/>
        <w:jc w:val="left"/>
      </w:pPr>
      <w:r>
        <w:rPr>
          <w:spacing w:val="-1"/>
        </w:rPr>
        <w:t>离职后福利主要包括设定提存计划。其中设定提存计划主要包括基本养老保险、失业保险以及年金等，相应的应缴存金</w:t>
      </w:r>
      <w:r>
        <w:rPr/>
        <w:t> 额于发生时计入相关资产成本或当期损益。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辞退福利的会计处理方法" w:id="204"/>
      <w:bookmarkEnd w:id="20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00"/>
        <w:jc w:val="left"/>
      </w:pPr>
      <w:r>
        <w:rPr/>
        <w:t>在职工劳动合同到期之前解除与职工的劳动关系，或为鼓励职工自愿接受裁减而提出给予补偿的建议，在本公司不能单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pStyle w:val="BodyText"/>
        <w:spacing w:line="316" w:lineRule="auto" w:before="19"/>
        <w:ind w:right="0" w:firstLine="300"/>
        <w:jc w:val="left"/>
      </w:pPr>
      <w:r>
        <w:rPr>
          <w:spacing w:val="-1"/>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其他长期职工福利的会计处理方法" w:id="205"/>
      <w:bookmarkEnd w:id="20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00"/>
        <w:jc w:val="left"/>
      </w:pPr>
      <w:r>
        <w:rPr>
          <w:spacing w:val="-1"/>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4、预计负债" w:id="206"/>
      <w:bookmarkEnd w:id="206"/>
      <w:r>
        <w:rPr>
          <w:b w:val="0"/>
          <w:bCs w:val="0"/>
        </w:rPr>
      </w:r>
      <w:r>
        <w:rPr>
          <w:rFonts w:ascii="Times New Roman" w:hAnsi="Times New Roman" w:cs="Times New Roman" w:eastAsia="Times New Roman" w:hint="default"/>
        </w:rPr>
        <w:t>24</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300"/>
        <w:jc w:val="left"/>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）该义务是本公司承担的现时义务；（</w:t>
      </w:r>
      <w:r>
        <w:rPr>
          <w:rFonts w:ascii="Times New Roman" w:hAnsi="Times New Roman" w:cs="Times New Roman" w:eastAsia="Times New Roman" w:hint="default"/>
          <w:spacing w:val="-1"/>
        </w:rPr>
        <w:t>2</w:t>
      </w:r>
      <w:r>
        <w:rPr>
          <w:spacing w:val="-1"/>
        </w:rPr>
        <w:t>）履行该义</w:t>
      </w:r>
      <w:r>
        <w:rPr/>
        <w:t> 务很可能导致经济利益流出；（</w:t>
      </w:r>
      <w:r>
        <w:rPr>
          <w:rFonts w:ascii="Times New Roman" w:hAnsi="Times New Roman" w:cs="Times New Roman" w:eastAsia="Times New Roman" w:hint="default"/>
        </w:rPr>
        <w:t>3</w:t>
      </w:r>
      <w:r>
        <w:rPr/>
        <w:t>）该义务的金额能够可靠地计量。</w:t>
      </w:r>
    </w:p>
    <w:p>
      <w:pPr>
        <w:pStyle w:val="BodyText"/>
        <w:spacing w:line="240" w:lineRule="auto" w:before="13"/>
        <w:ind w:left="454" w:right="0"/>
        <w:jc w:val="left"/>
      </w:pPr>
      <w:r>
        <w:rPr/>
        <w:t>在资产负债表日，考虑与或有事项有关的风险、不确定性和货币时间价值等因素，按照履行相关现时义务所需支出的最</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454" w:right="0" w:hanging="300"/>
        <w:jc w:val="left"/>
      </w:pPr>
      <w:r>
        <w:rPr/>
        <w:t>佳估计数对预计负债进行计量。 </w:t>
      </w:r>
      <w:r>
        <w:rPr>
          <w:spacing w:val="-1"/>
        </w:rPr>
        <w:t>如果清偿预计负债所需支出全部或部分预期由第三方补偿的，补偿金额在基本确定能够收到时，作为资产单独确认，且</w:t>
      </w:r>
    </w:p>
    <w:p>
      <w:pPr>
        <w:pStyle w:val="BodyText"/>
        <w:spacing w:line="240" w:lineRule="auto" w:before="19"/>
        <w:ind w:right="0"/>
        <w:jc w:val="left"/>
      </w:pPr>
      <w:r>
        <w:rPr/>
        <w:t>确认的补偿金额不超过预计负债的账面价值。</w:t>
      </w:r>
    </w:p>
    <w:p>
      <w:pPr>
        <w:pStyle w:val="BodyText"/>
        <w:spacing w:line="300" w:lineRule="auto" w:before="76"/>
        <w:ind w:left="454" w:right="1118"/>
        <w:jc w:val="left"/>
      </w:pPr>
      <w:r>
        <w:rPr/>
        <w:t>（</w:t>
      </w:r>
      <w:r>
        <w:rPr>
          <w:rFonts w:ascii="Times New Roman" w:hAnsi="Times New Roman" w:cs="Times New Roman" w:eastAsia="Times New Roman" w:hint="default"/>
        </w:rPr>
        <w:t>1</w:t>
      </w:r>
      <w:r>
        <w:rPr/>
        <w:t>）亏损合同 </w:t>
      </w:r>
      <w:r>
        <w:rPr>
          <w:spacing w:val="-1"/>
        </w:rPr>
        <w:t>亏损合同是履行合同义务不可避免会发生的成本超过预期经济利益的合同。待执行合同变成亏损合同，且该亏损合同产</w:t>
      </w:r>
    </w:p>
    <w:p>
      <w:pPr>
        <w:pStyle w:val="BodyText"/>
        <w:spacing w:line="316" w:lineRule="auto" w:before="31"/>
        <w:ind w:right="1118"/>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300" w:lineRule="auto" w:before="19"/>
        <w:ind w:left="454" w:right="1118"/>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对于有详细、正式并且已经对外公告的重组计划，在满足前述预计负债的确认条件的情况下，按照与重组有关的直接支</w:t>
      </w:r>
    </w:p>
    <w:p>
      <w:pPr>
        <w:pStyle w:val="BodyText"/>
        <w:spacing w:line="316" w:lineRule="auto" w:before="31"/>
        <w:ind w:right="0"/>
        <w:jc w:val="left"/>
      </w:pPr>
      <w:r>
        <w:rPr>
          <w:spacing w:val="-2"/>
        </w:rPr>
        <w:t>出确定预计负债金额。对于出售部分业务的重组义务，只有在本公司承诺出售部分业务（即签订了约束性出售协议时），才</w:t>
      </w:r>
      <w:r>
        <w:rPr>
          <w:spacing w:val="-67"/>
        </w:rPr>
        <w:t> </w:t>
      </w:r>
      <w:r>
        <w:rPr>
          <w:spacing w:val="-67"/>
        </w:rPr>
      </w:r>
      <w:r>
        <w:rPr/>
        <w:t>确认与重组相关的义务。</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5、收入" w:id="207"/>
      <w:bookmarkEnd w:id="207"/>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240"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1"/>
        <w:ind w:left="454" w:right="0"/>
        <w:jc w:val="left"/>
      </w:pPr>
      <w:r>
        <w:rPr/>
        <w:t>（</w:t>
      </w:r>
      <w:r>
        <w:rPr>
          <w:rFonts w:ascii="Times New Roman" w:hAnsi="Times New Roman" w:cs="Times New Roman" w:eastAsia="Times New Roman" w:hint="default"/>
        </w:rPr>
        <w:t>1</w:t>
      </w:r>
      <w:r>
        <w:rPr/>
        <w:t>）商品销售收入 </w:t>
      </w:r>
      <w:r>
        <w:rPr>
          <w:spacing w:val="-1"/>
        </w:rPr>
        <w:t>在已将商品所有权上的主要风险和报酬转移给买方，既没有保留通常与所有权相联系的继续管理权，也没有对已售商品</w:t>
      </w:r>
    </w:p>
    <w:p>
      <w:pPr>
        <w:pStyle w:val="BodyText"/>
        <w:spacing w:line="316" w:lineRule="auto" w:before="31"/>
        <w:ind w:right="0"/>
        <w:jc w:val="left"/>
      </w:pPr>
      <w:r>
        <w:rPr>
          <w:spacing w:val="-2"/>
        </w:rPr>
        <w:t>实施有效控制，收入的金额能够可靠地计量，相关的经济利益很可能流入企业，相关的已发生或将发生的成本能够可靠地计</w:t>
      </w:r>
      <w:r>
        <w:rPr>
          <w:spacing w:val="-66"/>
        </w:rPr>
        <w:t> </w:t>
      </w:r>
      <w:r>
        <w:rPr>
          <w:spacing w:val="-66"/>
        </w:rPr>
      </w:r>
      <w:r>
        <w:rPr/>
        <w:t>量时，确认商品销售收入的实现。</w:t>
      </w:r>
    </w:p>
    <w:p>
      <w:pPr>
        <w:pStyle w:val="BodyText"/>
        <w:spacing w:line="300" w:lineRule="auto" w:before="19"/>
        <w:ind w:left="454" w:right="0"/>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在提供劳务交易的结果能够可靠估计的情况下，于资产负债表日按照完工百分比法确认提供的劳务收入。劳务交易的完</w:t>
      </w:r>
    </w:p>
    <w:p>
      <w:pPr>
        <w:pStyle w:val="BodyText"/>
        <w:spacing w:line="316" w:lineRule="auto" w:before="31"/>
        <w:ind w:left="454" w:right="1092" w:hanging="300"/>
        <w:jc w:val="left"/>
      </w:pPr>
      <w:r>
        <w:rPr/>
        <w:t>工进度按已完工作的测量比例确定。 提供劳务交易的结果能够可靠估计是指同时满足：①收入的金额能够可靠地计量；②相关的经济利益很可能流入企业；</w:t>
      </w:r>
    </w:p>
    <w:p>
      <w:pPr>
        <w:pStyle w:val="BodyText"/>
        <w:spacing w:line="316" w:lineRule="auto" w:before="19"/>
        <w:ind w:left="454" w:right="0" w:hanging="300"/>
        <w:jc w:val="left"/>
      </w:pPr>
      <w:r>
        <w:rPr/>
        <w:t>③交易的完工程度能够可靠地确定；④交易中已发生和将发生的成本能够可靠地计量。 </w:t>
      </w:r>
      <w:r>
        <w:rPr>
          <w:spacing w:val="-1"/>
        </w:rPr>
        <w:t>如果提供劳务交易的结果不能够可靠估计，则按已经发生并预计能够得到补偿的劳务成本金额确认提供的劳务收入，并</w:t>
      </w:r>
    </w:p>
    <w:p>
      <w:pPr>
        <w:pStyle w:val="BodyText"/>
        <w:spacing w:line="316" w:lineRule="auto" w:before="19"/>
        <w:ind w:left="454" w:right="0" w:hanging="300"/>
        <w:jc w:val="left"/>
      </w:pPr>
      <w:r>
        <w:rPr/>
        <w:t>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本公司与其他企业签订的合同或协议包括销售商品和提供劳务时，如销售商品部分和提供劳务部分能够区分并单独计量</w:t>
      </w:r>
    </w:p>
    <w:p>
      <w:pPr>
        <w:pStyle w:val="BodyText"/>
        <w:spacing w:line="316" w:lineRule="auto" w:before="19"/>
        <w:ind w:right="0"/>
        <w:jc w:val="left"/>
      </w:pPr>
      <w:r>
        <w:rPr>
          <w:spacing w:val="-2"/>
        </w:rPr>
        <w:t>的，将销售商品部分和提供劳务部分分别处理；如销售商品部分和提供劳务部分不能够区分，或虽能区分但不能够单独计量</w:t>
      </w:r>
      <w:r>
        <w:rPr>
          <w:spacing w:val="-66"/>
        </w:rPr>
        <w:t> </w:t>
      </w:r>
      <w:r>
        <w:rPr>
          <w:spacing w:val="-66"/>
        </w:rPr>
      </w:r>
      <w:r>
        <w:rPr/>
        <w:t>的，将该合同全部作为销售商品处理。</w:t>
      </w:r>
    </w:p>
    <w:p>
      <w:pPr>
        <w:pStyle w:val="BodyText"/>
        <w:spacing w:line="300" w:lineRule="auto" w:before="19"/>
        <w:ind w:left="454" w:right="0"/>
        <w:jc w:val="left"/>
      </w:pPr>
      <w:r>
        <w:rPr/>
        <w:t>（</w:t>
      </w:r>
      <w:r>
        <w:rPr>
          <w:rFonts w:ascii="Times New Roman" w:hAnsi="Times New Roman" w:cs="Times New Roman" w:eastAsia="Times New Roman" w:hint="default"/>
        </w:rPr>
        <w:t>3</w:t>
      </w:r>
      <w:r>
        <w:rPr/>
        <w:t>）建造合同收入 </w:t>
      </w:r>
      <w:r>
        <w:rPr>
          <w:spacing w:val="-1"/>
        </w:rPr>
        <w:t>在建造合同的结果能够可靠估计的情况下，于资产负债表日按照完工百分比法确认合同收入和合同费用。合同完工进度</w:t>
      </w:r>
    </w:p>
    <w:p>
      <w:pPr>
        <w:pStyle w:val="BodyText"/>
        <w:spacing w:line="316" w:lineRule="auto" w:before="31"/>
        <w:ind w:left="454" w:right="0" w:hanging="300"/>
        <w:jc w:val="left"/>
      </w:pPr>
      <w:r>
        <w:rPr/>
        <w:t>按实际测定的完工进度确定。 </w:t>
      </w:r>
      <w:r>
        <w:rPr>
          <w:spacing w:val="-3"/>
        </w:rPr>
        <w:t>建造合同的结果能够可靠估计是指同时满足：①合同总收入能够可靠地计量；②与合同相关的经济利益很可能流入企业；</w:t>
      </w:r>
    </w:p>
    <w:p>
      <w:pPr>
        <w:pStyle w:val="BodyText"/>
        <w:spacing w:line="316" w:lineRule="auto" w:before="19"/>
        <w:ind w:left="454" w:right="0" w:hanging="300"/>
        <w:jc w:val="left"/>
      </w:pPr>
      <w:r>
        <w:rPr/>
        <w:t>③实际发生的合同成本能够清楚地区分和可靠地计量；④合同完工进度和为完成合同尚需发生的成本能够可靠地确定。 </w:t>
      </w:r>
      <w:r>
        <w:rPr>
          <w:spacing w:val="-1"/>
        </w:rPr>
        <w:t>如建造合同的结果不能可靠地估计，但合同成本能够收回的，合同收入根据能够收回的实际合同成本予以确认，合同成</w:t>
      </w:r>
    </w:p>
    <w:p>
      <w:pPr>
        <w:pStyle w:val="BodyText"/>
        <w:spacing w:line="316" w:lineRule="auto" w:before="19"/>
        <w:ind w:right="0"/>
        <w:jc w:val="left"/>
      </w:pPr>
      <w:r>
        <w:rPr>
          <w:spacing w:val="-2"/>
        </w:rPr>
        <w:t>本在其发生的当期确认为合同费用；合同成本不可能收回的，在发生时立即确认为合同费用，不确认合同收入。使建造合同</w:t>
      </w:r>
      <w:r>
        <w:rPr>
          <w:spacing w:val="-66"/>
        </w:rPr>
        <w:t> </w:t>
      </w:r>
      <w:r>
        <w:rPr>
          <w:spacing w:val="-66"/>
        </w:rPr>
      </w:r>
      <w:r>
        <w:rPr/>
        <w:t>的结果不能可靠估计的不确定因素不复存在的，按照完工百分比法确定与建造合同有关的收入和费用。</w:t>
      </w:r>
    </w:p>
    <w:p>
      <w:pPr>
        <w:pStyle w:val="BodyText"/>
        <w:spacing w:line="240" w:lineRule="auto" w:before="19"/>
        <w:ind w:left="454" w:right="0"/>
        <w:jc w:val="left"/>
      </w:pPr>
      <w:r>
        <w:rPr/>
        <w:t>合同预计总成本超过合同总收入的，将预计损失确认为当期费用。</w:t>
      </w:r>
    </w:p>
    <w:p>
      <w:pPr>
        <w:pStyle w:val="BodyText"/>
        <w:spacing w:line="300" w:lineRule="auto" w:before="76"/>
        <w:ind w:left="454" w:right="667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240" w:lineRule="auto" w:before="31"/>
        <w:ind w:left="454" w:right="0"/>
        <w:jc w:val="left"/>
      </w:pPr>
      <w:r>
        <w:rPr/>
        <w:t>（</w:t>
      </w:r>
      <w:r>
        <w:rPr>
          <w:rFonts w:ascii="Times New Roman" w:hAnsi="Times New Roman" w:cs="Times New Roman" w:eastAsia="Times New Roman" w:hint="default"/>
        </w:rPr>
        <w:t>5</w:t>
      </w:r>
      <w:r>
        <w:rPr/>
        <w:t>）利息收入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54" w:right="0"/>
        <w:jc w:val="left"/>
      </w:pPr>
      <w:r>
        <w:rPr/>
        <w:t>按照他人使用本公司货币资金的时间和实际利率计算确定</w:t>
      </w:r>
    </w:p>
    <w:p>
      <w:pPr>
        <w:pStyle w:val="BodyText"/>
        <w:spacing w:line="300" w:lineRule="auto" w:before="76"/>
        <w:ind w:left="454" w:right="2892"/>
        <w:jc w:val="left"/>
      </w:pPr>
      <w:r>
        <w:rPr/>
        <w:t>（</w:t>
      </w:r>
      <w:r>
        <w:rPr>
          <w:rFonts w:ascii="Times New Roman" w:hAnsi="Times New Roman" w:cs="Times New Roman" w:eastAsia="Times New Roman" w:hint="default"/>
        </w:rPr>
        <w:t>6</w:t>
      </w:r>
      <w:r>
        <w:rPr/>
        <w:t>）第三方支付服务收入 公司在提供第三方支付服务时，向客户收取的支付服务费用，于支付业务服务提供时确认收入。</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26、政府补助" w:id="208"/>
      <w:bookmarkEnd w:id="208"/>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572"/>
        <w:jc w:val="left"/>
      </w:pPr>
      <w:r>
        <w:rPr/>
        <w:t>政府补助是指企业从政府无偿取得货币性资产或非货币性资产。政府补助同时满足下列条件的，才能予以确认： 企业能够满足政府补助所附条件；</w:t>
      </w:r>
    </w:p>
    <w:p>
      <w:pPr>
        <w:pStyle w:val="BodyText"/>
        <w:spacing w:line="316" w:lineRule="auto" w:before="19"/>
        <w:ind w:left="514" w:right="0"/>
        <w:jc w:val="left"/>
      </w:pPr>
      <w:r>
        <w:rPr/>
        <w:t>企业能够收到政府补助。 </w:t>
      </w:r>
      <w:r>
        <w:rPr>
          <w:spacing w:val="-2"/>
        </w:rPr>
        <w:t>政府补助为货币性资产的，应当按照收到或应收的金额计量。政府补助为非货币性资产的，应当按照公允价值计量；公</w:t>
      </w:r>
    </w:p>
    <w:p>
      <w:pPr>
        <w:pStyle w:val="BodyText"/>
        <w:spacing w:line="240" w:lineRule="auto" w:before="19"/>
        <w:ind w:right="0"/>
        <w:jc w:val="left"/>
      </w:pPr>
      <w:r>
        <w:rPr/>
        <w:t>允价值不能可靠取得的，按照名义金额计量。</w:t>
      </w:r>
    </w:p>
    <w:p>
      <w:pPr>
        <w:pStyle w:val="BodyText"/>
        <w:spacing w:line="300" w:lineRule="auto" w:before="76"/>
        <w:ind w:left="514" w:right="1032"/>
        <w:jc w:val="left"/>
      </w:pPr>
      <w:r>
        <w:rPr>
          <w:rFonts w:ascii="Times New Roman" w:hAnsi="Times New Roman" w:cs="Times New Roman" w:eastAsia="Times New Roman" w:hint="default"/>
        </w:rPr>
        <w:t>(1)</w:t>
      </w:r>
      <w:r>
        <w:rPr/>
        <w:t>与资产相关的政府补助判断依据及会计处理方法</w:t>
      </w:r>
      <w:r>
        <w:rPr>
          <w:w w:val="99"/>
        </w:rPr>
        <w:t> </w:t>
      </w:r>
      <w:r>
        <w:rPr/>
        <w:t>公司取得的、用于购建或以其他方式形成长期资产的政府补助划分为与资产相关的政府补助。与资产相关的政府补助，</w:t>
      </w:r>
    </w:p>
    <w:p>
      <w:pPr>
        <w:pStyle w:val="BodyText"/>
        <w:spacing w:line="316" w:lineRule="auto" w:before="31"/>
        <w:ind w:right="0"/>
        <w:jc w:val="left"/>
      </w:pPr>
      <w:r>
        <w:rPr>
          <w:spacing w:val="-2"/>
        </w:rPr>
        <w:t>冲减相关资产账面价值或确认为递延收益。确认为递延收益的，在相关资产使用寿命内按照合理、系统的方法分期计入当期</w:t>
      </w:r>
      <w:r>
        <w:rPr>
          <w:spacing w:val="-66"/>
        </w:rPr>
        <w:t> </w:t>
      </w:r>
      <w:r>
        <w:rPr>
          <w:spacing w:val="-66"/>
        </w:rPr>
      </w:r>
      <w:r>
        <w:rPr/>
        <w:t>损益（与公司日常活动相关的，计入其他收益；与公司日常活动无关的，计入营业外收入）；</w:t>
      </w:r>
    </w:p>
    <w:p>
      <w:pPr>
        <w:pStyle w:val="BodyText"/>
        <w:spacing w:line="300" w:lineRule="auto" w:before="19"/>
        <w:ind w:left="514" w:right="0"/>
        <w:jc w:val="left"/>
      </w:pPr>
      <w:r>
        <w:rPr>
          <w:rFonts w:ascii="Times New Roman" w:hAnsi="Times New Roman" w:cs="Times New Roman" w:eastAsia="Times New Roman" w:hint="default"/>
        </w:rPr>
        <w:t>(2)</w:t>
      </w:r>
      <w:r>
        <w:rPr/>
        <w:t>与收益相关的政府补助判断依据及会计处理方法</w:t>
      </w:r>
      <w:r>
        <w:rPr>
          <w:w w:val="99"/>
        </w:rPr>
        <w:t> </w:t>
      </w:r>
      <w:r>
        <w:rPr>
          <w:spacing w:val="-2"/>
        </w:rPr>
        <w:t>除与资产相关的政府补助之外的政府补助划分为与收益相关的政府补助。与收益相关的政府补助，用于补偿公司以后期</w:t>
      </w:r>
    </w:p>
    <w:p>
      <w:pPr>
        <w:pStyle w:val="BodyText"/>
        <w:spacing w:line="316" w:lineRule="auto" w:before="31"/>
        <w:ind w:right="1032"/>
        <w:jc w:val="left"/>
      </w:pPr>
      <w:r>
        <w:rPr>
          <w:spacing w:val="-2"/>
        </w:rPr>
        <w:t>间的相关成本费用或损失的，确认为递延收益，并在确认相关成本费用或损失的期间，计入当期损益（与公司日常活动相关</w:t>
      </w:r>
      <w:r>
        <w:rPr>
          <w:spacing w:val="-66"/>
        </w:rPr>
        <w:t> </w:t>
      </w:r>
      <w:r>
        <w:rPr>
          <w:spacing w:val="-66"/>
        </w:rPr>
      </w:r>
      <w:r>
        <w:rPr>
          <w:spacing w:val="-2"/>
        </w:rPr>
        <w:t>的，计入其他收益；与公司日常活动无关的，计入营业外收入）或冲减相关成本费用或损失；用于补偿公司已发生的相关成</w:t>
      </w:r>
      <w:r>
        <w:rPr>
          <w:spacing w:val="-66"/>
        </w:rPr>
        <w:t> </w:t>
      </w:r>
      <w:r>
        <w:rPr>
          <w:spacing w:val="-66"/>
        </w:rPr>
      </w:r>
      <w:r>
        <w:rPr/>
        <w:t>本费用或损失的，直接计入当期损益（与公司日常活动相关的，计入其他收益；与公司日常活动无关的，计入营业外收入） 或冲减相关成本费用或损失。</w:t>
      </w:r>
    </w:p>
    <w:p>
      <w:pPr>
        <w:pStyle w:val="BodyText"/>
        <w:spacing w:line="240" w:lineRule="auto" w:before="19"/>
        <w:ind w:left="514" w:right="0"/>
        <w:jc w:val="left"/>
      </w:pPr>
      <w:r>
        <w:rPr>
          <w:rFonts w:ascii="Times New Roman" w:hAnsi="Times New Roman" w:cs="Times New Roman" w:eastAsia="Times New Roman" w:hint="default"/>
        </w:rPr>
        <w:t>(3)</w:t>
      </w:r>
      <w:r>
        <w:rPr/>
        <w:t>政策性优惠贷款贴息的会计处理方法</w:t>
      </w:r>
    </w:p>
    <w:p>
      <w:pPr>
        <w:pStyle w:val="BodyText"/>
        <w:spacing w:line="316" w:lineRule="auto" w:before="63"/>
        <w:ind w:right="1132" w:firstLine="360"/>
        <w:jc w:val="both"/>
      </w:pPr>
      <w:r>
        <w:rPr>
          <w:spacing w:val="-2"/>
        </w:rPr>
        <w:t>①财政将贴息资金拨付给贷款银行，由贷款银行以政策性优惠利率向公司提供贷款的，以实际收到的借款金额作为借款</w:t>
      </w:r>
      <w:r>
        <w:rPr/>
        <w:t> </w:t>
      </w:r>
      <w:r>
        <w:rPr>
          <w:spacing w:val="-2"/>
        </w:rPr>
        <w:t>的入账价值，按照借款本金和该政策性优惠利率计算相关借款费用。或者以借款的公允价值作为借款的入账价值并按照实际</w:t>
      </w:r>
      <w:r>
        <w:rPr>
          <w:spacing w:val="-64"/>
        </w:rPr>
        <w:t> </w:t>
      </w:r>
      <w:r>
        <w:rPr>
          <w:spacing w:val="-64"/>
        </w:rPr>
      </w:r>
      <w:r>
        <w:rPr>
          <w:spacing w:val="-2"/>
        </w:rPr>
        <w:t>利率法计算借款费用，实际收到的金额与借款公允价值之间的差额确认为递延收益。递延收益在借款存续期内采用实际利率</w:t>
      </w:r>
      <w:r>
        <w:rPr>
          <w:spacing w:val="-64"/>
        </w:rPr>
        <w:t> </w:t>
      </w:r>
      <w:r>
        <w:rPr>
          <w:spacing w:val="-64"/>
        </w:rPr>
      </w:r>
      <w:r>
        <w:rPr/>
        <w:t>法摊销，冲减相关借款费用。</w:t>
      </w:r>
    </w:p>
    <w:p>
      <w:pPr>
        <w:pStyle w:val="BodyText"/>
        <w:spacing w:line="240" w:lineRule="auto" w:before="19"/>
        <w:ind w:left="514" w:right="0"/>
        <w:jc w:val="left"/>
      </w:pPr>
      <w:r>
        <w:rPr/>
        <w:t>②财政将贴息资金直接拨付给公司的，将对应的贴息冲减相关借款费用。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7、递延所得税资产/递延所得税负债" w:id="209"/>
      <w:bookmarkEnd w:id="209"/>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032"/>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资产负债表日，对于当期和以前期间形成的当期所得税负债（或资产），以按照税法规定计算的预期应交纳（或返还）</w:t>
      </w:r>
    </w:p>
    <w:p>
      <w:pPr>
        <w:pStyle w:val="BodyText"/>
        <w:spacing w:line="316" w:lineRule="auto" w:before="31"/>
        <w:ind w:right="1118"/>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514" w:right="0"/>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w:t>
      </w:r>
    </w:p>
    <w:p>
      <w:pPr>
        <w:pStyle w:val="BodyText"/>
        <w:spacing w:line="316" w:lineRule="auto" w:before="31"/>
        <w:ind w:right="1118"/>
        <w:jc w:val="left"/>
      </w:pP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pStyle w:val="BodyText"/>
        <w:spacing w:line="319" w:lineRule="auto" w:before="19"/>
        <w:ind w:right="1131"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pStyle w:val="BodyText"/>
        <w:spacing w:line="316" w:lineRule="auto" w:before="17"/>
        <w:ind w:right="1131"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jc w:val="both"/>
      </w:pP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pStyle w:val="BodyText"/>
        <w:spacing w:line="319" w:lineRule="auto" w:before="19"/>
        <w:ind w:right="0" w:firstLine="360"/>
        <w:jc w:val="left"/>
      </w:pPr>
      <w:r>
        <w:rPr>
          <w:spacing w:val="-2"/>
        </w:rPr>
        <w:t>对于能够结转以后年度的可抵扣亏损和税款抵减，以很可能获得用来抵扣可抵扣亏损和税款抵减的未来应纳税所得额为</w:t>
      </w:r>
      <w:r>
        <w:rPr/>
        <w:t> 限，确认相应的递延所得税资产。</w:t>
      </w:r>
    </w:p>
    <w:p>
      <w:pPr>
        <w:pStyle w:val="BodyText"/>
        <w:spacing w:line="316" w:lineRule="auto" w:before="17"/>
        <w:ind w:right="0" w:firstLine="360"/>
        <w:jc w:val="left"/>
      </w:pPr>
      <w:r>
        <w:rPr>
          <w:spacing w:val="-2"/>
        </w:rPr>
        <w:t>资产负债表日，对于递延所得税资产和递延所得税负债，根据税法规定，按照预期收回相关资产或清偿相关负债期间的</w:t>
      </w:r>
      <w:r>
        <w:rPr/>
        <w:t> 适用税率计量。</w:t>
      </w:r>
    </w:p>
    <w:p>
      <w:pPr>
        <w:pStyle w:val="BodyText"/>
        <w:spacing w:line="316" w:lineRule="auto" w:before="19"/>
        <w:ind w:right="0" w:firstLine="360"/>
        <w:jc w:val="left"/>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pStyle w:val="BodyText"/>
        <w:spacing w:line="300" w:lineRule="auto" w:before="19"/>
        <w:ind w:left="514" w:right="697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1"/>
        <w:ind w:right="1212"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BodyText"/>
        <w:spacing w:line="300" w:lineRule="auto" w:before="19"/>
        <w:ind w:left="51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w:t>
      </w:r>
    </w:p>
    <w:p>
      <w:pPr>
        <w:pStyle w:val="BodyText"/>
        <w:spacing w:line="316" w:lineRule="auto" w:before="31"/>
        <w:ind w:left="514" w:right="0" w:hanging="360"/>
        <w:jc w:val="left"/>
      </w:pPr>
      <w:r>
        <w:rPr/>
        <w:t>得税负债以抵销后的净额列报。 </w:t>
      </w:r>
      <w:r>
        <w:rPr>
          <w:spacing w:val="-2"/>
        </w:rPr>
        <w:t>当拥有以净额结算当期所得税资产及当期所得税负债的法定权利，且递延所得税资产及递延所得税负债是与同一税收征</w:t>
      </w:r>
    </w:p>
    <w:p>
      <w:pPr>
        <w:pStyle w:val="BodyText"/>
        <w:spacing w:line="316" w:lineRule="auto" w:before="19"/>
        <w:ind w:right="1131"/>
        <w:jc w:val="both"/>
      </w:pP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转回的期间内，涉及的纳税主体意图以净额结算当期所得税资产和负债或是同时取得资产、清偿负债时，本公司递延所得税</w:t>
      </w:r>
      <w:r>
        <w:rPr>
          <w:spacing w:val="-66"/>
        </w:rPr>
        <w:t> </w:t>
      </w:r>
      <w:r>
        <w:rPr>
          <w:spacing w:val="-66"/>
        </w:rPr>
      </w:r>
      <w:r>
        <w:rPr/>
        <w:t>资产及递延所得税负债以抵销后的净额列报。</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8、租赁" w:id="210"/>
      <w:bookmarkEnd w:id="210"/>
      <w:r>
        <w:rPr>
          <w:b w:val="0"/>
          <w:bCs w:val="0"/>
        </w:rPr>
      </w:r>
      <w:r>
        <w:rPr>
          <w:rFonts w:ascii="Times New Roman" w:hAnsi="Times New Roman" w:cs="Times New Roman" w:eastAsia="Times New Roman" w:hint="default"/>
        </w:rPr>
        <w:t>28</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融资租赁为实质上转移了与资产所有权有关的全部风险和报酬的租赁，其所有权最终可能转移，也可能不转移。融资租</w:t>
      </w:r>
      <w:r>
        <w:rPr/>
        <w:t> 赁以外的其他租赁为经营租赁。</w:t>
      </w:r>
    </w:p>
    <w:p>
      <w:pPr>
        <w:pStyle w:val="BodyText"/>
        <w:spacing w:line="300" w:lineRule="auto" w:before="19"/>
        <w:ind w:left="514" w:right="0"/>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w:t>
      </w:r>
    </w:p>
    <w:p>
      <w:pPr>
        <w:pStyle w:val="BodyText"/>
        <w:spacing w:line="240" w:lineRule="auto" w:before="31"/>
        <w:ind w:right="0"/>
        <w:jc w:val="both"/>
      </w:pPr>
      <w:r>
        <w:rPr/>
        <w:t>租金于实际发生时计入当期损益。</w:t>
      </w:r>
    </w:p>
    <w:p>
      <w:pPr>
        <w:pStyle w:val="BodyText"/>
        <w:spacing w:line="300" w:lineRule="auto" w:before="76"/>
        <w:ind w:left="514" w:right="1212"/>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经营租赁的租金收入在租赁期内的各个期间按直线法确认为当期损益。对金额较大的初始直接费用于发生时予以资本</w:t>
      </w:r>
    </w:p>
    <w:p>
      <w:pPr>
        <w:pStyle w:val="BodyText"/>
        <w:spacing w:line="316" w:lineRule="auto" w:before="31"/>
        <w:ind w:right="0"/>
        <w:jc w:val="left"/>
      </w:pPr>
      <w:r>
        <w:rPr>
          <w:spacing w:val="-2"/>
        </w:rPr>
        <w:t>化，在整个租赁期间内按照与确认租金收入相同的基础分期计入当期损益；其他金额较小的初始直接费用于发生时计入当期</w:t>
      </w:r>
      <w:r>
        <w:rPr>
          <w:spacing w:val="-64"/>
        </w:rPr>
        <w:t> </w:t>
      </w:r>
      <w:r>
        <w:rPr>
          <w:spacing w:val="-64"/>
        </w:rPr>
      </w:r>
      <w:r>
        <w:rPr/>
        <w:t>损益。或有租金于实际发生时计入当期损益。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融资租赁为实质上转移了与资产所有权有关的全部风险和报酬的租赁，其所有权最终可能转移，也可能不转移。</w:t>
      </w:r>
    </w:p>
    <w:p>
      <w:pPr>
        <w:pStyle w:val="BodyText"/>
        <w:spacing w:line="300" w:lineRule="auto" w:before="76"/>
        <w:ind w:left="514" w:right="0"/>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w:t>
      </w:r>
    </w:p>
    <w:p>
      <w:pPr>
        <w:pStyle w:val="BodyText"/>
        <w:spacing w:line="316" w:lineRule="auto" w:before="32"/>
        <w:ind w:right="0"/>
        <w:jc w:val="left"/>
      </w:pPr>
      <w:r>
        <w:rPr>
          <w:spacing w:val="-4"/>
        </w:rPr>
        <w:t>最低租赁付款额作为长期应付款的入账价值，其差额作为未确认融资费用。此外，在租赁谈判和签订租赁合同过程中发生的，</w:t>
      </w:r>
      <w:r>
        <w:rPr>
          <w:spacing w:val="-44"/>
        </w:rPr>
        <w:t> </w:t>
      </w:r>
      <w:r>
        <w:rPr>
          <w:spacing w:val="-44"/>
        </w:rPr>
      </w:r>
      <w:r>
        <w:rPr>
          <w:spacing w:val="-2"/>
        </w:rPr>
        <w:t>可归属于租赁项目的初始直接费用也计入租入资产价值。最低租赁付款额扣除未确认融资费用后的余额分别长期负债和一年</w:t>
      </w:r>
      <w:r>
        <w:rPr>
          <w:spacing w:val="-64"/>
        </w:rPr>
        <w:t> </w:t>
      </w:r>
      <w:r>
        <w:rPr>
          <w:spacing w:val="-64"/>
        </w:rPr>
      </w:r>
      <w:r>
        <w:rPr/>
        <w:t>内到期的长期负债列示。</w:t>
      </w:r>
    </w:p>
    <w:p>
      <w:pPr>
        <w:pStyle w:val="BodyText"/>
        <w:spacing w:line="240" w:lineRule="auto" w:before="19"/>
        <w:ind w:left="514" w:right="0"/>
        <w:jc w:val="left"/>
      </w:pPr>
      <w:r>
        <w:rPr/>
        <w:t>未确认融资费用在租赁期内采用实际利率法计算确认当期的融资费用。或有租金于实际发生时计入当期损益。</w:t>
      </w:r>
    </w:p>
    <w:p>
      <w:pPr>
        <w:pStyle w:val="BodyText"/>
        <w:spacing w:line="240" w:lineRule="auto" w:before="76"/>
        <w:ind w:left="514" w:right="0"/>
        <w:jc w:val="left"/>
      </w:pPr>
      <w:r>
        <w:rPr/>
        <w:t>（</w:t>
      </w:r>
      <w:r>
        <w:rPr>
          <w:rFonts w:ascii="Times New Roman" w:hAnsi="Times New Roman" w:cs="Times New Roman" w:eastAsia="Times New Roman" w:hint="default"/>
        </w:rPr>
        <w:t>2</w:t>
      </w:r>
      <w:r>
        <w:rPr/>
        <w:t>）本公司作为出租人记录融资租赁业务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2" w:firstLine="360"/>
        <w:jc w:val="both"/>
      </w:pPr>
      <w:r>
        <w:rPr>
          <w:spacing w:val="-2"/>
        </w:rPr>
        <w:t>于租赁期开始日，将租赁开始日最低租赁收款额与初始直接费用之和作为应收融资租赁款的入账价值，同时记录未担保</w:t>
      </w:r>
      <w:r>
        <w:rPr/>
        <w:t> </w:t>
      </w:r>
      <w:r>
        <w:rPr>
          <w:spacing w:val="-2"/>
        </w:rPr>
        <w:t>余值；将最低租赁收款额、初始直接费用及未担保余值之和与其现值之和的差额确认为未实现融资收益。应收融资租赁款扣</w:t>
      </w:r>
      <w:r>
        <w:rPr>
          <w:spacing w:val="-66"/>
        </w:rPr>
        <w:t> </w:t>
      </w:r>
      <w:r>
        <w:rPr>
          <w:spacing w:val="-66"/>
        </w:rPr>
      </w:r>
      <w:r>
        <w:rPr/>
        <w:t>除未实现融资收益后的余额分别长期债权和一年内到期的长期债权列示。</w:t>
      </w:r>
    </w:p>
    <w:p>
      <w:pPr>
        <w:pStyle w:val="BodyText"/>
        <w:spacing w:line="240" w:lineRule="auto" w:before="19"/>
        <w:ind w:left="514" w:right="0"/>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9、其他重要的会计政策和会计估计" w:id="213"/>
      <w:bookmarkEnd w:id="213"/>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9"/>
        <w:rPr>
          <w:rFonts w:ascii="宋体" w:hAnsi="宋体" w:cs="宋体" w:eastAsia="宋体" w:hint="default"/>
          <w:b/>
          <w:bCs/>
          <w:sz w:val="22"/>
          <w:szCs w:val="22"/>
        </w:rPr>
      </w:pPr>
    </w:p>
    <w:p>
      <w:pPr>
        <w:pStyle w:val="Heading3"/>
        <w:spacing w:line="240" w:lineRule="auto"/>
        <w:ind w:right="9176"/>
        <w:jc w:val="center"/>
      </w:pPr>
      <w:r>
        <w:rPr/>
        <w:t>无。</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30、重要会计政策和会计估计变更" w:id="214"/>
      <w:bookmarkEnd w:id="214"/>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671"/>
        <w:gridCol w:w="3119"/>
        <w:gridCol w:w="780"/>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日发布了《关于修订印发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年度一般企业 </w:t>
            </w:r>
            <w:r>
              <w:rPr>
                <w:rFonts w:ascii="宋体" w:hAnsi="宋体" w:cs="宋体" w:eastAsia="宋体" w:hint="default"/>
                <w:spacing w:val="-5"/>
                <w:sz w:val="18"/>
                <w:szCs w:val="18"/>
              </w:rPr>
              <w:t>财务报表格式的通知》（财会〔</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号），对一般企业财务报表格式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进行了修订，归并部分资产负债表项目，拆分部分利润表项目。</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日召开的第四 届董事会第四十次会议审议通过了《关 </w:t>
            </w:r>
            <w:r>
              <w:rPr>
                <w:rFonts w:ascii="宋体" w:hAnsi="宋体" w:cs="宋体" w:eastAsia="宋体" w:hint="default"/>
                <w:spacing w:val="-8"/>
                <w:sz w:val="18"/>
                <w:szCs w:val="18"/>
              </w:rPr>
              <w:t>于会计政策变更的议案》。</w:t>
            </w:r>
          </w:p>
        </w:tc>
        <w:tc>
          <w:tcPr>
            <w:tcW w:w="7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right="1131" w:firstLine="360"/>
        <w:jc w:val="both"/>
      </w:pP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7</w:t>
      </w:r>
      <w:r>
        <w:rPr>
          <w:spacing w:val="-2"/>
        </w:rPr>
        <w:t>日发布了《关于</w:t>
      </w:r>
      <w:r>
        <w:rPr>
          <w:rFonts w:ascii="Times New Roman" w:hAnsi="Times New Roman" w:cs="Times New Roman" w:eastAsia="Times New Roman" w:hint="default"/>
          <w:spacing w:val="-2"/>
        </w:rPr>
        <w:t>2018</w:t>
      </w:r>
      <w:r>
        <w:rPr>
          <w:spacing w:val="-2"/>
        </w:rPr>
        <w:t>年度一般企业财务报表格式有关问题的解读》，明确要求代扣个人所得税手续</w:t>
      </w:r>
      <w:r>
        <w:rPr/>
        <w:t> </w:t>
      </w:r>
      <w:r>
        <w:rPr>
          <w:spacing w:val="-2"/>
        </w:rPr>
        <w:t>费返还在</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列报，实际收到的政府补助，无论是与资产相关还是与收益相关，在编制现金流量表时均作为经营活动</w:t>
      </w:r>
      <w:r>
        <w:rPr>
          <w:spacing w:val="-45"/>
        </w:rPr>
        <w:t> </w:t>
      </w:r>
      <w:r>
        <w:rPr>
          <w:spacing w:val="-45"/>
        </w:rPr>
      </w:r>
      <w:r>
        <w:rPr/>
        <w:t>产生的现金流量列报等。</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1、其他" w:id="217"/>
      <w:bookmarkEnd w:id="217"/>
      <w:r>
        <w:rPr>
          <w:b w:val="0"/>
          <w:bCs w:val="0"/>
        </w:rPr>
      </w:r>
      <w:r>
        <w:rPr>
          <w:rFonts w:ascii="Times New Roman" w:hAnsi="Times New Roman" w:cs="Times New Roman" w:eastAsia="Times New Roman" w:hint="default"/>
        </w:rPr>
        <w:t>31</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2"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5"/>
        </w:rPr>
        <w:t> </w:t>
      </w:r>
      <w:r>
        <w:rPr>
          <w:spacing w:val="-65"/>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0"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4" w:right="0"/>
        <w:jc w:val="left"/>
      </w:pPr>
      <w:r>
        <w:rPr/>
        <w:t>于资产负债表日，本公司需对财务报表项目金额进行判断、估计和假设的重要领域如下：</w:t>
      </w:r>
    </w:p>
    <w:p>
      <w:pPr>
        <w:pStyle w:val="BodyText"/>
        <w:spacing w:line="300" w:lineRule="auto" w:before="76"/>
        <w:ind w:left="514" w:right="0"/>
        <w:jc w:val="left"/>
      </w:pPr>
      <w:r>
        <w:rPr/>
        <w:t>（</w:t>
      </w:r>
      <w:r>
        <w:rPr>
          <w:rFonts w:ascii="Times New Roman" w:hAnsi="Times New Roman" w:cs="Times New Roman" w:eastAsia="Times New Roman" w:hint="default"/>
        </w:rPr>
        <w:t>1</w:t>
      </w:r>
      <w:r>
        <w:rPr/>
        <w:t>）收入确认</w:t>
      </w:r>
      <w:r>
        <w:rPr>
          <w:rFonts w:ascii="Times New Roman" w:hAnsi="Times New Roman" w:cs="Times New Roman" w:eastAsia="Times New Roman" w:hint="default"/>
        </w:rPr>
        <w:t>——</w:t>
      </w:r>
      <w:r>
        <w:rPr/>
        <w:t>建造合同 </w:t>
      </w:r>
      <w:r>
        <w:rPr>
          <w:spacing w:val="-2"/>
        </w:rPr>
        <w:t>在建造合同结果可以可靠估计时，本公司采用完工百分比法在资产负债表日确认合同收入。合同的完工百分比是依照本</w:t>
      </w:r>
    </w:p>
    <w:p>
      <w:pPr>
        <w:pStyle w:val="BodyText"/>
        <w:spacing w:line="300" w:lineRule="auto" w:before="31"/>
        <w:ind w:left="514" w:right="0" w:hanging="360"/>
        <w:jc w:val="left"/>
      </w:pPr>
      <w:r>
        <w:rPr/>
        <w:t>附注四、</w:t>
      </w:r>
      <w:r>
        <w:rPr>
          <w:rFonts w:ascii="Times New Roman" w:hAnsi="Times New Roman" w:cs="Times New Roman" w:eastAsia="Times New Roman" w:hint="default"/>
        </w:rPr>
        <w:t>23</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所述方法进行确认的，在执行各该建造合同的各会计年度内累积计算。 </w:t>
      </w:r>
      <w:r>
        <w:rPr>
          <w:spacing w:val="-2"/>
        </w:rPr>
        <w:t>在确定完工百分比、已发生的合同成本、预计合同总收入和总成本，以及合同可回收性时，需要作出重大判断。项目管</w:t>
      </w:r>
    </w:p>
    <w:p>
      <w:pPr>
        <w:pStyle w:val="BodyText"/>
        <w:spacing w:line="316" w:lineRule="auto" w:before="32"/>
        <w:ind w:right="0"/>
        <w:jc w:val="left"/>
      </w:pPr>
      <w:r>
        <w:rPr>
          <w:spacing w:val="-2"/>
        </w:rPr>
        <w:t>理层主要依靠过去的经验和工作作出判断。预计合同总收入和总成本，以及合同执行结果的估计变更都可能对变更当期或以</w:t>
      </w:r>
      <w:r>
        <w:rPr>
          <w:spacing w:val="-64"/>
        </w:rPr>
        <w:t> </w:t>
      </w:r>
      <w:r>
        <w:rPr>
          <w:spacing w:val="-64"/>
        </w:rPr>
      </w:r>
      <w:r>
        <w:rPr/>
        <w:t>后期间的营业收入、营业成本，以及期间损益产生影响，且可能构成重大影响。</w:t>
      </w:r>
    </w:p>
    <w:p>
      <w:pPr>
        <w:pStyle w:val="BodyText"/>
        <w:spacing w:line="300" w:lineRule="auto" w:before="19"/>
        <w:ind w:left="514" w:right="0"/>
        <w:jc w:val="left"/>
      </w:pPr>
      <w:r>
        <w:rPr/>
        <w:t>（</w:t>
      </w:r>
      <w:r>
        <w:rPr>
          <w:rFonts w:ascii="Times New Roman" w:hAnsi="Times New Roman" w:cs="Times New Roman" w:eastAsia="Times New Roman" w:hint="default"/>
        </w:rPr>
        <w:t>2</w:t>
      </w:r>
      <w:r>
        <w:rPr/>
        <w:t>）租赁的归类 </w:t>
      </w:r>
      <w:r>
        <w:rPr>
          <w:spacing w:val="-2"/>
        </w:rPr>
        <w:t>本公司根据《企业会计准则第</w:t>
      </w:r>
      <w:r>
        <w:rPr>
          <w:rFonts w:ascii="Times New Roman" w:hAnsi="Times New Roman" w:cs="Times New Roman" w:eastAsia="Times New Roman" w:hint="default"/>
          <w:spacing w:val="-2"/>
        </w:rPr>
        <w:t>21</w:t>
      </w:r>
      <w:r>
        <w:rPr>
          <w:spacing w:val="-2"/>
        </w:rPr>
        <w:t>号</w:t>
      </w:r>
      <w:r>
        <w:rPr>
          <w:rFonts w:ascii="Times New Roman" w:hAnsi="Times New Roman" w:cs="Times New Roman" w:eastAsia="Times New Roman" w:hint="default"/>
          <w:spacing w:val="-2"/>
        </w:rPr>
        <w:t>——</w:t>
      </w:r>
      <w:r>
        <w:rPr>
          <w:spacing w:val="-2"/>
        </w:rPr>
        <w:t>租赁》的规定，将租赁归类为经营租赁和融资租赁，在进行归类时，管理层需要</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对是否已将与租出资产所有权有关的全部风险和报酬实质上转移给承租人，或者本公司是否已经实质上承担与租入资产所有</w:t>
      </w:r>
      <w:r>
        <w:rPr>
          <w:spacing w:val="-64"/>
        </w:rPr>
        <w:t> </w:t>
      </w:r>
      <w:r>
        <w:rPr>
          <w:spacing w:val="-64"/>
        </w:rPr>
      </w:r>
      <w:r>
        <w:rPr/>
        <w:t>权有关的全部风险和报酬，作出分析和判断。</w:t>
      </w:r>
    </w:p>
    <w:p>
      <w:pPr>
        <w:pStyle w:val="BodyText"/>
        <w:spacing w:line="300" w:lineRule="auto" w:before="19"/>
        <w:ind w:left="514" w:right="0"/>
        <w:jc w:val="left"/>
      </w:pPr>
      <w:r>
        <w:rPr/>
        <w:t>（</w:t>
      </w:r>
      <w:r>
        <w:rPr>
          <w:rFonts w:ascii="Times New Roman" w:hAnsi="Times New Roman" w:cs="Times New Roman" w:eastAsia="Times New Roman" w:hint="default"/>
        </w:rPr>
        <w:t>3</w:t>
      </w:r>
      <w:r>
        <w:rPr/>
        <w:t>）坏账准备计提 </w:t>
      </w:r>
      <w:r>
        <w:rPr>
          <w:spacing w:val="-2"/>
        </w:rPr>
        <w:t>本公司根据应收款项的会计政策，采用备抵法核算坏账损失。应收账款减值是基于评估应收账款的可收回性。鉴定应收</w:t>
      </w:r>
    </w:p>
    <w:p>
      <w:pPr>
        <w:pStyle w:val="BodyText"/>
        <w:spacing w:line="316" w:lineRule="auto" w:before="32"/>
        <w:ind w:right="1131"/>
        <w:jc w:val="both"/>
      </w:pPr>
      <w:r>
        <w:rPr>
          <w:spacing w:val="-2"/>
        </w:rPr>
        <w:t>账款减值要求管理层的判断和估计。实际的结果与原先估计的差异将在估计被改变的期间影响应收账款的账面价值及应收账</w:t>
      </w:r>
      <w:r>
        <w:rPr>
          <w:spacing w:val="-64"/>
        </w:rPr>
        <w:t> </w:t>
      </w:r>
      <w:r>
        <w:rPr>
          <w:spacing w:val="-64"/>
        </w:rPr>
      </w:r>
      <w:r>
        <w:rPr/>
        <w:t>款坏账准备的计提或转回。</w:t>
      </w:r>
    </w:p>
    <w:p>
      <w:pPr>
        <w:pStyle w:val="BodyText"/>
        <w:spacing w:line="300" w:lineRule="auto" w:before="19"/>
        <w:ind w:left="514" w:right="0"/>
        <w:jc w:val="left"/>
      </w:pPr>
      <w:r>
        <w:rPr/>
        <w:t>（</w:t>
      </w:r>
      <w:r>
        <w:rPr>
          <w:rFonts w:ascii="Times New Roman" w:hAnsi="Times New Roman" w:cs="Times New Roman" w:eastAsia="Times New Roman" w:hint="default"/>
        </w:rPr>
        <w:t>4</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right="1131"/>
        <w:jc w:val="both"/>
      </w:pPr>
      <w:r>
        <w:rPr>
          <w:spacing w:val="-2"/>
        </w:rPr>
        <w:t>价准备。存货减值至可变现净值是基于评估存货的可售性及其可变现净值。鉴定存货减值要求管理层在取得确凿证据，并且</w:t>
      </w:r>
      <w:r>
        <w:rPr>
          <w:spacing w:val="-66"/>
        </w:rPr>
        <w:t> </w:t>
      </w:r>
      <w:r>
        <w:rPr>
          <w:spacing w:val="-66"/>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4" w:right="0"/>
        <w:jc w:val="left"/>
      </w:pPr>
      <w:r>
        <w:rPr/>
        <w:t>（</w:t>
      </w:r>
      <w:r>
        <w:rPr>
          <w:rFonts w:ascii="Times New Roman" w:hAnsi="Times New Roman" w:cs="Times New Roman" w:eastAsia="Times New Roman" w:hint="default"/>
        </w:rPr>
        <w:t>5</w:t>
      </w:r>
      <w:r>
        <w:rPr/>
        <w:t>）金融工具公允价值 </w:t>
      </w:r>
      <w:r>
        <w:rPr>
          <w:spacing w:val="-2"/>
        </w:rPr>
        <w:t>对不存在活跃交易市场的金融工具，本公司通过各种估值方法确定其公允价值。这些估值方法包括贴现现金流模型分析</w:t>
      </w:r>
    </w:p>
    <w:p>
      <w:pPr>
        <w:pStyle w:val="BodyText"/>
        <w:spacing w:line="316" w:lineRule="auto" w:before="31"/>
        <w:ind w:right="1133"/>
        <w:jc w:val="both"/>
      </w:pPr>
      <w:r>
        <w:rPr>
          <w:spacing w:val="-2"/>
        </w:rPr>
        <w:t>等。估值时本公司需对未来现金流量、信用风险、市场波动率和相关性等方面进行估计，并选择适当的折现率。这些相关假</w:t>
      </w:r>
      <w:r>
        <w:rPr>
          <w:spacing w:val="-66"/>
        </w:rPr>
        <w:t> </w:t>
      </w:r>
      <w:r>
        <w:rPr>
          <w:spacing w:val="-66"/>
        </w:rPr>
      </w:r>
      <w:r>
        <w:rPr/>
        <w:t>设具有不确定性，其变化会对金融工具的公允价值产生影响。</w:t>
      </w:r>
    </w:p>
    <w:p>
      <w:pPr>
        <w:pStyle w:val="BodyText"/>
        <w:spacing w:line="300" w:lineRule="auto" w:before="19"/>
        <w:ind w:left="514" w:right="0"/>
        <w:jc w:val="left"/>
      </w:pPr>
      <w:r>
        <w:rPr/>
        <w:t>（</w:t>
      </w:r>
      <w:r>
        <w:rPr>
          <w:rFonts w:ascii="Times New Roman" w:hAnsi="Times New Roman" w:cs="Times New Roman" w:eastAsia="Times New Roman" w:hint="default"/>
        </w:rPr>
        <w:t>6</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6" w:lineRule="auto" w:before="31"/>
        <w:ind w:right="1133"/>
        <w:jc w:val="both"/>
      </w:pPr>
      <w:r>
        <w:rPr>
          <w:spacing w:val="-2"/>
        </w:rPr>
        <w:t>值损失。在进行判断和作出假设的过程中，本公司需评估该项投资的公允价值低于成本的程度和持续期间，以及被投资对象</w:t>
      </w:r>
      <w:r>
        <w:rPr>
          <w:spacing w:val="-66"/>
        </w:rPr>
        <w:t> </w:t>
      </w:r>
      <w:r>
        <w:rPr>
          <w:spacing w:val="-66"/>
        </w:rPr>
      </w:r>
      <w:r>
        <w:rPr/>
        <w:t>的财务状况和短期业务展望，包括行业状况、技术变革、信用评级、违约率和对手方的风险。</w:t>
      </w:r>
    </w:p>
    <w:p>
      <w:pPr>
        <w:pStyle w:val="BodyText"/>
        <w:spacing w:line="300" w:lineRule="auto" w:before="19"/>
        <w:ind w:left="514" w:right="0"/>
        <w:jc w:val="left"/>
      </w:pPr>
      <w:r>
        <w:rPr/>
        <w:t>（</w:t>
      </w:r>
      <w:r>
        <w:rPr>
          <w:rFonts w:ascii="Times New Roman" w:hAnsi="Times New Roman" w:cs="Times New Roman" w:eastAsia="Times New Roman" w:hint="default"/>
        </w:rPr>
        <w:t>7</w:t>
      </w:r>
      <w:r>
        <w:rPr/>
        <w:t>）长期资产减值准备 </w:t>
      </w:r>
      <w:r>
        <w:rPr>
          <w:spacing w:val="-2"/>
        </w:rPr>
        <w:t>本公司于资产负债表日对除金融资产之外的非流动资产判断是否存在可能发生减值的迹象。对使用寿命不确定的无形资</w:t>
      </w:r>
    </w:p>
    <w:p>
      <w:pPr>
        <w:pStyle w:val="BodyText"/>
        <w:spacing w:line="319" w:lineRule="auto" w:before="31"/>
        <w:ind w:right="1133"/>
        <w:jc w:val="both"/>
      </w:pPr>
      <w:r>
        <w:rPr>
          <w:spacing w:val="-2"/>
        </w:rPr>
        <w:t>产，除每年进行的减值测试外，当其存在减值迹象时，也进行减值测试。其他除金融资产之外的非流动资产，当存在迹象表</w:t>
      </w:r>
      <w:r>
        <w:rPr>
          <w:spacing w:val="-66"/>
        </w:rPr>
        <w:t> </w:t>
      </w:r>
      <w:r>
        <w:rPr>
          <w:spacing w:val="-66"/>
        </w:rPr>
      </w:r>
      <w:r>
        <w:rPr/>
        <w:t>明其账面金额不可收回时，进行减值测试。</w:t>
      </w:r>
    </w:p>
    <w:p>
      <w:pPr>
        <w:pStyle w:val="BodyText"/>
        <w:spacing w:line="316" w:lineRule="auto" w:before="17"/>
        <w:ind w:right="0" w:firstLine="360"/>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0"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0"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1133" w:firstLine="360"/>
        <w:jc w:val="both"/>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6"/>
        </w:rPr>
        <w:t> </w:t>
      </w:r>
      <w:r>
        <w:rPr>
          <w:spacing w:val="-66"/>
        </w:rPr>
      </w:r>
      <w:r>
        <w:rPr/>
        <w:t>率确定未来现金流量的现值。</w:t>
      </w:r>
    </w:p>
    <w:p>
      <w:pPr>
        <w:pStyle w:val="BodyText"/>
        <w:spacing w:line="300" w:lineRule="auto" w:before="19"/>
        <w:ind w:left="514" w:right="0"/>
        <w:jc w:val="left"/>
      </w:pPr>
      <w:r>
        <w:rPr/>
        <w:t>（</w:t>
      </w:r>
      <w:r>
        <w:rPr>
          <w:rFonts w:ascii="Times New Roman" w:hAnsi="Times New Roman" w:cs="Times New Roman" w:eastAsia="Times New Roman" w:hint="default"/>
        </w:rPr>
        <w:t>8</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right="1132"/>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4" w:right="0"/>
        <w:jc w:val="left"/>
      </w:pPr>
      <w:r>
        <w:rPr/>
        <w:t>（</w:t>
      </w:r>
      <w:r>
        <w:rPr>
          <w:rFonts w:ascii="Times New Roman" w:hAnsi="Times New Roman" w:cs="Times New Roman" w:eastAsia="Times New Roman" w:hint="default"/>
        </w:rPr>
        <w:t>9</w:t>
      </w:r>
      <w:r>
        <w:rPr/>
        <w:t>）递延所得税资产 </w:t>
      </w:r>
      <w:r>
        <w:rPr>
          <w:spacing w:val="-2"/>
        </w:rPr>
        <w:t>在很有可能有足够的应纳税利润来抵扣亏损的限度内，本公司就所有未利用的税务亏损确认递延所得税资产。这需要本</w:t>
      </w:r>
    </w:p>
    <w:p>
      <w:pPr>
        <w:pStyle w:val="BodyText"/>
        <w:spacing w:line="319" w:lineRule="auto" w:before="31"/>
        <w:ind w:right="1132"/>
        <w:jc w:val="both"/>
      </w:pPr>
      <w:r>
        <w:rPr>
          <w:spacing w:val="-2"/>
        </w:rPr>
        <w:t>公司管理层运用大量的判断来估计未来应纳税利润发生的时间和金额，结合纳税筹划策略，以决定应确认的递延所得税资产</w:t>
      </w:r>
      <w:r>
        <w:rPr>
          <w:spacing w:val="-64"/>
        </w:rPr>
        <w:t> </w:t>
      </w:r>
      <w:r>
        <w:rPr>
          <w:spacing w:val="-64"/>
        </w:rPr>
      </w:r>
      <w:r>
        <w:rPr/>
        <w:t>的金额。</w:t>
      </w:r>
    </w:p>
    <w:p>
      <w:pPr>
        <w:pStyle w:val="BodyText"/>
        <w:spacing w:line="300" w:lineRule="auto" w:before="17"/>
        <w:ind w:left="514" w:right="1118"/>
        <w:jc w:val="left"/>
      </w:pPr>
      <w:r>
        <w:rPr/>
        <w:t>（</w:t>
      </w:r>
      <w:r>
        <w:rPr>
          <w:rFonts w:ascii="Times New Roman" w:hAnsi="Times New Roman" w:cs="Times New Roman" w:eastAsia="Times New Roman" w:hint="default"/>
        </w:rPr>
        <w:t>10</w:t>
      </w:r>
      <w:r>
        <w:rPr/>
        <w:t>）所得税 </w:t>
      </w:r>
      <w:r>
        <w:rPr>
          <w:spacing w:val="-2"/>
        </w:rPr>
        <w:t>本公司在正常的经营活动中，有部分交易其最终的税务处理和计算存在一定的不确定性。部分项目是否能够在税前列支</w:t>
      </w:r>
    </w:p>
    <w:p>
      <w:pPr>
        <w:pStyle w:val="BodyText"/>
        <w:spacing w:line="240" w:lineRule="auto" w:before="31"/>
        <w:ind w:right="0"/>
        <w:jc w:val="both"/>
      </w:pPr>
      <w:r>
        <w:rPr/>
        <w:t>需要税收主管机关的审批。如果这些税务事项的最终认定结果同最初估计的金额存在差异，则该差异将对其最终认定期间的</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当期所得税和递延所得税产生影响。</w:t>
      </w:r>
    </w:p>
    <w:p>
      <w:pPr>
        <w:pStyle w:val="BodyText"/>
        <w:spacing w:line="300" w:lineRule="auto" w:before="76"/>
        <w:ind w:left="514" w:right="0"/>
        <w:jc w:val="left"/>
      </w:pPr>
      <w:r>
        <w:rPr/>
        <w:t>（</w:t>
      </w:r>
      <w:r>
        <w:rPr>
          <w:rFonts w:ascii="Times New Roman" w:hAnsi="Times New Roman" w:cs="Times New Roman" w:eastAsia="Times New Roman" w:hint="default"/>
        </w:rPr>
        <w:t>11</w:t>
      </w:r>
      <w:r>
        <w:rPr/>
        <w:t>）预计负债 </w:t>
      </w:r>
      <w:r>
        <w:rPr>
          <w:spacing w:val="-4"/>
        </w:rPr>
        <w:t>本公司根据合约条款、现有知识及历史经验，对产品质量保证、预计合同亏损、延迟交货违约金等估计并计提相应准备。</w:t>
      </w:r>
    </w:p>
    <w:p>
      <w:pPr>
        <w:pStyle w:val="BodyText"/>
        <w:spacing w:line="319" w:lineRule="auto" w:before="31"/>
        <w:ind w:right="1132"/>
        <w:jc w:val="both"/>
      </w:pPr>
      <w:r>
        <w:rPr>
          <w:spacing w:val="-2"/>
        </w:rPr>
        <w:t>在该等或有事项已经形成一项现时义务，且履行该等现时义务很可能导致经济利益流出本公司的情况下，本公司对或有事项</w:t>
      </w:r>
      <w:r>
        <w:rPr>
          <w:spacing w:val="-64"/>
        </w:rPr>
        <w:t> </w:t>
      </w:r>
      <w:r>
        <w:rPr>
          <w:spacing w:val="-64"/>
        </w:rPr>
      </w:r>
      <w:r>
        <w:rPr>
          <w:spacing w:val="-2"/>
        </w:rPr>
        <w:t>按履行相关现时义务所需支出的最佳估计数确认为预计负债。预计负债的确认和计量在很大程度上依赖于管理层的判断。在</w:t>
      </w:r>
      <w:r>
        <w:rPr>
          <w:spacing w:val="-64"/>
        </w:rPr>
        <w:t> </w:t>
      </w:r>
      <w:r>
        <w:rPr>
          <w:spacing w:val="-64"/>
        </w:rPr>
      </w:r>
      <w:r>
        <w:rPr/>
        <w:t>进行判断过程中本公司需评估该等或有事项相关的风险、不确定性及货币时间价值等因素。</w:t>
      </w:r>
    </w:p>
    <w:p>
      <w:pPr>
        <w:pStyle w:val="BodyText"/>
        <w:spacing w:line="316" w:lineRule="auto" w:before="17"/>
        <w:ind w:right="1132" w:firstLine="360"/>
        <w:jc w:val="both"/>
      </w:pPr>
      <w:r>
        <w:rPr>
          <w:spacing w:val="-2"/>
        </w:rPr>
        <w:t>其中，本公司会就出售、维修及改造所售商品向客户提供的售后质量维修承诺预计负债。预计负债时已考虑本公司近期</w:t>
      </w:r>
      <w:r>
        <w:rPr/>
        <w:t> </w:t>
      </w:r>
      <w:r>
        <w:rPr>
          <w:spacing w:val="-2"/>
        </w:rPr>
        <w:t>的维修经验数据，但近期的维修经验可能无法反映将来的维修情况。这项准备的任何增加或减少，均可能影响未来年度的损</w:t>
      </w:r>
      <w:r>
        <w:rPr>
          <w:spacing w:val="-66"/>
        </w:rPr>
        <w:t> </w:t>
      </w:r>
      <w:r>
        <w:rPr>
          <w:spacing w:val="-66"/>
        </w:rPr>
      </w:r>
      <w:r>
        <w:rPr/>
        <w:t>益。</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六、税项" w:id="218"/>
      <w:bookmarkEnd w:id="218"/>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深圳亚联发展科技股份有限公司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上海即富信息技术服务有限公司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深圳市德威普软件技术有限公司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南京凌云科技发展有限公司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广州键桥通讯技术有限公司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深圳键桥华能通讯技术有限公司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亚联投资（香港）有限公司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按利得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大连先锋投资管理有限公司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深圳网信大数据科技发展有限公司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共青城正融投资管理合伙企业（有限合伙）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共青城顺联投资管理合伙企业（有限合伙）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广州宽客投资管理有限公司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1182"/>
        <w:jc w:val="left"/>
      </w:pPr>
      <w:r>
        <w:rPr/>
        <w:t>（</w:t>
      </w:r>
      <w:r>
        <w:rPr>
          <w:rFonts w:ascii="Times New Roman" w:hAnsi="Times New Roman" w:cs="Times New Roman" w:eastAsia="Times New Roman" w:hint="default"/>
        </w:rPr>
        <w:t>1</w:t>
      </w:r>
      <w:r>
        <w:rPr/>
        <w:t>）增值税 根据财政部、国家税务总局财税</w:t>
      </w:r>
      <w:r>
        <w:rPr>
          <w:rFonts w:ascii="Times New Roman" w:hAnsi="Times New Roman" w:cs="Times New Roman" w:eastAsia="Times New Roman" w:hint="default"/>
        </w:rPr>
        <w:t>[2011]100</w:t>
      </w:r>
      <w:r>
        <w:rPr/>
        <w:t>号《关于软件产品增值税政策的通知》的规定，增值税一般纳税人销售其自</w:t>
      </w:r>
    </w:p>
    <w:p>
      <w:pPr>
        <w:pStyle w:val="BodyText"/>
        <w:spacing w:line="300" w:lineRule="auto" w:before="13"/>
        <w:ind w:right="0"/>
        <w:jc w:val="left"/>
      </w:pPr>
      <w:r>
        <w:rPr/>
        <w:t>行开发生产的软件产品，按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的部分实行即征即退政策。本公司自</w:t>
      </w:r>
      <w:r>
        <w:rPr>
          <w:rFonts w:ascii="Times New Roman" w:hAnsi="Times New Roman" w:cs="Times New Roman" w:eastAsia="Times New Roman" w:hint="default"/>
        </w:rPr>
        <w:t>2004 </w:t>
      </w:r>
      <w:r>
        <w:rPr>
          <w:spacing w:val="-2"/>
        </w:rPr>
        <w:t>年</w:t>
      </w:r>
      <w:r>
        <w:rPr>
          <w:rFonts w:ascii="Times New Roman" w:hAnsi="Times New Roman" w:cs="Times New Roman" w:eastAsia="Times New Roman" w:hint="default"/>
          <w:spacing w:val="-2"/>
        </w:rPr>
        <w:t>1</w:t>
      </w:r>
      <w:r>
        <w:rPr>
          <w:spacing w:val="-2"/>
        </w:rPr>
        <w:t>月起享受上述增值税即征即退的优惠政策；子公司深圳市德威普软件技术有限公司自</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月起享受上述增值税即征即</w:t>
      </w:r>
      <w:r>
        <w:rPr>
          <w:spacing w:val="-58"/>
        </w:rPr>
        <w:t> </w:t>
      </w:r>
      <w:r>
        <w:rPr/>
        <w:t>退的优惠政策。</w:t>
      </w:r>
    </w:p>
    <w:p>
      <w:pPr>
        <w:pStyle w:val="BodyText"/>
        <w:spacing w:line="240" w:lineRule="auto" w:before="31"/>
        <w:ind w:left="514" w:right="0"/>
        <w:jc w:val="left"/>
      </w:pPr>
      <w:r>
        <w:rPr/>
        <w:t>（</w:t>
      </w:r>
      <w:r>
        <w:rPr>
          <w:rFonts w:ascii="Times New Roman" w:hAnsi="Times New Roman" w:cs="Times New Roman" w:eastAsia="Times New Roman" w:hint="default"/>
        </w:rPr>
        <w:t>2</w:t>
      </w:r>
      <w:r>
        <w:rPr/>
        <w:t>）企业所得税</w:t>
      </w:r>
    </w:p>
    <w:p>
      <w:pPr>
        <w:pStyle w:val="BodyText"/>
        <w:spacing w:line="300" w:lineRule="auto" w:before="63"/>
        <w:ind w:right="1132" w:firstLine="360"/>
        <w:jc w:val="both"/>
      </w:pPr>
      <w:r>
        <w:rPr>
          <w:spacing w:val="-2"/>
        </w:rPr>
        <w:t>①公司于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日取得深圳市科技创新委员会、深圳市财政委员会、深圳市国家税务局、深圳市地方税务局联合</w:t>
      </w:r>
      <w:r>
        <w:rPr/>
        <w:t> 批准下发的编号为</w:t>
      </w:r>
      <w:r>
        <w:rPr>
          <w:rFonts w:ascii="Times New Roman" w:hAnsi="Times New Roman" w:cs="Times New Roman" w:eastAsia="Times New Roman" w:hint="default"/>
        </w:rPr>
        <w:t>GR201744202408</w:t>
      </w:r>
      <w:r>
        <w:rPr/>
        <w:t>号高新技术企业证书，自</w:t>
      </w:r>
      <w:r>
        <w:rPr>
          <w:rFonts w:ascii="Times New Roman" w:hAnsi="Times New Roman" w:cs="Times New Roman" w:eastAsia="Times New Roman" w:hint="default"/>
        </w:rPr>
        <w:t>2017</w:t>
      </w:r>
      <w:r>
        <w:rPr/>
        <w:t>年起，企业所得税减按</w:t>
      </w:r>
      <w:r>
        <w:rPr>
          <w:rFonts w:ascii="Times New Roman" w:hAnsi="Times New Roman" w:cs="Times New Roman" w:eastAsia="Times New Roman" w:hint="default"/>
        </w:rPr>
        <w:t>15%</w:t>
      </w:r>
      <w:r>
        <w:rPr/>
        <w:t>的优惠税率征收，减免期限为 </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w:t>
      </w:r>
    </w:p>
    <w:p>
      <w:pPr>
        <w:pStyle w:val="BodyText"/>
        <w:spacing w:line="302" w:lineRule="auto" w:before="13"/>
        <w:ind w:right="1130" w:firstLine="360"/>
        <w:jc w:val="both"/>
      </w:pPr>
      <w:r>
        <w:rPr>
          <w:spacing w:val="-2"/>
        </w:rPr>
        <w:t>②根据《中华人民共和国企业所得税法》、《中华人民共和国企业所得税法实施条例》、《关于进一步鼓励软件产业和</w:t>
      </w:r>
      <w:r>
        <w:rPr/>
        <w:t> </w:t>
      </w:r>
      <w:r>
        <w:rPr>
          <w:spacing w:val="-2"/>
        </w:rPr>
        <w:t>集成电路产业发展企业所得税政策的通知》（财税〔</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27</w:t>
      </w:r>
      <w:r>
        <w:rPr>
          <w:spacing w:val="-2"/>
        </w:rPr>
        <w:t>号）、《关于软件和集成电路产业企业所得税优惠政策有关问</w:t>
      </w:r>
      <w:r>
        <w:rPr>
          <w:spacing w:val="-60"/>
        </w:rPr>
        <w:t> </w:t>
      </w:r>
      <w:r>
        <w:rPr>
          <w:spacing w:val="-60"/>
        </w:rPr>
      </w:r>
      <w:r>
        <w:rPr>
          <w:spacing w:val="-2"/>
        </w:rPr>
        <w:t>题的通知》（财税〔</w:t>
      </w:r>
      <w:r>
        <w:rPr>
          <w:rFonts w:ascii="Times New Roman" w:hAnsi="Times New Roman" w:cs="Times New Roman" w:eastAsia="Times New Roman" w:hint="default"/>
          <w:spacing w:val="-2"/>
        </w:rPr>
        <w:t>2016</w:t>
      </w:r>
      <w:r>
        <w:rPr>
          <w:spacing w:val="-2"/>
        </w:rPr>
        <w:t>〕</w:t>
      </w:r>
      <w:r>
        <w:rPr>
          <w:rFonts w:ascii="Times New Roman" w:hAnsi="Times New Roman" w:cs="Times New Roman" w:eastAsia="Times New Roman" w:hint="default"/>
          <w:spacing w:val="-2"/>
        </w:rPr>
        <w:t>49</w:t>
      </w:r>
      <w:r>
        <w:rPr>
          <w:spacing w:val="-2"/>
        </w:rPr>
        <w:t>号）规定，我国境内新办的集成电路设计企业和符合条件的软件企业，经认定后，在</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9"/>
        </w:rPr>
        <w:t> </w:t>
      </w:r>
      <w:r>
        <w:rPr>
          <w:spacing w:val="-1"/>
        </w:rPr>
        <w:t>月</w:t>
      </w:r>
      <w:r>
        <w:rPr>
          <w:rFonts w:ascii="Times New Roman" w:hAnsi="Times New Roman" w:cs="Times New Roman" w:eastAsia="Times New Roman" w:hint="default"/>
          <w:spacing w:val="-1"/>
        </w:rPr>
        <w:t>31</w:t>
      </w:r>
      <w:r>
        <w:rPr>
          <w:spacing w:val="-1"/>
        </w:rPr>
        <w:t>日前自获利年度起计算优惠期，第一年至第二年免征企业所得税，第三年至第五年按照</w:t>
      </w:r>
      <w:r>
        <w:rPr>
          <w:rFonts w:ascii="Times New Roman" w:hAnsi="Times New Roman" w:cs="Times New Roman" w:eastAsia="Times New Roman" w:hint="default"/>
          <w:spacing w:val="-1"/>
        </w:rPr>
        <w:t>25%</w:t>
      </w:r>
      <w:r>
        <w:rPr>
          <w:spacing w:val="-1"/>
        </w:rPr>
        <w:t>的法定税率减半征收企业所</w:t>
      </w:r>
      <w:r>
        <w:rPr>
          <w:spacing w:val="-87"/>
        </w:rPr>
        <w:t> </w:t>
      </w:r>
      <w:r>
        <w:rPr>
          <w:spacing w:val="-1"/>
        </w:rPr>
        <w:t>得税，并享受至期满为止。国家规划布局内的重点软件企业和集成电路设计企业，如当年未享受免税优惠的，可减按</w:t>
      </w:r>
      <w:r>
        <w:rPr>
          <w:rFonts w:ascii="Times New Roman" w:hAnsi="Times New Roman" w:cs="Times New Roman" w:eastAsia="Times New Roman" w:hint="default"/>
          <w:spacing w:val="-1"/>
        </w:rPr>
        <w:t>10%</w:t>
      </w:r>
      <w:r>
        <w:rPr>
          <w:spacing w:val="-1"/>
        </w:rPr>
        <w:t>的</w:t>
      </w:r>
      <w:r>
        <w:rPr/>
        <w:t> </w:t>
      </w:r>
      <w:r>
        <w:rPr>
          <w:spacing w:val="-1"/>
        </w:rPr>
        <w:t>税率征收企业所得税。子公司上海即富信息技术服务有限公司（以下简称</w:t>
      </w:r>
      <w:r>
        <w:rPr>
          <w:rFonts w:ascii="Times New Roman" w:hAnsi="Times New Roman" w:cs="Times New Roman" w:eastAsia="Times New Roman" w:hint="default"/>
          <w:spacing w:val="-1"/>
        </w:rPr>
        <w:t>“</w:t>
      </w:r>
      <w:r>
        <w:rPr>
          <w:spacing w:val="-1"/>
        </w:rPr>
        <w:t>上海即富</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2017</w:t>
      </w:r>
      <w:r>
        <w:rPr>
          <w:spacing w:val="-1"/>
        </w:rPr>
        <w:t>年按照</w:t>
      </w:r>
      <w:r>
        <w:rPr>
          <w:rFonts w:ascii="Times New Roman" w:hAnsi="Times New Roman" w:cs="Times New Roman" w:eastAsia="Times New Roman" w:hint="default"/>
          <w:spacing w:val="-1"/>
        </w:rPr>
        <w:t>10%</w:t>
      </w:r>
      <w:r>
        <w:rPr>
          <w:spacing w:val="-1"/>
        </w:rPr>
        <w:t>的法定税率征收企业</w:t>
      </w:r>
      <w:r>
        <w:rPr>
          <w:spacing w:val="-65"/>
        </w:rPr>
        <w:t> </w:t>
      </w:r>
      <w:r>
        <w:rPr/>
        <w:t>所得税。</w:t>
      </w:r>
    </w:p>
    <w:p>
      <w:pPr>
        <w:pStyle w:val="BodyText"/>
        <w:spacing w:line="307" w:lineRule="auto" w:before="29"/>
        <w:ind w:right="1131" w:firstLine="360"/>
        <w:jc w:val="both"/>
      </w:pPr>
      <w:r>
        <w:rPr>
          <w:spacing w:val="-2"/>
        </w:rPr>
        <w:t>③根据财政部、国家税务总局发布的《关于广东横琴新区、福建平潭综合实验区、深圳前海深港现代服务业合作区企业</w:t>
      </w:r>
      <w:r>
        <w:rPr/>
        <w:t> </w:t>
      </w:r>
      <w:r>
        <w:rPr>
          <w:spacing w:val="-1"/>
        </w:rPr>
        <w:t>所得税优惠政策及优惠目录的通知》（财税</w:t>
      </w:r>
      <w:r>
        <w:rPr>
          <w:rFonts w:ascii="Times New Roman" w:hAnsi="Times New Roman" w:cs="Times New Roman" w:eastAsia="Times New Roman" w:hint="default"/>
          <w:spacing w:val="-1"/>
        </w:rPr>
        <w:t>[2014]26</w:t>
      </w:r>
      <w:r>
        <w:rPr>
          <w:spacing w:val="-1"/>
        </w:rPr>
        <w:t>号），设在前海深港现代服务业合作区的企业，主营业务为前海企业所</w:t>
      </w:r>
      <w:r>
        <w:rPr>
          <w:spacing w:val="-57"/>
        </w:rPr>
        <w:t> </w:t>
      </w:r>
      <w:r>
        <w:rPr>
          <w:spacing w:val="-57"/>
        </w:rPr>
      </w:r>
      <w:r>
        <w:rPr/>
        <w:t>得税优惠目录中所规定的产业项目，且其主营业务收入占企业收入总额</w:t>
      </w:r>
      <w:r>
        <w:rPr>
          <w:spacing w:val="-18"/>
        </w:rPr>
        <w:t> </w:t>
      </w:r>
      <w:r>
        <w:rPr>
          <w:rFonts w:ascii="Times New Roman" w:hAnsi="Times New Roman" w:cs="Times New Roman" w:eastAsia="Times New Roman" w:hint="default"/>
        </w:rPr>
        <w:t>70</w:t>
      </w:r>
      <w:r>
        <w:rPr/>
        <w:t>％以上的，自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止，减按</w:t>
      </w:r>
      <w:r>
        <w:rPr>
          <w:rFonts w:ascii="Times New Roman" w:hAnsi="Times New Roman" w:cs="Times New Roman" w:eastAsia="Times New Roman" w:hint="default"/>
        </w:rPr>
        <w:t>15%</w:t>
      </w:r>
      <w:r>
        <w:rPr/>
        <w:t>的税率征收企业所得税。子公司上海即富之孙公司深圳市即富数据处理有限公司享受上述优惠。</w:t>
      </w:r>
    </w:p>
    <w:p>
      <w:pPr>
        <w:pStyle w:val="BodyText"/>
        <w:spacing w:line="338" w:lineRule="auto" w:before="48"/>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3、其他" w:id="221"/>
      <w:bookmarkEnd w:id="221"/>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0"/>
        <w:jc w:val="both"/>
      </w:pPr>
      <w:r>
        <w:rPr>
          <w:spacing w:val="-1"/>
        </w:rPr>
        <w:t>公司通过财务自查，发现</w:t>
      </w:r>
      <w:r>
        <w:rPr>
          <w:rFonts w:ascii="Times New Roman" w:hAnsi="Times New Roman" w:cs="Times New Roman" w:eastAsia="Times New Roman" w:hint="default"/>
          <w:spacing w:val="-1"/>
        </w:rPr>
        <w:t>2015</w:t>
      </w:r>
      <w:r>
        <w:rPr>
          <w:spacing w:val="-1"/>
        </w:rPr>
        <w:t>年有</w:t>
      </w:r>
      <w:r>
        <w:rPr>
          <w:rFonts w:ascii="Times New Roman" w:hAnsi="Times New Roman" w:cs="Times New Roman" w:eastAsia="Times New Roman" w:hint="default"/>
          <w:spacing w:val="-1"/>
        </w:rPr>
        <w:t>3</w:t>
      </w:r>
      <w:r>
        <w:rPr>
          <w:spacing w:val="-1"/>
        </w:rPr>
        <w:t>个单位的部分采购发票上的进项税额</w:t>
      </w:r>
      <w:r>
        <w:rPr>
          <w:rFonts w:ascii="Times New Roman" w:hAnsi="Times New Roman" w:cs="Times New Roman" w:eastAsia="Times New Roman" w:hint="default"/>
          <w:spacing w:val="-1"/>
        </w:rPr>
        <w:t>2,033,644.53</w:t>
      </w:r>
      <w:r>
        <w:rPr>
          <w:spacing w:val="-1"/>
        </w:rPr>
        <w:t>元计入了货物采购成本，由于该批</w:t>
      </w:r>
      <w:r>
        <w:rPr/>
        <w:t> 货物</w:t>
      </w:r>
      <w:r>
        <w:rPr>
          <w:rFonts w:ascii="Times New Roman" w:hAnsi="Times New Roman" w:cs="Times New Roman" w:eastAsia="Times New Roman" w:hint="default"/>
        </w:rPr>
        <w:t>2015</w:t>
      </w:r>
      <w:r>
        <w:rPr/>
        <w:t>年已全部对外销售，导致营业成本增加</w:t>
      </w:r>
      <w:r>
        <w:rPr>
          <w:rFonts w:ascii="Times New Roman" w:hAnsi="Times New Roman" w:cs="Times New Roman" w:eastAsia="Times New Roman" w:hint="default"/>
        </w:rPr>
        <w:t>2,033,644.53</w:t>
      </w:r>
      <w:r>
        <w:rPr/>
        <w:t>元。根据《企业会计准则第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 和会计差错更正》，公司对以上进项税的账务处理进行追溯重述。涉及调整税金情况如下：</w:t>
      </w:r>
    </w:p>
    <w:p>
      <w:pPr>
        <w:pStyle w:val="BodyText"/>
        <w:spacing w:line="240" w:lineRule="auto" w:before="31"/>
        <w:ind w:left="514" w:right="0"/>
        <w:jc w:val="left"/>
      </w:pPr>
      <w:r>
        <w:rPr/>
        <w:t>（</w:t>
      </w:r>
      <w:r>
        <w:rPr>
          <w:rFonts w:ascii="Times New Roman" w:hAnsi="Times New Roman" w:cs="Times New Roman" w:eastAsia="Times New Roman" w:hint="default"/>
        </w:rPr>
        <w:t>1</w:t>
      </w:r>
      <w:r>
        <w:rPr/>
        <w:t>）调减应交税费</w:t>
      </w:r>
      <w:r>
        <w:rPr>
          <w:rFonts w:ascii="Times New Roman" w:hAnsi="Times New Roman" w:cs="Times New Roman" w:eastAsia="Times New Roman" w:hint="default"/>
        </w:rPr>
        <w:t>---</w:t>
      </w:r>
      <w:r>
        <w:rPr/>
        <w:t>增值税</w:t>
      </w:r>
      <w:r>
        <w:rPr>
          <w:rFonts w:ascii="Times New Roman" w:hAnsi="Times New Roman" w:cs="Times New Roman" w:eastAsia="Times New Roman" w:hint="default"/>
        </w:rPr>
        <w:t>2,033,644.53</w:t>
      </w:r>
      <w:r>
        <w:rPr/>
        <w:t>元、营业成本</w:t>
      </w:r>
      <w:r>
        <w:rPr>
          <w:rFonts w:ascii="Times New Roman" w:hAnsi="Times New Roman" w:cs="Times New Roman" w:eastAsia="Times New Roman" w:hint="default"/>
        </w:rPr>
        <w:t>2,033,644.53</w:t>
      </w:r>
      <w:r>
        <w:rPr/>
        <w:t>元。</w:t>
      </w:r>
    </w:p>
    <w:p>
      <w:pPr>
        <w:pStyle w:val="BodyText"/>
        <w:spacing w:line="240" w:lineRule="auto" w:before="63"/>
        <w:ind w:left="514" w:right="0"/>
        <w:jc w:val="left"/>
      </w:pPr>
      <w:r>
        <w:rPr/>
        <w:t>（</w:t>
      </w:r>
      <w:r>
        <w:rPr>
          <w:rFonts w:ascii="Times New Roman" w:hAnsi="Times New Roman" w:cs="Times New Roman" w:eastAsia="Times New Roman" w:hint="default"/>
        </w:rPr>
        <w:t>2</w:t>
      </w:r>
      <w:r>
        <w:rPr/>
        <w:t>）调增应交税费</w:t>
      </w:r>
      <w:r>
        <w:rPr>
          <w:rFonts w:ascii="Times New Roman" w:hAnsi="Times New Roman" w:cs="Times New Roman" w:eastAsia="Times New Roman" w:hint="default"/>
        </w:rPr>
        <w:t>---</w:t>
      </w:r>
      <w:r>
        <w:rPr/>
        <w:t>企业所得税</w:t>
      </w:r>
      <w:r>
        <w:rPr>
          <w:rFonts w:ascii="Times New Roman" w:hAnsi="Times New Roman" w:cs="Times New Roman" w:eastAsia="Times New Roman" w:hint="default"/>
        </w:rPr>
        <w:t>305,046.68</w:t>
      </w:r>
      <w:r>
        <w:rPr/>
        <w:t>元、所得税费用</w:t>
      </w:r>
      <w:r>
        <w:rPr>
          <w:rFonts w:ascii="Times New Roman" w:hAnsi="Times New Roman" w:cs="Times New Roman" w:eastAsia="Times New Roman" w:hint="default"/>
        </w:rPr>
        <w:t>305,046.68</w:t>
      </w:r>
      <w:r>
        <w:rPr/>
        <w:t>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357,966.18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791,039.98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224,146,553.76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479,192,736.15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208,588,048.70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161,790,062.82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433,092,568.64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641,773,838.95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5,727,423.72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18,587,699.63</w:t>
            </w:r>
          </w:p>
        </w:tc>
      </w:tr>
    </w:tbl>
    <w:p>
      <w:pPr>
        <w:pStyle w:val="BodyText"/>
        <w:spacing w:line="240" w:lineRule="auto" w:before="51"/>
        <w:ind w:right="0"/>
        <w:jc w:val="left"/>
      </w:pPr>
      <w:r>
        <w:rPr/>
        <w:t>其他说明</w:t>
      </w:r>
    </w:p>
    <w:p>
      <w:pPr>
        <w:pStyle w:val="BodyText"/>
        <w:spacing w:line="316" w:lineRule="auto" w:before="116"/>
        <w:ind w:right="1118" w:firstLine="480"/>
        <w:jc w:val="left"/>
      </w:pPr>
      <w:r>
        <w:rPr>
          <w:spacing w:val="-1"/>
        </w:rPr>
        <w:t>年末其他货币资金包括支付机构客户备付金、银行承兑汇票保证金存款、保函保证金存款、信用证保证金存款及外埠</w:t>
      </w:r>
      <w:r>
        <w:rPr/>
        <w:t> 存款等。</w:t>
      </w:r>
    </w:p>
    <w:p>
      <w:pPr>
        <w:pStyle w:val="BodyText"/>
        <w:spacing w:line="240" w:lineRule="auto" w:before="19"/>
        <w:ind w:left="634" w:right="0"/>
        <w:jc w:val="left"/>
      </w:pPr>
      <w:r>
        <w:rPr/>
        <w:t>货币资金受限情况详见附注七、</w:t>
      </w:r>
      <w:r>
        <w:rPr>
          <w:rFonts w:ascii="Times New Roman" w:hAnsi="Times New Roman" w:cs="Times New Roman" w:eastAsia="Times New Roman" w:hint="default"/>
        </w:rPr>
        <w:t>49</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结算备付金" w:id="224"/>
      <w:bookmarkEnd w:id="224"/>
      <w:r>
        <w:rPr>
          <w:b w:val="0"/>
          <w:bCs w:val="0"/>
        </w:rPr>
      </w:r>
      <w:r>
        <w:rPr>
          <w:rFonts w:ascii="Times New Roman" w:hAnsi="Times New Roman" w:cs="Times New Roman" w:eastAsia="Times New Roman" w:hint="default"/>
        </w:rPr>
        <w:t>2</w:t>
      </w:r>
      <w:r>
        <w:rPr/>
        <w:t>、结算备付金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2"/>
        <w:rPr>
          <w:rFonts w:ascii="宋体" w:hAnsi="宋体" w:cs="宋体" w:eastAsia="宋体" w:hint="default"/>
          <w:sz w:val="9"/>
          <w:szCs w:val="9"/>
        </w:rPr>
      </w:pPr>
    </w:p>
    <w:tbl>
      <w:tblPr>
        <w:tblW w:w="0" w:type="auto"/>
        <w:jc w:val="left"/>
        <w:tblInd w:w="144" w:type="dxa"/>
        <w:tblLayout w:type="fixed"/>
        <w:tblCellMar>
          <w:top w:w="0" w:type="dxa"/>
          <w:left w:w="0" w:type="dxa"/>
          <w:bottom w:w="0" w:type="dxa"/>
          <w:right w:w="0" w:type="dxa"/>
        </w:tblCellMar>
        <w:tblLook w:val="01E0"/>
      </w:tblPr>
      <w:tblGrid>
        <w:gridCol w:w="3214"/>
        <w:gridCol w:w="3213"/>
        <w:gridCol w:w="3214"/>
      </w:tblGrid>
      <w:tr>
        <w:trPr>
          <w:trHeight w:val="417" w:hRule="exact"/>
        </w:trPr>
        <w:tc>
          <w:tcPr>
            <w:tcW w:w="321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1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2" w:hRule="exact"/>
        </w:trPr>
        <w:tc>
          <w:tcPr>
            <w:tcW w:w="321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结算备付金</w:t>
            </w:r>
          </w:p>
        </w:tc>
        <w:tc>
          <w:tcPr>
            <w:tcW w:w="3213" w:type="dxa"/>
            <w:tcBorders>
              <w:top w:val="single" w:sz="12" w:space="0" w:color="000000"/>
              <w:left w:val="single" w:sz="8" w:space="0" w:color="000000"/>
              <w:bottom w:val="single" w:sz="8" w:space="0" w:color="000000"/>
              <w:right w:val="single" w:sz="8" w:space="0" w:color="000000"/>
            </w:tcBorders>
          </w:tcPr>
          <w:p>
            <w:pPr/>
          </w:p>
        </w:tc>
        <w:tc>
          <w:tcPr>
            <w:tcW w:w="321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1,905,415.39</w:t>
            </w:r>
          </w:p>
        </w:tc>
      </w:tr>
      <w:tr>
        <w:trPr>
          <w:trHeight w:val="433" w:hRule="exact"/>
        </w:trPr>
        <w:tc>
          <w:tcPr>
            <w:tcW w:w="321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213" w:type="dxa"/>
            <w:tcBorders>
              <w:top w:val="single" w:sz="8" w:space="0" w:color="000000"/>
              <w:left w:val="single" w:sz="8" w:space="0" w:color="000000"/>
              <w:bottom w:val="single" w:sz="8" w:space="0" w:color="000000"/>
              <w:right w:val="single" w:sz="8" w:space="0" w:color="000000"/>
            </w:tcBorders>
          </w:tcPr>
          <w:p>
            <w:pPr/>
          </w:p>
        </w:tc>
        <w:tc>
          <w:tcPr>
            <w:tcW w:w="3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1,905,415.39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应收票据及应收账款" w:id="225"/>
      <w:bookmarkEnd w:id="225"/>
      <w:r>
        <w:rPr>
          <w:b w:val="0"/>
          <w:bCs w:val="0"/>
        </w:rPr>
      </w:r>
      <w:r>
        <w:rPr>
          <w:rFonts w:ascii="Times New Roman" w:hAnsi="Times New Roman" w:cs="Times New Roman" w:eastAsia="Times New Roman" w:hint="default"/>
        </w:rPr>
        <w:t>3</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5,592,449.12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609,175,008.49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564,166,361.08</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612,637,008.49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569,758,810.20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26"/>
      <w:bookmarkEnd w:id="22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3,554,342.57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2,038,106.55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5,592,449.12</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收账款" w:id="227"/>
      <w:bookmarkEnd w:id="22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90,582,1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67.61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90,582,1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67.61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42,539,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42,539,16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648,254,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693.31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39,079,6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84.82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609,175,0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08.49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614,362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,630.14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50,196,26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564,166,36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127,470.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738,964,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330.93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74" w:right="0"/>
              <w:jc w:val="center"/>
              <w:rPr>
                <w:rFonts w:ascii="Times New Roman" w:hAnsi="Times New Roman" w:cs="Times New Roman" w:eastAsia="Times New Roman" w:hint="default"/>
                <w:sz w:val="18"/>
                <w:szCs w:val="18"/>
              </w:rPr>
            </w:pPr>
            <w:r>
              <w:rPr>
                <w:rFonts w:ascii="Times New Roman"/>
                <w:sz w:val="18"/>
              </w:rPr>
              <w:t>129,789,</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322.44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17.56%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609,175,0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08.49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6" w:right="0"/>
              <w:jc w:val="left"/>
              <w:rPr>
                <w:rFonts w:ascii="Times New Roman" w:hAnsi="Times New Roman" w:cs="Times New Roman" w:eastAsia="Times New Roman" w:hint="default"/>
                <w:sz w:val="18"/>
                <w:szCs w:val="18"/>
              </w:rPr>
            </w:pPr>
            <w:r>
              <w:rPr>
                <w:rFonts w:ascii="Times New Roman"/>
                <w:sz w:val="18"/>
              </w:rPr>
              <w:t>656,901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,798.35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92,735,43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14.12%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564,166,36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1.08</w:t>
            </w:r>
          </w:p>
        </w:tc>
      </w:tr>
      <w:tr>
        <w:trPr>
          <w:trHeight w:val="391"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985"/>
        <w:gridCol w:w="1843"/>
        <w:gridCol w:w="1416"/>
        <w:gridCol w:w="1490"/>
      </w:tblGrid>
      <w:tr>
        <w:trPr>
          <w:trHeight w:val="40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73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山西锐博科技有限公司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3,727,888.92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3,727,888.92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四川美达机电有限责任公司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深圳市星鸣贸易有限公司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兖矿集团有限公司信息中心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985"/>
        <w:gridCol w:w="1843"/>
        <w:gridCol w:w="1416"/>
        <w:gridCol w:w="1490"/>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浙江省电力公司台州电业局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2,625,008.60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2,625,008.60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5,118,900.00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5,118,900.00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甘肃省电力信息中心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雅安市星余煤业有限责任公司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石家庄厚博通讯技术有限公司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1,583,000.00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中国移动通信集团山东有限公司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42,382,999.40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42,382,999.40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南宁纵横时代建筑投资有限公司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90,582,167.61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90,582,167.61</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5"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360,734,892.53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8,833,710.78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129,169,846.02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4,331,477.75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59,515,911.19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6,344,106.81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10.66%</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98,834,043.57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19,570,389.48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648,254,693.31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39,079,684.82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w:t>
            </w:r>
          </w:p>
        </w:tc>
      </w:tr>
    </w:tbl>
    <w:p>
      <w:pPr>
        <w:pStyle w:val="BodyText"/>
        <w:spacing w:line="357" w:lineRule="auto" w:before="51"/>
        <w:ind w:left="634" w:right="0" w:hanging="480"/>
        <w:jc w:val="left"/>
      </w:pPr>
      <w:r>
        <w:rPr/>
        <w:t>确定该组合依据的说明： </w:t>
      </w:r>
      <w:r>
        <w:rPr>
          <w:spacing w:val="-1"/>
        </w:rPr>
        <w:t>已单独计提减值准备的应收账款除外，本公司根据以前年度与之相同或相类似的、按账龄段划分的具有类似信用风险</w:t>
      </w:r>
    </w:p>
    <w:p>
      <w:pPr>
        <w:pStyle w:val="BodyText"/>
        <w:spacing w:line="224" w:lineRule="exact"/>
        <w:ind w:right="0"/>
        <w:jc w:val="left"/>
      </w:pPr>
      <w:r>
        <w:rPr/>
        <w:t>特征的应收账款组合作为账龄组合。</w:t>
      </w:r>
    </w:p>
    <w:p>
      <w:pPr>
        <w:pStyle w:val="BodyText"/>
        <w:spacing w:line="240" w:lineRule="auto" w:before="117"/>
        <w:ind w:right="0"/>
        <w:jc w:val="left"/>
      </w:pPr>
      <w:r>
        <w:rPr/>
        <w:t>组合中，采用余额百分比法计提坏账准备的应收账款：</w:t>
      </w:r>
    </w:p>
    <w:p>
      <w:pPr>
        <w:pStyle w:val="BodyText"/>
        <w:spacing w:line="348"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pStyle w:val="BodyText"/>
        <w:spacing w:line="338" w:lineRule="auto" w:before="36"/>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无。</w:t>
      </w:r>
    </w:p>
    <w:p>
      <w:pPr>
        <w:pStyle w:val="BodyText"/>
        <w:spacing w:line="240" w:lineRule="auto" w:before="43"/>
        <w:ind w:right="0"/>
        <w:jc w:val="left"/>
      </w:pPr>
      <w:r>
        <w:rPr>
          <w:rFonts w:ascii="Times New Roman" w:hAnsi="Times New Roman" w:cs="Times New Roman" w:eastAsia="Times New Roman" w:hint="default"/>
        </w:rPr>
        <w:t>2)</w:t>
      </w:r>
      <w:r>
        <w:rPr/>
        <w:t>应收账款按照第三方支付和第三方支付以外分类进行账龄分析</w:t>
      </w:r>
    </w:p>
    <w:p>
      <w:pPr>
        <w:pStyle w:val="BodyText"/>
        <w:spacing w:line="240" w:lineRule="auto" w:before="102"/>
        <w:ind w:left="0" w:right="1130"/>
        <w:jc w:val="right"/>
      </w:pPr>
      <w:r>
        <w:rPr/>
        <w:t>单位：元</w:t>
      </w:r>
    </w:p>
    <w:p>
      <w:pPr>
        <w:spacing w:line="240" w:lineRule="auto" w:before="6"/>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3829"/>
        <w:gridCol w:w="1985"/>
        <w:gridCol w:w="2127"/>
        <w:gridCol w:w="1698"/>
      </w:tblGrid>
      <w:tr>
        <w:trPr>
          <w:trHeight w:val="341" w:hRule="exact"/>
        </w:trPr>
        <w:tc>
          <w:tcPr>
            <w:tcW w:w="38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81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829" w:type="dxa"/>
            <w:vMerge/>
            <w:tcBorders>
              <w:left w:val="single" w:sz="6" w:space="0" w:color="000000"/>
              <w:bottom w:val="single" w:sz="6" w:space="0" w:color="000000"/>
              <w:right w:val="single" w:sz="6" w:space="0" w:color="000000"/>
            </w:tcBorders>
            <w:shd w:val="clear" w:color="auto" w:fill="D2D2D2"/>
          </w:tcPr>
          <w:p>
            <w:pPr/>
          </w:p>
        </w:tc>
        <w:tc>
          <w:tcPr>
            <w:tcW w:w="19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6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481"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1" w:hRule="exact"/>
        </w:trPr>
        <w:tc>
          <w:tcPr>
            <w:tcW w:w="9638"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r>
      <w:tr>
        <w:trPr>
          <w:trHeight w:val="353" w:hRule="exact"/>
        </w:trPr>
        <w:tc>
          <w:tcPr>
            <w:tcW w:w="3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年以内小计</w:t>
            </w:r>
          </w:p>
        </w:tc>
        <w:tc>
          <w:tcPr>
            <w:tcW w:w="19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176,674,215.52</w:t>
            </w:r>
          </w:p>
        </w:tc>
        <w:tc>
          <w:tcPr>
            <w:tcW w:w="21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8,833,710.78</w:t>
            </w:r>
          </w:p>
        </w:tc>
        <w:tc>
          <w:tcPr>
            <w:tcW w:w="169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16,701,358.26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3,333,685.42</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w:t>
            </w:r>
          </w:p>
        </w:tc>
      </w:tr>
      <w:tr>
        <w:trPr>
          <w:trHeight w:val="348" w:hRule="exact"/>
        </w:trPr>
        <w:tc>
          <w:tcPr>
            <w:tcW w:w="3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425,350.00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212,675.00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w:t>
            </w:r>
          </w:p>
        </w:tc>
      </w:tr>
      <w:tr>
        <w:trPr>
          <w:trHeight w:val="347" w:hRule="exact"/>
        </w:trPr>
        <w:tc>
          <w:tcPr>
            <w:tcW w:w="38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69,300.00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69,300.00</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828"/>
        <w:gridCol w:w="1985"/>
        <w:gridCol w:w="2127"/>
        <w:gridCol w:w="1698"/>
      </w:tblGrid>
      <w:tr>
        <w:trPr>
          <w:trHeight w:val="355" w:hRule="exact"/>
        </w:trPr>
        <w:tc>
          <w:tcPr>
            <w:tcW w:w="38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第三方支付业务小计</w:t>
            </w:r>
          </w:p>
        </w:tc>
        <w:tc>
          <w:tcPr>
            <w:tcW w:w="1985"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193,870,223.78</w:t>
            </w:r>
          </w:p>
        </w:tc>
        <w:tc>
          <w:tcPr>
            <w:tcW w:w="2127"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12,449,371.20</w:t>
            </w:r>
          </w:p>
        </w:tc>
        <w:tc>
          <w:tcPr>
            <w:tcW w:w="1698" w:type="dxa"/>
            <w:tcBorders>
              <w:top w:val="single" w:sz="6" w:space="0" w:color="000000"/>
              <w:left w:val="single" w:sz="6" w:space="0" w:color="000000"/>
              <w:bottom w:val="single" w:sz="10" w:space="0" w:color="000000"/>
              <w:right w:val="single" w:sz="6" w:space="0" w:color="000000"/>
            </w:tcBorders>
          </w:tcPr>
          <w:p>
            <w:pPr/>
          </w:p>
        </w:tc>
      </w:tr>
      <w:tr>
        <w:trPr>
          <w:trHeight w:val="328" w:hRule="exact"/>
        </w:trPr>
        <w:tc>
          <w:tcPr>
            <w:tcW w:w="9638"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sz w:val="18"/>
                <w:szCs w:val="18"/>
              </w:rPr>
              <w:t>第三方支付以外业务</w:t>
            </w:r>
          </w:p>
        </w:tc>
      </w:tr>
      <w:tr>
        <w:trPr>
          <w:trHeight w:val="353" w:hRule="exact"/>
        </w:trPr>
        <w:tc>
          <w:tcPr>
            <w:tcW w:w="38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年以内小计</w:t>
            </w:r>
          </w:p>
        </w:tc>
        <w:tc>
          <w:tcPr>
            <w:tcW w:w="19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184,315,711.81</w:t>
            </w:r>
          </w:p>
        </w:tc>
        <w:tc>
          <w:tcPr>
            <w:tcW w:w="21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0.00</w:t>
            </w:r>
          </w:p>
        </w:tc>
        <w:tc>
          <w:tcPr>
            <w:tcW w:w="169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0.00%</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112,213,452.96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997,792.33</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2.00%</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59,090,561.19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6,131,431.81</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98,764,743.57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19,501,089.48</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20.00%</w:t>
            </w:r>
          </w:p>
        </w:tc>
      </w:tr>
      <w:tr>
        <w:trPr>
          <w:trHeight w:val="347" w:hRule="exact"/>
        </w:trPr>
        <w:tc>
          <w:tcPr>
            <w:tcW w:w="38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第三方支付以外业务小计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454,384,469.53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26,630,313.62</w:t>
            </w:r>
          </w:p>
        </w:tc>
        <w:tc>
          <w:tcPr>
            <w:tcW w:w="169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8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648,254,693.31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39,079,684.82</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6.03%</w:t>
            </w:r>
          </w:p>
        </w:tc>
      </w:tr>
    </w:tbl>
    <w:p>
      <w:pPr>
        <w:pStyle w:val="BodyText"/>
        <w:spacing w:line="240" w:lineRule="auto" w:before="51"/>
        <w:ind w:right="0"/>
        <w:jc w:val="left"/>
      </w:pPr>
      <w:r>
        <w:rPr>
          <w:rFonts w:ascii="Times New Roman" w:hAnsi="Times New Roman" w:cs="Times New Roman" w:eastAsia="Times New Roman" w:hint="default"/>
        </w:rPr>
        <w:t>3)</w:t>
      </w:r>
      <w:r>
        <w:rPr/>
        <w:t>本期计提、收回或转回的坏账准备情况</w:t>
      </w:r>
    </w:p>
    <w:p>
      <w:pPr>
        <w:pStyle w:val="BodyText"/>
        <w:spacing w:line="240" w:lineRule="auto" w:before="103"/>
        <w:ind w:right="0"/>
        <w:jc w:val="left"/>
      </w:pPr>
      <w:r>
        <w:rPr/>
        <w:t>本期计提坏账准备金额</w:t>
      </w:r>
      <w:r>
        <w:rPr>
          <w:spacing w:val="-47"/>
        </w:rPr>
        <w:t> </w:t>
      </w:r>
      <w:r>
        <w:rPr>
          <w:rFonts w:ascii="Times New Roman" w:hAnsi="Times New Roman" w:cs="Times New Roman" w:eastAsia="Times New Roman" w:hint="default"/>
        </w:rPr>
        <w:t>37,053,885.17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38" w:lineRule="auto" w:before="102"/>
        <w:ind w:left="514" w:right="1167" w:hanging="360"/>
        <w:jc w:val="left"/>
      </w:pPr>
      <w:r>
        <w:rPr>
          <w:rFonts w:ascii="Times New Roman" w:hAnsi="Times New Roman" w:cs="Times New Roman" w:eastAsia="Times New Roman" w:hint="default"/>
        </w:rPr>
        <w:t>4)</w:t>
      </w:r>
      <w:r>
        <w:rPr/>
        <w:t>按欠款方归集的期末余额前五名的应收账款情况</w:t>
      </w:r>
      <w:r>
        <w:rPr>
          <w:w w:val="99"/>
        </w:rPr>
        <w:t> </w:t>
      </w:r>
      <w:r>
        <w:rPr/>
        <w:t>本公司本年按欠款方归集的年末余额前五名应收账款汇总金额为</w:t>
      </w:r>
      <w:r>
        <w:rPr>
          <w:rFonts w:ascii="Times New Roman" w:hAnsi="Times New Roman" w:cs="Times New Roman" w:eastAsia="Times New Roman" w:hint="default"/>
        </w:rPr>
        <w:t>147,069,248.98</w:t>
      </w:r>
      <w:r>
        <w:rPr/>
        <w:t>元，占应收账款年末余额合计数的比例</w:t>
      </w:r>
    </w:p>
    <w:p>
      <w:pPr>
        <w:pStyle w:val="BodyText"/>
        <w:spacing w:line="231" w:lineRule="exact"/>
        <w:ind w:right="0"/>
        <w:jc w:val="left"/>
      </w:pPr>
      <w:r>
        <w:rPr/>
        <w:t>为</w:t>
      </w:r>
      <w:r>
        <w:rPr>
          <w:rFonts w:ascii="Times New Roman" w:hAnsi="Times New Roman" w:cs="Times New Roman" w:eastAsia="Times New Roman" w:hint="default"/>
        </w:rPr>
        <w:t>19.90%</w:t>
      </w:r>
      <w:r>
        <w:rPr/>
        <w:t>，相应计提的坏账准备年末余额汇总金额为</w:t>
      </w:r>
      <w:r>
        <w:rPr>
          <w:rFonts w:ascii="Times New Roman" w:hAnsi="Times New Roman" w:cs="Times New Roman" w:eastAsia="Times New Roman" w:hint="default"/>
        </w:rPr>
        <w:t>51,122,029.16</w:t>
      </w:r>
      <w:r>
        <w:rPr/>
        <w:t>元。应收账款期末余额前五名客户的明细如下表所示：</w:t>
      </w:r>
    </w:p>
    <w:p>
      <w:pPr>
        <w:pStyle w:val="BodyText"/>
        <w:spacing w:line="240" w:lineRule="auto" w:before="102"/>
        <w:ind w:left="0" w:right="1130"/>
        <w:jc w:val="right"/>
      </w:pPr>
      <w:r>
        <w:rPr/>
        <w:t>单位：元</w:t>
      </w:r>
    </w:p>
    <w:p>
      <w:pPr>
        <w:spacing w:line="240" w:lineRule="auto" w:before="1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994"/>
        <w:gridCol w:w="3402"/>
        <w:gridCol w:w="1559"/>
        <w:gridCol w:w="1844"/>
        <w:gridCol w:w="1842"/>
      </w:tblGrid>
      <w:tr>
        <w:trPr>
          <w:trHeight w:val="343" w:hRule="exact"/>
        </w:trPr>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52" w:hRule="exact"/>
        </w:trPr>
        <w:tc>
          <w:tcPr>
            <w:tcW w:w="99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34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中国移动通信集团山东有限公司</w:t>
            </w:r>
          </w:p>
        </w:tc>
        <w:tc>
          <w:tcPr>
            <w:tcW w:w="155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8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42,383,000.00</w:t>
            </w:r>
          </w:p>
        </w:tc>
        <w:tc>
          <w:tcPr>
            <w:tcW w:w="184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5.74%</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长沙市轨道交通集团有限公司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31,216,393.69</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4.22%</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合肥市重点工程建设管理局</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28,352,454.96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3.84%</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北京瑞华赢科技发展有限公司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25,020,743.26</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3.39%</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南昌轨道交通集团有限公司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20,096,657.07</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147,069,248.98</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19.90%</w:t>
            </w:r>
          </w:p>
        </w:tc>
      </w:tr>
    </w:tbl>
    <w:p>
      <w:pPr>
        <w:pStyle w:val="BodyText"/>
        <w:spacing w:line="338" w:lineRule="auto" w:before="51"/>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4、预付款项" w:id="228"/>
      <w:bookmarkEnd w:id="228"/>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104,984,740.40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106,006,941.93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97.81%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8,140,254.08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1,713,897.04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1,672,248.14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128,224.00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643,778.45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529,326.00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115,441,021.07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108,378,388.97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82" w:firstLine="480"/>
        <w:jc w:val="left"/>
      </w:pPr>
      <w:r>
        <w:rPr/>
        <w:t>本公司账龄在</w:t>
      </w:r>
      <w:r>
        <w:rPr>
          <w:rFonts w:ascii="Times New Roman" w:hAnsi="Times New Roman" w:cs="Times New Roman" w:eastAsia="Times New Roman" w:hint="default"/>
        </w:rPr>
        <w:t>1</w:t>
      </w:r>
      <w:r>
        <w:rPr/>
        <w:t>年以上的预付款项主要原因：①公司为了取得价格优惠采取预付货款，分批到货；②部分预付款项为 未与供应商款结算的采购货物尾款。</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按预付对象归集的期末余额前五名的预付款情况" w:id="230"/>
      <w:bookmarkEnd w:id="23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本公司按预付对象归集的年末余额前五名预付账款汇总金额为</w:t>
      </w:r>
      <w:r>
        <w:rPr>
          <w:rFonts w:ascii="Times New Roman" w:hAnsi="Times New Roman" w:cs="Times New Roman" w:eastAsia="Times New Roman" w:hint="default"/>
        </w:rPr>
        <w:t>34,770,398.45</w:t>
      </w:r>
      <w:r>
        <w:rPr>
          <w:rFonts w:ascii="Times New Roman" w:hAnsi="Times New Roman" w:cs="Times New Roman" w:eastAsia="Times New Roman" w:hint="default"/>
          <w:spacing w:val="24"/>
        </w:rPr>
        <w:t> </w:t>
      </w:r>
      <w:r>
        <w:rPr/>
        <w:t>元，占预付账款年末余额合计数的比例为</w:t>
      </w:r>
    </w:p>
    <w:p>
      <w:pPr>
        <w:pStyle w:val="BodyText"/>
        <w:spacing w:line="240" w:lineRule="auto" w:before="63"/>
        <w:ind w:right="0"/>
        <w:jc w:val="left"/>
      </w:pPr>
      <w:r>
        <w:rPr>
          <w:rFonts w:ascii="Times New Roman" w:hAnsi="Times New Roman" w:cs="Times New Roman" w:eastAsia="Times New Roman" w:hint="default"/>
        </w:rPr>
        <w:t>30.12%</w:t>
      </w:r>
      <w:r>
        <w:rPr/>
        <w:t>，公司前五大预付账款明细如下表所示：</w:t>
      </w:r>
    </w:p>
    <w:p>
      <w:pPr>
        <w:pStyle w:val="BodyText"/>
        <w:spacing w:line="240" w:lineRule="auto" w:before="63"/>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994"/>
        <w:gridCol w:w="3543"/>
        <w:gridCol w:w="1702"/>
        <w:gridCol w:w="1985"/>
        <w:gridCol w:w="1417"/>
      </w:tblGrid>
      <w:tr>
        <w:trPr>
          <w:trHeight w:val="347" w:hRule="exact"/>
        </w:trPr>
        <w:tc>
          <w:tcPr>
            <w:tcW w:w="9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5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中天思创信息技术（北京）有限公司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9,871,749.62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8.55%</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杭州键桥通讯技术有限公司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7,937,000.00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6.88%</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北京扬铭汇智互联网科技有限公司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7,300,000.00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6.32%</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福建魔方电子科技有限公司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4,999,960.00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4.33%</w:t>
            </w:r>
          </w:p>
        </w:tc>
      </w:tr>
      <w:tr>
        <w:trPr>
          <w:trHeight w:val="34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深圳市新桥网络技术有限公司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4,661,688.83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4.04%</w:t>
            </w:r>
          </w:p>
        </w:tc>
      </w:tr>
      <w:tr>
        <w:trPr>
          <w:trHeight w:val="348" w:hRule="exact"/>
        </w:trPr>
        <w:tc>
          <w:tcPr>
            <w:tcW w:w="994" w:type="dxa"/>
            <w:tcBorders>
              <w:top w:val="single" w:sz="6" w:space="0" w:color="000000"/>
              <w:left w:val="single" w:sz="6" w:space="0" w:color="000000"/>
              <w:bottom w:val="single" w:sz="6" w:space="0" w:color="000000"/>
              <w:right w:val="single" w:sz="6" w:space="0" w:color="000000"/>
            </w:tcBorders>
          </w:tcPr>
          <w:p>
            <w:pP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34,770,398.45</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30.12%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其他应收款" w:id="231"/>
      <w:bookmarkEnd w:id="231"/>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104,236,076.58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113,684,798.90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104,236,076.58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113,684,798.90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其他应收款" w:id="232"/>
      <w:bookmarkEnd w:id="232"/>
      <w:r>
        <w:rPr>
          <w:b w:val="0"/>
          <w:bCs w:val="0"/>
        </w:rPr>
      </w:r>
      <w:r>
        <w:rPr/>
        <w:t>（</w:t>
      </w:r>
      <w:r>
        <w:rPr>
          <w:rFonts w:ascii="Times New Roman" w:hAnsi="Times New Roman" w:cs="Times New Roman" w:eastAsia="Times New Roman" w:hint="default"/>
        </w:rPr>
        <w:t>1</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29,010,0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29,010,0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112,983,</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905.00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8,747,82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104,236,0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76.58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123,259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,016.60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9,574,217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113,684,79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8.90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2,862,26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2,862,26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2,877,0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2,877,035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144,856,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173.41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40,620,0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96.83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28.04%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104,236,0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76.58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126,136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,052.09</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12,451,25</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3.19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113,684,79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93"/>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广州功联商务服务有限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20"/>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中国移动通信集团山东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20"/>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29,010,000.00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29,010,000.00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64,688,972.47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1,875,603.20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26,004,491.17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650,513.81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7,691,252.53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2,776,673.64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14,599,188.83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3,445,037.77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112,983,905.00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8,747,828.42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w:t>
            </w:r>
          </w:p>
        </w:tc>
      </w:tr>
    </w:tbl>
    <w:p>
      <w:pPr>
        <w:pStyle w:val="BodyText"/>
        <w:spacing w:line="338" w:lineRule="auto" w:before="51"/>
        <w:ind w:right="0"/>
        <w:jc w:val="left"/>
      </w:pPr>
      <w:r>
        <w:rPr/>
        <w:t>确定该组合依据的说明： </w:t>
      </w:r>
      <w:r>
        <w:rPr>
          <w:spacing w:val="-2"/>
        </w:rPr>
        <w:t>已单独计提减值准备的其他应收款除外，本公司根据以前年度与之相同或相类似的、按账龄段划分的具有类似信用风险特征</w:t>
      </w:r>
      <w:r>
        <w:rPr>
          <w:spacing w:val="-64"/>
        </w:rPr>
        <w:t> </w:t>
      </w:r>
      <w:r>
        <w:rPr>
          <w:spacing w:val="-64"/>
        </w:rPr>
      </w:r>
      <w:r>
        <w:rPr/>
        <w:t>的其他应收款组合作为账龄组合。</w:t>
      </w:r>
    </w:p>
    <w:p>
      <w:pPr>
        <w:pStyle w:val="BodyText"/>
        <w:spacing w:line="240" w:lineRule="auto" w:before="43"/>
        <w:ind w:right="0"/>
        <w:jc w:val="left"/>
      </w:pPr>
      <w:r>
        <w:rPr/>
        <w:t>组合中，采用余额百分比法计提坏账准备的其他应收款：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其他应收款按照第三方支付和第三方支付以外分类进行账龄分析</w:t>
      </w:r>
    </w:p>
    <w:p>
      <w:pPr>
        <w:pStyle w:val="BodyText"/>
        <w:spacing w:line="240" w:lineRule="auto" w:before="102"/>
        <w:ind w:left="0" w:right="1130"/>
        <w:jc w:val="right"/>
      </w:pPr>
      <w:r>
        <w:rPr/>
        <w:t>单位：元</w:t>
      </w:r>
    </w:p>
    <w:p>
      <w:pPr>
        <w:spacing w:line="240" w:lineRule="auto" w:before="6"/>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4122"/>
        <w:gridCol w:w="2268"/>
        <w:gridCol w:w="1844"/>
        <w:gridCol w:w="1423"/>
      </w:tblGrid>
      <w:tr>
        <w:trPr>
          <w:trHeight w:val="342" w:hRule="exact"/>
        </w:trPr>
        <w:tc>
          <w:tcPr>
            <w:tcW w:w="41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53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0" w:hRule="exact"/>
        </w:trPr>
        <w:tc>
          <w:tcPr>
            <w:tcW w:w="4122" w:type="dxa"/>
            <w:vMerge/>
            <w:tcBorders>
              <w:left w:val="single" w:sz="6" w:space="0" w:color="000000"/>
              <w:bottom w:val="single" w:sz="6" w:space="0" w:color="000000"/>
              <w:right w:val="single" w:sz="6" w:space="0" w:color="000000"/>
            </w:tcBorders>
            <w:shd w:val="clear" w:color="auto" w:fill="D2D2D2"/>
          </w:tcPr>
          <w:p>
            <w:pP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5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44"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2" w:hRule="exact"/>
        </w:trPr>
        <w:tc>
          <w:tcPr>
            <w:tcW w:w="965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r>
      <w:tr>
        <w:trPr>
          <w:trHeight w:val="359"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年以内小计</w:t>
            </w:r>
          </w:p>
        </w:tc>
        <w:tc>
          <w:tcPr>
            <w:tcW w:w="226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pacing w:val="-1"/>
                <w:sz w:val="18"/>
              </w:rPr>
              <w:t>38,375,310.72</w:t>
            </w:r>
          </w:p>
        </w:tc>
        <w:tc>
          <w:tcPr>
            <w:tcW w:w="18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pacing w:val="-1"/>
                <w:sz w:val="18"/>
              </w:rPr>
              <w:t>1,875,603.20</w:t>
            </w:r>
          </w:p>
        </w:tc>
        <w:tc>
          <w:tcPr>
            <w:tcW w:w="142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18"/>
                <w:szCs w:val="18"/>
              </w:rPr>
            </w:pPr>
            <w:r>
              <w:rPr>
                <w:rFonts w:ascii="Times New Roman"/>
                <w:sz w:val="18"/>
              </w:rPr>
              <w:t>5%</w:t>
            </w:r>
          </w:p>
        </w:tc>
      </w:tr>
      <w:tr>
        <w:trPr>
          <w:trHeight w:val="348"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708,553.51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141,710.70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4122"/>
        <w:gridCol w:w="2268"/>
        <w:gridCol w:w="1844"/>
        <w:gridCol w:w="1423"/>
      </w:tblGrid>
      <w:tr>
        <w:trPr>
          <w:trHeight w:val="341"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5,018,870.92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2,509,435.48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50%</w:t>
            </w:r>
          </w:p>
        </w:tc>
      </w:tr>
      <w:tr>
        <w:trPr>
          <w:trHeight w:val="347"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656,500.00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656,500.00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60"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第三方支付业务小计</w:t>
            </w:r>
          </w:p>
        </w:tc>
        <w:tc>
          <w:tcPr>
            <w:tcW w:w="2268" w:type="dxa"/>
            <w:tcBorders>
              <w:top w:val="single" w:sz="6" w:space="0" w:color="000000"/>
              <w:left w:val="single" w:sz="7" w:space="0" w:color="000000"/>
              <w:bottom w:val="single" w:sz="10"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44,759,235.15</w:t>
            </w:r>
          </w:p>
        </w:tc>
        <w:tc>
          <w:tcPr>
            <w:tcW w:w="1844"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5,183,249.38</w:t>
            </w:r>
          </w:p>
        </w:tc>
        <w:tc>
          <w:tcPr>
            <w:tcW w:w="1423" w:type="dxa"/>
            <w:tcBorders>
              <w:top w:val="single" w:sz="6" w:space="0" w:color="000000"/>
              <w:left w:val="single" w:sz="6" w:space="0" w:color="000000"/>
              <w:bottom w:val="single" w:sz="10" w:space="0" w:color="000000"/>
              <w:right w:val="single" w:sz="6" w:space="0" w:color="000000"/>
            </w:tcBorders>
          </w:tcPr>
          <w:p>
            <w:pPr/>
          </w:p>
        </w:tc>
      </w:tr>
      <w:tr>
        <w:trPr>
          <w:trHeight w:val="322" w:hRule="exact"/>
        </w:trPr>
        <w:tc>
          <w:tcPr>
            <w:tcW w:w="965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
              <w:ind w:left="3" w:right="0"/>
              <w:jc w:val="left"/>
              <w:rPr>
                <w:rFonts w:ascii="宋体" w:hAnsi="宋体" w:cs="宋体" w:eastAsia="宋体" w:hint="default"/>
                <w:sz w:val="18"/>
                <w:szCs w:val="18"/>
              </w:rPr>
            </w:pPr>
            <w:r>
              <w:rPr>
                <w:rFonts w:ascii="宋体" w:hAnsi="宋体" w:cs="宋体" w:eastAsia="宋体" w:hint="default"/>
                <w:sz w:val="18"/>
                <w:szCs w:val="18"/>
              </w:rPr>
              <w:t>第三方支付以外业务</w:t>
            </w:r>
          </w:p>
        </w:tc>
      </w:tr>
      <w:tr>
        <w:trPr>
          <w:trHeight w:val="360"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4"/>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年以内小计</w:t>
            </w:r>
          </w:p>
        </w:tc>
        <w:tc>
          <w:tcPr>
            <w:tcW w:w="2268"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69"/>
              <w:ind w:right="2"/>
              <w:jc w:val="right"/>
              <w:rPr>
                <w:rFonts w:ascii="Times New Roman" w:hAnsi="Times New Roman" w:cs="Times New Roman" w:eastAsia="Times New Roman" w:hint="default"/>
                <w:sz w:val="18"/>
                <w:szCs w:val="18"/>
              </w:rPr>
            </w:pPr>
            <w:r>
              <w:rPr>
                <w:rFonts w:ascii="Times New Roman"/>
                <w:spacing w:val="-1"/>
                <w:sz w:val="18"/>
              </w:rPr>
              <w:t>26,313,661.75</w:t>
            </w:r>
          </w:p>
        </w:tc>
        <w:tc>
          <w:tcPr>
            <w:tcW w:w="18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9"/>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2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9"/>
              <w:ind w:right="0"/>
              <w:jc w:val="right"/>
              <w:rPr>
                <w:rFonts w:ascii="Times New Roman" w:hAnsi="Times New Roman" w:cs="Times New Roman" w:eastAsia="Times New Roman" w:hint="default"/>
                <w:sz w:val="18"/>
                <w:szCs w:val="18"/>
              </w:rPr>
            </w:pPr>
            <w:r>
              <w:rPr>
                <w:rFonts w:ascii="Times New Roman"/>
                <w:sz w:val="18"/>
              </w:rPr>
              <w:t>0%</w:t>
            </w:r>
          </w:p>
        </w:tc>
      </w:tr>
      <w:tr>
        <w:trPr>
          <w:trHeight w:val="347"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25,295,937.66</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508,803.11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w:t>
            </w:r>
          </w:p>
        </w:tc>
      </w:tr>
      <w:tr>
        <w:trPr>
          <w:trHeight w:val="347"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2,672,381.61</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267,238.16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w:t>
            </w:r>
          </w:p>
        </w:tc>
      </w:tr>
      <w:tr>
        <w:trPr>
          <w:trHeight w:val="347"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13,942,688.83</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2,788,537.77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w:t>
            </w:r>
          </w:p>
        </w:tc>
      </w:tr>
      <w:tr>
        <w:trPr>
          <w:trHeight w:val="348"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第三方支付以外业务小计</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68,224,669.85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3,564,579.04</w:t>
            </w: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1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112,983,905.00</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8,747,828.42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4"/>
        <w:jc w:val="left"/>
      </w:pPr>
      <w:r>
        <w:rPr>
          <w:rFonts w:ascii="Times New Roman" w:hAnsi="Times New Roman" w:cs="Times New Roman" w:eastAsia="Times New Roman" w:hint="default"/>
        </w:rPr>
        <w:t>3)</w:t>
      </w:r>
      <w:r>
        <w:rPr/>
        <w:t>本期计提、收回或转回的坏账准备情况</w:t>
      </w:r>
    </w:p>
    <w:p>
      <w:pPr>
        <w:pStyle w:val="BodyText"/>
        <w:spacing w:line="240" w:lineRule="auto" w:before="103"/>
        <w:ind w:right="-14"/>
        <w:jc w:val="left"/>
      </w:pPr>
      <w:r>
        <w:rPr/>
        <w:t>本期计提坏账准备金额</w:t>
      </w:r>
      <w:r>
        <w:rPr>
          <w:spacing w:val="-47"/>
        </w:rPr>
        <w:t> </w:t>
      </w:r>
      <w:r>
        <w:rPr>
          <w:rFonts w:ascii="Times New Roman" w:hAnsi="Times New Roman" w:cs="Times New Roman" w:eastAsia="Times New Roman" w:hint="default"/>
        </w:rPr>
        <w:t>28,168,843.64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1"/>
        <w:ind w:right="-14"/>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股权及债务转让款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739,592.10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51,538,075.85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69,270,508.52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92,578,505.46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56,865,543.57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144,856,173.41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126,136,052.09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北京扬铭汇智互联 网科技有限公司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32,432,352.22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1,621,617.61</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中国移动通信集团 山东有限公司济南 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25,010,000.00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重庆市涪陵路桥工 程有限公司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广州功联商务服务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江苏中科智能系统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3,225,810.76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91,405.74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74,768,162.98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30,925,023.35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存货" w:id="233"/>
      <w:bookmarkEnd w:id="233"/>
      <w:r>
        <w:rPr>
          <w:b w:val="0"/>
          <w:bCs w:val="0"/>
        </w:rPr>
      </w:r>
      <w:r>
        <w:rPr>
          <w:rFonts w:ascii="Times New Roman" w:hAnsi="Times New Roman" w:cs="Times New Roman" w:eastAsia="Times New Roman" w:hint="default"/>
        </w:rPr>
        <w:t>6</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公司是否需要遵守房地产行业的披露要求</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存货分类" w:id="234"/>
      <w:bookmarkEnd w:id="23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4,617,046.00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3,304,770.54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1,312,275.46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4,075,293.22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4,066,247.13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45,001,923.62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2,468,227.49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42,533,696.13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19,900,744.65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1,877,566.23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18,023,178.42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24,309,325.58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24,309,325.58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24,638,037.95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24,638,037.95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26,811,610.99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932,196.85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25,879,414.14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63,719,342.86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63,719,342.86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100,739,906.19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6,705,194.88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94,034,711.31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112,333,418.68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1,886,612.32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110,446,806.36</w:t>
            </w:r>
          </w:p>
        </w:tc>
      </w:tr>
    </w:tbl>
    <w:p>
      <w:pPr>
        <w:pStyle w:val="BodyText"/>
        <w:spacing w:line="338" w:lineRule="auto" w:before="51"/>
        <w:ind w:right="2474"/>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35"/>
      <w:bookmarkEnd w:id="23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9,046.09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3,295,724.45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3,304,770.54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1,877,566.23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600,643.21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2,468,227.49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932,196.85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932,196.85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1,886,612.32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4,828,564.51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9,981.95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6,705,194.88</w:t>
            </w:r>
          </w:p>
        </w:tc>
      </w:tr>
    </w:tbl>
    <w:p>
      <w:pPr>
        <w:pStyle w:val="BodyText"/>
        <w:spacing w:line="240" w:lineRule="auto" w:before="10"/>
        <w:ind w:left="634" w:right="0"/>
        <w:jc w:val="left"/>
      </w:pPr>
      <w:r>
        <w:rPr/>
        <w:t>存货跌价准备计提依据及本年转回或转销原因</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851"/>
        <w:gridCol w:w="3418"/>
        <w:gridCol w:w="2677"/>
        <w:gridCol w:w="2709"/>
      </w:tblGrid>
      <w:tr>
        <w:trPr>
          <w:trHeight w:val="422" w:hRule="exact"/>
        </w:trPr>
        <w:tc>
          <w:tcPr>
            <w:tcW w:w="8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3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531"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6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60"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74"/>
              <w:jc w:val="right"/>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743" w:hRule="exact"/>
        </w:trPr>
        <w:tc>
          <w:tcPr>
            <w:tcW w:w="85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418"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61"/>
              <w:ind w:left="3" w:right="4"/>
              <w:jc w:val="left"/>
              <w:rPr>
                <w:rFonts w:ascii="宋体" w:hAnsi="宋体" w:cs="宋体" w:eastAsia="宋体" w:hint="default"/>
                <w:sz w:val="18"/>
                <w:szCs w:val="18"/>
              </w:rPr>
            </w:pPr>
            <w:r>
              <w:rPr>
                <w:rFonts w:ascii="宋体" w:hAnsi="宋体" w:cs="宋体" w:eastAsia="宋体" w:hint="default"/>
                <w:spacing w:val="8"/>
                <w:sz w:val="18"/>
                <w:szCs w:val="18"/>
              </w:rPr>
              <w:t>按可变现净值减去账面价的差额计提存货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跌价准备</w:t>
            </w:r>
          </w:p>
        </w:tc>
        <w:tc>
          <w:tcPr>
            <w:tcW w:w="2677"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61"/>
              <w:ind w:left="2" w:right="2"/>
              <w:jc w:val="left"/>
              <w:rPr>
                <w:rFonts w:ascii="宋体" w:hAnsi="宋体" w:cs="宋体" w:eastAsia="宋体" w:hint="default"/>
                <w:sz w:val="18"/>
                <w:szCs w:val="18"/>
              </w:rPr>
            </w:pPr>
            <w:r>
              <w:rPr>
                <w:rFonts w:ascii="宋体" w:hAnsi="宋体" w:cs="宋体" w:eastAsia="宋体" w:hint="default"/>
                <w:spacing w:val="9"/>
                <w:sz w:val="18"/>
                <w:szCs w:val="18"/>
              </w:rPr>
              <w:t>计提存货跌价准备之存货公允价</w:t>
            </w:r>
            <w:r>
              <w:rPr>
                <w:rFonts w:ascii="宋体" w:hAnsi="宋体" w:cs="宋体" w:eastAsia="宋体" w:hint="default"/>
                <w:sz w:val="18"/>
                <w:szCs w:val="18"/>
              </w:rPr>
              <w:t> 格变动</w:t>
            </w:r>
          </w:p>
        </w:tc>
        <w:tc>
          <w:tcPr>
            <w:tcW w:w="2709" w:type="dxa"/>
            <w:tcBorders>
              <w:top w:val="single" w:sz="10" w:space="0" w:color="000000"/>
              <w:left w:val="single" w:sz="6" w:space="0" w:color="000000"/>
              <w:bottom w:val="single" w:sz="6" w:space="0" w:color="000000"/>
              <w:right w:val="single" w:sz="6" w:space="0" w:color="000000"/>
            </w:tcBorders>
          </w:tcPr>
          <w:p>
            <w:pPr/>
          </w:p>
        </w:tc>
      </w:tr>
      <w:tr>
        <w:trPr>
          <w:trHeight w:val="739"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3" w:right="4"/>
              <w:jc w:val="left"/>
              <w:rPr>
                <w:rFonts w:ascii="宋体" w:hAnsi="宋体" w:cs="宋体" w:eastAsia="宋体" w:hint="default"/>
                <w:sz w:val="18"/>
                <w:szCs w:val="18"/>
              </w:rPr>
            </w:pPr>
            <w:r>
              <w:rPr>
                <w:rFonts w:ascii="宋体" w:hAnsi="宋体" w:cs="宋体" w:eastAsia="宋体" w:hint="default"/>
                <w:spacing w:val="8"/>
                <w:sz w:val="18"/>
                <w:szCs w:val="18"/>
              </w:rPr>
              <w:t>按可变现净值减去账面价的差额计提存货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跌价准备</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2"/>
              <w:jc w:val="left"/>
              <w:rPr>
                <w:rFonts w:ascii="宋体" w:hAnsi="宋体" w:cs="宋体" w:eastAsia="宋体" w:hint="default"/>
                <w:sz w:val="18"/>
                <w:szCs w:val="18"/>
              </w:rPr>
            </w:pPr>
            <w:r>
              <w:rPr>
                <w:rFonts w:ascii="宋体" w:hAnsi="宋体" w:cs="宋体" w:eastAsia="宋体" w:hint="default"/>
                <w:spacing w:val="9"/>
                <w:sz w:val="18"/>
                <w:szCs w:val="18"/>
              </w:rPr>
              <w:t>计提存货跌价准备之存货公允价</w:t>
            </w:r>
            <w:r>
              <w:rPr>
                <w:rFonts w:ascii="宋体" w:hAnsi="宋体" w:cs="宋体" w:eastAsia="宋体" w:hint="default"/>
                <w:sz w:val="18"/>
                <w:szCs w:val="18"/>
              </w:rPr>
              <w:t> 格变动</w:t>
            </w:r>
          </w:p>
        </w:tc>
        <w:tc>
          <w:tcPr>
            <w:tcW w:w="2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计提存货跌价准备之存货已销售</w:t>
            </w:r>
          </w:p>
        </w:tc>
      </w:tr>
      <w:tr>
        <w:trPr>
          <w:trHeight w:val="740" w:hRule="exact"/>
        </w:trPr>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4"/>
              <w:jc w:val="left"/>
              <w:rPr>
                <w:rFonts w:ascii="宋体" w:hAnsi="宋体" w:cs="宋体" w:eastAsia="宋体" w:hint="default"/>
                <w:sz w:val="18"/>
                <w:szCs w:val="18"/>
              </w:rPr>
            </w:pPr>
            <w:r>
              <w:rPr>
                <w:rFonts w:ascii="宋体" w:hAnsi="宋体" w:cs="宋体" w:eastAsia="宋体" w:hint="default"/>
                <w:spacing w:val="8"/>
                <w:sz w:val="18"/>
                <w:szCs w:val="18"/>
              </w:rPr>
              <w:t>按可变现净值减去账面价的差额计提存货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跌价准备</w:t>
            </w:r>
          </w:p>
        </w:tc>
        <w:tc>
          <w:tcPr>
            <w:tcW w:w="26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9"/>
                <w:sz w:val="18"/>
                <w:szCs w:val="18"/>
              </w:rPr>
              <w:t>计提存货跌价准备之存货公允价</w:t>
            </w:r>
            <w:r>
              <w:rPr>
                <w:rFonts w:ascii="宋体" w:hAnsi="宋体" w:cs="宋体" w:eastAsia="宋体" w:hint="default"/>
                <w:sz w:val="18"/>
                <w:szCs w:val="18"/>
              </w:rPr>
              <w:t> 格变动</w:t>
            </w:r>
          </w:p>
        </w:tc>
        <w:tc>
          <w:tcPr>
            <w:tcW w:w="270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 w:id="236"/>
      <w:bookmarkEnd w:id="23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持有待售资产" w:id="237"/>
      <w:bookmarkEnd w:id="237"/>
      <w:r>
        <w:rPr>
          <w:b w:val="0"/>
          <w:bCs w:val="0"/>
        </w:rPr>
      </w:r>
      <w:r>
        <w:rPr>
          <w:rFonts w:ascii="Times New Roman" w:hAnsi="Times New Roman" w:cs="Times New Roman" w:eastAsia="Times New Roman" w:hint="default"/>
        </w:rPr>
        <w:t>7</w:t>
      </w:r>
      <w:r>
        <w:rPr/>
        <w:t>、持有待售资产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0"/>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持有待售非流动资产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17,159,501.57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2,386,141.79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17,159,501.57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2,386,141.79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5"/>
        <w:ind w:right="0" w:firstLine="360"/>
        <w:jc w:val="left"/>
      </w:pPr>
      <w:r>
        <w:rPr/>
        <w:t>为盘活存量资产，公司的全资子公司德威普将其名下房产西海岸大厦</w:t>
      </w:r>
      <w:r>
        <w:rPr>
          <w:rFonts w:ascii="Times New Roman" w:hAnsi="Times New Roman" w:cs="Times New Roman" w:eastAsia="Times New Roman" w:hint="default"/>
        </w:rPr>
        <w:t>13A</w:t>
      </w:r>
      <w:r>
        <w:rPr>
          <w:rFonts w:ascii="Times New Roman" w:hAnsi="Times New Roman" w:cs="Times New Roman" w:eastAsia="Times New Roman" w:hint="default"/>
        </w:rPr>
        <w:t>—</w:t>
      </w:r>
      <w:r>
        <w:rPr>
          <w:rFonts w:ascii="Times New Roman" w:hAnsi="Times New Roman" w:cs="Times New Roman" w:eastAsia="Times New Roman" w:hint="default"/>
        </w:rPr>
        <w:t>13O</w:t>
      </w:r>
      <w:r>
        <w:rPr/>
        <w:t>出售，房产面积总计</w:t>
      </w:r>
      <w:r>
        <w:rPr>
          <w:rFonts w:ascii="Times New Roman" w:hAnsi="Times New Roman" w:cs="Times New Roman" w:eastAsia="Times New Roman" w:hint="default"/>
        </w:rPr>
        <w:t>915.34</w:t>
      </w:r>
      <w:r>
        <w:rPr/>
        <w:t>平方米，出 </w:t>
      </w:r>
      <w:r>
        <w:rPr>
          <w:spacing w:val="-1"/>
        </w:rPr>
        <w:t>售金额合计人民币</w:t>
      </w:r>
      <w:r>
        <w:rPr>
          <w:rFonts w:ascii="Times New Roman" w:hAnsi="Times New Roman" w:cs="Times New Roman" w:eastAsia="Times New Roman" w:hint="default"/>
          <w:spacing w:val="-1"/>
        </w:rPr>
        <w:t>2,370</w:t>
      </w:r>
      <w:r>
        <w:rPr>
          <w:spacing w:val="-1"/>
        </w:rPr>
        <w:t>万元。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21</w:t>
      </w:r>
      <w:r>
        <w:rPr>
          <w:spacing w:val="-1"/>
        </w:rPr>
        <w:t>日，公司第四届董事会第三十七次会议审议通过了《关于全资子公司出售资产的</w:t>
      </w:r>
      <w:r>
        <w:rPr>
          <w:spacing w:val="-70"/>
        </w:rPr>
        <w:t> </w:t>
      </w:r>
      <w:r>
        <w:rPr>
          <w:spacing w:val="-70"/>
        </w:rPr>
      </w:r>
      <w:r>
        <w:rPr/>
        <w:t>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日，德威普分别与王阳、王朝、詹文焰签署了《房屋买卖合同》。</w:t>
      </w: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bookmarkStart w:name="8、其他流动资产" w:id="238"/>
      <w:bookmarkEnd w:id="238"/>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26,608,553.98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9,648,309.14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2,068,947.16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650,350.00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28,677,501.14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10,298,659.14</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9、发放贷款及垫款" w:id="239"/>
      <w:bookmarkEnd w:id="239"/>
      <w:r>
        <w:rPr>
          <w:b w:val="0"/>
          <w:bCs w:val="0"/>
        </w:rPr>
      </w:r>
      <w:r>
        <w:rPr>
          <w:rFonts w:ascii="Times New Roman" w:hAnsi="Times New Roman" w:cs="Times New Roman" w:eastAsia="Times New Roman" w:hint="default"/>
        </w:rPr>
        <w:t>9</w:t>
      </w:r>
      <w:r>
        <w:rPr/>
        <w:t>、发放贷款及垫款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29"/>
        <w:jc w:val="right"/>
      </w:pPr>
      <w:r>
        <w:rPr/>
        <w:t>单位：</w:t>
      </w:r>
      <w:r>
        <w:rPr>
          <w:spacing w:val="-17"/>
        </w:rPr>
        <w:t> </w:t>
      </w:r>
      <w:r>
        <w:rPr/>
        <w:t>元</w:t>
      </w:r>
    </w:p>
    <w:p>
      <w:pPr>
        <w:spacing w:line="240" w:lineRule="auto" w:before="3"/>
        <w:rPr>
          <w:rFonts w:ascii="宋体" w:hAnsi="宋体" w:cs="宋体" w:eastAsia="宋体" w:hint="default"/>
          <w:sz w:val="9"/>
          <w:szCs w:val="9"/>
        </w:rPr>
      </w:pPr>
    </w:p>
    <w:tbl>
      <w:tblPr>
        <w:tblW w:w="0" w:type="auto"/>
        <w:jc w:val="left"/>
        <w:tblInd w:w="144" w:type="dxa"/>
        <w:tblLayout w:type="fixed"/>
        <w:tblCellMar>
          <w:top w:w="0" w:type="dxa"/>
          <w:left w:w="0" w:type="dxa"/>
          <w:bottom w:w="0" w:type="dxa"/>
          <w:right w:w="0" w:type="dxa"/>
        </w:tblCellMar>
        <w:tblLook w:val="01E0"/>
      </w:tblPr>
      <w:tblGrid>
        <w:gridCol w:w="3716"/>
        <w:gridCol w:w="2992"/>
        <w:gridCol w:w="3148"/>
      </w:tblGrid>
      <w:tr>
        <w:trPr>
          <w:trHeight w:val="417" w:hRule="exact"/>
        </w:trPr>
        <w:tc>
          <w:tcPr>
            <w:tcW w:w="371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2"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148"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47"/>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2" w:hRule="exact"/>
        </w:trPr>
        <w:tc>
          <w:tcPr>
            <w:tcW w:w="371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217" w:right="0"/>
              <w:jc w:val="left"/>
              <w:rPr>
                <w:rFonts w:ascii="宋体" w:hAnsi="宋体" w:cs="宋体" w:eastAsia="宋体" w:hint="default"/>
                <w:sz w:val="18"/>
                <w:szCs w:val="18"/>
              </w:rPr>
            </w:pPr>
            <w:r>
              <w:rPr>
                <w:rFonts w:ascii="宋体" w:hAnsi="宋体" w:cs="宋体" w:eastAsia="宋体" w:hint="default"/>
                <w:sz w:val="18"/>
                <w:szCs w:val="18"/>
              </w:rPr>
              <w:t>个人贷款和垫款</w:t>
            </w:r>
          </w:p>
        </w:tc>
        <w:tc>
          <w:tcPr>
            <w:tcW w:w="2992" w:type="dxa"/>
            <w:tcBorders>
              <w:top w:val="single" w:sz="12" w:space="0" w:color="000000"/>
              <w:left w:val="single" w:sz="8" w:space="0" w:color="000000"/>
              <w:bottom w:val="single" w:sz="8" w:space="0" w:color="000000"/>
              <w:right w:val="single" w:sz="8" w:space="0" w:color="000000"/>
            </w:tcBorders>
          </w:tcPr>
          <w:p>
            <w:pPr/>
          </w:p>
        </w:tc>
        <w:tc>
          <w:tcPr>
            <w:tcW w:w="3148" w:type="dxa"/>
            <w:tcBorders>
              <w:top w:val="single" w:sz="12" w:space="0" w:color="000000"/>
              <w:left w:val="single" w:sz="8" w:space="0" w:color="000000"/>
              <w:bottom w:val="single" w:sz="8" w:space="0" w:color="000000"/>
              <w:right w:val="single" w:sz="8" w:space="0" w:color="000000"/>
            </w:tcBorders>
          </w:tcPr>
          <w:p>
            <w:pPr/>
          </w:p>
        </w:tc>
      </w:tr>
      <w:tr>
        <w:trPr>
          <w:trHeight w:val="432" w:hRule="exact"/>
        </w:trPr>
        <w:tc>
          <w:tcPr>
            <w:tcW w:w="371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217" w:right="0"/>
              <w:jc w:val="left"/>
              <w:rPr>
                <w:rFonts w:ascii="宋体" w:hAnsi="宋体" w:cs="宋体" w:eastAsia="宋体" w:hint="default"/>
                <w:sz w:val="18"/>
                <w:szCs w:val="18"/>
              </w:rPr>
            </w:pPr>
            <w:r>
              <w:rPr>
                <w:rFonts w:ascii="宋体" w:hAnsi="宋体" w:cs="宋体" w:eastAsia="宋体" w:hint="default"/>
                <w:sz w:val="18"/>
                <w:szCs w:val="18"/>
              </w:rPr>
              <w:t>企业贷款和垫款</w:t>
            </w:r>
          </w:p>
        </w:tc>
        <w:tc>
          <w:tcPr>
            <w:tcW w:w="2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89,284,780.00</w:t>
            </w:r>
          </w:p>
        </w:tc>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66,036,890.00</w:t>
            </w:r>
          </w:p>
        </w:tc>
      </w:tr>
      <w:tr>
        <w:trPr>
          <w:trHeight w:val="432" w:hRule="exact"/>
        </w:trPr>
        <w:tc>
          <w:tcPr>
            <w:tcW w:w="371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其中：贷款</w:t>
            </w:r>
          </w:p>
        </w:tc>
        <w:tc>
          <w:tcPr>
            <w:tcW w:w="2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89,284,780.00</w:t>
            </w:r>
          </w:p>
        </w:tc>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66,036,890.00</w:t>
            </w:r>
          </w:p>
        </w:tc>
      </w:tr>
      <w:tr>
        <w:trPr>
          <w:trHeight w:val="432" w:hRule="exact"/>
        </w:trPr>
        <w:tc>
          <w:tcPr>
            <w:tcW w:w="371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074" w:right="0"/>
              <w:jc w:val="left"/>
              <w:rPr>
                <w:rFonts w:ascii="宋体" w:hAnsi="宋体" w:cs="宋体" w:eastAsia="宋体" w:hint="default"/>
                <w:sz w:val="18"/>
                <w:szCs w:val="18"/>
              </w:rPr>
            </w:pPr>
            <w:r>
              <w:rPr>
                <w:rFonts w:ascii="宋体" w:hAnsi="宋体" w:cs="宋体" w:eastAsia="宋体" w:hint="default"/>
                <w:sz w:val="18"/>
                <w:szCs w:val="18"/>
              </w:rPr>
              <w:t>发放贷款和垫款总额</w:t>
            </w:r>
          </w:p>
        </w:tc>
        <w:tc>
          <w:tcPr>
            <w:tcW w:w="2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89,284,780.00</w:t>
            </w:r>
          </w:p>
        </w:tc>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66,036,890.00</w:t>
            </w:r>
          </w:p>
        </w:tc>
      </w:tr>
      <w:tr>
        <w:trPr>
          <w:trHeight w:val="432" w:hRule="exact"/>
        </w:trPr>
        <w:tc>
          <w:tcPr>
            <w:tcW w:w="371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127" w:right="0"/>
              <w:jc w:val="left"/>
              <w:rPr>
                <w:rFonts w:ascii="宋体" w:hAnsi="宋体" w:cs="宋体" w:eastAsia="宋体" w:hint="default"/>
                <w:sz w:val="18"/>
                <w:szCs w:val="18"/>
              </w:rPr>
            </w:pPr>
            <w:r>
              <w:rPr>
                <w:rFonts w:ascii="宋体" w:hAnsi="宋体" w:cs="宋体" w:eastAsia="宋体" w:hint="default"/>
                <w:sz w:val="18"/>
                <w:szCs w:val="18"/>
              </w:rPr>
              <w:t>减：贷款减值准备</w:t>
            </w:r>
          </w:p>
        </w:tc>
        <w:tc>
          <w:tcPr>
            <w:tcW w:w="2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893,724.00</w:t>
            </w:r>
          </w:p>
        </w:tc>
        <w:tc>
          <w:tcPr>
            <w:tcW w:w="3148" w:type="dxa"/>
            <w:tcBorders>
              <w:top w:val="single" w:sz="8" w:space="0" w:color="000000"/>
              <w:left w:val="single" w:sz="8" w:space="0" w:color="000000"/>
              <w:bottom w:val="single" w:sz="8" w:space="0" w:color="000000"/>
              <w:right w:val="single" w:sz="8" w:space="0" w:color="000000"/>
            </w:tcBorders>
          </w:tcPr>
          <w:p>
            <w:pPr/>
          </w:p>
        </w:tc>
      </w:tr>
      <w:tr>
        <w:trPr>
          <w:trHeight w:val="432" w:hRule="exact"/>
        </w:trPr>
        <w:tc>
          <w:tcPr>
            <w:tcW w:w="3716" w:type="dxa"/>
            <w:tcBorders>
              <w:top w:val="single" w:sz="8" w:space="0" w:color="000000"/>
              <w:left w:val="single" w:sz="8" w:space="0" w:color="000000"/>
              <w:bottom w:val="single" w:sz="8" w:space="0" w:color="000000"/>
              <w:right w:val="single" w:sz="8" w:space="0" w:color="000000"/>
            </w:tcBorders>
            <w:shd w:val="clear" w:color="auto" w:fill="BEBEBE"/>
          </w:tcPr>
          <w:p>
            <w:pPr>
              <w:pStyle w:val="TableParagraph"/>
              <w:spacing w:line="240" w:lineRule="auto" w:before="62"/>
              <w:ind w:left="1217" w:right="0"/>
              <w:jc w:val="left"/>
              <w:rPr>
                <w:rFonts w:ascii="宋体" w:hAnsi="宋体" w:cs="宋体" w:eastAsia="宋体" w:hint="default"/>
                <w:sz w:val="18"/>
                <w:szCs w:val="18"/>
              </w:rPr>
            </w:pPr>
            <w:r>
              <w:rPr>
                <w:rFonts w:ascii="宋体" w:hAnsi="宋体" w:cs="宋体" w:eastAsia="宋体" w:hint="default"/>
                <w:sz w:val="18"/>
                <w:szCs w:val="18"/>
              </w:rPr>
              <w:t>贷款和垫款净额</w:t>
            </w:r>
          </w:p>
        </w:tc>
        <w:tc>
          <w:tcPr>
            <w:tcW w:w="2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88,391,056.00</w:t>
            </w:r>
          </w:p>
        </w:tc>
        <w:tc>
          <w:tcPr>
            <w:tcW w:w="31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66,036,890.00</w:t>
            </w:r>
          </w:p>
        </w:tc>
      </w:tr>
    </w:tbl>
    <w:p>
      <w:pPr>
        <w:pStyle w:val="BodyText"/>
        <w:spacing w:line="240" w:lineRule="auto" w:before="51"/>
        <w:ind w:right="0"/>
        <w:jc w:val="left"/>
      </w:pPr>
      <w:r>
        <w:rPr/>
        <w:t>期末按担保方式分类：质押及保证的发放贷款金额为</w:t>
      </w:r>
      <w:r>
        <w:rPr>
          <w:rFonts w:ascii="Times New Roman" w:hAnsi="Times New Roman" w:cs="Times New Roman" w:eastAsia="Times New Roman" w:hint="default"/>
        </w:rPr>
        <w:t>89,284,780.00</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0、可供出售金融资产" w:id="240"/>
      <w:bookmarkEnd w:id="240"/>
      <w:r>
        <w:rPr>
          <w:b w:val="0"/>
          <w:bCs w:val="0"/>
        </w:rPr>
      </w: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1"/>
      <w:bookmarkEnd w:id="24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3587"/>
        <w:gridCol w:w="3971"/>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108,020,000.00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108,020,000.00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81,020,000.00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108,020,000.00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108,020,000.00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81,020,000.00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108,020,000.00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108,020,000.00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81,020,000.00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成本计量的可供出售金融资产" w:id="242"/>
      <w:bookmarkEnd w:id="242"/>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1122"/>
        <w:gridCol w:w="1134"/>
        <w:gridCol w:w="425"/>
        <w:gridCol w:w="1277"/>
        <w:gridCol w:w="709"/>
        <w:gridCol w:w="708"/>
        <w:gridCol w:w="715"/>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9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2" w:right="80"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无锡天脉 聚源传媒 科技有限 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3.62%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众惠财产 相互保险 社</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3.00%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无锡键桥 电子科技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2.60%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上海汉逸 智能科技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深圳市华 阳信通科 技发展有 限公司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3.57%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江苏千米 网络科技 股份有限 公司</w:t>
            </w:r>
          </w:p>
        </w:tc>
        <w:tc>
          <w:tcPr>
            <w:tcW w:w="112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12,000,000.00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2.71%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81,020,000.00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27,000,000.00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108,020,000.00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1、长期股权投资" w:id="243"/>
      <w:bookmarkEnd w:id="243"/>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深圳盈华 小额贷款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178,156,5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63.57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15,365,25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193,521,8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先锋基金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21,716,66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12,961,10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-1,585,01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-1,036,44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32,056,30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3.54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徐州淮海 数据交换 服务有限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1,644,165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-254,222.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1,389,943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嘉兴德玖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9,998,931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-3,587.73</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9,995,343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浙江旅通 投资有限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8,603,100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-2,489,40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6,113,691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220,119,4</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23.30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12,961,10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11,033,01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-1,036,44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243,077,0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97.00</w:t>
            </w:r>
          </w:p>
        </w:tc>
        <w:tc>
          <w:tcPr>
            <w:tcW w:w="798" w:type="dxa"/>
            <w:vMerge w:val="restart"/>
            <w:tcBorders>
              <w:top w:val="single" w:sz="4" w:space="0" w:color="000000"/>
              <w:left w:val="single" w:sz="4" w:space="0" w:color="000000"/>
              <w:right w:val="single" w:sz="4" w:space="0" w:color="000000"/>
            </w:tcBorders>
          </w:tcPr>
          <w:p>
            <w:pPr/>
          </w:p>
        </w:tc>
      </w:tr>
      <w:tr>
        <w:trPr>
          <w:trHeight w:val="393"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中山市益 富信息技 术服务有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899,835.0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-338.48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899,496.6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新疆即富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256.60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256.60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上海远洋 即富数据 服务有限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656,288.7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-367,850.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288,438.2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上海有旺 信息科技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-927,198.</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1,072,801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1,556,380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-1,295,38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2,260,992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221,675,8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03.73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14,961,10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9,737,631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-1,036,44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245,338,0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89.88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12、固定资产" w:id="244"/>
      <w:bookmarkEnd w:id="244"/>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373,304,964.19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173,604,169.72</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373,304,964.19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173,604,169.72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45"/>
      <w:bookmarkEnd w:id="24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116.779999pt;margin-top:39.201717pt;width:58.15pt;height:20.8pt;mso-position-horizontal-relative:page;mso-position-vertical-relative:paragraph;z-index:-1027480" coordorigin="2336,784" coordsize="1163,416">
            <v:group style="position:absolute;left:2347;top:795;width:2;height:393" coordorigin="2347,795" coordsize="2,393">
              <v:shape style="position:absolute;left:2347;top:795;width:2;height:393" coordorigin="2347,795" coordsize="0,393" path="m2347,795l2347,1188e" filled="false" stroked="true" strokeweight="1.140pt" strokecolor="#ffffff">
                <v:path arrowok="t"/>
              </v:shape>
            </v:group>
            <v:group style="position:absolute;left:2358;top:795;width:1140;height:393" coordorigin="2358,795" coordsize="1140,393">
              <v:shape style="position:absolute;left:2358;top:795;width:1140;height:393" coordorigin="2358,795" coordsize="1140,393" path="m2358,1188l3498,1188,3498,795,2358,795,2358,1188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运营机具</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105,180,786.09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48,928,456.58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11,067,230.54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11,235,035.54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75,378,078.64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251,789,587.39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4,747,332.45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575,906.17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672,304.57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301,864,593.64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307,860,136.83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4,747,332.45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575,906.17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672,304.57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301,864,593.64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307,860,136.83</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23,333,480.95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14,707,160.49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38,040,641.44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23,333,480.95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14,707,160.49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38,040,641.44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81,847,305.14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34,221,296.09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15,814,562.99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11,810,941.71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76,050,383.21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301,864,593.64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521,609,082.78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31,961,766.07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18,828,140.37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3,526,286.60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5,806,973.61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18,062,251.02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78,185,417.67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4,479,066.78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6,661,141.53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4,061,240.74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1,730,637.06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24,672,668.71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39,439,704.60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81,044,459.42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4,479,066.78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6,661,141.53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4,061,240.74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1,730,637.06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24,672,668.71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39,439,704.60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81,044,459.42</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38,040,641.44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6,173,979.38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4,751,779.12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10,925,758.50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6,173,979.38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4,751,779.12</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10,925,758.50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30,266,853.47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20,737,502.78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7,587,527.34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7,537,610.67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42,734,919.73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39,439,704.60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148,304,118.59</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51,580,451.67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13,483,793.31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8,227,035.65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4,273,331.04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33,315,463.48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262,424,889.04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373,304,964.19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73,219,020.02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30,100,316.21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7,540,943.94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5,428,061.93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57,315,827.62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173,604,169.72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3、无形资产" w:id="246"/>
      <w:bookmarkEnd w:id="246"/>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47"/>
      <w:bookmarkEnd w:id="247"/>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85,754,418.82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7,194,399.50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92,948,818.32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1,930,981.74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1,930,981.74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1,930,981.74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1,930,981.74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2,615,384.49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2,623,384.49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2,615,384.49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2,623,384.49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83,139,034.33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9,117,381.24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92,256,415.57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28,612,896.61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1,971,222.77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30,584,119.38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9,559,036.91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780,129.07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10,339,165.98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9,559,036.91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780,129.07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10,339,165.99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38,160,133.45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2,763,151.92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40,923,285.37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47,594,285.37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3,738,844.83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51,333,130.20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57,141,522.21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5,223,176.73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62,364,698.94</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4、商誉" w:id="248"/>
      <w:bookmarkEnd w:id="248"/>
      <w:r>
        <w:rPr>
          <w:b w:val="0"/>
          <w:bCs w:val="0"/>
        </w:rPr>
      </w:r>
      <w:r>
        <w:rPr>
          <w:rFonts w:ascii="Times New Roman" w:hAnsi="Times New Roman" w:cs="Times New Roman" w:eastAsia="Times New Roman" w:hint="default"/>
        </w:rPr>
        <w:t>14</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49"/>
      <w:bookmarkEnd w:id="24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314" w:lineRule="auto" w:before="63"/>
              <w:ind w:left="22" w:right="61"/>
              <w:jc w:val="left"/>
              <w:rPr>
                <w:rFonts w:ascii="宋体" w:hAnsi="宋体" w:cs="宋体" w:eastAsia="宋体" w:hint="default"/>
                <w:sz w:val="18"/>
                <w:szCs w:val="18"/>
              </w:rPr>
            </w:pPr>
            <w:r>
              <w:rPr>
                <w:rFonts w:ascii="宋体" w:hAnsi="宋体" w:cs="宋体" w:eastAsia="宋体" w:hint="default"/>
                <w:sz w:val="18"/>
                <w:szCs w:val="18"/>
              </w:rPr>
              <w:t>日公司收购全资 子公司深圳市德 威普软件技术有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权所形成的商誉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61,704.16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61,704.16</w:t>
            </w:r>
          </w:p>
        </w:tc>
      </w:tr>
      <w:tr>
        <w:trPr>
          <w:trHeight w:val="19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314" w:lineRule="auto" w:before="63"/>
              <w:ind w:left="22" w:right="61"/>
              <w:jc w:val="left"/>
              <w:rPr>
                <w:rFonts w:ascii="宋体" w:hAnsi="宋体" w:cs="宋体" w:eastAsia="宋体" w:hint="default"/>
                <w:sz w:val="18"/>
                <w:szCs w:val="18"/>
              </w:rPr>
            </w:pPr>
            <w:r>
              <w:rPr>
                <w:rFonts w:ascii="宋体" w:hAnsi="宋体" w:cs="宋体" w:eastAsia="宋体" w:hint="default"/>
                <w:sz w:val="18"/>
                <w:szCs w:val="18"/>
              </w:rPr>
              <w:t>日公司收购全资 子公司南京凌云 科技发展有限公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股权所 形成的商誉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801,749.07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801,749.07</w:t>
            </w:r>
          </w:p>
        </w:tc>
      </w:tr>
      <w:tr>
        <w:trPr>
          <w:trHeight w:val="196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314" w:lineRule="auto" w:before="63"/>
              <w:ind w:left="22" w:right="46"/>
              <w:jc w:val="both"/>
              <w:rPr>
                <w:rFonts w:ascii="宋体" w:hAnsi="宋体" w:cs="宋体" w:eastAsia="宋体" w:hint="default"/>
                <w:sz w:val="18"/>
                <w:szCs w:val="18"/>
              </w:rPr>
            </w:pPr>
            <w:r>
              <w:rPr>
                <w:rFonts w:ascii="宋体" w:hAnsi="宋体" w:cs="宋体" w:eastAsia="宋体" w:hint="default"/>
                <w:sz w:val="18"/>
                <w:szCs w:val="18"/>
              </w:rPr>
              <w:t>日公司收购子公 司上海即富信息 技术服务有限公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股权所形 成的商誉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858,612,269.44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858,612,269.44</w:t>
            </w:r>
          </w:p>
        </w:tc>
      </w:tr>
      <w:tr>
        <w:trPr>
          <w:trHeight w:val="1650"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p>
          <w:p>
            <w:pPr>
              <w:pStyle w:val="TableParagraph"/>
              <w:spacing w:line="312" w:lineRule="auto" w:before="63"/>
              <w:ind w:left="22" w:right="61"/>
              <w:jc w:val="left"/>
              <w:rPr>
                <w:rFonts w:ascii="宋体" w:hAnsi="宋体" w:cs="宋体" w:eastAsia="宋体" w:hint="default"/>
                <w:sz w:val="18"/>
                <w:szCs w:val="18"/>
              </w:rPr>
            </w:pPr>
            <w:r>
              <w:rPr>
                <w:rFonts w:ascii="宋体" w:hAnsi="宋体" w:cs="宋体" w:eastAsia="宋体" w:hint="default"/>
                <w:sz w:val="18"/>
                <w:szCs w:val="18"/>
              </w:rPr>
              <w:t>日公司收购广州 宽客投资管理有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权所形成的商誉</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489,803.26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489,803.26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859,475,722.67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489,803.26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859,965,525.93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50"/>
      <w:bookmarkEnd w:id="25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left="514" w:right="6252" w:hanging="360"/>
        <w:jc w:val="left"/>
      </w:pPr>
      <w:r>
        <w:rPr/>
        <w:t>商誉所在资产组或资产组组合的相关信息 上海即富信息技术服务有限公司商誉减值准备</w:t>
      </w:r>
      <w:r>
        <w:rPr>
          <w:rFonts w:ascii="Times New Roman" w:hAnsi="Times New Roman" w:cs="Times New Roman" w:eastAsia="Times New Roman" w:hint="default"/>
        </w:rPr>
        <w:t>: </w:t>
      </w:r>
      <w:r>
        <w:rPr/>
        <w:t>商誉减值测试过程、参数及商誉减值损失的确认方法</w:t>
      </w:r>
    </w:p>
    <w:p>
      <w:pPr>
        <w:pStyle w:val="BodyText"/>
        <w:spacing w:line="357" w:lineRule="auto" w:before="35"/>
        <w:ind w:left="514" w:right="0"/>
        <w:jc w:val="left"/>
      </w:pPr>
      <w:r>
        <w:rPr/>
        <w:t>资产组认定：公司以上海即富信息技术服务有限公司与商誉相关的资产组进行商誉减值测试。 </w:t>
      </w:r>
      <w:r>
        <w:rPr>
          <w:spacing w:val="-2"/>
        </w:rPr>
        <w:t>资产组的可收回金额：按照资产组的预计未来现金流量的现值确定。根据管理层批准的上述资产组的财务预算为基础预</w:t>
      </w:r>
    </w:p>
    <w:p>
      <w:pPr>
        <w:pStyle w:val="BodyText"/>
        <w:spacing w:line="237" w:lineRule="exact"/>
        <w:ind w:right="0"/>
        <w:jc w:val="left"/>
      </w:pPr>
      <w:r>
        <w:rPr/>
        <w:t>计未来现金流量，五年以后的永续现金流量按照预测第六年的水平确定。计算现值的折现率为</w:t>
      </w:r>
      <w:r>
        <w:rPr>
          <w:rFonts w:ascii="Times New Roman" w:hAnsi="Times New Roman" w:cs="Times New Roman" w:eastAsia="Times New Roman" w:hint="default"/>
        </w:rPr>
        <w:t>15.80%</w:t>
      </w:r>
      <w:r>
        <w:rPr/>
        <w:t>，为反映相关资产组</w:t>
      </w:r>
    </w:p>
    <w:p>
      <w:pPr>
        <w:pStyle w:val="BodyText"/>
        <w:spacing w:line="357" w:lineRule="auto" w:before="64"/>
        <w:ind w:left="527" w:right="1919" w:hanging="374"/>
        <w:jc w:val="left"/>
      </w:pPr>
      <w:r>
        <w:rPr/>
        <w:t>特定风险的税前折现率。 经测试收购上海即富信息技术服务有限公司确认的商誉于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日不存在减值，无需计提减值准备。</w:t>
      </w:r>
    </w:p>
    <w:p>
      <w:pPr>
        <w:pStyle w:val="BodyText"/>
        <w:spacing w:line="319" w:lineRule="auto" w:before="4"/>
        <w:ind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60" w:lineRule="auto" w:before="56"/>
        <w:ind w:right="9132"/>
        <w:jc w:val="left"/>
      </w:pPr>
      <w:r>
        <w:rPr/>
        <w:t>无。 商誉减值测试的影响</w:t>
      </w:r>
    </w:p>
    <w:p>
      <w:pPr>
        <w:spacing w:after="0" w:line="36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5、长期待摊费用" w:id="251"/>
      <w:bookmarkEnd w:id="251"/>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5,905,005.60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6,377,883.53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2,422,225.24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9,860,663.89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103,773.58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103,773.58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6,008,779.18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6,377,883.53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2,525,998.82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9,860,663.89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6、递延所得税资产/递延所得税负债" w:id="252"/>
      <w:bookmarkEnd w:id="252"/>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53"/>
      <w:bookmarkEnd w:id="25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98,313,661.11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19,840,923.89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92,791,052.22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17,947,279.80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98,313,661.11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19,840,923.89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92,791,052.22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17,947,279.80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54"/>
      <w:bookmarkEnd w:id="25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34,420,130.01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3,442,013.01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39,355,800.94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3,935,580.10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34,420,130.01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3,442,013.01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39,355,800.94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3,935,580.10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55"/>
      <w:bookmarkEnd w:id="25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19,840,923.89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17,947,279.80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3,442,013.01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3,935,580.10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56"/>
      <w:bookmarkEnd w:id="25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79,694,677.04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24,841,170.96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206,667,536.45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191,327,934.46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286,362,213.49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216,169,105.42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57"/>
      <w:bookmarkEnd w:id="25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163,442.10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年度的未弥补亏损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311,587.80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311,587.80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年度的未弥补亏损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6,566,293.62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6,566,293.62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年度的未弥补亏损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86,189,031.78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86,189,031.78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年度的未弥补亏损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98,097,579.16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98,097,579.16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年度的未弥补亏损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15,503,044.09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年度的未弥补亏损</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206,667,536.45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191,327,934.46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7、其他非流动资产" w:id="258"/>
      <w:bookmarkEnd w:id="258"/>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项目风险备付金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8、短期借款" w:id="259"/>
      <w:bookmarkEnd w:id="259"/>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60"/>
      <w:bookmarkEnd w:id="26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104,217,600.00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28,346,810.00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288,560,000.00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105,710,000.00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432,777,600.00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379,056,810.00</w:t>
            </w:r>
          </w:p>
        </w:tc>
      </w:tr>
    </w:tbl>
    <w:p>
      <w:pPr>
        <w:pStyle w:val="BodyText"/>
        <w:spacing w:line="357" w:lineRule="auto" w:before="51"/>
        <w:ind w:right="6432"/>
        <w:jc w:val="left"/>
      </w:pPr>
      <w:r>
        <w:rPr/>
        <w:t>短期借款分类的说明： 抵押借款的抵押资产类别以及金额，参见附注七、</w:t>
      </w:r>
      <w:r>
        <w:rPr>
          <w:rFonts w:ascii="Times New Roman" w:hAnsi="Times New Roman" w:cs="Times New Roman" w:eastAsia="Times New Roman" w:hint="default"/>
        </w:rPr>
        <w:t>49</w:t>
      </w:r>
      <w:r>
        <w:rPr/>
        <w:t>。</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5442"/>
        <w:jc w:val="left"/>
      </w:pPr>
      <w:r>
        <w:rPr/>
        <w:t>保证借款分类情况：保证借款的保证单位及金额，参见附注十一、</w:t>
      </w:r>
      <w:r>
        <w:rPr>
          <w:rFonts w:ascii="Times New Roman" w:hAnsi="Times New Roman" w:cs="Times New Roman" w:eastAsia="Times New Roman" w:hint="default"/>
        </w:rPr>
        <w:t>5 </w:t>
      </w:r>
      <w:r>
        <w:rPr/>
        <w:t>其他</w:t>
      </w:r>
      <w:r>
        <w:rPr>
          <w:rFonts w:ascii="Times New Roman" w:hAnsi="Times New Roman" w:cs="Times New Roman" w:eastAsia="Times New Roman" w:hint="default"/>
        </w:rPr>
        <w:t>288,560,000.00</w:t>
      </w:r>
      <w:r>
        <w:rPr/>
        <w:t>元为票据贴现融资。</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19、应付票据及应付账款" w:id="261"/>
      <w:bookmarkEnd w:id="261"/>
      <w:r>
        <w:rPr>
          <w:b w:val="0"/>
          <w:bCs w:val="0"/>
        </w:rPr>
      </w:r>
      <w:r>
        <w:rPr>
          <w:rFonts w:ascii="Times New Roman" w:hAnsi="Times New Roman" w:cs="Times New Roman" w:eastAsia="Times New Roman" w:hint="default"/>
        </w:rPr>
        <w:t>19</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18,118,356.06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34,031,514.02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781,498,784.79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424,448,288.05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799,617,140.85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458,479,802.07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262"/>
      <w:bookmarkEnd w:id="26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18,118,356.06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34,031,514.02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18,118,356.06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34,031,514.02</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应付账款列示" w:id="263"/>
      <w:bookmarkEnd w:id="26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采购及分润款等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781,498,784.79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424,448,288.05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781,498,784.79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424,448,288.05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264"/>
      <w:bookmarkEnd w:id="26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采购及分润款等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86,521,327.32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86,521,327.32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0、预收款项" w:id="265"/>
      <w:bookmarkEnd w:id="265"/>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66"/>
      <w:bookmarkEnd w:id="26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货款及工程项目款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147,561,917.52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84,058,820.51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147,561,917.52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84,058,820.51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267"/>
      <w:bookmarkEnd w:id="26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工程项目款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5,367,049.87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5,367,049.87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1、应付职工薪酬" w:id="268"/>
      <w:bookmarkEnd w:id="268"/>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69"/>
      <w:bookmarkEnd w:id="26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23,849,211.94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360,257,843.86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316,527,399.70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67,579,656.10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10,047,700.94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9,408,641.39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639,059.55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23,849,211.94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370,305,544.80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325,936,041.09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68,218,715.65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270"/>
      <w:bookmarkEnd w:id="27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23,849,211.94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334,564,106.58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292,625,261.18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65,788,057.34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5,723,987.89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5,723,987.89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12,576,972.93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11,270,423.28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1,306,549.65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11,225,505.24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10,054,503.46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1,171,001.78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205,183.63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188,704.52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16,479.11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1,146,284.06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1,027,215.30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119,068.76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5,452,789.92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4,967,740.81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483,371.80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1,939,986.54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1,939,986.54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1,677.31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23,849,211.94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360,257,843.86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316,527,399.70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67,579,656.10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设定提存计划列示" w:id="271"/>
      <w:bookmarkEnd w:id="27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9,754,868.06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9,132,165.19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622,702.87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292,832.88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276,476.20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16,356.68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10,047,700.94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9,408,641.39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639,059.55</w:t>
            </w:r>
          </w:p>
        </w:tc>
      </w:tr>
    </w:tbl>
    <w:p>
      <w:pPr>
        <w:pStyle w:val="BodyText"/>
        <w:spacing w:line="240" w:lineRule="auto" w:before="51"/>
        <w:ind w:right="0"/>
        <w:jc w:val="left"/>
      </w:pPr>
      <w:r>
        <w:rPr/>
        <w:t>其他说明：</w:t>
      </w:r>
    </w:p>
    <w:p>
      <w:pPr>
        <w:pStyle w:val="BodyText"/>
        <w:spacing w:line="316" w:lineRule="auto" w:before="115"/>
        <w:ind w:right="0" w:firstLine="360"/>
        <w:jc w:val="left"/>
      </w:pPr>
      <w:r>
        <w:rPr>
          <w:spacing w:val="-2"/>
        </w:rPr>
        <w:t>本公司按规定参加由政府机构设立的养老保险、失业保险计划。除上述每月缴存费用外，本公司不再承担进一步支付义</w:t>
      </w:r>
      <w:r>
        <w:rPr/>
        <w:t> 务。相应的支出于发生时计入当期损益或相关资产的成本。</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2、应交税费" w:id="272"/>
      <w:bookmarkEnd w:id="272"/>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34,037,200.04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34,756,414.35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38,296,382.39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22,092,326.17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5,177,872.80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483,034.51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946,888.25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523,105.47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276,152.09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223,926.42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514,127.39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405,617.51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342,751.60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180,856.35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1,729,557.96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1,264,636.73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81,320,932.52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59,929,917.51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3、其他应付款" w:id="273"/>
      <w:bookmarkEnd w:id="273"/>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1,132,517.36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1,221,878.06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2,702,879.65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362,188,389.82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604,410,297.09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363,320,907.18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608,335,054.80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274"/>
      <w:bookmarkEnd w:id="27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768,812.92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733,826.73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363,704.44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488,051.33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1,132,517.36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1,221,878.06</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股利" w:id="275"/>
      <w:bookmarkEnd w:id="27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2,702,879.65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2,702,879.65</w:t>
            </w:r>
          </w:p>
        </w:tc>
      </w:tr>
    </w:tbl>
    <w:p>
      <w:pPr>
        <w:pStyle w:val="BodyText"/>
        <w:spacing w:line="338" w:lineRule="auto" w:before="51"/>
        <w:ind w:right="4994"/>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3）其他应付款" w:id="276"/>
      <w:bookmarkEnd w:id="27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13,309,439.25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51,870,339.62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仲裁案件保证金等</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145,679,778.87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4、其他流动负债" w:id="277"/>
      <w:bookmarkEnd w:id="277"/>
      <w:r>
        <w:rPr>
          <w:b w:val="0"/>
          <w:bCs w:val="0"/>
        </w:rPr>
      </w:r>
      <w:r>
        <w:rPr>
          <w:rFonts w:ascii="Times New Roman" w:hAnsi="Times New Roman" w:cs="Times New Roman" w:eastAsia="Times New Roman" w:hint="default"/>
        </w:rPr>
        <w:t>24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200,853.22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200,853.22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5、长期借款" w:id="278"/>
      <w:bookmarkEnd w:id="278"/>
      <w:r>
        <w:rPr>
          <w:b w:val="0"/>
          <w:bCs w:val="0"/>
        </w:rPr>
      </w:r>
      <w:r>
        <w:rPr>
          <w:rFonts w:ascii="Times New Roman" w:hAnsi="Times New Roman" w:cs="Times New Roman" w:eastAsia="Times New Roman" w:hint="default"/>
        </w:rPr>
        <w:t>25</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279"/>
      <w:bookmarkEnd w:id="27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325,500,000.00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342,000,000.00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344,000,000.00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6、长期应付款" w:id="280"/>
      <w:bookmarkEnd w:id="280"/>
      <w:r>
        <w:rPr>
          <w:b w:val="0"/>
          <w:bCs w:val="0"/>
        </w:rPr>
      </w:r>
      <w:r>
        <w:rPr>
          <w:rFonts w:ascii="Times New Roman" w:hAnsi="Times New Roman" w:cs="Times New Roman" w:eastAsia="Times New Roman" w:hint="default"/>
        </w:rPr>
        <w:t>26</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1,484,027.56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1,484,027.56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专项应付款" w:id="281"/>
      <w:bookmarkEnd w:id="281"/>
      <w:r>
        <w:rPr>
          <w:b w:val="0"/>
          <w:bCs w:val="0"/>
        </w:rPr>
      </w:r>
      <w:r>
        <w:rPr/>
        <w:t>（</w:t>
      </w:r>
      <w:r>
        <w:rPr>
          <w:rFonts w:ascii="Times New Roman" w:hAnsi="Times New Roman" w:cs="Times New Roman" w:eastAsia="Times New Roman" w:hint="default"/>
        </w:rPr>
        <w:t>1</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全信通移动电子商 务公共服务平台项 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1,484,027.56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7、递延收益" w:id="282"/>
      <w:bookmarkEnd w:id="282"/>
      <w:r>
        <w:rPr>
          <w:b w:val="0"/>
          <w:bCs w:val="0"/>
        </w:rPr>
      </w:r>
      <w:r>
        <w:rPr>
          <w:rFonts w:ascii="Times New Roman" w:hAnsi="Times New Roman" w:cs="Times New Roman" w:eastAsia="Times New Roman" w:hint="default"/>
        </w:rPr>
        <w:t>27</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277"/>
        <w:gridCol w:w="1134"/>
        <w:gridCol w:w="1275"/>
        <w:gridCol w:w="1276"/>
        <w:gridCol w:w="3755"/>
      </w:tblGrid>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74" w:hRule="exact"/>
        </w:trPr>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10,558,920.40</w:t>
            </w:r>
          </w:p>
        </w:tc>
        <w:tc>
          <w:tcPr>
            <w:tcW w:w="1134" w:type="dxa"/>
            <w:vMerge w:val="restart"/>
            <w:tcBorders>
              <w:top w:val="single" w:sz="4" w:space="0" w:color="000000"/>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3,007,656.44</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7,551,263.96</w:t>
            </w:r>
          </w:p>
        </w:tc>
        <w:tc>
          <w:tcPr>
            <w:tcW w:w="3755" w:type="dxa"/>
            <w:vMerge w:val="restart"/>
            <w:tcBorders>
              <w:top w:val="single" w:sz="4" w:space="0" w:color="000000"/>
              <w:left w:val="single" w:sz="4" w:space="0" w:color="000000"/>
              <w:right w:val="single" w:sz="4" w:space="0" w:color="000000"/>
            </w:tcBorders>
          </w:tcPr>
          <w:p>
            <w:pPr>
              <w:pStyle w:val="TableParagraph"/>
              <w:spacing w:line="312" w:lineRule="auto" w:before="52"/>
              <w:ind w:left="23" w:right="21"/>
              <w:jc w:val="both"/>
              <w:rPr>
                <w:rFonts w:ascii="宋体" w:hAnsi="宋体" w:cs="宋体" w:eastAsia="宋体" w:hint="default"/>
                <w:sz w:val="18"/>
                <w:szCs w:val="18"/>
              </w:rPr>
            </w:pPr>
            <w:r>
              <w:rPr>
                <w:rFonts w:ascii="宋体" w:hAnsi="宋体" w:cs="宋体" w:eastAsia="宋体" w:hint="default"/>
                <w:spacing w:val="-4"/>
                <w:sz w:val="18"/>
                <w:szCs w:val="18"/>
              </w:rPr>
              <w:t>中国（上海）自由贸易试验区管理委员会张江管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理局（中（沪）自贸张管【</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号）拨付 </w:t>
            </w:r>
            <w:r>
              <w:rPr>
                <w:rFonts w:ascii="宋体" w:hAnsi="宋体" w:cs="宋体" w:eastAsia="宋体" w:hint="default"/>
                <w:spacing w:val="-4"/>
                <w:sz w:val="18"/>
                <w:szCs w:val="18"/>
              </w:rPr>
              <w:t>专项发展资金、深圳市科技计划项目合同书（深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发改【</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号拨付技术创新专项资金。</w:t>
            </w:r>
          </w:p>
        </w:tc>
      </w:tr>
      <w:tr>
        <w:trPr>
          <w:trHeight w:val="391" w:hRule="exact"/>
        </w:trPr>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277"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3755" w:type="dxa"/>
            <w:vMerge/>
            <w:tcBorders>
              <w:left w:val="single" w:sz="4" w:space="0" w:color="000000"/>
              <w:right w:val="single" w:sz="4" w:space="0" w:color="000000"/>
            </w:tcBorders>
          </w:tcPr>
          <w:p>
            <w:pPr/>
          </w:p>
        </w:tc>
      </w:tr>
      <w:tr>
        <w:trPr>
          <w:trHeight w:val="473" w:hRule="exact"/>
        </w:trPr>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755" w:type="dxa"/>
            <w:vMerge/>
            <w:tcBorders>
              <w:left w:val="single" w:sz="4" w:space="0" w:color="000000"/>
              <w:bottom w:val="single" w:sz="4" w:space="0" w:color="000000"/>
              <w:right w:val="single" w:sz="4" w:space="0" w:color="000000"/>
            </w:tcBorders>
          </w:tcPr>
          <w:p>
            <w:pP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7" w:right="0"/>
              <w:jc w:val="left"/>
              <w:rPr>
                <w:rFonts w:ascii="Times New Roman" w:hAnsi="Times New Roman" w:cs="Times New Roman" w:eastAsia="Times New Roman" w:hint="default"/>
                <w:sz w:val="18"/>
                <w:szCs w:val="18"/>
              </w:rPr>
            </w:pPr>
            <w:r>
              <w:rPr>
                <w:rFonts w:ascii="Times New Roman"/>
                <w:sz w:val="18"/>
              </w:rPr>
              <w:t>10,558,920.40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7" w:right="0"/>
              <w:jc w:val="left"/>
              <w:rPr>
                <w:rFonts w:ascii="Times New Roman" w:hAnsi="Times New Roman" w:cs="Times New Roman" w:eastAsia="Times New Roman" w:hint="default"/>
                <w:sz w:val="18"/>
                <w:szCs w:val="18"/>
              </w:rPr>
            </w:pPr>
            <w:r>
              <w:rPr>
                <w:rFonts w:ascii="Times New Roman"/>
                <w:sz w:val="18"/>
              </w:rPr>
              <w:t>3,007,656.44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7,551,263.96</w:t>
            </w:r>
          </w:p>
        </w:tc>
        <w:tc>
          <w:tcPr>
            <w:tcW w:w="3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205"/>
        <w:gridCol w:w="923"/>
        <w:gridCol w:w="1064"/>
        <w:gridCol w:w="1063"/>
        <w:gridCol w:w="1063"/>
        <w:gridCol w:w="850"/>
        <w:gridCol w:w="1276"/>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95"/>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创新支付的 第二代系统 服务平台建 设</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7,725,587.02</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1,007,656.52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6,717,930.50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三维模型自 动建造关键 技术研发项 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2,833,333.38</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1,999,999.92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6"/>
        <w:gridCol w:w="1205"/>
        <w:gridCol w:w="923"/>
        <w:gridCol w:w="1064"/>
        <w:gridCol w:w="1063"/>
        <w:gridCol w:w="1063"/>
        <w:gridCol w:w="850"/>
        <w:gridCol w:w="1276"/>
        <w:gridCol w:w="106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10,558,920.40</w:t>
            </w:r>
          </w:p>
        </w:tc>
        <w:tc>
          <w:tcPr>
            <w:tcW w:w="92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3,007,656.44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8" w:right="0"/>
              <w:jc w:val="left"/>
              <w:rPr>
                <w:rFonts w:ascii="Times New Roman" w:hAnsi="Times New Roman" w:cs="Times New Roman" w:eastAsia="Times New Roman" w:hint="default"/>
                <w:sz w:val="18"/>
                <w:szCs w:val="18"/>
              </w:rPr>
            </w:pPr>
            <w:r>
              <w:rPr>
                <w:rFonts w:ascii="Times New Roman"/>
                <w:sz w:val="18"/>
              </w:rPr>
              <w:t>7,551,263.96</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8、股本" w:id="283"/>
      <w:bookmarkEnd w:id="283"/>
      <w:r>
        <w:rPr>
          <w:b w:val="0"/>
          <w:bCs w:val="0"/>
        </w:rPr>
      </w:r>
      <w:r>
        <w:rPr>
          <w:rFonts w:ascii="Times New Roman" w:hAnsi="Times New Roman" w:cs="Times New Roman" w:eastAsia="Times New Roman" w:hint="default"/>
        </w:rPr>
        <w:t>28</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393,120,000.00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393,120,000.00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9、资本公积" w:id="284"/>
      <w:bookmarkEnd w:id="284"/>
      <w:r>
        <w:rPr>
          <w:b w:val="0"/>
          <w:bCs w:val="0"/>
        </w:rPr>
      </w:r>
      <w:r>
        <w:rPr>
          <w:rFonts w:ascii="Times New Roman" w:hAnsi="Times New Roman" w:cs="Times New Roman" w:eastAsia="Times New Roman" w:hint="default"/>
        </w:rPr>
        <w:t>29</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232,937,169.28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56,024,764.94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176,912,404.34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14,222,055.26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14,222,055.26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247,159,224.54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56,024,764.94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191,134,459.60</w:t>
            </w:r>
          </w:p>
        </w:tc>
      </w:tr>
    </w:tbl>
    <w:p>
      <w:pPr>
        <w:pStyle w:val="BodyText"/>
        <w:spacing w:line="357" w:lineRule="auto" w:before="51"/>
        <w:ind w:right="6612"/>
        <w:jc w:val="left"/>
      </w:pPr>
      <w:r>
        <w:rPr/>
        <w:t>其他说明，包括本期增减变动情况、变动原因说明： 本期资本公积减少的原因见附注九、</w:t>
      </w:r>
      <w:r>
        <w:rPr>
          <w:rFonts w:ascii="Times New Roman" w:hAnsi="Times New Roman" w:cs="Times New Roman" w:eastAsia="Times New Roman" w:hint="default"/>
        </w:rPr>
        <w:t>2</w:t>
      </w:r>
      <w:r>
        <w:rPr/>
        <w:t>。</w:t>
      </w:r>
    </w:p>
    <w:p>
      <w:pPr>
        <w:spacing w:line="240" w:lineRule="auto" w:before="6"/>
        <w:rPr>
          <w:rFonts w:ascii="宋体" w:hAnsi="宋体" w:cs="宋体" w:eastAsia="宋体" w:hint="default"/>
          <w:sz w:val="18"/>
          <w:szCs w:val="18"/>
        </w:rPr>
      </w:pPr>
    </w:p>
    <w:p>
      <w:pPr>
        <w:pStyle w:val="Heading4"/>
        <w:spacing w:line="240" w:lineRule="auto"/>
        <w:ind w:right="0"/>
        <w:jc w:val="left"/>
        <w:rPr>
          <w:b w:val="0"/>
          <w:bCs w:val="0"/>
        </w:rPr>
      </w:pPr>
      <w:bookmarkStart w:name="30、其他综合收益" w:id="285"/>
      <w:bookmarkEnd w:id="285"/>
      <w:r>
        <w:rPr>
          <w:b w:val="0"/>
          <w:bCs w:val="0"/>
        </w:rPr>
      </w:r>
      <w:r>
        <w:rPr>
          <w:rFonts w:ascii="Times New Roman" w:hAnsi="Times New Roman" w:cs="Times New Roman" w:eastAsia="Times New Roman" w:hint="default"/>
        </w:rPr>
        <w:t>30</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123,662.48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2,355,697.0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2,355,697.0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2,479,359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-1,036,444.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-1,036,44</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4.97</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123,662.48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3,392,142.0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3,392,142.0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3,515,804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123,662.48</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2,355,697.0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2,355,697.0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2,479,359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1、盈余公积" w:id="286"/>
      <w:bookmarkEnd w:id="286"/>
      <w:r>
        <w:rPr>
          <w:b w:val="0"/>
          <w:bCs w:val="0"/>
        </w:rPr>
      </w:r>
      <w:r>
        <w:rPr>
          <w:rFonts w:ascii="Times New Roman" w:hAnsi="Times New Roman" w:cs="Times New Roman" w:eastAsia="Times New Roman" w:hint="default"/>
        </w:rPr>
        <w:t>31</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34,702,059.48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5,471,323.93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40,173,383.41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34,702,059.48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5,471,323.93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40,173,383.41</w:t>
            </w:r>
          </w:p>
        </w:tc>
      </w:tr>
    </w:tbl>
    <w:p>
      <w:pPr>
        <w:pStyle w:val="BodyText"/>
        <w:spacing w:line="240" w:lineRule="auto" w:before="51"/>
        <w:ind w:right="0"/>
        <w:jc w:val="left"/>
      </w:pPr>
      <w:r>
        <w:rPr/>
        <w:t>盈余公积说明，包括本期增减变动情况、变动原因说明：</w:t>
      </w:r>
    </w:p>
    <w:p>
      <w:pPr>
        <w:pStyle w:val="BodyText"/>
        <w:spacing w:line="240" w:lineRule="auto" w:before="116"/>
        <w:ind w:right="0"/>
        <w:jc w:val="left"/>
      </w:pPr>
      <w:r>
        <w:rPr>
          <w:rFonts w:ascii="Times New Roman" w:hAnsi="Times New Roman" w:cs="Times New Roman" w:eastAsia="Times New Roman" w:hint="default"/>
        </w:rPr>
        <w:t>1</w:t>
      </w:r>
      <w:r>
        <w:rPr/>
        <w:t>、由于重大会计差错更正，本公司调增年初盈余公积</w:t>
      </w:r>
      <w:r>
        <w:rPr>
          <w:rFonts w:ascii="Times New Roman" w:hAnsi="Times New Roman" w:cs="Times New Roman" w:eastAsia="Times New Roman" w:hint="default"/>
        </w:rPr>
        <w:t>172,859.79</w:t>
      </w:r>
      <w:r>
        <w:rPr/>
        <w:t>元；</w:t>
      </w:r>
    </w:p>
    <w:p>
      <w:pPr>
        <w:pStyle w:val="BodyText"/>
        <w:spacing w:line="240" w:lineRule="auto" w:before="63"/>
        <w:ind w:right="0"/>
        <w:jc w:val="left"/>
      </w:pPr>
      <w:r>
        <w:rPr>
          <w:rFonts w:ascii="Times New Roman" w:hAnsi="Times New Roman" w:cs="Times New Roman" w:eastAsia="Times New Roman" w:hint="default"/>
        </w:rPr>
        <w:t>2</w:t>
      </w:r>
      <w:r>
        <w:rPr/>
        <w:t>、本报告期母公司实现盈利，提取法定盈余公积</w:t>
      </w:r>
      <w:r>
        <w:rPr>
          <w:rFonts w:ascii="Times New Roman" w:hAnsi="Times New Roman" w:cs="Times New Roman" w:eastAsia="Times New Roman" w:hint="default"/>
        </w:rPr>
        <w:t>5,471,323.93</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2、未分配利润" w:id="287"/>
      <w:bookmarkEnd w:id="287"/>
      <w:r>
        <w:rPr>
          <w:b w:val="0"/>
          <w:bCs w:val="0"/>
        </w:rPr>
      </w:r>
      <w:r>
        <w:rPr>
          <w:rFonts w:ascii="Times New Roman" w:hAnsi="Times New Roman" w:cs="Times New Roman" w:eastAsia="Times New Roman" w:hint="default"/>
        </w:rPr>
        <w:t>32</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156,547,852.13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180,896,024.54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1,555,738.06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1,555,738.06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158,103,590.19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182,451,762.60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100,026,434.62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-24,348,172.41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5,471,323.93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252,658,700.88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158,103,590.19</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1,555,738.06</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3、营业收入和营业成本" w:id="288"/>
      <w:bookmarkEnd w:id="288"/>
      <w:r>
        <w:rPr>
          <w:b w:val="0"/>
          <w:bCs w:val="0"/>
        </w:rPr>
      </w:r>
      <w:r>
        <w:rPr>
          <w:rFonts w:ascii="Times New Roman" w:hAnsi="Times New Roman" w:cs="Times New Roman" w:eastAsia="Times New Roman" w:hint="default"/>
        </w:rPr>
        <w:t>33</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3,916,905,479.58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2,554,712,573.34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1,030,722,098.99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694,456,130.71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4,612,382.53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3,421,670.02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3,921,517,862.11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2,554,712,573.34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1,034,143,769.01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694,456,130.71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4、税金及附加" w:id="289"/>
      <w:bookmarkEnd w:id="289"/>
      <w:r>
        <w:rPr>
          <w:b w:val="0"/>
          <w:bCs w:val="0"/>
        </w:rPr>
      </w:r>
      <w:r>
        <w:rPr>
          <w:rFonts w:ascii="Times New Roman" w:hAnsi="Times New Roman" w:cs="Times New Roman" w:eastAsia="Times New Roman" w:hint="default"/>
        </w:rPr>
        <w:t>34</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5,883,447.11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1,276,009.56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4,838,084.21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1,288,193.02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697,339.42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278,333.23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1,593,059.54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1,234,509.29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444,319.88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155,007.88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13,456,250.16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4,232,052.98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5、销售费用" w:id="290"/>
      <w:bookmarkEnd w:id="290"/>
      <w:r>
        <w:rPr>
          <w:b w:val="0"/>
          <w:bCs w:val="0"/>
        </w:rPr>
      </w:r>
      <w:r>
        <w:rPr>
          <w:rFonts w:ascii="Times New Roman" w:hAnsi="Times New Roman" w:cs="Times New Roman" w:eastAsia="Times New Roman" w:hint="default"/>
        </w:rPr>
        <w:t>35</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11,478,563.42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10,790,282.58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4,286,577.18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5,043,299.22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4,734,902.12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2,681,421.20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1,714,498.83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2,643,991.40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845,431.08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3,711,317.17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1,978,379.67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2,029,436.72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市场营销费用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218,656,204.58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31,230,531.22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6,779,355.74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7,565,529.54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250,473,912.62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65,695,809.05</w:t>
            </w:r>
          </w:p>
        </w:tc>
      </w:tr>
    </w:tbl>
    <w:p>
      <w:pPr>
        <w:pStyle w:val="BodyText"/>
        <w:spacing w:line="240" w:lineRule="auto" w:before="51"/>
        <w:ind w:right="0"/>
        <w:jc w:val="left"/>
      </w:pPr>
      <w:r>
        <w:rPr/>
        <w:t>其他说明：</w:t>
      </w:r>
    </w:p>
    <w:p>
      <w:pPr>
        <w:pStyle w:val="BodyText"/>
        <w:spacing w:line="302" w:lineRule="auto" w:before="116"/>
        <w:ind w:right="1130" w:firstLine="360"/>
        <w:jc w:val="left"/>
      </w:pPr>
      <w:r>
        <w:rPr/>
        <w:t>销售费用比上年同期增加了</w:t>
      </w:r>
      <w:r>
        <w:rPr>
          <w:rFonts w:ascii="Times New Roman" w:hAnsi="Times New Roman" w:cs="Times New Roman" w:eastAsia="Times New Roman" w:hint="default"/>
        </w:rPr>
        <w:t>281.26%</w:t>
      </w:r>
      <w:r>
        <w:rPr/>
        <w:t>，主要原因是：公司的销售费用主要为上海即富产生的，而上海即富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 </w:t>
      </w:r>
      <w:r>
        <w:rPr/>
        <w:t>日纳入合并报表，公司</w:t>
      </w:r>
      <w:r>
        <w:rPr>
          <w:rFonts w:ascii="Times New Roman" w:hAnsi="Times New Roman" w:cs="Times New Roman" w:eastAsia="Times New Roman" w:hint="default"/>
        </w:rPr>
        <w:t>2017</w:t>
      </w:r>
      <w:r>
        <w:rPr/>
        <w:t>年度合并报表只合并了上海即富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10-12</w:t>
      </w:r>
      <w:r>
        <w:rPr/>
        <w:t>月利润表。</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36、管理费用" w:id="291"/>
      <w:bookmarkEnd w:id="291"/>
      <w:r>
        <w:rPr>
          <w:b w:val="0"/>
          <w:bCs w:val="0"/>
        </w:rPr>
      </w:r>
      <w:r>
        <w:rPr>
          <w:rFonts w:ascii="Times New Roman" w:hAnsi="Times New Roman" w:cs="Times New Roman" w:eastAsia="Times New Roman" w:hint="default"/>
        </w:rPr>
        <w:t>36</w:t>
      </w:r>
      <w:r>
        <w:rPr/>
        <w:t>、管理费用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薪酬费用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264,087,330.72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57,184,176.72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70,685,871.27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8,803,505.47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4,585,988.66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13,694,494.54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14,575,369.87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6,653,715.59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29,981,270.91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6,880,776.32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5,513,308.11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3,780,852.40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23,793,396.11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10,733,751.98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摊提费用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9,938,074.72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7,494,737.02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1,732,336.83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4,598,126.13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11,095,096.25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22,173,285.93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435,988,043.45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141,997,422.10</w:t>
            </w:r>
          </w:p>
        </w:tc>
      </w:tr>
    </w:tbl>
    <w:p>
      <w:pPr>
        <w:pStyle w:val="BodyText"/>
        <w:spacing w:line="240" w:lineRule="auto" w:before="51"/>
        <w:ind w:right="0"/>
        <w:jc w:val="left"/>
      </w:pPr>
      <w:r>
        <w:rPr/>
        <w:t>其他说明：</w:t>
      </w:r>
    </w:p>
    <w:p>
      <w:pPr>
        <w:spacing w:line="240" w:lineRule="auto" w:before="0"/>
        <w:rPr>
          <w:rFonts w:ascii="宋体" w:hAnsi="宋体" w:cs="宋体" w:eastAsia="宋体" w:hint="default"/>
          <w:sz w:val="18"/>
          <w:szCs w:val="18"/>
        </w:rPr>
      </w:pPr>
    </w:p>
    <w:p>
      <w:pPr>
        <w:pStyle w:val="BodyText"/>
        <w:spacing w:line="300" w:lineRule="auto" w:before="141"/>
        <w:ind w:right="1130"/>
        <w:jc w:val="left"/>
      </w:pPr>
      <w:r>
        <w:rPr/>
        <w:t>管理费用比上年同期增加了</w:t>
      </w:r>
      <w:r>
        <w:rPr>
          <w:rFonts w:ascii="Times New Roman" w:hAnsi="Times New Roman" w:cs="Times New Roman" w:eastAsia="Times New Roman" w:hint="default"/>
        </w:rPr>
        <w:t>207.04%</w:t>
      </w:r>
      <w:r>
        <w:rPr/>
        <w:t>，主要原因是：公司的管理费用主要为上海即富产生的，而上海即富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日纳</w:t>
      </w:r>
      <w:r>
        <w:rPr>
          <w:spacing w:val="-15"/>
        </w:rPr>
        <w:t> </w:t>
      </w:r>
      <w:r>
        <w:rPr/>
        <w:t>入合并报表，公司</w:t>
      </w:r>
      <w:r>
        <w:rPr>
          <w:rFonts w:ascii="Times New Roman" w:hAnsi="Times New Roman" w:cs="Times New Roman" w:eastAsia="Times New Roman" w:hint="default"/>
        </w:rPr>
        <w:t>2017</w:t>
      </w:r>
      <w:r>
        <w:rPr/>
        <w:t>年度合并报表只合并了上海即富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10-12</w:t>
      </w:r>
      <w:r>
        <w:rPr/>
        <w:t>月利润表。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37、研发费用" w:id="292"/>
      <w:bookmarkEnd w:id="292"/>
      <w:r>
        <w:rPr>
          <w:b w:val="0"/>
          <w:bCs w:val="0"/>
        </w:rPr>
      </w:r>
      <w:r>
        <w:rPr>
          <w:rFonts w:ascii="Times New Roman" w:hAnsi="Times New Roman" w:cs="Times New Roman" w:eastAsia="Times New Roman" w:hint="default"/>
        </w:rPr>
        <w:t>37</w:t>
      </w:r>
      <w:r>
        <w:rPr/>
        <w:t>、研发费用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436,625.94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312,882.29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94,739,650.66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24,728,194.58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8,177,823.99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182,785.19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21,621,715.80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12,398,723.89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124,975,816.39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37,622,585.95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8、财务费用" w:id="293"/>
      <w:bookmarkEnd w:id="293"/>
      <w:r>
        <w:rPr>
          <w:b w:val="0"/>
          <w:bCs w:val="0"/>
        </w:rPr>
      </w:r>
      <w:r>
        <w:rPr>
          <w:rFonts w:ascii="Times New Roman" w:hAnsi="Times New Roman" w:cs="Times New Roman" w:eastAsia="Times New Roman" w:hint="default"/>
        </w:rPr>
        <w:t>38</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51,443,958.63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29,624,906.66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2,525,706.21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4,749,035.58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1,139,228.83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590,986.95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1,937,101.08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5,024,176.58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-300.06</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51,995,392.86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30,491,234.61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9、资产减值损失" w:id="294"/>
      <w:bookmarkEnd w:id="294"/>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65,222,789.32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10,125,809.30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4,828,504.00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893,724.00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70,945,017.32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10,125,809.30</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其他</w:t>
      </w:r>
      <w:r>
        <w:rPr>
          <w:rFonts w:ascii="Times New Roman" w:hAnsi="Times New Roman" w:cs="Times New Roman" w:eastAsia="Times New Roman" w:hint="default"/>
        </w:rPr>
        <w:t>893,724.00</w:t>
      </w:r>
      <w:r>
        <w:rPr/>
        <w:t>元为贷款减值准备。</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0、其他收益" w:id="295"/>
      <w:bookmarkEnd w:id="295"/>
      <w:r>
        <w:rPr>
          <w:b w:val="0"/>
          <w:bCs w:val="0"/>
        </w:rPr>
      </w:r>
      <w:r>
        <w:rPr>
          <w:rFonts w:ascii="Times New Roman" w:hAnsi="Times New Roman" w:cs="Times New Roman" w:eastAsia="Times New Roman" w:hint="default"/>
        </w:rPr>
        <w:t>40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43,578,428.62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1,423,080.52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43,578,428.62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1,423,080.52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1、投资收益" w:id="296"/>
      <w:bookmarkEnd w:id="296"/>
      <w:r>
        <w:rPr>
          <w:b w:val="0"/>
          <w:bCs w:val="0"/>
        </w:rPr>
      </w:r>
      <w:r>
        <w:rPr>
          <w:rFonts w:ascii="Times New Roman" w:hAnsi="Times New Roman" w:cs="Times New Roman" w:eastAsia="Times New Roman" w:hint="default"/>
        </w:rPr>
        <w:t>41</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9,737,631.12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3,580,873.14</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715,533.02</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2,132,654.53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624,268.13</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11,870,285.65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4,920,674.29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2、资产处置收益" w:id="297"/>
      <w:bookmarkEnd w:id="297"/>
      <w:r>
        <w:rPr>
          <w:b w:val="0"/>
          <w:bCs w:val="0"/>
        </w:rPr>
      </w:r>
      <w:r>
        <w:rPr>
          <w:rFonts w:ascii="Times New Roman" w:hAnsi="Times New Roman" w:cs="Times New Roman" w:eastAsia="Times New Roman" w:hint="default"/>
        </w:rPr>
        <w:t>42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3,626,694.89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938,939.28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3,626,694.89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938,939.28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3、营业外收入" w:id="298"/>
      <w:bookmarkEnd w:id="298"/>
      <w:r>
        <w:rPr>
          <w:b w:val="0"/>
          <w:bCs w:val="0"/>
        </w:rPr>
      </w:r>
      <w:r>
        <w:rPr>
          <w:rFonts w:ascii="Times New Roman" w:hAnsi="Times New Roman" w:cs="Times New Roman" w:eastAsia="Times New Roman" w:hint="default"/>
        </w:rPr>
        <w:t>43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6,429,416.00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6,429,416.00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1,551,727.45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245,752.20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1,551,727.45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7,981,143.45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282,352.20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7,981,143.45</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所得税退税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国家税务总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19,398,109.9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长宁扶持专 项资金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上海市长宁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13,798,000.0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上海市张江 科学城建设 管理办公室 税收返还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上海市浦东 新区世博地 区开发管理 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1,166,666.62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湖州经济技 术开发区项 目投资与合 作</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湖州经济技 术开发区管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2,701,500.00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20170361</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消费机</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RGB-D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设备</w:t>
            </w:r>
          </w:p>
          <w:p>
            <w:pPr>
              <w:pStyle w:val="TableParagraph"/>
              <w:spacing w:line="319" w:lineRule="auto" w:before="63"/>
              <w:ind w:left="22" w:right="131"/>
              <w:jc w:val="both"/>
              <w:rPr>
                <w:rFonts w:ascii="宋体" w:hAnsi="宋体" w:cs="宋体" w:eastAsia="宋体" w:hint="default"/>
                <w:sz w:val="18"/>
                <w:szCs w:val="18"/>
              </w:rPr>
            </w:pPr>
            <w:r>
              <w:rPr>
                <w:rFonts w:ascii="宋体" w:hAnsi="宋体" w:cs="宋体" w:eastAsia="宋体" w:hint="default"/>
                <w:sz w:val="18"/>
                <w:szCs w:val="18"/>
              </w:rPr>
              <w:t>的三维模型 自动建造关 键技术研发 项目的政府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27"/>
              <w:jc w:val="left"/>
              <w:rPr>
                <w:rFonts w:ascii="宋体" w:hAnsi="宋体" w:cs="宋体" w:eastAsia="宋体" w:hint="default"/>
                <w:sz w:val="18"/>
                <w:szCs w:val="18"/>
              </w:rPr>
            </w:pPr>
            <w:r>
              <w:rPr>
                <w:rFonts w:ascii="宋体" w:hAnsi="宋体" w:cs="宋体" w:eastAsia="宋体" w:hint="default"/>
                <w:sz w:val="18"/>
                <w:szCs w:val="18"/>
              </w:rPr>
              <w:t>深圳市科创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pt;height:54.6pt;mso-position-horizontal-relative:char;mso-position-vertical-relative:line" coordorigin="0,0" coordsize="1054,1092">
                  <v:group style="position:absolute;left:0;top:0;width:1054;height:1092" coordorigin="0,0" coordsize="1054,1092">
                    <v:shape style="position:absolute;left:0;top:0;width:1054;height:1092" coordorigin="0,0" coordsize="1054,1092" path="m0,1092l1054,1092,105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1,999,999.92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66,666.64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w:t>
            </w:r>
            <w:r>
              <w:rPr>
                <w:rFonts w:ascii="宋体" w:hAnsi="宋体" w:cs="宋体" w:eastAsia="宋体" w:hint="default"/>
                <w:sz w:val="18"/>
                <w:szCs w:val="18"/>
              </w:rPr>
              <w:t>一 事一议</w:t>
            </w:r>
            <w:r>
              <w:rPr>
                <w:rFonts w:ascii="Times New Roman" w:hAnsi="Times New Roman" w:cs="Times New Roman" w:eastAsia="Times New Roman" w:hint="default"/>
                <w:sz w:val="18"/>
                <w:szCs w:val="18"/>
              </w:rPr>
              <w:t>"</w:t>
            </w:r>
            <w:r>
              <w:rPr>
                <w:rFonts w:ascii="宋体" w:hAnsi="宋体" w:cs="宋体" w:eastAsia="宋体" w:hint="default"/>
                <w:sz w:val="18"/>
                <w:szCs w:val="18"/>
              </w:rPr>
              <w:t>奖励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杭州市萧山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研究开发资 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深圳市科创 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1,667,000.00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71"/>
              <w:ind w:left="22" w:right="-54"/>
              <w:jc w:val="left"/>
              <w:rPr>
                <w:rFonts w:ascii="宋体" w:hAnsi="宋体" w:cs="宋体" w:eastAsia="宋体" w:hint="default"/>
                <w:sz w:val="18"/>
                <w:szCs w:val="18"/>
              </w:rPr>
            </w:pPr>
            <w:r>
              <w:rPr>
                <w:rFonts w:ascii="宋体" w:hAnsi="宋体" w:cs="宋体" w:eastAsia="宋体" w:hint="default"/>
                <w:sz w:val="18"/>
                <w:szCs w:val="18"/>
              </w:rPr>
              <w:t>中国（上海） 自由贸易试 验区管理委</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51"/>
              <w:ind w:left="16" w:right="127"/>
              <w:jc w:val="both"/>
              <w:rPr>
                <w:rFonts w:ascii="宋体" w:hAnsi="宋体" w:cs="宋体" w:eastAsia="宋体" w:hint="default"/>
                <w:sz w:val="18"/>
                <w:szCs w:val="18"/>
              </w:rPr>
            </w:pPr>
            <w:r>
              <w:rPr>
                <w:rFonts w:ascii="宋体" w:hAnsi="宋体" w:cs="宋体" w:eastAsia="宋体" w:hint="default"/>
                <w:sz w:val="18"/>
                <w:szCs w:val="18"/>
              </w:rPr>
              <w:t>上海市张江 高科技园区 管理委员会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1,007,656.52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256,413.90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员会支付系 统平台建设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安徽无为经 历开发区管 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983,660.04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上海市浦东 新区科技和 经济委员会 科技发展基 金补贴金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上海市浦东 新区财政局 国库存款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both"/>
              <w:rPr>
                <w:rFonts w:ascii="宋体" w:hAnsi="宋体" w:cs="宋体" w:eastAsia="宋体" w:hint="default"/>
                <w:sz w:val="18"/>
                <w:szCs w:val="18"/>
              </w:rPr>
            </w:pPr>
            <w:r>
              <w:rPr>
                <w:rFonts w:ascii="宋体" w:hAnsi="宋体" w:cs="宋体" w:eastAsia="宋体" w:hint="default"/>
                <w:sz w:val="18"/>
                <w:szCs w:val="18"/>
              </w:rPr>
              <w:t>电子商务财 政专项资金 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7"/>
              <w:jc w:val="left"/>
              <w:rPr>
                <w:rFonts w:ascii="宋体" w:hAnsi="宋体" w:cs="宋体" w:eastAsia="宋体" w:hint="default"/>
                <w:sz w:val="18"/>
                <w:szCs w:val="18"/>
              </w:rPr>
            </w:pPr>
            <w:r>
              <w:rPr>
                <w:rFonts w:ascii="宋体" w:hAnsi="宋体" w:cs="宋体" w:eastAsia="宋体" w:hint="default"/>
                <w:sz w:val="18"/>
                <w:szCs w:val="18"/>
              </w:rPr>
              <w:t>湖州市人民 政府办公室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租金补贴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杭州市萧山 区人民政府 新塘街道办 事处</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年商务 惠企政策资 </w:t>
            </w:r>
            <w:r>
              <w:rPr>
                <w:rFonts w:ascii="宋体" w:hAnsi="宋体" w:cs="宋体" w:eastAsia="宋体" w:hint="default"/>
                <w:spacing w:val="-12"/>
                <w:sz w:val="18"/>
                <w:szCs w:val="18"/>
              </w:rPr>
              <w:t>金（二次创业</w:t>
            </w:r>
            <w:r>
              <w:rPr>
                <w:rFonts w:ascii="宋体" w:hAnsi="宋体" w:cs="宋体" w:eastAsia="宋体" w:hint="default"/>
                <w:sz w:val="18"/>
                <w:szCs w:val="18"/>
              </w:rPr>
              <w:t> 资金）</w:t>
            </w:r>
            <w:r>
              <w:rPr>
                <w:rFonts w:ascii="Times New Roman" w:hAnsi="Times New Roman" w:cs="Times New Roman" w:eastAsia="Times New Roman" w:hint="default"/>
                <w:sz w:val="18"/>
                <w:szCs w:val="18"/>
              </w:rPr>
              <w:t>-</w:t>
            </w:r>
            <w:r>
              <w:rPr>
                <w:rFonts w:ascii="宋体" w:hAnsi="宋体" w:cs="宋体" w:eastAsia="宋体" w:hint="default"/>
                <w:sz w:val="18"/>
                <w:szCs w:val="18"/>
              </w:rPr>
              <w:t>突出 贡献商贸企 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泉州市丰泽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265,730.00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上海市浦东 新区国家税 务局个税返 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27"/>
              <w:jc w:val="left"/>
              <w:rPr>
                <w:rFonts w:ascii="宋体" w:hAnsi="宋体" w:cs="宋体" w:eastAsia="宋体" w:hint="default"/>
                <w:sz w:val="18"/>
                <w:szCs w:val="18"/>
              </w:rPr>
            </w:pPr>
            <w:r>
              <w:rPr>
                <w:rFonts w:ascii="宋体" w:hAnsi="宋体" w:cs="宋体" w:eastAsia="宋体" w:hint="default"/>
                <w:sz w:val="18"/>
                <w:szCs w:val="18"/>
              </w:rPr>
              <w:t>国家税务总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224,344.52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国家高新技 术企业倍增 支持计划项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深圳市财政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上海就业促 进中心为促 进就业稳岗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上海市人社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41,080.00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国家高新技 术认定奖补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个税补贴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27"/>
              <w:jc w:val="left"/>
              <w:rPr>
                <w:rFonts w:ascii="宋体" w:hAnsi="宋体" w:cs="宋体" w:eastAsia="宋体" w:hint="default"/>
                <w:sz w:val="18"/>
                <w:szCs w:val="18"/>
              </w:rPr>
            </w:pPr>
            <w:r>
              <w:rPr>
                <w:rFonts w:ascii="宋体" w:hAnsi="宋体" w:cs="宋体" w:eastAsia="宋体" w:hint="default"/>
                <w:sz w:val="18"/>
                <w:szCs w:val="18"/>
              </w:rPr>
              <w:t>深圳市财政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10,876.00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科技计划资 助项目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15,187.71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50,007,844.6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1,459,680.52</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44、营业外支出" w:id="299"/>
      <w:bookmarkEnd w:id="299"/>
      <w:r>
        <w:rPr>
          <w:b w:val="0"/>
          <w:bCs w:val="0"/>
        </w:rPr>
      </w:r>
      <w:r>
        <w:rPr>
          <w:rFonts w:ascii="Times New Roman" w:hAnsi="Times New Roman" w:cs="Times New Roman" w:eastAsia="Times New Roman" w:hint="default"/>
        </w:rPr>
        <w:t>44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121,600.00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退回以前年度政府补助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1,900,547.24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899,724.36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1,900,547.24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超业绩奖励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86,824,629.52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91,846,776.76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1,043,624.36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5,022,147.24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5、所得税费用" w:id="300"/>
      <w:bookmarkEnd w:id="300"/>
      <w:r>
        <w:rPr>
          <w:b w:val="0"/>
          <w:bCs w:val="0"/>
        </w:rPr>
      </w:r>
      <w:r>
        <w:rPr>
          <w:rFonts w:ascii="Times New Roman" w:hAnsi="Times New Roman" w:cs="Times New Roman" w:eastAsia="Times New Roman" w:hint="default"/>
        </w:rPr>
        <w:t>45</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01"/>
      <w:bookmarkEnd w:id="30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90,630,908.66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8,537,409.09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-2,387,211.18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-452,774.05</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88,243,697.48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8,084,635.04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02"/>
      <w:bookmarkEnd w:id="30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406,137,507.11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60,920,626.07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161,650.58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2,638,135.16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-22,347,320.52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37,102,332.00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-12,797,910.90</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22,566,185.09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88,243,697.48</w:t>
            </w:r>
          </w:p>
        </w:tc>
      </w:tr>
    </w:tbl>
    <w:p>
      <w:pPr>
        <w:spacing w:line="240" w:lineRule="auto" w:before="2"/>
        <w:rPr>
          <w:rFonts w:ascii="宋体" w:hAnsi="宋体" w:cs="宋体" w:eastAsia="宋体" w:hint="default"/>
          <w:sz w:val="19"/>
          <w:szCs w:val="19"/>
        </w:rPr>
      </w:pPr>
    </w:p>
    <w:p>
      <w:pPr>
        <w:spacing w:line="544" w:lineRule="auto" w:before="35"/>
        <w:ind w:left="154" w:right="8855" w:firstLine="0"/>
        <w:jc w:val="left"/>
        <w:rPr>
          <w:rFonts w:ascii="宋体" w:hAnsi="宋体" w:cs="宋体" w:eastAsia="宋体" w:hint="default"/>
          <w:sz w:val="21"/>
          <w:szCs w:val="21"/>
        </w:rPr>
      </w:pPr>
      <w:bookmarkStart w:name="46、其他综合收益" w:id="303"/>
      <w:bookmarkEnd w:id="303"/>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bookmarkStart w:name="47、现金流量表项目" w:id="304"/>
      <w:bookmarkEnd w:id="304"/>
      <w:r>
        <w:rPr>
          <w:rFonts w:ascii="宋体" w:hAnsi="宋体" w:cs="宋体" w:eastAsia="宋体" w:hint="default"/>
          <w:sz w:val="18"/>
          <w:szCs w:val="18"/>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0"/>
        <w:jc w:val="left"/>
        <w:rPr>
          <w:b w:val="0"/>
          <w:bCs w:val="0"/>
        </w:rPr>
      </w:pPr>
      <w:bookmarkStart w:name="（1）收到的其他与经营活动有关的现金" w:id="305"/>
      <w:bookmarkEnd w:id="30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收其他往来款等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1,245,409,339.00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96,406,356.38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2,525,706.21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4,749,035.58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22,204,073.71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4,036,600.00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1,270,139,118.92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105,191,991.96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支付的其他与经营活动有关的现金" w:id="306"/>
      <w:bookmarkEnd w:id="30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882,008,366.89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84,545,656.59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265,903,408.41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249,803,982.68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1,489,977.34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719,205.40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1,149,401,752.64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335,068,844.67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收到的其他与投资活动有关的现金" w:id="307"/>
      <w:bookmarkEnd w:id="30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支付的其他与投资活动有关的现金" w:id="308"/>
      <w:bookmarkEnd w:id="30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处置子公司及其他营业单位支付的现金 净额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1,225,722.64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1,225,722.64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收到的其他与筹资活动有关的现金" w:id="309"/>
      <w:bookmarkEnd w:id="30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收回的保证金存款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137,565,671.36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198,730,904.08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收到的票据贴现款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179,186,573.06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316,752,244.42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544,440,904.08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支付的其他与筹资活动有关的现金" w:id="310"/>
      <w:bookmarkEnd w:id="31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519.190002pt;width:151.25pt;height:40.9pt;mso-position-horizontal-relative:page;mso-position-vertical-relative:page;z-index:-1027336" coordorigin="4467,10384" coordsize="3025,818">
            <v:group style="position:absolute;left:4478;top:10395;width:2;height:393" coordorigin="4478,10395" coordsize="2,393">
              <v:shape style="position:absolute;left:4478;top:10395;width:2;height:393" coordorigin="4478,10395" coordsize="0,393" path="m4478,10395l4478,10788e" filled="false" stroked="true" strokeweight="1.140pt" strokecolor="#ffffff">
                <v:path arrowok="t"/>
              </v:shape>
            </v:group>
            <v:group style="position:absolute;left:4490;top:10395;width:3002;height:393" coordorigin="4490,10395" coordsize="3002,393">
              <v:shape style="position:absolute;left:4490;top:10395;width:3002;height:393" coordorigin="4490,10395" coordsize="3002,393" path="m4490,10788l7491,10788,7491,10395,4490,10395,4490,10788xe" filled="true" fillcolor="#ffffff" stroked="false">
                <v:path arrowok="t"/>
                <v:fill type="solid"/>
              </v:shape>
            </v:group>
            <v:group style="position:absolute;left:4478;top:10797;width:2;height:393" coordorigin="4478,10797" coordsize="2,393">
              <v:shape style="position:absolute;left:4478;top:10797;width:2;height:393" coordorigin="4478,10797" coordsize="0,393" path="m4478,10797l4478,11190e" filled="false" stroked="true" strokeweight="1.140pt" strokecolor="#ffffff">
                <v:path arrowok="t"/>
              </v:shape>
            </v:group>
            <v:group style="position:absolute;left:4490;top:10797;width:3002;height:393" coordorigin="4490,10797" coordsize="3002,393">
              <v:shape style="position:absolute;left:4490;top:10797;width:3002;height:393" coordorigin="4490,10797" coordsize="3002,393" path="m4490,11190l7491,11190,7491,10797,4490,10797,4490,1119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支付的保证金存款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220,351,100.18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133,844,515.62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归还拆借资金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支付贴现票据到期款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9,862,484.37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支付少数股东股权款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53,625,000.00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283,838,584.55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373,844,515.62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8、现金流量表补充资料" w:id="311"/>
      <w:bookmarkEnd w:id="311"/>
      <w:r>
        <w:rPr>
          <w:b w:val="0"/>
          <w:bCs w:val="0"/>
        </w:rPr>
      </w:r>
      <w:r>
        <w:rPr>
          <w:rFonts w:ascii="Times New Roman" w:hAnsi="Times New Roman" w:cs="Times New Roman" w:eastAsia="Times New Roman" w:hint="default"/>
        </w:rPr>
        <w:t>48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12"/>
      <w:bookmarkEnd w:id="31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317,893,809.63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49,919,915.39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70,945,017.32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10,125,809.30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81,044,459.42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14,990,345.78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10,339,165.99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5,669,314.93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2,525,998.82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919,575.94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-3,626,694.89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938,939.28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53,381,059.71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34,649,083.24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35" w:right="0"/>
              <w:jc w:val="left"/>
              <w:rPr>
                <w:rFonts w:ascii="Times New Roman" w:hAnsi="Times New Roman" w:cs="Times New Roman" w:eastAsia="Times New Roman" w:hint="default"/>
                <w:sz w:val="18"/>
                <w:szCs w:val="18"/>
              </w:rPr>
            </w:pPr>
            <w:r>
              <w:rPr>
                <w:rFonts w:ascii="Times New Roman"/>
                <w:sz w:val="18"/>
              </w:rPr>
              <w:t>-11,870,285.65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-4,920,674.29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-1,893,644.09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-4,388,354.15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-493,567.09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3,935,580.10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16,412,095.05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-10,509,995.74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-40,492,108.07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41,018,630.30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361,642,948.97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-126,088,152.55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855,808,255.12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16,260,017.53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233,804,576.93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517,802,114.22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517,802,114.22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588,983,526.00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0" w:right="0"/>
              <w:jc w:val="left"/>
              <w:rPr>
                <w:rFonts w:ascii="Times New Roman" w:hAnsi="Times New Roman" w:cs="Times New Roman" w:eastAsia="Times New Roman" w:hint="default"/>
                <w:sz w:val="18"/>
                <w:szCs w:val="18"/>
              </w:rPr>
            </w:pPr>
            <w:r>
              <w:rPr>
                <w:rFonts w:ascii="Times New Roman"/>
                <w:sz w:val="18"/>
              </w:rPr>
              <w:t>-283,997,537.29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3" w:right="0"/>
              <w:jc w:val="left"/>
              <w:rPr>
                <w:rFonts w:ascii="Times New Roman" w:hAnsi="Times New Roman" w:cs="Times New Roman" w:eastAsia="Times New Roman" w:hint="default"/>
                <w:sz w:val="18"/>
                <w:szCs w:val="18"/>
              </w:rPr>
            </w:pPr>
            <w:r>
              <w:rPr>
                <w:rFonts w:ascii="Times New Roman"/>
                <w:sz w:val="18"/>
              </w:rPr>
              <w:t>-71,181,411.78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13"/>
      <w:bookmarkEnd w:id="31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广州宽客投资管理有限公司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5,336.74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广州宽客投资管理有限公司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5,336.74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494,663.26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现金和现金等价物的构成" w:id="314"/>
      <w:bookmarkEnd w:id="31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233,804,576.93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517,802,114.22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357,966.18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791,039.98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218,430,425.82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481,098,151.54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15,016,184.93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35,912,922.70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233,804,576.93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517,802,114.22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9、所有权或使用权受到限制的资产" w:id="315"/>
      <w:bookmarkEnd w:id="315"/>
      <w:r>
        <w:rPr>
          <w:b w:val="0"/>
          <w:bCs w:val="0"/>
        </w:rPr>
      </w:r>
      <w:r>
        <w:rPr>
          <w:rFonts w:ascii="Times New Roman" w:hAnsi="Times New Roman" w:cs="Times New Roman" w:eastAsia="Times New Roman" w:hint="default"/>
        </w:rPr>
        <w:t>49</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1843"/>
        <w:gridCol w:w="6307"/>
      </w:tblGrid>
      <w:tr>
        <w:trPr>
          <w:trHeight w:val="401"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6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139,157,725.00</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银行承兑汇票保证金、银行保函保证金、质押贷款定期存单等。</w:t>
            </w:r>
          </w:p>
        </w:tc>
      </w:tr>
      <w:tr>
        <w:trPr>
          <w:trHeight w:val="71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38,342,647.29</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招商银行股份有限公司深圳科技园支行年末存款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38,342,647.29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元，已被深南法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仲保字第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 </w:t>
            </w:r>
            <w:r>
              <w:rPr>
                <w:rFonts w:ascii="宋体" w:hAnsi="宋体" w:cs="宋体" w:eastAsia="宋体" w:hint="default"/>
                <w:sz w:val="18"/>
                <w:szCs w:val="18"/>
              </w:rPr>
              <w:t>号冻结。</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247,547.38</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中国建设银行深圳高新园支行业务冻结款。</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21,518,003.31</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支付机构客户备付金。</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23,641,861.42</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东莞松山湖办公楼</w:t>
            </w:r>
          </w:p>
        </w:tc>
      </w:tr>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9,191,108.80</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、长沙市轨道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KBGD-150901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项目质押给光大银行笋岗支行，截止</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对应客户长沙市轨道交通集团有限公司的应收账款余额为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19"/>
        <w:gridCol w:w="1843"/>
        <w:gridCol w:w="6307"/>
      </w:tblGrid>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9,191,108.80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w:t>
            </w:r>
            <w:r>
              <w:rPr>
                <w:rFonts w:ascii="宋体" w:hAnsi="宋体" w:cs="宋体" w:eastAsia="宋体" w:hint="default"/>
                <w:sz w:val="18"/>
                <w:szCs w:val="18"/>
              </w:rPr>
              <w:t>、深圳地铁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号线项目质押给兴业银行文锦支行，截止</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对应客户的应收账款余额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元，暂未确认收入。</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945,000,000.00</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亚联发展持有上海即富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的股权质押给建设银行深圳分行用于并购贷款。</w:t>
            </w: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1,177,098,893.20</w:t>
            </w:r>
          </w:p>
        </w:tc>
        <w:tc>
          <w:tcPr>
            <w:tcW w:w="6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0、外币货币性项目" w:id="316"/>
      <w:bookmarkEnd w:id="316"/>
      <w:r>
        <w:rPr>
          <w:b w:val="0"/>
          <w:bCs w:val="0"/>
        </w:rPr>
      </w:r>
      <w:r>
        <w:rPr>
          <w:rFonts w:ascii="Times New Roman" w:hAnsi="Times New Roman" w:cs="Times New Roman" w:eastAsia="Times New Roman" w:hint="default"/>
        </w:rPr>
        <w:t>50</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17"/>
      <w:bookmarkEnd w:id="317"/>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5,727,189.09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6,536,662.54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5,727,189.09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4,831,647.25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5,514,320.07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4,831,647.25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157,773.86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138,241.46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157,773.86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138,241.46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89,284,780.00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101,900,000.00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89,284,780.00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216,666.66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189,843.33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216,666.66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189,843.33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25,583.09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22,415.90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25,583.09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22,415.90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11,390,600.00</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11,390,600.00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59" w:lineRule="auto" w:before="35"/>
        <w:ind w:right="0"/>
        <w:jc w:val="left"/>
        <w:rPr>
          <w:b w:val="0"/>
          <w:bCs w:val="0"/>
        </w:rPr>
      </w:pPr>
      <w:bookmarkStart w:name="（2）境外经营实体说明，包括对于重要的境外经营实体，应披露其境外主要经营地、记账" w:id="318"/>
      <w:bookmarkEnd w:id="318"/>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634" w:right="0"/>
        <w:jc w:val="left"/>
      </w:pPr>
      <w:r>
        <w:rPr/>
        <w:t>公司在香港设有子公司</w:t>
      </w:r>
      <w:r>
        <w:rPr>
          <w:rFonts w:ascii="Times New Roman" w:hAnsi="Times New Roman" w:cs="Times New Roman" w:eastAsia="Times New Roman" w:hint="default"/>
        </w:rPr>
        <w:t>1</w:t>
      </w:r>
      <w:r>
        <w:rPr/>
        <w:t>家即亚联投资（香港）有限公司，其子公司誉高信贷有限公司主要从事信贷业务。</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1、政府补助" w:id="319"/>
      <w:bookmarkEnd w:id="319"/>
      <w:r>
        <w:rPr>
          <w:b w:val="0"/>
          <w:bCs w:val="0"/>
        </w:rPr>
      </w:r>
      <w:r>
        <w:rPr>
          <w:rFonts w:ascii="Times New Roman" w:hAnsi="Times New Roman" w:cs="Times New Roman" w:eastAsia="Times New Roman" w:hint="default"/>
        </w:rPr>
        <w:t>51</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20"/>
      <w:bookmarkEnd w:id="320"/>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43,578,428.62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43,578,428.62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计入营业外收入的政府补助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6,429,416.00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6,429,416.00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减：退回的政府补助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21"/>
      <w:bookmarkEnd w:id="321"/>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pict>
          <v:group style="position:absolute;margin-left:216.380005pt;margin-top:42.741722pt;width:74pt;height:43.6pt;mso-position-horizontal-relative:page;mso-position-vertical-relative:paragraph;z-index:-1027312" coordorigin="4328,855" coordsize="1480,872">
            <v:group style="position:absolute;left:4328;top:855;width:1480;height:468" coordorigin="4328,855" coordsize="1480,468">
              <v:shape style="position:absolute;left:4328;top:855;width:1480;height:468" coordorigin="4328,855" coordsize="1480,468" path="m4328,1323l5808,1323,5808,855,4328,855,4328,1323xe" filled="true" fillcolor="#ffffff" stroked="false">
                <v:path arrowok="t"/>
                <v:fill type="solid"/>
              </v:shape>
            </v:group>
            <v:group style="position:absolute;left:4339;top:1323;width:2;height:393" coordorigin="4339,1323" coordsize="2,393">
              <v:shape style="position:absolute;left:4339;top:1323;width:2;height:393" coordorigin="4339,1323" coordsize="0,393" path="m4339,1323l4339,1715e" filled="false" stroked="true" strokeweight="1.140pt" strokecolor="#ffffff">
                <v:path arrowok="t"/>
              </v:shape>
            </v:group>
            <v:group style="position:absolute;left:4350;top:1323;width:1435;height:393" coordorigin="4350,1323" coordsize="1435,393">
              <v:shape style="position:absolute;left:4350;top:1323;width:1435;height:393" coordorigin="4350,1323" coordsize="1435,393" path="m4350,1715l5785,1715,5785,1323,4350,1323,4350,1715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1490"/>
        <w:gridCol w:w="4892"/>
      </w:tblGrid>
      <w:tr>
        <w:trPr>
          <w:trHeight w:val="39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4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基于生物识别的指付通（</w:t>
            </w:r>
            <w:r>
              <w:rPr>
                <w:rFonts w:ascii="Times New Roman" w:hAnsi="Times New Roman" w:cs="Times New Roman" w:eastAsia="Times New Roman" w:hint="default"/>
                <w:sz w:val="18"/>
                <w:szCs w:val="18"/>
              </w:rPr>
              <w:t>Live By</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pacing w:val="-3"/>
                <w:sz w:val="18"/>
                <w:szCs w:val="18"/>
              </w:rPr>
              <w:t>Touch</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指纹支付系统</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16" w:lineRule="exact" w:before="132"/>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512" w:right="0"/>
              <w:jc w:val="left"/>
              <w:rPr>
                <w:rFonts w:ascii="Times New Roman" w:hAnsi="Times New Roman" w:cs="Times New Roman" w:eastAsia="Times New Roman" w:hint="default"/>
                <w:sz w:val="18"/>
                <w:szCs w:val="18"/>
              </w:rPr>
            </w:pPr>
            <w:r>
              <w:rPr>
                <w:rFonts w:ascii="Times New Roman"/>
                <w:sz w:val="18"/>
              </w:rPr>
              <w:t>3,000,000.00</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both"/>
              <w:rPr>
                <w:rFonts w:ascii="宋体" w:hAnsi="宋体" w:cs="宋体" w:eastAsia="宋体" w:hint="default"/>
                <w:sz w:val="18"/>
                <w:szCs w:val="18"/>
              </w:rPr>
            </w:pPr>
            <w:r>
              <w:rPr>
                <w:rFonts w:ascii="宋体" w:hAnsi="宋体" w:cs="宋体" w:eastAsia="宋体" w:hint="default"/>
                <w:sz w:val="18"/>
                <w:szCs w:val="18"/>
              </w:rPr>
              <w:t>根据《上海市服务业发展引导资金使用和管理办法》第八条、</w:t>
            </w:r>
          </w:p>
          <w:p>
            <w:pPr>
              <w:pStyle w:val="TableParagraph"/>
              <w:spacing w:line="319" w:lineRule="auto" w:before="76"/>
              <w:ind w:left="24" w:right="-3"/>
              <w:jc w:val="both"/>
              <w:rPr>
                <w:rFonts w:ascii="宋体" w:hAnsi="宋体" w:cs="宋体" w:eastAsia="宋体" w:hint="default"/>
                <w:sz w:val="18"/>
                <w:szCs w:val="18"/>
              </w:rPr>
            </w:pPr>
            <w:r>
              <w:rPr>
                <w:rFonts w:ascii="宋体" w:hAnsi="宋体" w:cs="宋体" w:eastAsia="宋体" w:hint="default"/>
                <w:sz w:val="18"/>
                <w:szCs w:val="18"/>
              </w:rPr>
              <w:t>《长宁区服务业发展引导资金申报、使用和管理的实施意见》 </w:t>
            </w:r>
            <w:r>
              <w:rPr>
                <w:rFonts w:ascii="宋体" w:hAnsi="宋体" w:cs="宋体" w:eastAsia="宋体" w:hint="default"/>
                <w:spacing w:val="-1"/>
                <w:sz w:val="18"/>
                <w:szCs w:val="18"/>
              </w:rPr>
              <w:t>第十三条规定，项目重大变化导致项目无法继续实施的，将限</w:t>
            </w:r>
            <w:r>
              <w:rPr>
                <w:rFonts w:ascii="宋体" w:hAnsi="宋体" w:cs="宋体" w:eastAsia="宋体" w:hint="default"/>
                <w:sz w:val="18"/>
                <w:szCs w:val="18"/>
              </w:rPr>
              <w:t> 期收回已拨付的引导资金。</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八、合并范围的变更" w:id="322"/>
      <w:bookmarkEnd w:id="322"/>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23"/>
      <w:bookmarkEnd w:id="323"/>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24"/>
      <w:bookmarkEnd w:id="32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28"/>
              <w:jc w:val="both"/>
              <w:rPr>
                <w:rFonts w:ascii="宋体" w:hAnsi="宋体" w:cs="宋体" w:eastAsia="宋体" w:hint="default"/>
                <w:sz w:val="18"/>
                <w:szCs w:val="18"/>
              </w:rPr>
            </w:pPr>
            <w:r>
              <w:rPr>
                <w:rFonts w:ascii="宋体" w:hAnsi="宋体" w:cs="宋体" w:eastAsia="宋体" w:hint="default"/>
                <w:sz w:val="18"/>
                <w:szCs w:val="18"/>
              </w:rPr>
              <w:t>广州宽客投 资管理有限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非同一控制 下企业合并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签订了股权 </w:t>
            </w:r>
            <w:r>
              <w:rPr>
                <w:rFonts w:ascii="宋体" w:hAnsi="宋体" w:cs="宋体" w:eastAsia="宋体" w:hint="default"/>
                <w:spacing w:val="-13"/>
                <w:sz w:val="18"/>
                <w:szCs w:val="18"/>
              </w:rPr>
              <w:t>转让协议、支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付了购买价 </w:t>
            </w:r>
            <w:r>
              <w:rPr>
                <w:rFonts w:ascii="宋体" w:hAnsi="宋体" w:cs="宋体" w:eastAsia="宋体" w:hint="default"/>
                <w:spacing w:val="-13"/>
                <w:sz w:val="18"/>
                <w:szCs w:val="18"/>
              </w:rPr>
              <w:t>款、并办理了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股权过户手 续。</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4,296.12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-9,036.73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合并成本及商誉" w:id="325"/>
      <w:bookmarkEnd w:id="32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307" w:right="0"/>
              <w:jc w:val="left"/>
              <w:rPr>
                <w:rFonts w:ascii="宋体" w:hAnsi="宋体" w:cs="宋体" w:eastAsia="宋体" w:hint="default"/>
                <w:sz w:val="18"/>
                <w:szCs w:val="18"/>
              </w:rPr>
            </w:pPr>
            <w:r>
              <w:rPr>
                <w:rFonts w:ascii="宋体" w:hAnsi="宋体" w:cs="宋体" w:eastAsia="宋体" w:hint="default"/>
                <w:sz w:val="18"/>
                <w:szCs w:val="18"/>
              </w:rPr>
              <w:t>广州宽客投资管理有限公司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10,196.74</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489,803.26</w:t>
            </w:r>
          </w:p>
        </w:tc>
      </w:tr>
    </w:tbl>
    <w:p>
      <w:pPr>
        <w:pStyle w:val="BodyText"/>
        <w:spacing w:line="357" w:lineRule="auto" w:before="51"/>
        <w:ind w:right="6072"/>
        <w:jc w:val="left"/>
      </w:pPr>
      <w:r>
        <w:rPr/>
        <w:t>合并成本公允价值的确定方法、或有对价及其变动的说明： 无。</w:t>
      </w:r>
    </w:p>
    <w:p>
      <w:pPr>
        <w:pStyle w:val="BodyText"/>
        <w:spacing w:line="357" w:lineRule="auto" w:before="29"/>
        <w:ind w:right="8592"/>
        <w:jc w:val="left"/>
      </w:pPr>
      <w:r>
        <w:rPr/>
        <w:t>大额商誉形成的主要原因：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被购买方于购买日可辨认资产、负债" w:id="326"/>
      <w:bookmarkEnd w:id="32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5,336.74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10,196.74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10,196.74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10,196.74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10,196.74</w:t>
            </w:r>
          </w:p>
        </w:tc>
      </w:tr>
    </w:tbl>
    <w:p>
      <w:pPr>
        <w:pStyle w:val="BodyText"/>
        <w:spacing w:line="357" w:lineRule="auto" w:before="51"/>
        <w:ind w:right="7512"/>
        <w:jc w:val="left"/>
      </w:pPr>
      <w:r>
        <w:rPr/>
        <w:t>可辨认资产、负债公允价值的确定方法： 无。 企业合并中承担的被购买方的或有负债：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购买日之前持有的股权按照公允价值重新计量产生的利得或损失" w:id="327"/>
      <w:bookmarkEnd w:id="32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购买日或合并当期期末无法合理确定合并对价或被购买方可辨认资产、负债公允价值" w:id="328"/>
      <w:bookmarkEnd w:id="32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r>
        <w:rPr/>
        <w:pict>
          <v:group style="position:absolute;margin-left:331.720001pt;margin-top:661.959961pt;width:65.6pt;height:19.6pt;mso-position-horizontal-relative:page;mso-position-vertical-relative:page;z-index:-1027264" coordorigin="6634,13239" coordsize="1312,392">
            <v:shape style="position:absolute;left:6634;top:13239;width:1312;height:392" coordorigin="6634,13239" coordsize="1312,392" path="m6634,13630l7946,13630,7946,13239,6634,13239,6634,13630xe" filled="true" fillcolor="#ffffff" stroked="false">
              <v:path arrowok="t"/>
              <v:fill type="solid"/>
            </v:shape>
            <w10:wrap type="none"/>
          </v:group>
        </w:pict>
      </w:r>
    </w:p>
    <w:p>
      <w:pPr>
        <w:pStyle w:val="Heading2"/>
        <w:spacing w:line="240" w:lineRule="auto" w:before="26"/>
        <w:ind w:right="0"/>
        <w:jc w:val="left"/>
        <w:rPr>
          <w:b w:val="0"/>
          <w:bCs w:val="0"/>
        </w:rPr>
      </w:pPr>
      <w:bookmarkStart w:name="九、在其他主体中的权益" w:id="329"/>
      <w:bookmarkEnd w:id="329"/>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30"/>
      <w:bookmarkEnd w:id="33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31"/>
      <w:bookmarkEnd w:id="33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东莞键桥通讯技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通信产品设备的 研发与销售等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广州键桥通讯技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通讯工程技术研 发、设计与施工 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深圳键桥华能通 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通信产品设备的 研发与销售等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深圳键桥智能技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通信产品及设 备、信息与通信 系统及设备、系 统集成系统及设 备、自动化系统 及设备等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深圳键桥轨道交 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通信产品及设 备、信息与通信 系统及设备、系 统集成系统及设 备、自动化系统 及设备等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left"/>
              <w:rPr>
                <w:rFonts w:ascii="宋体" w:hAnsi="宋体" w:cs="宋体" w:eastAsia="宋体" w:hint="default"/>
                <w:sz w:val="18"/>
                <w:szCs w:val="18"/>
              </w:rPr>
            </w:pPr>
            <w:r>
              <w:rPr>
                <w:rFonts w:ascii="宋体" w:hAnsi="宋体" w:cs="宋体" w:eastAsia="宋体" w:hint="default"/>
                <w:spacing w:val="-5"/>
                <w:sz w:val="18"/>
                <w:szCs w:val="18"/>
              </w:rPr>
              <w:t>亚联投资（香港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8"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7.95pt;mso-position-horizontal-relative:char;mso-position-vertical-relative:line" coordorigin="0,0" coordsize="1358,559">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140pt" strokecolor="#ffffff">
                      <v:path arrowok="t"/>
                    </v:shape>
                  </v:group>
                  <v:group style="position:absolute;left:23;top:156;width:1311;height:392" coordorigin="23,156" coordsize="1311,392">
                    <v:shape style="position:absolute;left:23;top:156;width:1311;height:392" coordorigin="23,156" coordsize="1311,392" path="m23,547l1333,547,1333,156,23,156,23,547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投资业务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深圳市德威普软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软件产品的研发 与销售等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南京凌云科技发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交通工程技术开 发、工程设计与 施工等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99.31%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大连先锋投资管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136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62"/>
              <w:jc w:val="both"/>
              <w:rPr>
                <w:rFonts w:ascii="宋体" w:hAnsi="宋体" w:cs="宋体" w:eastAsia="宋体" w:hint="default"/>
                <w:sz w:val="18"/>
                <w:szCs w:val="18"/>
              </w:rPr>
            </w:pPr>
            <w:r>
              <w:rPr>
                <w:rFonts w:ascii="宋体" w:hAnsi="宋体" w:cs="宋体" w:eastAsia="宋体" w:hint="default"/>
                <w:sz w:val="18"/>
                <w:szCs w:val="18"/>
              </w:rPr>
              <w:t>投资管理，股权 </w:t>
            </w:r>
            <w:r>
              <w:rPr>
                <w:rFonts w:ascii="宋体" w:hAnsi="宋体" w:cs="宋体" w:eastAsia="宋体" w:hint="default"/>
                <w:spacing w:val="-6"/>
                <w:sz w:val="18"/>
                <w:szCs w:val="18"/>
              </w:rPr>
              <w:t>投资，投资咨询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企业管理咨询</w:t>
            </w:r>
          </w:p>
        </w:tc>
        <w:tc>
          <w:tcPr>
            <w:tcW w:w="378" w:type="dxa"/>
            <w:tcBorders>
              <w:top w:val="single" w:sz="4" w:space="0" w:color="000000"/>
              <w:left w:val="single" w:sz="13" w:space="0" w:color="FFFFFF"/>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共青城正融投资 管理合伙企业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实业投资、投资 管理、投资咨询</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入伙</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共青城顺联投资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共青城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实业投资、投资</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90.91%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入伙</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管理、投资咨询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深圳网信大数据 科技发展有限公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数据处理、计算 机信息科技、智 能化科技等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湖南键桥通讯技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通信产品及设 备、信息与通信 系统及设备、系 统集成系统及设 备、自动化系统 及设备等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上海即富信息技 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广州宽客投资管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实业投资、投资 管理、投资咨询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bl>
    <w:p>
      <w:pPr>
        <w:pStyle w:val="BodyText"/>
        <w:spacing w:line="357" w:lineRule="auto" w:before="51"/>
        <w:ind w:right="6972"/>
        <w:jc w:val="left"/>
      </w:pPr>
      <w:r>
        <w:rPr/>
        <w:t>在子公司的持股比例不同于表决权比例的说明： 无。</w:t>
      </w:r>
    </w:p>
    <w:p>
      <w:pPr>
        <w:pStyle w:val="BodyText"/>
        <w:spacing w:line="357" w:lineRule="auto" w:before="29"/>
        <w:ind w:left="454" w:right="2832" w:hanging="300"/>
        <w:jc w:val="left"/>
      </w:pPr>
      <w:r>
        <w:rPr/>
        <w:t>持有半数或以下表决权但仍控制被投资单位、以及持有半数以上表决权但不控制被投资单位的依据： 公司持有上海即富</w:t>
      </w:r>
      <w:r>
        <w:rPr>
          <w:rFonts w:ascii="Times New Roman" w:hAnsi="Times New Roman" w:cs="Times New Roman" w:eastAsia="Times New Roman" w:hint="default"/>
        </w:rPr>
        <w:t>45%</w:t>
      </w:r>
      <w:r>
        <w:rPr/>
        <w:t>的股权，但仍能控制上海即富的依据：</w:t>
      </w:r>
    </w:p>
    <w:p>
      <w:pPr>
        <w:pStyle w:val="BodyText"/>
        <w:spacing w:line="201" w:lineRule="exact"/>
        <w:ind w:left="454" w:right="0"/>
        <w:jc w:val="left"/>
      </w:pPr>
      <w:r>
        <w:rPr/>
        <w:t>①公司能够在股东会层面对上海即富形成有效控制</w:t>
      </w:r>
    </w:p>
    <w:p>
      <w:pPr>
        <w:pStyle w:val="BodyText"/>
        <w:spacing w:line="307" w:lineRule="auto" w:before="77"/>
        <w:ind w:right="1130" w:firstLine="300"/>
        <w:jc w:val="both"/>
      </w:pPr>
      <w:r>
        <w:rPr/>
        <w:t>公司持有上海即富</w:t>
      </w:r>
      <w:r>
        <w:rPr>
          <w:rFonts w:ascii="Times New Roman" w:hAnsi="Times New Roman" w:cs="Times New Roman" w:eastAsia="Times New Roman" w:hint="default"/>
        </w:rPr>
        <w:t>45%</w:t>
      </w:r>
      <w:r>
        <w:rPr/>
        <w:t>股权为上海即富第一大股东，并且，根据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日本公司与上海即富股东签署的《股东协 议》中第三条股东会和决策机制的第</w:t>
      </w:r>
      <w:r>
        <w:rPr>
          <w:rFonts w:ascii="Times New Roman" w:hAnsi="Times New Roman" w:cs="Times New Roman" w:eastAsia="Times New Roman" w:hint="default"/>
        </w:rPr>
        <w:t>3</w:t>
      </w:r>
      <w:r>
        <w:rPr/>
        <w:t>款规定，以及修改后的上海即富公司章程，上海即富涉及决定经营方针和投资计划、</w:t>
      </w:r>
      <w:r>
        <w:rPr>
          <w:spacing w:val="-83"/>
        </w:rPr>
        <w:t> </w:t>
      </w:r>
      <w:r>
        <w:rPr>
          <w:spacing w:val="-83"/>
        </w:rPr>
      </w:r>
      <w:r>
        <w:rPr>
          <w:spacing w:val="-2"/>
        </w:rPr>
        <w:t>利润分配和弥补亏损、财务预决算等涉及经营和财务等需要董事会、股东会审议的事项，本公司均拥有最终决策权，故本公</w:t>
      </w:r>
      <w:r>
        <w:rPr>
          <w:spacing w:val="-66"/>
        </w:rPr>
        <w:t> </w:t>
      </w:r>
      <w:r>
        <w:rPr>
          <w:spacing w:val="-66"/>
        </w:rPr>
      </w:r>
      <w:r>
        <w:rPr/>
        <w:t>司能够在股东会层面对上海即富形成控制。</w:t>
      </w:r>
    </w:p>
    <w:p>
      <w:pPr>
        <w:pStyle w:val="BodyText"/>
        <w:spacing w:line="316" w:lineRule="auto" w:before="26"/>
        <w:ind w:left="454" w:right="0"/>
        <w:jc w:val="left"/>
      </w:pPr>
      <w:r>
        <w:rPr/>
        <w:t>②公司能够在董事会层面对上海即富形成有效控制 </w:t>
      </w:r>
      <w:r>
        <w:rPr>
          <w:spacing w:val="-1"/>
        </w:rPr>
        <w:t>上海即富董事会设有</w:t>
      </w:r>
      <w:r>
        <w:rPr>
          <w:rFonts w:ascii="Times New Roman" w:hAnsi="Times New Roman" w:cs="Times New Roman" w:eastAsia="Times New Roman" w:hint="default"/>
          <w:spacing w:val="-1"/>
        </w:rPr>
        <w:t>7</w:t>
      </w:r>
      <w:r>
        <w:rPr>
          <w:spacing w:val="-1"/>
        </w:rPr>
        <w:t>名董事席位，本公司已按照法定程序向上海即富推荐了</w:t>
      </w:r>
      <w:r>
        <w:rPr>
          <w:rFonts w:ascii="Times New Roman" w:hAnsi="Times New Roman" w:cs="Times New Roman" w:eastAsia="Times New Roman" w:hint="default"/>
          <w:spacing w:val="-1"/>
        </w:rPr>
        <w:t>5</w:t>
      </w:r>
      <w:r>
        <w:rPr>
          <w:spacing w:val="-1"/>
        </w:rPr>
        <w:t>名董事。占上海即富董事会三分之二以上</w:t>
      </w:r>
    </w:p>
    <w:p>
      <w:pPr>
        <w:pStyle w:val="BodyText"/>
        <w:spacing w:line="235" w:lineRule="exact"/>
        <w:ind w:right="0"/>
        <w:jc w:val="left"/>
      </w:pPr>
      <w:r>
        <w:rPr/>
        <w:t>的董事席位，因此，能够在董事会层面对上海即富形成有效控制。</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重要的非全资子公司" w:id="332"/>
      <w:bookmarkEnd w:id="33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上海即富信息技术服务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210,720,901.13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330,000,000.00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-19,479,250.93</w:t>
            </w:r>
          </w:p>
        </w:tc>
      </w:tr>
    </w:tbl>
    <w:p>
      <w:pPr>
        <w:pStyle w:val="BodyText"/>
        <w:spacing w:line="357" w:lineRule="auto" w:before="51"/>
        <w:ind w:right="6432"/>
        <w:jc w:val="left"/>
      </w:pPr>
      <w:r>
        <w:rPr/>
        <w:t>子公司少数股东的持股比例不同于表决权比例的说明：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重要非全资子公司的主要财务信息" w:id="333"/>
      <w:bookmarkEnd w:id="33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上海即 富信息 技术服 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445,275,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696.43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440,543,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197.24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885,818,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893.67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907,225,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425.66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11,643,9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71.07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918,869,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396.73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561,834,</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068.67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164,709,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818.95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726,543,</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887.62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381,991,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368.76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13,145,1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94.68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395,136,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563.44</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上海即富信 息技术服务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3,321,009,74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384,985,838.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384,985,838.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790,332,724.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590,564,771.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125,240,730.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125,240,730.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204,445,101.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在子公司的所有者权益份额发生变化且仍控制子公司的交易" w:id="334"/>
      <w:bookmarkEnd w:id="33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335"/>
      <w:bookmarkEnd w:id="335"/>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0"/>
        <w:jc w:val="both"/>
      </w:pPr>
      <w:r>
        <w:rPr>
          <w:spacing w:val="-2"/>
        </w:rPr>
        <w:t>①控股子公司上海即富技术服务有限公司（以下简称</w:t>
      </w:r>
      <w:r>
        <w:rPr>
          <w:rFonts w:ascii="Times New Roman" w:hAnsi="Times New Roman" w:cs="Times New Roman" w:eastAsia="Times New Roman" w:hint="default"/>
          <w:spacing w:val="-2"/>
        </w:rPr>
        <w:t>“</w:t>
      </w:r>
      <w:r>
        <w:rPr>
          <w:spacing w:val="-2"/>
        </w:rPr>
        <w:t>上海即富</w:t>
      </w:r>
      <w:r>
        <w:rPr>
          <w:rFonts w:ascii="Times New Roman" w:hAnsi="Times New Roman" w:cs="Times New Roman" w:eastAsia="Times New Roman" w:hint="default"/>
          <w:spacing w:val="-2"/>
        </w:rPr>
        <w:t>”</w:t>
      </w:r>
      <w:r>
        <w:rPr>
          <w:spacing w:val="-2"/>
        </w:rPr>
        <w:t>）的全资子公司浙江即富金融数据处理有限公司（以下</w:t>
      </w:r>
      <w:r>
        <w:rPr/>
        <w:t> </w:t>
      </w:r>
      <w:r>
        <w:rPr>
          <w:spacing w:val="-1"/>
        </w:rPr>
        <w:t>简称</w:t>
      </w:r>
      <w:r>
        <w:rPr>
          <w:rFonts w:ascii="Times New Roman" w:hAnsi="Times New Roman" w:cs="Times New Roman" w:eastAsia="Times New Roman" w:hint="default"/>
          <w:spacing w:val="-1"/>
        </w:rPr>
        <w:t>“</w:t>
      </w:r>
      <w:r>
        <w:rPr>
          <w:spacing w:val="-1"/>
        </w:rPr>
        <w:t>浙江即富</w:t>
      </w:r>
      <w:r>
        <w:rPr>
          <w:rFonts w:ascii="Times New Roman" w:hAnsi="Times New Roman" w:cs="Times New Roman" w:eastAsia="Times New Roman" w:hint="default"/>
          <w:spacing w:val="-1"/>
        </w:rPr>
        <w:t>”</w:t>
      </w:r>
      <w:r>
        <w:rPr>
          <w:spacing w:val="-1"/>
        </w:rPr>
        <w:t>）原持有浙江即富企业管理有限公司（以下简称</w:t>
      </w:r>
      <w:r>
        <w:rPr>
          <w:rFonts w:ascii="Times New Roman" w:hAnsi="Times New Roman" w:cs="Times New Roman" w:eastAsia="Times New Roman" w:hint="default"/>
          <w:spacing w:val="-1"/>
        </w:rPr>
        <w:t>“</w:t>
      </w:r>
      <w:r>
        <w:rPr>
          <w:spacing w:val="-1"/>
        </w:rPr>
        <w:t>浙江企管</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51%</w:t>
      </w:r>
      <w:r>
        <w:rPr>
          <w:spacing w:val="-1"/>
        </w:rPr>
        <w:t>的股权、福建即富金服数据处理有限公司</w:t>
      </w:r>
    </w:p>
    <w:p>
      <w:pPr>
        <w:pStyle w:val="BodyText"/>
        <w:spacing w:line="300" w:lineRule="auto" w:before="13"/>
        <w:ind w:right="0"/>
        <w:jc w:val="left"/>
      </w:pPr>
      <w:r>
        <w:rPr/>
        <w:t>（以下简称</w:t>
      </w:r>
      <w:r>
        <w:rPr>
          <w:rFonts w:ascii="Times New Roman" w:hAnsi="Times New Roman" w:cs="Times New Roman" w:eastAsia="Times New Roman" w:hint="default"/>
        </w:rPr>
        <w:t>“</w:t>
      </w:r>
      <w:r>
        <w:rPr/>
        <w:t>福建即富</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日，公司第四届董事会第三十三次会议审议通过了《关于控股子公司的</w:t>
      </w:r>
      <w:r>
        <w:rPr>
          <w:spacing w:val="-43"/>
        </w:rPr>
        <w:t> </w:t>
      </w:r>
      <w:r>
        <w:rPr>
          <w:spacing w:val="-43"/>
        </w:rPr>
      </w:r>
      <w:r>
        <w:rPr/>
        <w:t>全资子公司收购浙江企管</w:t>
      </w:r>
      <w:r>
        <w:rPr>
          <w:rFonts w:ascii="Times New Roman" w:hAnsi="Times New Roman" w:cs="Times New Roman" w:eastAsia="Times New Roman" w:hint="default"/>
        </w:rPr>
        <w:t>49%</w:t>
      </w:r>
      <w:r>
        <w:rPr/>
        <w:t>股权和福建即富</w:t>
      </w:r>
      <w:r>
        <w:rPr>
          <w:rFonts w:ascii="Times New Roman" w:hAnsi="Times New Roman" w:cs="Times New Roman" w:eastAsia="Times New Roman" w:hint="default"/>
        </w:rPr>
        <w:t>49%</w:t>
      </w:r>
      <w:r>
        <w:rPr/>
        <w:t>股权的议案》，并经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2017</w:t>
      </w:r>
      <w:r>
        <w:rPr/>
        <w:t>年度股东大会审议通过。</w:t>
      </w:r>
    </w:p>
    <w:p>
      <w:pPr>
        <w:pStyle w:val="BodyText"/>
        <w:spacing w:line="300" w:lineRule="auto" w:before="13"/>
        <w:ind w:right="1129"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日，浙江即富与李志军签署《股权收购协议》，收购其持有的浙江企管</w:t>
      </w:r>
      <w:r>
        <w:rPr>
          <w:rFonts w:ascii="Times New Roman" w:hAnsi="Times New Roman" w:cs="Times New Roman" w:eastAsia="Times New Roman" w:hint="default"/>
        </w:rPr>
        <w:t>49%</w:t>
      </w:r>
      <w:r>
        <w:rPr/>
        <w:t>的股权。</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日，浙 </w:t>
      </w:r>
      <w:r>
        <w:rPr>
          <w:spacing w:val="-4"/>
        </w:rPr>
        <w:t>江企管</w:t>
      </w:r>
      <w:r>
        <w:rPr>
          <w:rFonts w:ascii="Times New Roman" w:hAnsi="Times New Roman" w:cs="Times New Roman" w:eastAsia="Times New Roman" w:hint="default"/>
          <w:spacing w:val="-4"/>
        </w:rPr>
        <w:t>49%</w:t>
      </w:r>
      <w:r>
        <w:rPr>
          <w:spacing w:val="-4"/>
        </w:rPr>
        <w:t>股权转让完成工商变更登记，浙江企管于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13</w:t>
      </w:r>
      <w:r>
        <w:rPr>
          <w:spacing w:val="-4"/>
        </w:rPr>
        <w:t>日取得变更后的《营业执照》，浙江即富持有浙江企管</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5"/>
        </w:rPr>
        <w:t> </w:t>
      </w:r>
      <w:r>
        <w:rPr/>
        <w:t>股权。</w:t>
      </w:r>
    </w:p>
    <w:p>
      <w:pPr>
        <w:pStyle w:val="BodyText"/>
        <w:spacing w:line="300" w:lineRule="auto" w:before="31"/>
        <w:ind w:right="1129" w:firstLine="36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日，浙江即富与顾燕萍、傅免殊签署《股权收购协议》，收购其持有的福建即富</w:t>
      </w:r>
      <w:r>
        <w:rPr>
          <w:rFonts w:ascii="Times New Roman" w:hAnsi="Times New Roman" w:cs="Times New Roman" w:eastAsia="Times New Roman" w:hint="default"/>
          <w:spacing w:val="-1"/>
        </w:rPr>
        <w:t>49%</w:t>
      </w:r>
      <w:r>
        <w:rPr>
          <w:spacing w:val="-1"/>
        </w:rPr>
        <w:t>的股权。</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t>日，福建即富</w:t>
      </w:r>
      <w:r>
        <w:rPr>
          <w:rFonts w:ascii="Times New Roman" w:hAnsi="Times New Roman" w:cs="Times New Roman" w:eastAsia="Times New Roman" w:hint="default"/>
        </w:rPr>
        <w:t>49%</w:t>
      </w:r>
      <w:r>
        <w:rPr/>
        <w:t>股权转让完成工商变更登记，福建即富于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日取得变更后的《营业执照》，浙江即富持有福建</w:t>
      </w:r>
      <w:r>
        <w:rPr>
          <w:spacing w:val="-56"/>
        </w:rPr>
        <w:t> </w:t>
      </w:r>
      <w:r>
        <w:rPr>
          <w:spacing w:val="-56"/>
        </w:rPr>
      </w:r>
      <w:r>
        <w:rPr/>
        <w:t>即富</w:t>
      </w:r>
      <w:r>
        <w:rPr>
          <w:rFonts w:ascii="Times New Roman" w:hAnsi="Times New Roman" w:cs="Times New Roman" w:eastAsia="Times New Roman" w:hint="default"/>
        </w:rPr>
        <w:t>100%</w:t>
      </w:r>
      <w:r>
        <w:rPr/>
        <w:t>的股权。</w:t>
      </w:r>
    </w:p>
    <w:p>
      <w:pPr>
        <w:pStyle w:val="BodyText"/>
        <w:spacing w:line="300" w:lineRule="auto" w:before="13"/>
        <w:ind w:right="1039" w:firstLine="360"/>
        <w:jc w:val="both"/>
      </w:pPr>
      <w:r>
        <w:rPr/>
        <w:t>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日，控股子公司深圳键桥轨道交通有限公司（以下简称</w:t>
      </w:r>
      <w:r>
        <w:rPr>
          <w:rFonts w:ascii="Times New Roman" w:hAnsi="Times New Roman" w:cs="Times New Roman" w:eastAsia="Times New Roman" w:hint="default"/>
        </w:rPr>
        <w:t>“</w:t>
      </w:r>
      <w:r>
        <w:rPr/>
        <w:t>轨道交通</w:t>
      </w:r>
      <w:r>
        <w:rPr>
          <w:rFonts w:ascii="Times New Roman" w:hAnsi="Times New Roman" w:cs="Times New Roman" w:eastAsia="Times New Roman" w:hint="default"/>
        </w:rPr>
        <w:t>”</w:t>
      </w:r>
      <w:r>
        <w:rPr/>
        <w:t>）股东会审议通过了增资扩股决议， 公司注册资本由</w:t>
      </w:r>
      <w:r>
        <w:rPr>
          <w:rFonts w:ascii="Times New Roman" w:hAnsi="Times New Roman" w:cs="Times New Roman" w:eastAsia="Times New Roman" w:hint="default"/>
        </w:rPr>
        <w:t>1,690</w:t>
      </w:r>
      <w:r>
        <w:rPr/>
        <w:t>万元变更后为</w:t>
      </w:r>
      <w:r>
        <w:rPr>
          <w:rFonts w:ascii="Times New Roman" w:hAnsi="Times New Roman" w:cs="Times New Roman" w:eastAsia="Times New Roman" w:hint="default"/>
        </w:rPr>
        <w:t>6,000</w:t>
      </w:r>
      <w:r>
        <w:rPr/>
        <w:t>万元，同时修订了轨道交通公司章程，并办妥工商变更登记。公司原持股</w:t>
      </w:r>
      <w:r>
        <w:rPr>
          <w:rFonts w:ascii="Times New Roman" w:hAnsi="Times New Roman" w:cs="Times New Roman" w:eastAsia="Times New Roman" w:hint="default"/>
        </w:rPr>
        <w:t>55%</w:t>
      </w:r>
      <w:r>
        <w:rPr/>
        <w:t>、变</w:t>
      </w:r>
      <w:r>
        <w:rPr>
          <w:spacing w:val="-54"/>
        </w:rPr>
        <w:t> </w:t>
      </w:r>
      <w:r>
        <w:rPr>
          <w:spacing w:val="-1"/>
        </w:rPr>
        <w:t>更后为</w:t>
      </w:r>
      <w:r>
        <w:rPr>
          <w:rFonts w:ascii="Times New Roman" w:hAnsi="Times New Roman" w:cs="Times New Roman" w:eastAsia="Times New Roman" w:hint="default"/>
          <w:spacing w:val="-1"/>
        </w:rPr>
        <w:t>49%</w:t>
      </w:r>
      <w:r>
        <w:rPr>
          <w:spacing w:val="-1"/>
        </w:rPr>
        <w:t>；子公司深圳市德威普软件技术有限公司持股</w:t>
      </w:r>
      <w:r>
        <w:rPr>
          <w:rFonts w:ascii="Times New Roman" w:hAnsi="Times New Roman" w:cs="Times New Roman" w:eastAsia="Times New Roman" w:hint="default"/>
          <w:spacing w:val="-1"/>
        </w:rPr>
        <w:t>31.5%</w:t>
      </w:r>
      <w:r>
        <w:rPr>
          <w:spacing w:val="-1"/>
        </w:rPr>
        <w:t>；深圳建安电子科技有限公司原持股</w:t>
      </w:r>
      <w:r>
        <w:rPr>
          <w:rFonts w:ascii="Times New Roman" w:hAnsi="Times New Roman" w:cs="Times New Roman" w:eastAsia="Times New Roman" w:hint="default"/>
          <w:spacing w:val="-1"/>
        </w:rPr>
        <w:t>35%</w:t>
      </w:r>
      <w:r>
        <w:rPr>
          <w:spacing w:val="-1"/>
        </w:rPr>
        <w:t>、变更后为</w:t>
      </w:r>
      <w:r>
        <w:rPr>
          <w:rFonts w:ascii="Times New Roman" w:hAnsi="Times New Roman" w:cs="Times New Roman" w:eastAsia="Times New Roman" w:hint="default"/>
          <w:spacing w:val="-1"/>
        </w:rPr>
        <w:t>15.15%</w:t>
      </w:r>
      <w:r>
        <w:rPr>
          <w:spacing w:val="-1"/>
        </w:rPr>
        <w:t>；</w:t>
      </w:r>
      <w:r>
        <w:rPr>
          <w:spacing w:val="-82"/>
        </w:rPr>
        <w:t> </w:t>
      </w:r>
      <w:r>
        <w:rPr/>
        <w:t>深圳市畅宇投资咨询企业（有限合伙）原持股</w:t>
      </w:r>
      <w:r>
        <w:rPr>
          <w:rFonts w:ascii="Times New Roman" w:hAnsi="Times New Roman" w:cs="Times New Roman" w:eastAsia="Times New Roman" w:hint="default"/>
        </w:rPr>
        <w:t>10%</w:t>
      </w:r>
      <w:r>
        <w:rPr/>
        <w:t>、变更后为</w:t>
      </w:r>
      <w:r>
        <w:rPr>
          <w:rFonts w:ascii="Times New Roman" w:hAnsi="Times New Roman" w:cs="Times New Roman" w:eastAsia="Times New Roman" w:hint="default"/>
        </w:rPr>
        <w:t>4.35%</w:t>
      </w:r>
      <w:r>
        <w:rPr/>
        <w:t>。</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交易对于少数股东权益及归属于母公司所有者权益的影响" w:id="336"/>
      <w:bookmarkEnd w:id="336"/>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福建即富</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浙江企管</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轨道交通</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减：按取得</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处置的股权比例计</w:t>
            </w:r>
            <w:r>
              <w:rPr>
                <w:rFonts w:ascii="宋体" w:hAnsi="宋体" w:cs="宋体" w:eastAsia="宋体" w:hint="default"/>
                <w:spacing w:val="-88"/>
                <w:sz w:val="18"/>
                <w:szCs w:val="18"/>
              </w:rPr>
              <w:t> </w:t>
            </w:r>
            <w:r>
              <w:rPr>
                <w:rFonts w:ascii="宋体" w:hAnsi="宋体" w:cs="宋体" w:eastAsia="宋体" w:hint="default"/>
                <w:sz w:val="18"/>
                <w:szCs w:val="18"/>
              </w:rPr>
              <w:t>算的子公司净资产份额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42,321,749.11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44,184,199.05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22,087,747.50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27,678,250.89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28,815,800.95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12,252.50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27,678,250.89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28,815,800.95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12,252.50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在合营安排或联营企业中的权益" w:id="337"/>
      <w:bookmarkEnd w:id="337"/>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38"/>
      <w:bookmarkEnd w:id="338"/>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深圳盈华小额贷 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小额贷款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先锋基金管理有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基金募集与销售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33.31%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right="5892"/>
        <w:jc w:val="left"/>
      </w:pPr>
      <w:r>
        <w:rPr/>
        <w:t>在合营企业或联营企业的持股比例不同于表决权比例的说明： 无。</w:t>
      </w:r>
    </w:p>
    <w:p>
      <w:pPr>
        <w:pStyle w:val="BodyText"/>
        <w:spacing w:line="338" w:lineRule="auto" w:before="29"/>
        <w:ind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重要合营企业的主要财务信息" w:id="339"/>
      <w:bookmarkEnd w:id="339"/>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1"/>
              <w:ind w:left="776" w:right="51" w:hanging="720"/>
              <w:jc w:val="left"/>
              <w:rPr>
                <w:rFonts w:ascii="宋体" w:hAnsi="宋体" w:cs="宋体" w:eastAsia="宋体" w:hint="default"/>
                <w:sz w:val="18"/>
                <w:szCs w:val="18"/>
              </w:rPr>
            </w:pPr>
            <w:r>
              <w:rPr>
                <w:rFonts w:ascii="宋体" w:hAnsi="宋体" w:cs="宋体" w:eastAsia="宋体" w:hint="default"/>
                <w:sz w:val="18"/>
                <w:szCs w:val="18"/>
              </w:rPr>
              <w:t>深圳盈华小额贷款有限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先锋基金管理有限公司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771" w:right="51" w:hanging="720"/>
              <w:jc w:val="left"/>
              <w:rPr>
                <w:rFonts w:ascii="宋体" w:hAnsi="宋体" w:cs="宋体" w:eastAsia="宋体" w:hint="default"/>
                <w:sz w:val="18"/>
                <w:szCs w:val="18"/>
              </w:rPr>
            </w:pPr>
            <w:r>
              <w:rPr>
                <w:rFonts w:ascii="宋体" w:hAnsi="宋体" w:cs="宋体" w:eastAsia="宋体" w:hint="default"/>
                <w:sz w:val="18"/>
                <w:szCs w:val="18"/>
              </w:rPr>
              <w:t>深圳盈华小额贷款有限 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先锋基金管理有限公司</w:t>
            </w:r>
          </w:p>
        </w:tc>
      </w:tr>
      <w:tr>
        <w:trPr>
          <w:trHeight w:val="392"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391,250,652.71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95,647,641.48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359,768,839.77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41,827,773.30</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其中：现金和现金等价 物</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5,981,678.24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12,753,755.33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116,108,038.48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2,020,938.50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626,202.35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17,671,722.12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58,906.01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20,647,705.14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391,876,855.06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113,319,363.60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359,827,745.78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62,475,478.44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4,833,226.35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11,504,894.67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3,514,618.72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3,781,796.96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4,833,226.35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11,504,894.67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3,514,618.72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3,781,796.96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387,043,628.71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101,814,468.93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356,313,127.06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58,693,681.48</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193,521,814.36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33,911,752.42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178,156,563.53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21,716,662.14</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193,521,814.36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33,911,752.42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178,156,563.57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21,716,662.14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39,429,762.14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75,287,597.78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29,551,762.62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24,915,094.49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-169,515.94</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-928,180.81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-1,047,787.85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10,247,414.87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8,545,362.99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30,730,501.65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-4,005,831.40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25,571,014.10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-23,144,137.96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-2,996,119.84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30,730,501.65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-7,001,951.24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25,571,014.10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-23,144,137.96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不重要的合营企业和联营企业的汇总财务信息" w:id="340"/>
      <w:bookmarkEnd w:id="340"/>
      <w:r>
        <w:rPr>
          <w:b w:val="0"/>
          <w:bCs w:val="0"/>
        </w:rPr>
      </w: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17,498,979.01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20,246,197.59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-2,747,218.58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-1,144,754.07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-2,747,218.58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-1,144,754.07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2,260,992.88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-1,556,380.43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-1,295,387.55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-323,619.57</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-1,295,387.55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-323,619.57</w:t>
            </w:r>
            <w:r>
              <w:rPr>
                <w:rFonts w:ascii="Times New Roman"/>
                <w:sz w:val="18"/>
              </w:rPr>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与金融工具相关的风险" w:id="341"/>
      <w:bookmarkEnd w:id="341"/>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00"/>
        <w:jc w:val="left"/>
      </w:pPr>
      <w:r>
        <w:rPr>
          <w:spacing w:val="-1"/>
        </w:rPr>
        <w:t>本公司的主要金融工具包括货币资金、股权投资、借款、应收账款、应付账款等，各项金融工具的详细情况说明见本附</w:t>
      </w:r>
      <w:r>
        <w:rPr/>
        <w:t> 注六相关项目。与这些金融工具有关的风险，以及本公司为降低这些风险所采取的风险管理政策如下所述。</w:t>
      </w:r>
    </w:p>
    <w:p>
      <w:pPr>
        <w:pStyle w:val="BodyText"/>
        <w:spacing w:line="300" w:lineRule="auto" w:before="19"/>
        <w:ind w:left="454" w:right="0"/>
        <w:jc w:val="left"/>
      </w:pPr>
      <w:r>
        <w:rPr/>
        <w:t>（</w:t>
      </w:r>
      <w:r>
        <w:rPr>
          <w:rFonts w:ascii="Times New Roman" w:hAnsi="Times New Roman" w:cs="Times New Roman" w:eastAsia="Times New Roman" w:hint="default"/>
        </w:rPr>
        <w:t>1</w:t>
      </w:r>
      <w:r>
        <w:rPr/>
        <w:t>）信用风险 </w:t>
      </w:r>
      <w:r>
        <w:rPr>
          <w:spacing w:val="-3"/>
        </w:rPr>
        <w:t>信用风险是指金融工具的一方不履行义务，造成另一方发生财务损失的风险。本公司主要面临赊销导致的客户信用风险。</w:t>
      </w:r>
    </w:p>
    <w:p>
      <w:pPr>
        <w:pStyle w:val="BodyText"/>
        <w:spacing w:line="316" w:lineRule="auto" w:before="31"/>
        <w:ind w:right="0"/>
        <w:jc w:val="left"/>
      </w:pPr>
      <w:r>
        <w:rPr>
          <w:spacing w:val="-2"/>
        </w:rPr>
        <w:t>为降低信用风险，公司仅与经认可的、信誉良好的公司发生交易，并通过对已有客户信用监控以及通过账龄分析来对应收账</w:t>
      </w:r>
      <w:r>
        <w:rPr>
          <w:spacing w:val="-66"/>
        </w:rPr>
        <w:t> </w:t>
      </w:r>
      <w:r>
        <w:rPr>
          <w:spacing w:val="-66"/>
        </w:rPr>
      </w:r>
      <w:r>
        <w:rPr/>
        <w:t>款持续监控，确保公司不致面临坏账风险，将公司的整体信用风险控制在可控的范围内。</w:t>
      </w:r>
    </w:p>
    <w:p>
      <w:pPr>
        <w:pStyle w:val="BodyText"/>
        <w:spacing w:line="300" w:lineRule="auto" w:before="19"/>
        <w:ind w:left="454" w:right="1118"/>
        <w:jc w:val="left"/>
      </w:pPr>
      <w:r>
        <w:rPr/>
        <w:t>（</w:t>
      </w:r>
      <w:r>
        <w:rPr>
          <w:rFonts w:ascii="Times New Roman" w:hAnsi="Times New Roman" w:cs="Times New Roman" w:eastAsia="Times New Roman" w:hint="default"/>
        </w:rPr>
        <w:t>2</w:t>
      </w:r>
      <w:r>
        <w:rPr/>
        <w:t>）利率风险 </w:t>
      </w:r>
      <w:r>
        <w:rPr>
          <w:spacing w:val="-1"/>
        </w:rPr>
        <w:t>利率风险是金融工具的公允价值或未来现金流量因市场利率变动而发生波动的风险。本公司面临的利率风险主要来源于</w:t>
      </w:r>
    </w:p>
    <w:p>
      <w:pPr>
        <w:pStyle w:val="BodyText"/>
        <w:spacing w:line="316" w:lineRule="auto" w:before="31"/>
        <w:ind w:right="0"/>
        <w:jc w:val="left"/>
      </w:pPr>
      <w:r>
        <w:rPr>
          <w:spacing w:val="-2"/>
        </w:rPr>
        <w:t>银行借款。公司通过建立良好的银企关系，对授信额度、授信品种、授信期限进行合理的设计，保障银行授信额度充足，满</w:t>
      </w:r>
      <w:r>
        <w:rPr>
          <w:spacing w:val="-67"/>
        </w:rPr>
        <w:t> </w:t>
      </w:r>
      <w:r>
        <w:rPr>
          <w:spacing w:val="-67"/>
        </w:rPr>
      </w:r>
      <w:r>
        <w:rPr/>
        <w:t>足公司各类融资需求。通过缩短单笔借款的期限，特别约定提前还款条款，合理降低利率波动的风险。</w:t>
      </w:r>
    </w:p>
    <w:p>
      <w:pPr>
        <w:pStyle w:val="BodyText"/>
        <w:spacing w:line="300" w:lineRule="auto" w:before="19"/>
        <w:ind w:left="454" w:right="1118"/>
        <w:jc w:val="left"/>
      </w:pPr>
      <w:r>
        <w:rPr/>
        <w:t>（</w:t>
      </w:r>
      <w:r>
        <w:rPr>
          <w:rFonts w:ascii="Times New Roman" w:hAnsi="Times New Roman" w:cs="Times New Roman" w:eastAsia="Times New Roman" w:hint="default"/>
        </w:rPr>
        <w:t>3</w:t>
      </w:r>
      <w:r>
        <w:rPr/>
        <w:t>）外汇风险 </w:t>
      </w:r>
      <w:r>
        <w:rPr>
          <w:spacing w:val="-1"/>
        </w:rPr>
        <w:t>利率风险是金融工具的公允价值或未来现金流量因外汇汇率变动而发生波动的风险。本公司尽可能将外汇收入与外汇支</w:t>
      </w:r>
    </w:p>
    <w:p>
      <w:pPr>
        <w:pStyle w:val="BodyText"/>
        <w:spacing w:line="240" w:lineRule="auto" w:before="31"/>
        <w:ind w:right="0"/>
        <w:jc w:val="left"/>
      </w:pPr>
      <w:r>
        <w:rPr/>
        <w:t>出相匹配以降低外汇风险。报告期内，本公司的主要经营业务均在国内，因此，受到外汇风险的影响较小。</w:t>
      </w:r>
    </w:p>
    <w:p>
      <w:pPr>
        <w:pStyle w:val="BodyText"/>
        <w:spacing w:line="300" w:lineRule="auto" w:before="76"/>
        <w:ind w:left="454" w:right="0"/>
        <w:jc w:val="left"/>
      </w:pPr>
      <w:r>
        <w:rPr/>
        <w:t>（</w:t>
      </w:r>
      <w:r>
        <w:rPr>
          <w:rFonts w:ascii="Times New Roman" w:hAnsi="Times New Roman" w:cs="Times New Roman" w:eastAsia="Times New Roman" w:hint="default"/>
        </w:rPr>
        <w:t>4</w:t>
      </w:r>
      <w:r>
        <w:rPr/>
        <w:t>）流动性风险 </w:t>
      </w:r>
      <w:r>
        <w:rPr>
          <w:spacing w:val="-1"/>
        </w:rPr>
        <w:t>流动性风险是指企业在履行以交付现金或其他金融资产的方式结算义务时发生资金短缺的风险。本公司的政策是确保有</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充足的现金以偿还到期债务。流动性风险由本公司的财务部门集中控制。财务部门通过监控现金余额、可随时变现的有价证</w:t>
      </w:r>
      <w:r>
        <w:rPr>
          <w:spacing w:val="-66"/>
        </w:rPr>
        <w:t> </w:t>
      </w:r>
      <w:r>
        <w:rPr>
          <w:spacing w:val="-66"/>
        </w:rPr>
      </w:r>
      <w:r>
        <w:rPr/>
        <w:t>券以及对未来</w:t>
      </w:r>
      <w:r>
        <w:rPr>
          <w:rFonts w:ascii="Times New Roman" w:hAnsi="Times New Roman" w:cs="Times New Roman" w:eastAsia="Times New Roman" w:hint="default"/>
        </w:rPr>
        <w:t>6</w:t>
      </w:r>
      <w:r>
        <w:rPr/>
        <w:t>个月现金流量的滚动预测，确保公司在所有合理预测的情况下确保公司拥有充足的资金偿还债务。</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一、关联方及关联交易" w:id="342"/>
      <w:bookmarkEnd w:id="342"/>
      <w:r>
        <w:rPr>
          <w:b w:val="0"/>
          <w:bCs w:val="0"/>
        </w:rPr>
      </w:r>
      <w:r>
        <w:rPr/>
        <w:t>十一、关联方及关联交易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43"/>
      <w:bookmarkEnd w:id="34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241"/>
        <w:gridCol w:w="2694"/>
        <w:gridCol w:w="991"/>
        <w:gridCol w:w="1451"/>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9" w:right="89"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嘉兴乾德精一投资 合伙企业（有限合 伙）</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3"/>
              <w:jc w:val="center"/>
              <w:rPr>
                <w:rFonts w:ascii="宋体" w:hAnsi="宋体" w:cs="宋体" w:eastAsia="宋体" w:hint="default"/>
                <w:sz w:val="18"/>
                <w:szCs w:val="18"/>
              </w:rPr>
            </w:pPr>
            <w:r>
              <w:rPr>
                <w:rFonts w:ascii="宋体" w:hAnsi="宋体" w:cs="宋体" w:eastAsia="宋体" w:hint="default"/>
                <w:sz w:val="18"/>
                <w:szCs w:val="18"/>
              </w:rPr>
              <w:t>浙江省嘉兴市</w:t>
            </w:r>
          </w:p>
        </w:tc>
        <w:tc>
          <w:tcPr>
            <w:tcW w:w="269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45"/>
              <w:jc w:val="center"/>
              <w:rPr>
                <w:rFonts w:ascii="宋体" w:hAnsi="宋体" w:cs="宋体" w:eastAsia="宋体" w:hint="default"/>
                <w:sz w:val="18"/>
                <w:szCs w:val="18"/>
              </w:rPr>
            </w:pPr>
            <w:r>
              <w:rPr>
                <w:rFonts w:ascii="宋体" w:hAnsi="宋体" w:cs="宋体" w:eastAsia="宋体" w:hint="default"/>
                <w:sz w:val="18"/>
                <w:szCs w:val="18"/>
              </w:rPr>
              <w:t>实业投资、投资管理、投资咨询。</w:t>
            </w:r>
          </w:p>
        </w:tc>
        <w:tc>
          <w:tcPr>
            <w:tcW w:w="99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6"/>
              <w:jc w:val="right"/>
              <w:rPr>
                <w:rFonts w:ascii="宋体" w:hAnsi="宋体" w:cs="宋体" w:eastAsia="宋体" w:hint="default"/>
                <w:sz w:val="18"/>
                <w:szCs w:val="18"/>
              </w:rPr>
            </w:pPr>
            <w:r>
              <w:rPr>
                <w:rFonts w:ascii="Times New Roman" w:hAnsi="Times New Roman" w:cs="Times New Roman" w:eastAsia="Times New Roman" w:hint="default"/>
                <w:sz w:val="18"/>
                <w:szCs w:val="18"/>
              </w:rPr>
              <w:t>70,185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19.84%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19.84%</w:t>
            </w:r>
          </w:p>
        </w:tc>
      </w:tr>
    </w:tbl>
    <w:p>
      <w:pPr>
        <w:pStyle w:val="BodyText"/>
        <w:spacing w:line="357" w:lineRule="auto" w:before="51"/>
        <w:ind w:left="514" w:right="1152" w:hanging="360"/>
        <w:jc w:val="left"/>
      </w:pPr>
      <w:r>
        <w:rPr/>
        <w:t>本企业的母公司情况的说明 乾德精一持有公司</w:t>
      </w:r>
      <w:r>
        <w:rPr>
          <w:rFonts w:ascii="Times New Roman" w:hAnsi="Times New Roman" w:cs="Times New Roman" w:eastAsia="Times New Roman" w:hint="default"/>
        </w:rPr>
        <w:t>7,800</w:t>
      </w:r>
      <w:r>
        <w:rPr/>
        <w:t>万股股份，占公司股份总数的</w:t>
      </w:r>
      <w:r>
        <w:rPr>
          <w:rFonts w:ascii="Times New Roman" w:hAnsi="Times New Roman" w:cs="Times New Roman" w:eastAsia="Times New Roman" w:hint="default"/>
        </w:rPr>
        <w:t>19.84%</w:t>
      </w:r>
      <w:r>
        <w:rPr/>
        <w:t>，乾德精一为公司控股股东，深圳精一为乾德精一的普通</w:t>
      </w:r>
    </w:p>
    <w:p>
      <w:pPr>
        <w:pStyle w:val="BodyText"/>
        <w:spacing w:line="214" w:lineRule="exact"/>
        <w:ind w:right="0"/>
        <w:jc w:val="left"/>
      </w:pPr>
      <w:r>
        <w:rPr/>
        <w:t>合伙人、执行事务合伙人，刘辉女士持有深圳精一</w:t>
      </w:r>
      <w:r>
        <w:rPr>
          <w:rFonts w:ascii="Times New Roman" w:hAnsi="Times New Roman" w:cs="Times New Roman" w:eastAsia="Times New Roman" w:hint="default"/>
        </w:rPr>
        <w:t>99%</w:t>
      </w:r>
      <w:r>
        <w:rPr/>
        <w:t>的股权，为深圳精一的控股股东，乾德精一的实际控制人。</w:t>
      </w:r>
    </w:p>
    <w:p>
      <w:pPr>
        <w:pStyle w:val="BodyText"/>
        <w:spacing w:line="240" w:lineRule="auto" w:before="103"/>
        <w:ind w:right="0"/>
        <w:jc w:val="left"/>
      </w:pPr>
      <w:r>
        <w:rPr/>
        <w:t>本企业最终控制方是刘辉。</w:t>
      </w:r>
    </w:p>
    <w:p>
      <w:pPr>
        <w:spacing w:line="240" w:lineRule="auto" w:before="11"/>
        <w:rPr>
          <w:rFonts w:ascii="宋体" w:hAnsi="宋体" w:cs="宋体" w:eastAsia="宋体" w:hint="default"/>
          <w:sz w:val="26"/>
          <w:szCs w:val="26"/>
        </w:rPr>
      </w:pPr>
    </w:p>
    <w:p>
      <w:pPr>
        <w:spacing w:line="547" w:lineRule="auto" w:before="0"/>
        <w:ind w:left="154" w:right="7062" w:firstLine="0"/>
        <w:jc w:val="left"/>
        <w:rPr>
          <w:rFonts w:ascii="宋体" w:hAnsi="宋体" w:cs="宋体" w:eastAsia="宋体" w:hint="default"/>
          <w:sz w:val="21"/>
          <w:szCs w:val="21"/>
        </w:rPr>
      </w:pPr>
      <w:bookmarkStart w:name="2、本企业的子公司情况" w:id="344"/>
      <w:bookmarkEnd w:id="3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45"/>
      <w:bookmarkEnd w:id="345"/>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bookmarkStart w:name="4、其他关联方情况" w:id="346"/>
      <w:bookmarkEnd w:id="346"/>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公司董事长</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5、关联交易情况" w:id="347"/>
      <w:bookmarkEnd w:id="34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关联担保情况" w:id="348"/>
      <w:bookmarkEnd w:id="348"/>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1" w:right="0"/>
              <w:jc w:val="left"/>
              <w:rPr>
                <w:rFonts w:ascii="Times New Roman" w:hAnsi="Times New Roman" w:cs="Times New Roman" w:eastAsia="Times New Roman" w:hint="default"/>
                <w:sz w:val="18"/>
                <w:szCs w:val="18"/>
              </w:rPr>
            </w:pPr>
            <w:r>
              <w:rPr>
                <w:rFonts w:ascii="Times New Roman"/>
                <w:sz w:val="18"/>
              </w:rPr>
              <w:t>3,500.00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王永彬、刘辉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王永彬、刘辉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刘辉，王永彬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王永彬，刘辉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57" w:lineRule="auto" w:before="51"/>
        <w:ind w:right="9312"/>
        <w:jc w:val="left"/>
      </w:pPr>
      <w:r>
        <w:rPr/>
        <w:t>关联担保情况说明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关键管理人员报酬" w:id="349"/>
      <w:bookmarkEnd w:id="349"/>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687.40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关联交易" w:id="350"/>
      <w:bookmarkEnd w:id="350"/>
      <w:r>
        <w:rPr>
          <w:b w:val="0"/>
          <w:bCs w:val="0"/>
        </w:rPr>
      </w:r>
      <w:r>
        <w:rPr/>
        <w:t>（</w:t>
      </w:r>
      <w:r>
        <w:rPr>
          <w:rFonts w:ascii="Times New Roman" w:hAnsi="Times New Roman" w:cs="Times New Roman" w:eastAsia="Times New Roman" w:hint="default"/>
        </w:rPr>
        <w:t>3</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其他" w:id="351"/>
      <w:bookmarkEnd w:id="351"/>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二、承诺及或有事项" w:id="352"/>
      <w:bookmarkEnd w:id="352"/>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53"/>
      <w:bookmarkEnd w:id="353"/>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634" w:right="5592" w:hanging="480"/>
        <w:jc w:val="left"/>
      </w:pPr>
      <w:r>
        <w:rPr/>
        <w:t>资产负债表日存在的重要承诺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2、或有事项" w:id="354"/>
      <w:bookmarkEnd w:id="35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55"/>
      <w:bookmarkEnd w:id="35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①未决诉讼仲裁形成的或有负债及其财务影响</w:t>
      </w:r>
    </w:p>
    <w:p>
      <w:pPr>
        <w:pStyle w:val="BodyText"/>
        <w:spacing w:line="307" w:lineRule="auto" w:before="76"/>
        <w:ind w:right="1130" w:firstLine="360"/>
        <w:jc w:val="both"/>
      </w:pPr>
      <w:r>
        <w:rPr>
          <w:rFonts w:ascii="Times New Roman" w:hAnsi="Times New Roman" w:cs="Times New Roman" w:eastAsia="Times New Roman" w:hint="default"/>
          <w:spacing w:val="-1"/>
        </w:rPr>
        <w:t>a</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日公司收到深圳仲裁委员会深仲涉外受字</w:t>
      </w:r>
      <w:r>
        <w:rPr>
          <w:rFonts w:ascii="Times New Roman" w:hAnsi="Times New Roman" w:cs="Times New Roman" w:eastAsia="Times New Roman" w:hint="default"/>
          <w:spacing w:val="-1"/>
        </w:rPr>
        <w:t>[2014]</w:t>
      </w:r>
      <w:r>
        <w:rPr>
          <w:spacing w:val="-1"/>
        </w:rPr>
        <w:t>第</w:t>
      </w:r>
      <w:r>
        <w:rPr>
          <w:rFonts w:ascii="Times New Roman" w:hAnsi="Times New Roman" w:cs="Times New Roman" w:eastAsia="Times New Roman" w:hint="default"/>
          <w:spacing w:val="-1"/>
        </w:rPr>
        <w:t>107</w:t>
      </w:r>
      <w:r>
        <w:rPr>
          <w:spacing w:val="-1"/>
        </w:rPr>
        <w:t>号仲裁通知书，申请人郑燕辉于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月向深</w:t>
      </w:r>
      <w:r>
        <w:rPr/>
        <w:t> </w:t>
      </w:r>
      <w:r>
        <w:rPr>
          <w:spacing w:val="-2"/>
        </w:rPr>
        <w:t>圳仲裁委员会提出仲裁申请，同时提出财产保全申请。深圳仲裁委员会受理案件后，向深圳市南山区人民法院移送了申请人</w:t>
      </w:r>
      <w:r>
        <w:rPr>
          <w:spacing w:val="-66"/>
        </w:rPr>
        <w:t> </w:t>
      </w:r>
      <w:r>
        <w:rPr>
          <w:spacing w:val="-66"/>
        </w:rPr>
      </w:r>
      <w:r>
        <w:rPr/>
        <w:t>提出的财产保全申请。深圳市南山区人民法院依法查封、冻结了公司在招商银行科技园支行开立的银行账户内存款人民币</w:t>
      </w:r>
      <w:r>
        <w:rPr>
          <w:spacing w:val="-9"/>
        </w:rPr>
        <w:t> </w:t>
      </w:r>
      <w:r>
        <w:rPr>
          <w:spacing w:val="-9"/>
        </w:rPr>
      </w:r>
      <w:r>
        <w:rPr>
          <w:rFonts w:ascii="Times New Roman" w:hAnsi="Times New Roman" w:cs="Times New Roman" w:eastAsia="Times New Roman" w:hint="default"/>
          <w:spacing w:val="-1"/>
        </w:rPr>
        <w:t>38,342,647.29</w:t>
      </w:r>
      <w:r>
        <w:rPr>
          <w:spacing w:val="-1"/>
        </w:rPr>
        <w:t>元【案号：（</w:t>
      </w:r>
      <w:r>
        <w:rPr>
          <w:rFonts w:ascii="Times New Roman" w:hAnsi="Times New Roman" w:cs="Times New Roman" w:eastAsia="Times New Roman" w:hint="default"/>
          <w:spacing w:val="-1"/>
        </w:rPr>
        <w:t>2014</w:t>
      </w:r>
      <w:r>
        <w:rPr>
          <w:spacing w:val="-1"/>
        </w:rPr>
        <w:t>）深南法仲保字第</w:t>
      </w:r>
      <w:r>
        <w:rPr>
          <w:rFonts w:ascii="Times New Roman" w:hAnsi="Times New Roman" w:cs="Times New Roman" w:eastAsia="Times New Roman" w:hint="default"/>
          <w:spacing w:val="-1"/>
        </w:rPr>
        <w:t>105</w:t>
      </w:r>
      <w:r>
        <w:rPr>
          <w:spacing w:val="-1"/>
        </w:rPr>
        <w:t>号】，冻结至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19</w:t>
      </w:r>
      <w:r>
        <w:rPr>
          <w:spacing w:val="-1"/>
        </w:rPr>
        <w:t>日。经公司了解，该案系公司前资金部经理</w:t>
      </w:r>
      <w:r>
        <w:rPr>
          <w:spacing w:val="-64"/>
        </w:rPr>
        <w:t> </w:t>
      </w:r>
      <w:r>
        <w:rPr>
          <w:spacing w:val="-64"/>
        </w:rPr>
      </w:r>
      <w:r>
        <w:rPr/>
        <w:t>徐某个人冒用公司名义向申请人郑燕辉借款所致，借款金额为人民币</w:t>
      </w:r>
      <w:r>
        <w:rPr>
          <w:rFonts w:ascii="Times New Roman" w:hAnsi="Times New Roman" w:cs="Times New Roman" w:eastAsia="Times New Roman" w:hint="default"/>
        </w:rPr>
        <w:t>2,900</w:t>
      </w:r>
      <w:r>
        <w:rPr/>
        <w:t>万元，加上利息等共人民币</w:t>
      </w:r>
      <w:r>
        <w:rPr>
          <w:rFonts w:ascii="Times New Roman" w:hAnsi="Times New Roman" w:cs="Times New Roman" w:eastAsia="Times New Roman" w:hint="default"/>
        </w:rPr>
        <w:t>3,800</w:t>
      </w:r>
      <w:r>
        <w:rPr/>
        <w:t>多万元。公司已</w:t>
      </w:r>
      <w:r>
        <w:rPr>
          <w:spacing w:val="-84"/>
        </w:rPr>
        <w:t> </w:t>
      </w:r>
      <w:r>
        <w:rPr/>
        <w:t>向公安关机关报案，公安部门已传讯徐某，并已录口供，徐某承认冒用公司名义借款自用的事实。</w:t>
      </w:r>
    </w:p>
    <w:p>
      <w:pPr>
        <w:spacing w:after="0" w:line="307"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4" w:lineRule="auto" w:before="44"/>
        <w:ind w:right="1129" w:firstLine="360"/>
        <w:jc w:val="both"/>
      </w:pPr>
      <w:r>
        <w:rPr/>
        <w:t>目前，公司已联系了徐某，徐某为减轻法律责任，已委托第三方公司向公司支付了人民币</w:t>
      </w:r>
      <w:r>
        <w:rPr>
          <w:rFonts w:ascii="Times New Roman" w:hAnsi="Times New Roman" w:cs="Times New Roman" w:eastAsia="Times New Roman" w:hint="default"/>
        </w:rPr>
        <w:t>3,865</w:t>
      </w:r>
      <w:r>
        <w:rPr/>
        <w:t>万元作为现金质押。如 公司因为该案受到损失，则可以直接从质押款中扣除同等金额的款项作为补偿。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日，我司收到深圳仲裁委员会</w:t>
      </w:r>
      <w:r>
        <w:rPr>
          <w:spacing w:val="-82"/>
        </w:rPr>
        <w:t> </w:t>
      </w:r>
      <w:r>
        <w:rPr>
          <w:spacing w:val="-82"/>
        </w:rPr>
      </w:r>
      <w:r>
        <w:rPr/>
        <w:t>送达的《中止审理通知书》。该《通知书》称，由于（</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161</w:t>
      </w:r>
      <w:r>
        <w:rPr/>
        <w:t>号案件中，原告徐书林的诉求、事实与</w:t>
      </w:r>
      <w:r>
        <w:rPr>
          <w:spacing w:val="-82"/>
        </w:rPr>
        <w:t> </w:t>
      </w:r>
      <w:r>
        <w:rPr>
          <w:spacing w:val="-82"/>
        </w:rPr>
      </w:r>
      <w:r>
        <w:rPr/>
        <w:t>理由及证据材料与深仲涉外受字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107</w:t>
      </w:r>
      <w:r>
        <w:rPr/>
        <w:t>号仲裁案件存在交叉，中院案件的审理结果对仲裁案件的事实查明及认定有重</w:t>
      </w:r>
      <w:r>
        <w:rPr>
          <w:spacing w:val="-33"/>
        </w:rPr>
        <w:t> </w:t>
      </w:r>
      <w:r>
        <w:rPr>
          <w:spacing w:val="-33"/>
        </w:rPr>
      </w:r>
      <w:r>
        <w:rPr>
          <w:spacing w:val="-2"/>
        </w:rPr>
        <w:t>大影响，因此中止审理仲裁案件，待深圳中院案件作出最终生效的审理结果后，再恢复审理。截止本报告期日尚未收到仲裁</w:t>
      </w:r>
      <w:r>
        <w:rPr>
          <w:spacing w:val="-66"/>
        </w:rPr>
        <w:t> </w:t>
      </w:r>
      <w:r>
        <w:rPr>
          <w:spacing w:val="-66"/>
        </w:rPr>
      </w:r>
      <w:r>
        <w:rPr/>
        <w:t>结果。</w:t>
      </w:r>
    </w:p>
    <w:p>
      <w:pPr>
        <w:pStyle w:val="BodyText"/>
        <w:spacing w:line="300" w:lineRule="auto" w:before="28"/>
        <w:ind w:left="514" w:right="0"/>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日收到深圳市中级人民法院送达（</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00161</w:t>
      </w:r>
      <w:r>
        <w:rPr/>
        <w:t>号案件，案情如下： 该案系我司前资金部经理徐某个人冒用公司名义向被告郑燕辉借款所致，借款金额为人民币</w:t>
      </w:r>
      <w:r>
        <w:rPr>
          <w:rFonts w:ascii="Times New Roman" w:hAnsi="Times New Roman" w:cs="Times New Roman" w:eastAsia="Times New Roman" w:hint="default"/>
        </w:rPr>
        <w:t>2,900</w:t>
      </w:r>
      <w:r>
        <w:rPr/>
        <w:t>万元，加上利息等共</w:t>
      </w:r>
    </w:p>
    <w:p>
      <w:pPr>
        <w:pStyle w:val="BodyText"/>
        <w:spacing w:line="307" w:lineRule="auto" w:before="13"/>
        <w:ind w:right="0"/>
        <w:jc w:val="left"/>
      </w:pPr>
      <w:r>
        <w:rPr>
          <w:spacing w:val="-1"/>
        </w:rPr>
        <w:t>人民币</w:t>
      </w:r>
      <w:r>
        <w:rPr>
          <w:rFonts w:ascii="Times New Roman" w:hAnsi="Times New Roman" w:cs="Times New Roman" w:eastAsia="Times New Roman" w:hint="default"/>
          <w:spacing w:val="-1"/>
        </w:rPr>
        <w:t>3,800</w:t>
      </w:r>
      <w:r>
        <w:rPr>
          <w:spacing w:val="-1"/>
        </w:rPr>
        <w:t>多万元。由于原告徐书林个人无力偿还借款，被告郑燕辉与徐书林勾结伪造了盖有我司财务专用章的借款合同，</w:t>
      </w:r>
      <w:r>
        <w:rPr>
          <w:spacing w:val="-71"/>
        </w:rPr>
        <w:t> </w:t>
      </w:r>
      <w:r>
        <w:rPr>
          <w:spacing w:val="-71"/>
        </w:rPr>
      </w:r>
      <w:r>
        <w:rPr/>
        <w:t>致使我司被被告郑燕辉向深圳仲裁委员会提起仲裁【案号：深仲涉外受字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107</w:t>
      </w:r>
      <w:r>
        <w:rPr/>
        <w:t>号】。同时提出财产保全申请。深圳</w:t>
      </w:r>
      <w:r>
        <w:rPr>
          <w:spacing w:val="-30"/>
        </w:rPr>
        <w:t> </w:t>
      </w:r>
      <w:r>
        <w:rPr>
          <w:spacing w:val="-30"/>
        </w:rPr>
      </w:r>
      <w:r>
        <w:rPr>
          <w:spacing w:val="-2"/>
        </w:rPr>
        <w:t>仲裁委员会受理案件后，向深圳市南山区人民法院移送了被告提出的财产保全申请。深圳市南山区人民法院依法查封、冻结</w:t>
      </w:r>
      <w:r>
        <w:rPr>
          <w:spacing w:val="-66"/>
        </w:rPr>
        <w:t> </w:t>
      </w:r>
      <w:r>
        <w:rPr>
          <w:spacing w:val="-66"/>
        </w:rPr>
      </w:r>
      <w:r>
        <w:rPr/>
        <w:t>了我司在招商银行科技园支行开立的银行账户内存款人民币</w:t>
      </w:r>
      <w:r>
        <w:rPr>
          <w:rFonts w:ascii="Times New Roman" w:hAnsi="Times New Roman" w:cs="Times New Roman" w:eastAsia="Times New Roman" w:hint="default"/>
        </w:rPr>
        <w:t>3,800</w:t>
      </w:r>
      <w:r>
        <w:rPr/>
        <w:t>多万元【案号：（</w:t>
      </w:r>
      <w:r>
        <w:rPr>
          <w:rFonts w:ascii="Times New Roman" w:hAnsi="Times New Roman" w:cs="Times New Roman" w:eastAsia="Times New Roman" w:hint="default"/>
        </w:rPr>
        <w:t>2014</w:t>
      </w:r>
      <w:r>
        <w:rPr/>
        <w:t>）深南法仲保字第</w:t>
      </w:r>
      <w:r>
        <w:rPr>
          <w:rFonts w:ascii="Times New Roman" w:hAnsi="Times New Roman" w:cs="Times New Roman" w:eastAsia="Times New Roman" w:hint="default"/>
        </w:rPr>
        <w:t>105</w:t>
      </w:r>
      <w:r>
        <w:rPr/>
        <w:t>号】。经查， </w:t>
      </w:r>
      <w:r>
        <w:rPr>
          <w:spacing w:val="-2"/>
        </w:rPr>
        <w:t>我司从未收到该款项，与该款项有关的事项，均与我司无关。我司怀疑徐某个人盗用我司公章，冒用我司名义借款归其个人</w:t>
      </w:r>
      <w:r>
        <w:rPr>
          <w:spacing w:val="-66"/>
        </w:rPr>
        <w:t> </w:t>
      </w:r>
      <w:r>
        <w:rPr>
          <w:spacing w:val="-66"/>
        </w:rPr>
      </w:r>
      <w:r>
        <w:rPr/>
        <w:t>所用。我司认为，徐某的行为已涉嫌犯罪，我司已向公安机关报案。</w:t>
      </w:r>
    </w:p>
    <w:p>
      <w:pPr>
        <w:pStyle w:val="BodyText"/>
        <w:spacing w:line="316" w:lineRule="auto" w:before="26"/>
        <w:ind w:right="1133" w:firstLine="360"/>
        <w:jc w:val="both"/>
      </w:pPr>
      <w:r>
        <w:rPr>
          <w:spacing w:val="-2"/>
        </w:rPr>
        <w:t>根据我司收到的案件材料来看，原告徐书林是想通过诉讼，明确借款关系双方为其个人与被告郑燕辉之间的，同时确认</w:t>
      </w:r>
      <w:r>
        <w:rPr/>
        <w:t> 借款余额，该借款与我司无关，以便最终能减轻其个人可能承担的刑事责任。</w:t>
      </w:r>
    </w:p>
    <w:p>
      <w:pPr>
        <w:pStyle w:val="BodyText"/>
        <w:spacing w:line="309" w:lineRule="auto" w:before="19"/>
        <w:ind w:right="1133" w:firstLine="360"/>
        <w:jc w:val="both"/>
      </w:pPr>
      <w:r>
        <w:rPr>
          <w:spacing w:val="-2"/>
        </w:rPr>
        <w:t>目前，我司已联系了徐某，其个人表示，与该案有关的经济责任，全部由其个人承担。并且，徐某为减轻法律责任，个</w:t>
      </w:r>
      <w:r>
        <w:rPr/>
        <w:t> 人已委托第三方公司向我司支付了人民币</w:t>
      </w:r>
      <w:r>
        <w:rPr>
          <w:rFonts w:ascii="Times New Roman" w:hAnsi="Times New Roman" w:cs="Times New Roman" w:eastAsia="Times New Roman" w:hint="default"/>
        </w:rPr>
        <w:t>3,865</w:t>
      </w:r>
      <w:r>
        <w:rPr/>
        <w:t>万元作为现金质押。如我司因为该案受到损失，则可以直接从质押款中扣除</w:t>
      </w:r>
      <w:r>
        <w:rPr>
          <w:spacing w:val="-46"/>
        </w:rPr>
        <w:t> </w:t>
      </w:r>
      <w:r>
        <w:rPr>
          <w:spacing w:val="-46"/>
        </w:rPr>
      </w:r>
      <w:r>
        <w:rPr/>
        <w:t>同等金额的款项作为补偿。因此，该案不会造成我司的经济损失。</w:t>
      </w:r>
    </w:p>
    <w:p>
      <w:pPr>
        <w:pStyle w:val="BodyText"/>
        <w:spacing w:line="309" w:lineRule="auto" w:before="24"/>
        <w:ind w:right="1032" w:firstLine="360"/>
        <w:jc w:val="left"/>
      </w:pPr>
      <w:r>
        <w:rPr/>
        <w:t>我司深圳市中级人民法院送达应诉材料后，收到深圳中院送达的《管辖权异议申请书》及传票，经深圳中院开庭审理， 最终于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日作出（</w:t>
      </w:r>
      <w:r>
        <w:rPr>
          <w:rFonts w:ascii="Times New Roman" w:hAnsi="Times New Roman" w:cs="Times New Roman" w:eastAsia="Times New Roman" w:hint="default"/>
        </w:rPr>
        <w:t>2015</w:t>
      </w:r>
      <w:r>
        <w:rPr/>
        <w:t>）深中法涉外初字第</w:t>
      </w:r>
      <w:r>
        <w:rPr>
          <w:rFonts w:ascii="Times New Roman" w:hAnsi="Times New Roman" w:cs="Times New Roman" w:eastAsia="Times New Roman" w:hint="default"/>
        </w:rPr>
        <w:t>161</w:t>
      </w:r>
      <w:r>
        <w:rPr/>
        <w:t>号民事裁定书，驳回了郑燕辉对该案管辖权提出的异议。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29</w:t>
      </w:r>
      <w:r>
        <w:rPr/>
        <w:t>日，我司收到深圳市中级人民法院送达的《变更诉讼请求通知书》，原告诉讼标的变更为</w:t>
      </w:r>
      <w:r>
        <w:rPr>
          <w:rFonts w:ascii="Times New Roman" w:hAnsi="Times New Roman" w:cs="Times New Roman" w:eastAsia="Times New Roman" w:hint="default"/>
        </w:rPr>
        <w:t>21,677,000.00</w:t>
      </w:r>
      <w:r>
        <w:rPr/>
        <w:t>元。</w:t>
      </w:r>
    </w:p>
    <w:p>
      <w:pPr>
        <w:pStyle w:val="BodyText"/>
        <w:spacing w:line="240" w:lineRule="auto" w:before="5"/>
        <w:ind w:left="514"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日，我司收到深圳中院送达的民事判决书。该判决书判决：</w:t>
      </w:r>
      <w:r>
        <w:rPr>
          <w:rFonts w:ascii="Times New Roman" w:hAnsi="Times New Roman" w:cs="Times New Roman" w:eastAsia="Times New Roman" w:hint="default"/>
        </w:rPr>
        <w:t>1</w:t>
      </w:r>
      <w:r>
        <w:rPr/>
        <w:t>、确认原告徐书林与被告郑燕辉之间的人民币</w:t>
      </w:r>
    </w:p>
    <w:p>
      <w:pPr>
        <w:pStyle w:val="BodyText"/>
        <w:spacing w:line="300" w:lineRule="auto" w:before="63"/>
        <w:ind w:right="1129"/>
        <w:jc w:val="both"/>
      </w:pPr>
      <w:r>
        <w:rPr>
          <w:rFonts w:ascii="Times New Roman" w:hAnsi="Times New Roman" w:cs="Times New Roman" w:eastAsia="Times New Roman" w:hint="default"/>
        </w:rPr>
        <w:t>2900</w:t>
      </w:r>
      <w:r>
        <w:rPr/>
        <w:t>万元借款合同法律关系合法有效；</w:t>
      </w:r>
      <w:r>
        <w:rPr>
          <w:rFonts w:ascii="Times New Roman" w:hAnsi="Times New Roman" w:cs="Times New Roman" w:eastAsia="Times New Roman" w:hint="default"/>
        </w:rPr>
        <w:t>2</w:t>
      </w:r>
      <w:r>
        <w:rPr/>
        <w:t>、驳回原告徐书林的其他诉讼请求。一审判决后，被告郑燕辉提起上诉至广东省高</w:t>
      </w:r>
      <w:r>
        <w:rPr>
          <w:spacing w:val="-83"/>
        </w:rPr>
        <w:t> </w:t>
      </w:r>
      <w:r>
        <w:rPr>
          <w:spacing w:val="-83"/>
        </w:rPr>
      </w:r>
      <w:r>
        <w:rPr/>
        <w:t>级人民法院。二审法院广东省高级人民法院于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日立案，案号（</w:t>
      </w:r>
      <w:r>
        <w:rPr>
          <w:rFonts w:ascii="Times New Roman" w:hAnsi="Times New Roman" w:cs="Times New Roman" w:eastAsia="Times New Roman" w:hint="default"/>
        </w:rPr>
        <w:t>2018</w:t>
      </w:r>
      <w:r>
        <w:rPr/>
        <w:t>）粤民终字第</w:t>
      </w:r>
      <w:r>
        <w:rPr>
          <w:rFonts w:ascii="Times New Roman" w:hAnsi="Times New Roman" w:cs="Times New Roman" w:eastAsia="Times New Roman" w:hint="default"/>
        </w:rPr>
        <w:t>98</w:t>
      </w:r>
      <w:r>
        <w:rPr/>
        <w:t>号。该案于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日经</w:t>
      </w:r>
      <w:r>
        <w:rPr>
          <w:spacing w:val="-83"/>
        </w:rPr>
        <w:t> </w:t>
      </w:r>
      <w:r>
        <w:rPr/>
        <w:t>二审开庭审理，截至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日，二审法院尚未作出判决。</w:t>
      </w:r>
    </w:p>
    <w:p>
      <w:pPr>
        <w:pStyle w:val="BodyText"/>
        <w:spacing w:line="300" w:lineRule="auto" w:before="13"/>
        <w:ind w:left="514" w:right="0"/>
        <w:jc w:val="left"/>
      </w:pPr>
      <w:r>
        <w:rPr>
          <w:rFonts w:ascii="Times New Roman" w:hAnsi="Times New Roman" w:cs="Times New Roman" w:eastAsia="Times New Roman" w:hint="default"/>
        </w:rPr>
        <w:t>c</w:t>
      </w:r>
      <w:r>
        <w:rPr/>
        <w:t>、广州委托合同纠纷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月上海即富互联网金融信息服务有限公司起诉判令被告</w:t>
      </w:r>
      <w:r>
        <w:rPr>
          <w:rFonts w:ascii="Times New Roman" w:hAnsi="Times New Roman" w:cs="Times New Roman" w:eastAsia="Times New Roman" w:hint="default"/>
        </w:rPr>
        <w:t>1</w:t>
      </w:r>
      <w:r>
        <w:rPr/>
        <w:t>广州功联商务服务有限公司全额退还原告已支付的委</w:t>
      </w:r>
    </w:p>
    <w:p>
      <w:pPr>
        <w:pStyle w:val="BodyText"/>
        <w:spacing w:line="300" w:lineRule="auto" w:before="13"/>
        <w:ind w:right="1118"/>
        <w:jc w:val="left"/>
      </w:pPr>
      <w:r>
        <w:rPr/>
        <w:t>托款项人民币</w:t>
      </w:r>
      <w:r>
        <w:rPr>
          <w:rFonts w:ascii="Times New Roman" w:hAnsi="Times New Roman" w:cs="Times New Roman" w:eastAsia="Times New Roman" w:hint="default"/>
        </w:rPr>
        <w:t>400</w:t>
      </w:r>
      <w:r>
        <w:rPr/>
        <w:t>万元整，并向原告支付自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13</w:t>
      </w:r>
      <w:r>
        <w:rPr/>
        <w:t>日起万分之一</w:t>
      </w:r>
      <w:r>
        <w:rPr>
          <w:rFonts w:ascii="Times New Roman" w:hAnsi="Times New Roman" w:cs="Times New Roman" w:eastAsia="Times New Roman" w:hint="default"/>
        </w:rPr>
        <w:t>/</w:t>
      </w:r>
      <w:r>
        <w:rPr/>
        <w:t>日的逾期付款违约金，被告</w:t>
      </w:r>
      <w:r>
        <w:rPr>
          <w:rFonts w:ascii="Times New Roman" w:hAnsi="Times New Roman" w:cs="Times New Roman" w:eastAsia="Times New Roman" w:hint="default"/>
        </w:rPr>
        <w:t>2</w:t>
      </w:r>
      <w:r>
        <w:rPr/>
        <w:t>席玲对前述款项承担无</w:t>
      </w:r>
      <w:r>
        <w:rPr>
          <w:spacing w:val="-50"/>
        </w:rPr>
        <w:t> </w:t>
      </w:r>
      <w:r>
        <w:rPr>
          <w:spacing w:val="-50"/>
        </w:rPr>
      </w:r>
      <w:r>
        <w:rPr/>
        <w:t>限连带责任。</w:t>
      </w:r>
    </w:p>
    <w:p>
      <w:pPr>
        <w:pStyle w:val="BodyText"/>
        <w:spacing w:line="304" w:lineRule="auto" w:before="31"/>
        <w:ind w:right="1129" w:firstLine="360"/>
        <w:jc w:val="both"/>
      </w:pPr>
      <w:r>
        <w:rPr>
          <w:spacing w:val="-2"/>
        </w:rPr>
        <w:t>案件情况：原告与二被告于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日共同签署《委托协议书》（下称</w:t>
      </w:r>
      <w:r>
        <w:rPr>
          <w:rFonts w:ascii="Times New Roman" w:hAnsi="Times New Roman" w:cs="Times New Roman" w:eastAsia="Times New Roman" w:hint="default"/>
          <w:spacing w:val="-2"/>
        </w:rPr>
        <w:t>“</w:t>
      </w:r>
      <w:r>
        <w:rPr>
          <w:spacing w:val="-2"/>
        </w:rPr>
        <w:t>协议书</w:t>
      </w:r>
      <w:r>
        <w:rPr>
          <w:rFonts w:ascii="Times New Roman" w:hAnsi="Times New Roman" w:cs="Times New Roman" w:eastAsia="Times New Roman" w:hint="default"/>
          <w:spacing w:val="-2"/>
        </w:rPr>
        <w:t>”</w:t>
      </w:r>
      <w:r>
        <w:rPr>
          <w:spacing w:val="-2"/>
        </w:rPr>
        <w:t>），根据协议书约定，被告</w:t>
      </w:r>
      <w:r>
        <w:rPr>
          <w:rFonts w:ascii="Times New Roman" w:hAnsi="Times New Roman" w:cs="Times New Roman" w:eastAsia="Times New Roman" w:hint="default"/>
          <w:spacing w:val="-2"/>
        </w:rPr>
        <w:t>1</w:t>
      </w:r>
      <w:r>
        <w:rPr>
          <w:spacing w:val="-2"/>
        </w:rPr>
        <w:t>（受托</w:t>
      </w:r>
      <w:r>
        <w:rPr/>
        <w:t> </w:t>
      </w:r>
      <w:r>
        <w:rPr>
          <w:spacing w:val="-2"/>
        </w:rPr>
        <w:t>方）接受原告（委托方）的委托，以原告的名义向中国银联股份有限公司所属之银联国际业务部门申请获得正式《银联国际</w:t>
      </w:r>
      <w:r>
        <w:rPr>
          <w:spacing w:val="-66"/>
        </w:rPr>
        <w:t> </w:t>
      </w:r>
      <w:r>
        <w:rPr>
          <w:spacing w:val="-66"/>
        </w:rPr>
      </w:r>
      <w:r>
        <w:rPr/>
        <w:t>会员证》。协议签署后，原告依据协议约定向被告</w:t>
      </w:r>
      <w:r>
        <w:rPr>
          <w:rFonts w:ascii="Times New Roman" w:hAnsi="Times New Roman" w:cs="Times New Roman" w:eastAsia="Times New Roman" w:hint="default"/>
        </w:rPr>
        <w:t>1</w:t>
      </w:r>
      <w:r>
        <w:rPr/>
        <w:t>支付委托服务费首付款</w:t>
      </w:r>
      <w:r>
        <w:rPr>
          <w:rFonts w:ascii="Times New Roman" w:hAnsi="Times New Roman" w:cs="Times New Roman" w:eastAsia="Times New Roman" w:hint="default"/>
        </w:rPr>
        <w:t>400</w:t>
      </w:r>
      <w:r>
        <w:rPr/>
        <w:t>万元人民币。根据协议约定</w:t>
      </w:r>
      <w:r>
        <w:rPr>
          <w:rFonts w:ascii="Times New Roman" w:hAnsi="Times New Roman" w:cs="Times New Roman" w:eastAsia="Times New Roman" w:hint="default"/>
        </w:rPr>
        <w:t>“</w:t>
      </w:r>
      <w:r>
        <w:rPr/>
        <w:t>受托方如若在本</w:t>
      </w:r>
      <w:r>
        <w:rPr>
          <w:spacing w:val="-75"/>
        </w:rPr>
        <w:t> </w:t>
      </w:r>
      <w:r>
        <w:rPr>
          <w:spacing w:val="-75"/>
        </w:rPr>
      </w:r>
      <w:r>
        <w:rPr>
          <w:spacing w:val="-2"/>
        </w:rPr>
        <w:t>委托协议签署后的</w:t>
      </w:r>
      <w:r>
        <w:rPr>
          <w:rFonts w:ascii="Times New Roman" w:hAnsi="Times New Roman" w:cs="Times New Roman" w:eastAsia="Times New Roman" w:hint="default"/>
          <w:spacing w:val="-2"/>
        </w:rPr>
        <w:t>3</w:t>
      </w:r>
      <w:r>
        <w:rPr>
          <w:spacing w:val="-2"/>
        </w:rPr>
        <w:t>个月内未能达成为委托方完成《银联国际会员证》（临时证）申请的，则应在</w:t>
      </w:r>
      <w:r>
        <w:rPr>
          <w:rFonts w:ascii="Times New Roman" w:hAnsi="Times New Roman" w:cs="Times New Roman" w:eastAsia="Times New Roman" w:hint="default"/>
          <w:spacing w:val="-2"/>
        </w:rPr>
        <w:t>3</w:t>
      </w:r>
      <w:r>
        <w:rPr>
          <w:spacing w:val="-2"/>
        </w:rPr>
        <w:t>个月后的五个工作日内全</w:t>
      </w:r>
      <w:r>
        <w:rPr>
          <w:spacing w:val="-64"/>
        </w:rPr>
        <w:t> </w:t>
      </w:r>
      <w:r>
        <w:rPr>
          <w:spacing w:val="-2"/>
        </w:rPr>
        <w:t>额退还委托方支付给受托方的全部款项；保证方二对前述退款提供全额无限连带责任保证</w:t>
      </w:r>
      <w:r>
        <w:rPr>
          <w:rFonts w:ascii="Times New Roman" w:hAnsi="Times New Roman" w:cs="Times New Roman" w:eastAsia="Times New Roman" w:hint="default"/>
          <w:spacing w:val="-2"/>
        </w:rPr>
        <w:t>”</w:t>
      </w:r>
      <w:r>
        <w:rPr>
          <w:spacing w:val="-2"/>
        </w:rPr>
        <w:t>。然而被告</w:t>
      </w:r>
      <w:r>
        <w:rPr>
          <w:rFonts w:ascii="Times New Roman" w:hAnsi="Times New Roman" w:cs="Times New Roman" w:eastAsia="Times New Roman" w:hint="default"/>
          <w:spacing w:val="-2"/>
        </w:rPr>
        <w:t>1</w:t>
      </w:r>
      <w:r>
        <w:rPr>
          <w:spacing w:val="-2"/>
        </w:rPr>
        <w:t>未在协议约定日完成</w:t>
      </w:r>
      <w:r>
        <w:rPr>
          <w:spacing w:val="-52"/>
        </w:rPr>
        <w:t> </w:t>
      </w:r>
      <w:r>
        <w:rPr/>
        <w:t>委托事项，故起诉要求返还款项。</w:t>
      </w:r>
    </w:p>
    <w:p>
      <w:pPr>
        <w:pStyle w:val="BodyText"/>
        <w:spacing w:line="240" w:lineRule="auto" w:before="28"/>
        <w:ind w:left="514"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日一审判决被告</w:t>
      </w:r>
      <w:r>
        <w:rPr>
          <w:rFonts w:ascii="Times New Roman" w:hAnsi="Times New Roman" w:cs="Times New Roman" w:eastAsia="Times New Roman" w:hint="default"/>
        </w:rPr>
        <w:t>1</w:t>
      </w:r>
      <w:r>
        <w:rPr/>
        <w:t>退还人民币</w:t>
      </w:r>
      <w:r>
        <w:rPr>
          <w:rFonts w:ascii="Times New Roman" w:hAnsi="Times New Roman" w:cs="Times New Roman" w:eastAsia="Times New Roman" w:hint="default"/>
        </w:rPr>
        <w:t>400</w:t>
      </w:r>
      <w:r>
        <w:rPr/>
        <w:t>万元并自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13</w:t>
      </w:r>
      <w:r>
        <w:rPr/>
        <w:t>日起万分之一</w:t>
      </w:r>
      <w:r>
        <w:rPr>
          <w:rFonts w:ascii="Times New Roman" w:hAnsi="Times New Roman" w:cs="Times New Roman" w:eastAsia="Times New Roman" w:hint="default"/>
        </w:rPr>
        <w:t>/</w:t>
      </w:r>
      <w:r>
        <w:rPr/>
        <w:t>日支付违约金，被告</w:t>
      </w:r>
      <w:r>
        <w:rPr>
          <w:rFonts w:ascii="Times New Roman" w:hAnsi="Times New Roman" w:cs="Times New Roman" w:eastAsia="Times New Roman" w:hint="default"/>
        </w:rPr>
        <w:t>2</w:t>
      </w:r>
      <w:r>
        <w:rPr/>
        <w:t>承担违约责任。</w:t>
      </w:r>
    </w:p>
    <w:p>
      <w:pPr>
        <w:pStyle w:val="BodyText"/>
        <w:spacing w:line="300" w:lineRule="auto" w:before="63"/>
        <w:ind w:left="514" w:right="5442" w:hanging="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日收到被告</w:t>
      </w:r>
      <w:r>
        <w:rPr>
          <w:rFonts w:ascii="Times New Roman" w:hAnsi="Times New Roman" w:cs="Times New Roman" w:eastAsia="Times New Roman" w:hint="default"/>
        </w:rPr>
        <w:t>1</w:t>
      </w:r>
      <w:r>
        <w:rPr/>
        <w:t>和被告</w:t>
      </w:r>
      <w:r>
        <w:rPr>
          <w:rFonts w:ascii="Times New Roman" w:hAnsi="Times New Roman" w:cs="Times New Roman" w:eastAsia="Times New Roman" w:hint="default"/>
        </w:rPr>
        <w:t>2</w:t>
      </w:r>
      <w:r>
        <w:rPr/>
        <w:t>上诉状，目前该案二审暂未确定。 </w:t>
      </w:r>
      <w:r>
        <w:rPr>
          <w:rFonts w:ascii="Times New Roman" w:hAnsi="Times New Roman" w:cs="Times New Roman" w:eastAsia="Times New Roman" w:hint="default"/>
        </w:rPr>
        <w:t>d</w:t>
      </w:r>
      <w:r>
        <w:rPr/>
        <w:t>、山东济南合同纠纷</w:t>
      </w:r>
    </w:p>
    <w:p>
      <w:pPr>
        <w:pStyle w:val="BodyText"/>
        <w:spacing w:line="300" w:lineRule="auto" w:before="13"/>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月原告山东浚嘉移通信息有限公司起诉被告中国移动通信集团山东有限公司，要求被告向原告支付代理费（佣 金）共计人民币</w:t>
      </w:r>
      <w:r>
        <w:rPr>
          <w:rFonts w:ascii="Times New Roman" w:hAnsi="Times New Roman" w:cs="Times New Roman" w:eastAsia="Times New Roman" w:hint="default"/>
        </w:rPr>
        <w:t>4,238.3</w:t>
      </w:r>
      <w:r>
        <w:rPr/>
        <w:t>万元。</w:t>
      </w:r>
    </w:p>
    <w:p>
      <w:pPr>
        <w:pStyle w:val="BodyText"/>
        <w:spacing w:line="300" w:lineRule="auto" w:before="13"/>
        <w:ind w:right="1130" w:firstLine="360"/>
        <w:jc w:val="both"/>
      </w:pPr>
      <w:r>
        <w:rPr>
          <w:spacing w:val="-2"/>
        </w:rPr>
        <w:t>案件情况：</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25</w:t>
      </w:r>
      <w:r>
        <w:rPr>
          <w:spacing w:val="-2"/>
        </w:rPr>
        <w:t>日，原告山东浚嘉移通信息技术有限公司（以下称</w:t>
      </w:r>
      <w:r>
        <w:rPr>
          <w:rFonts w:ascii="Times New Roman" w:hAnsi="Times New Roman" w:cs="Times New Roman" w:eastAsia="Times New Roman" w:hint="default"/>
          <w:spacing w:val="-2"/>
        </w:rPr>
        <w:t>“</w:t>
      </w:r>
      <w:r>
        <w:rPr>
          <w:spacing w:val="-2"/>
        </w:rPr>
        <w:t>山东浚嘉</w:t>
      </w:r>
      <w:r>
        <w:rPr>
          <w:rFonts w:ascii="Times New Roman" w:hAnsi="Times New Roman" w:cs="Times New Roman" w:eastAsia="Times New Roman" w:hint="default"/>
          <w:spacing w:val="-2"/>
        </w:rPr>
        <w:t>”</w:t>
      </w:r>
      <w:r>
        <w:rPr>
          <w:spacing w:val="-2"/>
        </w:rPr>
        <w:t>）与被告中国移动通信集团山东</w:t>
      </w:r>
      <w:r>
        <w:rPr/>
        <w:t> </w:t>
      </w:r>
      <w:r>
        <w:rPr>
          <w:spacing w:val="-1"/>
        </w:rPr>
        <w:t>有限公司（以下称</w:t>
      </w:r>
      <w:r>
        <w:rPr>
          <w:rFonts w:ascii="Times New Roman" w:hAnsi="Times New Roman" w:cs="Times New Roman" w:eastAsia="Times New Roman" w:hint="default"/>
          <w:spacing w:val="-1"/>
        </w:rPr>
        <w:t>“</w:t>
      </w:r>
      <w:r>
        <w:rPr>
          <w:spacing w:val="-1"/>
        </w:rPr>
        <w:t>山东移动</w:t>
      </w:r>
      <w:r>
        <w:rPr>
          <w:rFonts w:ascii="Times New Roman" w:hAnsi="Times New Roman" w:cs="Times New Roman" w:eastAsia="Times New Roman" w:hint="default"/>
          <w:spacing w:val="-1"/>
        </w:rPr>
        <w:t>”</w:t>
      </w:r>
      <w:r>
        <w:rPr>
          <w:spacing w:val="-1"/>
        </w:rPr>
        <w:t>）签署了《电子渠道业务合作协议》（以下称</w:t>
      </w:r>
      <w:r>
        <w:rPr>
          <w:rFonts w:ascii="Times New Roman" w:hAnsi="Times New Roman" w:cs="Times New Roman" w:eastAsia="Times New Roman" w:hint="default"/>
          <w:spacing w:val="-1"/>
        </w:rPr>
        <w:t>“</w:t>
      </w:r>
      <w:r>
        <w:rPr>
          <w:spacing w:val="-1"/>
        </w:rPr>
        <w:t>《合作协议》</w:t>
      </w:r>
      <w:r>
        <w:rPr>
          <w:rFonts w:ascii="Times New Roman" w:hAnsi="Times New Roman" w:cs="Times New Roman" w:eastAsia="Times New Roman" w:hint="default"/>
          <w:spacing w:val="-1"/>
        </w:rPr>
        <w:t>”</w:t>
      </w:r>
      <w:r>
        <w:rPr>
          <w:spacing w:val="-1"/>
        </w:rPr>
        <w:t>）。该协议约定，山东浚嘉为山</w:t>
      </w:r>
      <w:r>
        <w:rPr>
          <w:spacing w:val="-84"/>
        </w:rPr>
        <w:t> </w:t>
      </w:r>
      <w:r>
        <w:rPr>
          <w:spacing w:val="-84"/>
        </w:rPr>
      </w:r>
      <w:r>
        <w:rPr/>
        <w:t>东移动代理电子渠道缴费业务等，向山东移动收取</w:t>
      </w:r>
      <w:r>
        <w:rPr>
          <w:rFonts w:ascii="Times New Roman" w:hAnsi="Times New Roman" w:cs="Times New Roman" w:eastAsia="Times New Roman" w:hint="default"/>
        </w:rPr>
        <w:t>0.5%</w:t>
      </w:r>
      <w:r>
        <w:rPr/>
        <w:t>的空充业务及手机缴费业务代理费（佣金）。</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8" w:firstLine="360"/>
        <w:jc w:val="left"/>
      </w:pPr>
      <w:r>
        <w:rPr/>
        <w:t>山东移动分别于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 </w:t>
      </w:r>
      <w:r>
        <w:rPr>
          <w:spacing w:val="-2"/>
        </w:rPr>
        <w:t>向山东浚嘉出具了代理业务结算确认函，就</w:t>
      </w:r>
      <w:r>
        <w:rPr>
          <w:rFonts w:ascii="Times New Roman" w:hAnsi="Times New Roman" w:cs="Times New Roman" w:eastAsia="Times New Roman" w:hint="default"/>
          <w:spacing w:val="-2"/>
        </w:rPr>
        <w:t>2013</w:t>
      </w:r>
      <w:r>
        <w:rPr>
          <w:spacing w:val="-2"/>
        </w:rPr>
        <w:t>年第</w:t>
      </w:r>
      <w:r>
        <w:rPr>
          <w:rFonts w:ascii="Times New Roman" w:hAnsi="Times New Roman" w:cs="Times New Roman" w:eastAsia="Times New Roman" w:hint="default"/>
          <w:spacing w:val="-2"/>
        </w:rPr>
        <w:t>4</w:t>
      </w:r>
      <w:r>
        <w:rPr>
          <w:spacing w:val="-2"/>
        </w:rPr>
        <w:t>季度至</w:t>
      </w:r>
      <w:r>
        <w:rPr>
          <w:rFonts w:ascii="Times New Roman" w:hAnsi="Times New Roman" w:cs="Times New Roman" w:eastAsia="Times New Roman" w:hint="default"/>
          <w:spacing w:val="-2"/>
        </w:rPr>
        <w:t>2016</w:t>
      </w:r>
      <w:r>
        <w:rPr>
          <w:spacing w:val="-2"/>
        </w:rPr>
        <w:t>年第</w:t>
      </w:r>
      <w:r>
        <w:rPr>
          <w:rFonts w:ascii="Times New Roman" w:hAnsi="Times New Roman" w:cs="Times New Roman" w:eastAsia="Times New Roman" w:hint="default"/>
          <w:spacing w:val="-2"/>
        </w:rPr>
        <w:t>4</w:t>
      </w:r>
      <w:r>
        <w:rPr>
          <w:spacing w:val="-2"/>
        </w:rPr>
        <w:t>季度山东移动应支付山东浚嘉的代理费（佣金）金额</w:t>
      </w:r>
      <w:r>
        <w:rPr>
          <w:spacing w:val="-56"/>
        </w:rPr>
        <w:t> </w:t>
      </w:r>
      <w:r>
        <w:rPr>
          <w:spacing w:val="-56"/>
        </w:rPr>
      </w:r>
      <w:r>
        <w:rPr>
          <w:spacing w:val="-3"/>
        </w:rPr>
        <w:t>进行了确认。目前尚未支付的金额为</w:t>
      </w:r>
      <w:r>
        <w:rPr>
          <w:rFonts w:ascii="Times New Roman" w:hAnsi="Times New Roman" w:cs="Times New Roman" w:eastAsia="Times New Roman" w:hint="default"/>
          <w:spacing w:val="-3"/>
        </w:rPr>
        <w:t>4,238.3</w:t>
      </w:r>
      <w:r>
        <w:rPr>
          <w:spacing w:val="-3"/>
        </w:rPr>
        <w:t>万元。原告于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9</w:t>
      </w:r>
      <w:r>
        <w:rPr>
          <w:spacing w:val="-3"/>
        </w:rPr>
        <w:t>日向被告发函，要求被告支付尚未支付的代理费（佣金）</w:t>
      </w:r>
      <w:r>
        <w:rPr>
          <w:spacing w:val="-81"/>
        </w:rPr>
        <w:t> </w:t>
      </w:r>
      <w:r>
        <w:rPr>
          <w:spacing w:val="-81"/>
        </w:rPr>
      </w:r>
      <w:r>
        <w:rPr>
          <w:rFonts w:ascii="Times New Roman" w:hAnsi="Times New Roman" w:cs="Times New Roman" w:eastAsia="Times New Roman" w:hint="default"/>
        </w:rPr>
        <w:t>4,238.3</w:t>
      </w:r>
      <w:r>
        <w:rPr/>
        <w:t>万元。目前该案因案件证据在鉴定中，案件中止。</w:t>
      </w:r>
    </w:p>
    <w:p>
      <w:pPr>
        <w:pStyle w:val="BodyText"/>
        <w:spacing w:line="360" w:lineRule="auto" w:before="13"/>
        <w:ind w:left="514" w:right="3462"/>
        <w:jc w:val="left"/>
      </w:pPr>
      <w:r>
        <w:rPr/>
        <w:t>②为其他单位提供债务担保形成的或有负债及其财务影响 公司除为键桥国际（香港）投资有限公司提供担保</w:t>
      </w:r>
      <w:r>
        <w:rPr>
          <w:rFonts w:ascii="Times New Roman" w:hAnsi="Times New Roman" w:cs="Times New Roman" w:eastAsia="Times New Roman" w:hint="default"/>
        </w:rPr>
        <w:t>0</w:t>
      </w:r>
      <w:r>
        <w:rPr/>
        <w:t>万元外，不存在其他债务担保情况。</w:t>
      </w: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bookmarkStart w:name="（2）公司没有需要披露的重要或有事项，也应予以说明" w:id="356"/>
      <w:bookmarkEnd w:id="35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 w:id="357"/>
      <w:bookmarkEnd w:id="35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三、资产负债表日后事项" w:id="358"/>
      <w:bookmarkEnd w:id="358"/>
      <w:r>
        <w:rPr>
          <w:b w:val="0"/>
          <w:bCs w:val="0"/>
        </w:rPr>
      </w: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利润分配情况" w:id="359"/>
      <w:bookmarkEnd w:id="359"/>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5,896,800.00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5,896,800.00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四、其他重要事项" w:id="360"/>
      <w:bookmarkEnd w:id="360"/>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361"/>
      <w:bookmarkEnd w:id="36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362"/>
      <w:bookmarkEnd w:id="36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2552"/>
        <w:gridCol w:w="2978"/>
        <w:gridCol w:w="1204"/>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受影响的各个比较期间报表项目名称</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165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个单位的部分采购发票</w:t>
            </w:r>
          </w:p>
          <w:p>
            <w:pPr>
              <w:pStyle w:val="TableParagraph"/>
              <w:spacing w:line="309" w:lineRule="auto" w:before="63"/>
              <w:ind w:left="22" w:right="57"/>
              <w:jc w:val="left"/>
              <w:rPr>
                <w:rFonts w:ascii="宋体" w:hAnsi="宋体" w:cs="宋体" w:eastAsia="宋体" w:hint="default"/>
                <w:sz w:val="18"/>
                <w:szCs w:val="18"/>
              </w:rPr>
            </w:pPr>
            <w:r>
              <w:rPr>
                <w:rFonts w:ascii="宋体" w:hAnsi="宋体" w:cs="宋体" w:eastAsia="宋体" w:hint="default"/>
                <w:sz w:val="18"/>
                <w:szCs w:val="18"/>
              </w:rPr>
              <w:t>上的进项税额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2,033,644.53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元计入 了货物采购成本，由于该批货物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年已全部对外销售，导致营业</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成本增加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2,033,644.53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本次《关于公司前期会计差错更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正的议案》经公司第四届董事会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第三十六次会议审议通过，本期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采用追溯重述法对该项差错进 行了更正。</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年期初数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-1,728,597.85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年期初数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172,859.79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年期初数</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1,555,738.06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分部信息" w:id="363"/>
      <w:bookmarkEnd w:id="363"/>
      <w:r>
        <w:rPr>
          <w:b w:val="0"/>
          <w:bCs w:val="0"/>
        </w:rPr>
      </w:r>
      <w:r>
        <w:rPr>
          <w:rFonts w:ascii="Times New Roman" w:hAnsi="Times New Roman" w:cs="Times New Roman" w:eastAsia="Times New Roman" w:hint="default"/>
        </w:rPr>
        <w:t>2</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364"/>
      <w:bookmarkEnd w:id="36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360"/>
        <w:jc w:val="left"/>
      </w:pPr>
      <w:r>
        <w:rPr>
          <w:spacing w:val="-2"/>
        </w:rPr>
        <w:t>公司以内部组织结构、管理要求、内部报告制度等为依据确定经营分部。公司的经营分部是指同时满足下列条件的组成</w:t>
      </w:r>
      <w:r>
        <w:rPr/>
        <w:t> 部分：</w:t>
      </w:r>
    </w:p>
    <w:p>
      <w:pPr>
        <w:pStyle w:val="BodyText"/>
        <w:spacing w:line="240" w:lineRule="auto" w:before="19"/>
        <w:ind w:left="514" w:right="0"/>
        <w:jc w:val="left"/>
      </w:pPr>
      <w:r>
        <w:rPr/>
        <w:t>①该组成部分能够在日常活动中产生收入、发生费用；</w:t>
      </w:r>
    </w:p>
    <w:p>
      <w:pPr>
        <w:pStyle w:val="BodyText"/>
        <w:spacing w:line="240" w:lineRule="auto" w:before="76"/>
        <w:ind w:left="514" w:right="0"/>
        <w:jc w:val="left"/>
      </w:pPr>
      <w:r>
        <w:rPr/>
        <w:t>②管理层能够定期评价该组成部分的经营成果，以决定向其配置资源、评价其业绩；</w:t>
      </w:r>
    </w:p>
    <w:p>
      <w:pPr>
        <w:pStyle w:val="BodyText"/>
        <w:spacing w:line="316" w:lineRule="auto" w:before="76"/>
        <w:ind w:left="514" w:right="1572"/>
        <w:jc w:val="left"/>
      </w:pPr>
      <w:r>
        <w:rPr/>
        <w:t>③能够通过分析取得该组成部分的财务状况、经营成果和现金流量等有关会计信息。 本公司以行业分部为基础确定报告分部，与各分部共同使用的资产、负债按照规模比例在不同的分部之间分配。</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报告分部的财务信息" w:id="365"/>
      <w:bookmarkEnd w:id="36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专网通信业务</w:t>
            </w:r>
          </w:p>
        </w:tc>
        <w:tc>
          <w:tcPr>
            <w:tcW w:w="1914" w:type="dxa"/>
            <w:tcBorders>
              <w:top w:val="single" w:sz="4" w:space="0" w:color="000000"/>
              <w:left w:val="single" w:sz="4" w:space="0" w:color="000000"/>
              <w:bottom w:val="single" w:sz="4" w:space="0" w:color="000000"/>
              <w:right w:val="single" w:sz="13" w:space="0" w:color="D2D2D2"/>
            </w:tcBorders>
            <w:shd w:val="clear" w:color="auto" w:fill="E0FFFF"/>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第三方支付业务</w:t>
            </w:r>
          </w:p>
        </w:tc>
        <w:tc>
          <w:tcPr>
            <w:tcW w:w="1914"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600,508,120.41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3,321,009,741.70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3,921,517,862.11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538,925,573.34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2,015,787,000.54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2,554,712,573.34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2,328,768,849.11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885,818,893.67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3,164,587,742.78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1,378,425,121.52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918,869,396.73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2,247,294,518.25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对投资者决策有影响的重要交易和事项" w:id="366"/>
      <w:bookmarkEnd w:id="366"/>
      <w:r>
        <w:rPr>
          <w:b w:val="0"/>
          <w:bCs w:val="0"/>
        </w:rPr>
      </w:r>
      <w:r>
        <w:rPr>
          <w:rFonts w:ascii="Times New Roman" w:hAnsi="Times New Roman" w:cs="Times New Roman" w:eastAsia="Times New Roman" w:hint="default"/>
        </w:rPr>
        <w:t>3</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80"/>
        <w:jc w:val="left"/>
      </w:pPr>
      <w:r>
        <w:rPr/>
        <w:t>根据本公司与标的公司上海即富信息技术服务有限公司股东（甲方：本公司；乙方一：义乌市纬诺投资合伙企业（有 </w:t>
      </w:r>
      <w:r>
        <w:rPr>
          <w:spacing w:val="-2"/>
        </w:rPr>
        <w:t>限合伙）、乙方二：义乌市博铭投资合伙企业（有限合伙）、乙方三：上海复星工业技术发展有限公司、乙方四：湖州同胜</w:t>
      </w:r>
      <w:r>
        <w:rPr>
          <w:spacing w:val="-68"/>
        </w:rPr>
        <w:t> </w:t>
      </w:r>
      <w:r>
        <w:rPr>
          <w:spacing w:val="-68"/>
        </w:rPr>
      </w:r>
      <w:r>
        <w:rPr>
          <w:spacing w:val="-4"/>
        </w:rPr>
        <w:t>信息技术合伙企业（有限合伙）、乙方五：白涛；丙方一：黄喜胜、丙方一：黄喜胜）签订的《附条件生效的股权收购协议》</w:t>
      </w:r>
      <w:r>
        <w:rPr>
          <w:spacing w:val="-44"/>
        </w:rPr>
        <w:t> </w:t>
      </w:r>
      <w:r>
        <w:rPr>
          <w:spacing w:val="-44"/>
        </w:rPr>
      </w:r>
      <w:r>
        <w:rPr/>
        <w:t>第</w:t>
      </w:r>
      <w:r>
        <w:rPr>
          <w:rFonts w:ascii="Times New Roman" w:hAnsi="Times New Roman" w:cs="Times New Roman" w:eastAsia="Times New Roman" w:hint="default"/>
        </w:rPr>
        <w:t>8</w:t>
      </w:r>
      <w:r>
        <w:rPr/>
        <w:t>条后续收购安排。</w:t>
      </w:r>
    </w:p>
    <w:p>
      <w:pPr>
        <w:pStyle w:val="BodyText"/>
        <w:spacing w:line="304" w:lineRule="auto"/>
        <w:ind w:right="1129" w:firstLine="480"/>
        <w:jc w:val="both"/>
      </w:pPr>
      <w:r>
        <w:rPr>
          <w:spacing w:val="-2"/>
        </w:rPr>
        <w:t>各方进一步同意及确认，以本协议项下的交易完成为前提，如果标的公司</w:t>
      </w:r>
      <w:r>
        <w:rPr>
          <w:rFonts w:ascii="Times New Roman" w:hAnsi="Times New Roman" w:cs="Times New Roman" w:eastAsia="Times New Roman" w:hint="default"/>
          <w:spacing w:val="-2"/>
        </w:rPr>
        <w:t>2016</w:t>
      </w:r>
      <w:r>
        <w:rPr>
          <w:spacing w:val="-2"/>
        </w:rPr>
        <w:t>年度实现的净利润数额不低于人民币</w:t>
      </w:r>
      <w:r>
        <w:rPr>
          <w:rFonts w:ascii="Times New Roman" w:hAnsi="Times New Roman" w:cs="Times New Roman" w:eastAsia="Times New Roman" w:hint="default"/>
          <w:spacing w:val="-2"/>
        </w:rPr>
        <w:t>1.5</w:t>
      </w:r>
      <w:r>
        <w:rPr>
          <w:rFonts w:ascii="Times New Roman" w:hAnsi="Times New Roman" w:cs="Times New Roman" w:eastAsia="Times New Roman" w:hint="default"/>
        </w:rPr>
        <w:t> </w:t>
      </w:r>
      <w:r>
        <w:rPr/>
        <w:t>亿元且未发生影响标的公司运营的重大不利变化，则甲方将继续收购各乙方持有的标的公司剩余</w:t>
      </w:r>
      <w:r>
        <w:rPr>
          <w:rFonts w:ascii="Times New Roman" w:hAnsi="Times New Roman" w:cs="Times New Roman" w:eastAsia="Times New Roman" w:hint="default"/>
        </w:rPr>
        <w:t>20%</w:t>
      </w:r>
      <w:r>
        <w:rPr/>
        <w:t>的股权（以下简称</w:t>
      </w:r>
      <w:r>
        <w:rPr>
          <w:rFonts w:ascii="Times New Roman" w:hAnsi="Times New Roman" w:cs="Times New Roman" w:eastAsia="Times New Roman" w:hint="default"/>
        </w:rPr>
        <w:t>“</w:t>
      </w:r>
      <w:r>
        <w:rPr/>
        <w:t>剩</w:t>
      </w:r>
      <w:r>
        <w:rPr>
          <w:spacing w:val="-46"/>
        </w:rPr>
        <w:t> </w:t>
      </w:r>
      <w:r>
        <w:rPr>
          <w:spacing w:val="-1"/>
        </w:rPr>
        <w:t>余资产</w:t>
      </w:r>
      <w:r>
        <w:rPr>
          <w:rFonts w:ascii="Times New Roman" w:hAnsi="Times New Roman" w:cs="Times New Roman" w:eastAsia="Times New Roman" w:hint="default"/>
          <w:spacing w:val="-1"/>
        </w:rPr>
        <w:t>”</w:t>
      </w:r>
      <w:r>
        <w:rPr>
          <w:spacing w:val="-1"/>
        </w:rPr>
        <w:t>），各方应互相配合使得甲方完成上述收购。各方进一步同意，剩余资产的收购价格所对应的标的公司</w:t>
      </w:r>
      <w:r>
        <w:rPr>
          <w:rFonts w:ascii="Times New Roman" w:hAnsi="Times New Roman" w:cs="Times New Roman" w:eastAsia="Times New Roman" w:hint="default"/>
          <w:spacing w:val="-1"/>
        </w:rPr>
        <w:t>100%</w:t>
      </w:r>
      <w:r>
        <w:rPr>
          <w:spacing w:val="-1"/>
        </w:rPr>
        <w:t>股东权</w:t>
      </w:r>
      <w:r>
        <w:rPr>
          <w:spacing w:val="-78"/>
        </w:rPr>
        <w:t> </w:t>
      </w:r>
      <w:r>
        <w:rPr/>
        <w:t>益价值原则上不低于本次收购价格所对应的标的公司</w:t>
      </w:r>
      <w:r>
        <w:rPr>
          <w:rFonts w:ascii="Times New Roman" w:hAnsi="Times New Roman" w:cs="Times New Roman" w:eastAsia="Times New Roman" w:hint="default"/>
        </w:rPr>
        <w:t>100%</w:t>
      </w:r>
      <w:r>
        <w:rPr/>
        <w:t>股东权益价值，以届时上市公司收购同类资产交易的平均市盈率</w:t>
      </w:r>
      <w:r>
        <w:rPr>
          <w:spacing w:val="-56"/>
        </w:rPr>
        <w:t> </w:t>
      </w:r>
      <w:r>
        <w:rPr>
          <w:spacing w:val="-56"/>
        </w:rPr>
      </w:r>
      <w:r>
        <w:rPr>
          <w:spacing w:val="-2"/>
        </w:rPr>
        <w:t>倍数为参考，以具有证券业务资格的资产评估机构出具的资产评估报告的评估结果为依据，最终，剩余资产的交易价格及支</w:t>
      </w:r>
      <w:r>
        <w:rPr>
          <w:spacing w:val="-66"/>
        </w:rPr>
        <w:t> </w:t>
      </w:r>
      <w:r>
        <w:rPr>
          <w:spacing w:val="-66"/>
        </w:rPr>
      </w:r>
      <w:r>
        <w:rPr/>
        <w:t>付方式将由各方根据届时的实际情况协商一致确定。截止报告日，公司暂未实施后续收购事项。</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十五、母公司财务报表主要项目注释" w:id="367"/>
      <w:bookmarkEnd w:id="367"/>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368"/>
      <w:bookmarkEnd w:id="368"/>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4,822,449.12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291,725,726.51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300,579,140.35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295,187,726.51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305,401,589.47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应收票据" w:id="369"/>
      <w:bookmarkEnd w:id="36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2,784,342.57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2,038,106.55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4,822,449.12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收账款" w:id="370"/>
      <w:bookmarkEnd w:id="37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40,956,1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40,956,1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40,956,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168.21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40,956,16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8.21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304,732,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154.29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13,006,4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291,725,7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26.51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309,726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,235.69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88.32%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9,147,095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300,579,14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0.35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127,469.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345,815,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791.91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54,090,0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15.64%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291,725,7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26.51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350,682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,403.90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50,103,26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3.55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300,579,14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0.35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9"/>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山西锐博科技有限公司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3,727,888.92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3,727,888.92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8"/>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四川美达机电有限责任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618"/>
              <w:jc w:val="righ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深圳市星鸣贸易有限公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7,739,473.49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7,739,473.49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18"/>
              <w:jc w:val="right"/>
              <w:rPr>
                <w:rFonts w:ascii="宋体" w:hAnsi="宋体" w:cs="宋体" w:eastAsia="宋体" w:hint="default"/>
                <w:sz w:val="18"/>
                <w:szCs w:val="18"/>
              </w:rPr>
            </w:pPr>
            <w:r>
              <w:rPr>
                <w:rFonts w:ascii="宋体" w:hAnsi="宋体" w:cs="宋体" w:eastAsia="宋体" w:hint="default"/>
                <w:sz w:val="18"/>
                <w:szCs w:val="18"/>
              </w:rPr>
              <w:t>预计难于收回。</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兖矿集团有限公司信息 中心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4,269,469.20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4,269,469.20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浙江省电力公司台州电 业局</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2,625,008.60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2,625,008.60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重庆乌江电力有限公司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甘肃省电力信息中心</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2,245,428.00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2,245,428.00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雅安市星余煤业有限责 任公司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预计难于收回。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40,956,168.21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40,956,168.21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135,647,335.40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84,968,048.11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423,400.69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42,403,270.61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4,179,817.01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41,713,500.17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8,403,210.08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304,732,154.29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13,006,427.78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r>
    </w:tbl>
    <w:p>
      <w:pPr>
        <w:pStyle w:val="BodyText"/>
        <w:spacing w:line="357" w:lineRule="auto" w:before="51"/>
        <w:ind w:right="8772"/>
        <w:jc w:val="left"/>
      </w:pPr>
      <w:r>
        <w:rPr/>
        <w:t>确定该组合依据的说明： 无。</w:t>
      </w:r>
    </w:p>
    <w:p>
      <w:pPr>
        <w:pStyle w:val="BodyText"/>
        <w:spacing w:line="240" w:lineRule="auto" w:before="29"/>
        <w:ind w:right="0"/>
        <w:jc w:val="left"/>
      </w:pPr>
      <w:r>
        <w:rPr/>
        <w:t>组合中，采用余额百分比法计提坏账准备的应收账款：</w:t>
      </w:r>
    </w:p>
    <w:p>
      <w:pPr>
        <w:pStyle w:val="BodyText"/>
        <w:spacing w:line="348"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pStyle w:val="BodyText"/>
        <w:spacing w:line="240" w:lineRule="auto" w:before="36"/>
        <w:ind w:right="0"/>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0"/>
        <w:jc w:val="left"/>
      </w:pPr>
      <w:r>
        <w:rPr/>
        <w:t>本期计提坏账准备金额</w:t>
      </w:r>
      <w:r>
        <w:rPr>
          <w:spacing w:val="-47"/>
        </w:rPr>
        <w:t> </w:t>
      </w:r>
      <w:r>
        <w:rPr>
          <w:rFonts w:ascii="Times New Roman" w:hAnsi="Times New Roman" w:cs="Times New Roman" w:eastAsia="Times New Roman" w:hint="default"/>
        </w:rPr>
        <w:t>3,986,801.85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38" w:lineRule="auto" w:before="102"/>
        <w:ind w:left="634" w:right="0" w:hanging="480"/>
        <w:jc w:val="left"/>
      </w:pPr>
      <w:r>
        <w:rPr>
          <w:rFonts w:ascii="Times New Roman" w:hAnsi="Times New Roman" w:cs="Times New Roman" w:eastAsia="Times New Roman" w:hint="default"/>
        </w:rPr>
        <w:t>3)</w:t>
      </w:r>
      <w:r>
        <w:rPr/>
        <w:t>按欠款方归集的期末余额前五名的应收账款情况 本公司本年按欠款方归集的年末余额前五名应收账款汇总金额</w:t>
      </w:r>
      <w:r>
        <w:rPr>
          <w:rFonts w:ascii="Times New Roman" w:hAnsi="Times New Roman" w:cs="Times New Roman" w:eastAsia="Times New Roman" w:hint="default"/>
        </w:rPr>
        <w:t>136,896,161.72</w:t>
      </w:r>
      <w:r>
        <w:rPr/>
        <w:t>元，占应收账款年末余额合计数的比例</w:t>
      </w:r>
    </w:p>
    <w:p>
      <w:pPr>
        <w:pStyle w:val="BodyText"/>
        <w:spacing w:line="230" w:lineRule="exact"/>
        <w:ind w:right="0"/>
        <w:jc w:val="left"/>
      </w:pPr>
      <w:r>
        <w:rPr>
          <w:rFonts w:ascii="Times New Roman" w:hAnsi="Times New Roman" w:cs="Times New Roman" w:eastAsia="Times New Roman" w:hint="default"/>
        </w:rPr>
        <w:t>39.04%</w:t>
      </w:r>
      <w:r>
        <w:rPr/>
        <w:t>，相应计提的坏账准备年末余额汇总金额</w:t>
      </w:r>
      <w:r>
        <w:rPr>
          <w:rFonts w:ascii="Times New Roman" w:hAnsi="Times New Roman" w:cs="Times New Roman" w:eastAsia="Times New Roman" w:hint="default"/>
        </w:rPr>
        <w:t>7,179,024.95</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其他应收款" w:id="371"/>
      <w:bookmarkEnd w:id="37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201,008,522.46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213,044,356.86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201,008,522.46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213,044,356.86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372"/>
      <w:bookmarkEnd w:id="37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其他应收款" w:id="373"/>
      <w:bookmarkEnd w:id="373"/>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202,949,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414.13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1,940,89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201,008,5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22.46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214,466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,401.68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1,422,044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213,044,35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6.86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1,287,26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8.41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1,287,26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1,302,0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1,302,035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204,236,</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682.54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3,228,16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1.58%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201,008,5</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22.46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215,768</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,437.17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2,724,080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1.26%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213,044,35</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6.86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182,184,956.41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11,490,047.89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229,800.96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1,437,912.53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143,791.25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7,836,497.30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1,567,299.46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bl>
    <w:p>
      <w:pPr>
        <w:pStyle w:val="BodyText"/>
        <w:spacing w:line="357" w:lineRule="auto" w:before="51"/>
        <w:ind w:right="8772"/>
        <w:jc w:val="left"/>
      </w:pPr>
      <w:r>
        <w:rPr/>
        <w:t>确定该组合依据的说明： 无。</w:t>
      </w:r>
    </w:p>
    <w:p>
      <w:pPr>
        <w:pStyle w:val="BodyText"/>
        <w:spacing w:line="240" w:lineRule="auto" w:before="29"/>
        <w:ind w:right="0"/>
        <w:jc w:val="left"/>
      </w:pPr>
      <w:r>
        <w:rPr/>
        <w:t>组合中，采用余额百分比法计提坏账准备的其他应收款：</w:t>
      </w:r>
    </w:p>
    <w:p>
      <w:pPr>
        <w:pStyle w:val="BodyText"/>
        <w:spacing w:line="338" w:lineRule="auto" w:before="117"/>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pStyle w:val="BodyText"/>
        <w:spacing w:line="240" w:lineRule="auto" w:before="44"/>
        <w:ind w:right="-16"/>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6"/>
        <w:jc w:val="left"/>
      </w:pPr>
      <w:r>
        <w:rPr/>
        <w:t>本期计提坏账准备金额</w:t>
      </w:r>
      <w:r>
        <w:rPr>
          <w:spacing w:val="-46"/>
        </w:rPr>
        <w:t> </w:t>
      </w:r>
      <w:r>
        <w:rPr>
          <w:rFonts w:ascii="Times New Roman" w:hAnsi="Times New Roman" w:cs="Times New Roman" w:eastAsia="Times New Roman" w:hint="default"/>
        </w:rPr>
        <w:t>504,079.77</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6"/>
        <w:jc w:val="left"/>
      </w:pPr>
      <w:r>
        <w:rPr>
          <w:rFonts w:ascii="Times New Roman" w:hAnsi="Times New Roman" w:cs="Times New Roman" w:eastAsia="Times New Roman" w:hint="default"/>
        </w:rPr>
        <w:t>3)</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188,498,859.45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198,768,743.07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15,737,823.09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16,999,694.10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204,236,682.54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215,768,437.17</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134"/>
        <w:gridCol w:w="1385"/>
        <w:gridCol w:w="1553"/>
        <w:gridCol w:w="1614"/>
        <w:gridCol w:w="161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深圳键桥华能通讯技术有限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105,561,411.20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深圳键桥智能技术有限公司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50,385,313.98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深圳键桥轨道交通有限公司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10,539,561.86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江苏中科智能系统有限公司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3,225,810.76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91,405.74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中国融资租赁有限公司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2,871,300.00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172,583,397.80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91,405.74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长期股权投资" w:id="374"/>
      <w:bookmarkEnd w:id="37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1,361,306,808.67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1,225,106,808.67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1,350,996,808.67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1,349,796,808.67</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204,907,101.94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204,907,101.94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189,799,660.95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189,799,660.95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1,566,213,910.61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1,430,013,910.61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1,540,796,469.62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1,539,596,469.62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375"/>
      <w:bookmarkEnd w:id="37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深圳市德威普软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9,800,000.00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9,800,000.00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东莞键桥通讯技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8"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南京凌云科技发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深圳键桥华能通 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大连先锋投资管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亚联投资（香港）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33,495,639.45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33,495,639.45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深圳键桥轨道交 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19,110,000.00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湖南键桥通讯技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12,701,169.22</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12,701,169.22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深圳键桥智能技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共青城正融投资 </w:t>
            </w:r>
            <w:r>
              <w:rPr>
                <w:rFonts w:ascii="宋体" w:hAnsi="宋体" w:cs="宋体" w:eastAsia="宋体" w:hint="default"/>
                <w:spacing w:val="-7"/>
                <w:sz w:val="18"/>
                <w:szCs w:val="18"/>
              </w:rPr>
              <w:t>管理合伙企业（有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限合伙）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共青城顺联投资 </w:t>
            </w:r>
            <w:r>
              <w:rPr>
                <w:rFonts w:ascii="宋体" w:hAnsi="宋体" w:cs="宋体" w:eastAsia="宋体" w:hint="default"/>
                <w:spacing w:val="-7"/>
                <w:sz w:val="18"/>
                <w:szCs w:val="18"/>
              </w:rPr>
              <w:t>管理合伙企业（有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限合伙）</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深圳网信金融科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深圳网信大数据 科技发展有限公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上海即富信息技 术服务有限公司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广州宽客投资管 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1,350,996,808.67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1,361,306,808.67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376"/>
      <w:bookmarkEnd w:id="37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3"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3" w:hanging="90"/>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23" w:right="32" w:hanging="90"/>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深圳盈华 小额贷款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178,156,5</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63.57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15,365,25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193,521,8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14.45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徐州淮海 数据交换 服务有限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1,644,165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-254,222.</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1,389,943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嘉兴德玖 投资合伙 企业（有 限合伙）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9,998,931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-3,587.73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9,995,343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189,799,6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60.95</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15,107,44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204,907,1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01.94</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189,799,6</w:t>
            </w:r>
          </w:p>
          <w:p>
            <w:pPr>
              <w:pStyle w:val="TableParagraph"/>
              <w:spacing w:line="240" w:lineRule="auto" w:before="105"/>
              <w:ind w:left="354" w:right="0"/>
              <w:jc w:val="left"/>
              <w:rPr>
                <w:rFonts w:ascii="Times New Roman" w:hAnsi="Times New Roman" w:cs="Times New Roman" w:eastAsia="Times New Roman" w:hint="default"/>
                <w:sz w:val="18"/>
                <w:szCs w:val="18"/>
              </w:rPr>
            </w:pPr>
            <w:r>
              <w:rPr>
                <w:rFonts w:ascii="Times New Roman"/>
                <w:sz w:val="18"/>
              </w:rPr>
              <w:t>60.95</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15,107,44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204,907,1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01.94</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营业收入和营业成本" w:id="377"/>
      <w:bookmarkEnd w:id="37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340,198,027.62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332,904,402.47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198,923,564.66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191,227,231.30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2,127,554.00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2,762,992.85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342,325,581.62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332,904,402.47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201,686,557.51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191,227,231.30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投资收益" w:id="378"/>
      <w:bookmarkEnd w:id="37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15,107,441.99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12,837,652.81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285,107,441.99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12,837,652.81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六、补充资料" w:id="379"/>
      <w:bookmarkEnd w:id="379"/>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80"/>
      <w:bookmarkEnd w:id="38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3,626,694.89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清理固定资产产生的收益。</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47,007,844.62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长宁区专项财政扶植资金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所得税退税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1,939.81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万元，返还以前年</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度政府补助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2,132,654.53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-470,419.79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3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1"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6" w:right="0"/>
              <w:jc w:val="left"/>
              <w:rPr>
                <w:rFonts w:ascii="Times New Roman" w:hAnsi="Times New Roman" w:cs="Times New Roman" w:eastAsia="Times New Roman" w:hint="default"/>
                <w:sz w:val="18"/>
                <w:szCs w:val="18"/>
              </w:rPr>
            </w:pPr>
            <w:r>
              <w:rPr>
                <w:rFonts w:ascii="Times New Roman"/>
                <w:sz w:val="18"/>
              </w:rPr>
              <w:t>-86,824,629.52</w:t>
            </w:r>
          </w:p>
        </w:tc>
        <w:tc>
          <w:tcPr>
            <w:tcW w:w="318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本期计提了超业绩奖励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86,824,629.52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392" w:hRule="exact"/>
        </w:trPr>
        <w:tc>
          <w:tcPr>
            <w:tcW w:w="3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0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1"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2,231,828.81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-22,931,995.22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-13,827,688.86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81"/>
      <w:bookmarkEnd w:id="38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0.2544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286" w:right="0"/>
        <w:jc w:val="left"/>
        <w:rPr>
          <w:b w:val="0"/>
          <w:bCs w:val="0"/>
        </w:rPr>
      </w:pPr>
      <w:bookmarkStart w:name="第十二节 备查文件目录" w:id="382"/>
      <w:bookmarkEnd w:id="382"/>
      <w:r>
        <w:rPr>
          <w:b w:val="0"/>
          <w:bCs w:val="0"/>
        </w:rPr>
      </w:r>
      <w:bookmarkStart w:name="_bookmark11" w:id="383"/>
      <w:bookmarkEnd w:id="383"/>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、载有法定代表人、财务负责人、会计机构负责人签名并盖章的财务报告。</w:t>
      </w:r>
    </w:p>
    <w:p>
      <w:pPr>
        <w:pStyle w:val="BodyText"/>
        <w:spacing w:line="240" w:lineRule="auto" w:before="6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、载有董事长签名的</w:t>
      </w:r>
      <w:r>
        <w:rPr>
          <w:rFonts w:ascii="Times New Roman" w:hAnsi="Times New Roman" w:cs="Times New Roman" w:eastAsia="Times New Roman" w:hint="default"/>
        </w:rPr>
        <w:t>2018</w:t>
      </w:r>
      <w:r>
        <w:rPr/>
        <w:t>年年度报告文本原件。</w:t>
      </w:r>
    </w:p>
    <w:p>
      <w:pPr>
        <w:pStyle w:val="BodyText"/>
        <w:spacing w:line="240" w:lineRule="auto" w:before="63"/>
        <w:ind w:right="0"/>
        <w:jc w:val="left"/>
      </w:pPr>
      <w:r>
        <w:rPr>
          <w:rFonts w:ascii="Times New Roman" w:hAnsi="Times New Roman" w:cs="Times New Roman" w:eastAsia="Times New Roman" w:hint="default"/>
        </w:rPr>
        <w:t>4</w:t>
      </w:r>
      <w:r>
        <w:rPr/>
        <w:t>、报告期内在中国证监会指定网站上公开披露过的所有公司文件的正文及公告的原稿。</w:t>
      </w:r>
    </w:p>
    <w:p>
      <w:pPr>
        <w:pStyle w:val="BodyText"/>
        <w:spacing w:line="600" w:lineRule="auto" w:before="63"/>
        <w:ind w:right="5712"/>
        <w:jc w:val="left"/>
      </w:pPr>
      <w:r>
        <w:rPr>
          <w:rFonts w:ascii="Times New Roman" w:hAnsi="Times New Roman" w:cs="Times New Roman" w:eastAsia="Times New Roman" w:hint="default"/>
        </w:rPr>
        <w:t>5</w:t>
      </w:r>
      <w:r>
        <w:rPr/>
        <w:t>、其他相关资料。 以上文件均齐备、完整，并备于本公司董事会秘书处以供查阅。</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316" w:lineRule="auto"/>
        <w:ind w:left="6095" w:right="1372"/>
        <w:jc w:val="center"/>
      </w:pPr>
      <w:r>
        <w:rPr/>
        <w:t>深圳亚联发展科技股份有限公司 法定代表人：王永彬</w:t>
      </w:r>
    </w:p>
    <w:p>
      <w:pPr>
        <w:pStyle w:val="BodyText"/>
        <w:spacing w:line="240" w:lineRule="auto" w:before="19"/>
        <w:ind w:left="5949" w:right="1372"/>
        <w:jc w:val="center"/>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S Gothic">
    <w:altName w:val="MS Gothic"/>
    <w:charset w:val="0"/>
    <w:family w:val="modern"/>
    <w:pitch w:val="fixed"/>
  </w:font>
  <w:font w:name="Cambria Math">
    <w:altName w:val="Cambria Math"/>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224" type="#_x0000_t75" stroked="false">
          <v:imagedata r:id="rId1" o:title=""/>
        </v:shape>
      </w:pict>
    </w:r>
    <w:r>
      <w:rPr/>
      <w:pict>
        <v:shape style="position:absolute;margin-left:533.179993pt;margin-top:795.517944pt;width:6.5pt;height:11pt;mso-position-horizontal-relative:page;mso-position-vertical-relative:page;z-index:-1028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176" type="#_x0000_t75" stroked="false">
          <v:imagedata r:id="rId1" o:title=""/>
        </v:shape>
      </w:pict>
    </w:r>
    <w:r>
      <w:rPr/>
      <w:pict>
        <v:shape style="position:absolute;margin-left:527.679993pt;margin-top:781.957947pt;width:13pt;height:11pt;mso-position-horizontal-relative:page;mso-position-vertical-relative:page;z-index:-1028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128" type="#_x0000_t75" stroked="false">
          <v:imagedata r:id="rId1" o:title=""/>
        </v:shape>
      </w:pict>
    </w:r>
    <w:r>
      <w:rPr/>
      <w:pict>
        <v:shape style="position:absolute;margin-left:524.179993pt;margin-top:781.957947pt;width:15.5pt;height:11pt;mso-position-horizontal-relative:page;mso-position-vertical-relative:page;z-index:-1028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080" type="#_x0000_t75" stroked="false">
          <v:imagedata r:id="rId1" o:title=""/>
        </v:shape>
      </w:pict>
    </w:r>
    <w:r>
      <w:rPr/>
      <w:pict>
        <v:shape style="position:absolute;margin-left:523.179993pt;margin-top:781.957947pt;width:17.5pt;height:11pt;mso-position-horizontal-relative:page;mso-position-vertical-relative:page;z-index:-1028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028248" type="#_x0000_t202" filled="false" stroked="false">
          <v:textbox inset="0,0,0,0">
            <w:txbxContent>
              <w:p>
                <w:pPr>
                  <w:pStyle w:val="BodyText"/>
                  <w:spacing w:line="214" w:lineRule="exact"/>
                  <w:ind w:left="20" w:right="0"/>
                  <w:jc w:val="left"/>
                </w:pPr>
                <w:r>
                  <w:rPr/>
                  <w:t>深圳亚联发展科技股份有限公司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5"/>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63"/>
      <w:ind w:left="511"/>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asialink.com/" TargetMode="External"/><Relationship Id="rId9" Type="http://schemas.openxmlformats.org/officeDocument/2006/relationships/hyperlink" Target="mailto:asialink@asialink.com" TargetMode="External"/><Relationship Id="rId10" Type="http://schemas.openxmlformats.org/officeDocument/2006/relationships/hyperlink" Target="mailto:wsmiao@asialink.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footer" Target="footer3.xml"/><Relationship Id="rId16"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深圳亚联发展科技股份有限公司</dc:creator>
  <dc:title>深圳亚联发展科技股份有限公司2018年年度报告全文</dc:title>
  <dcterms:created xsi:type="dcterms:W3CDTF">2020-05-04T22:19:48Z</dcterms:created>
  <dcterms:modified xsi:type="dcterms:W3CDTF">2020-05-04T22:19:48Z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Office Word 2007</vt:lpwstr>
  </property>
  <property fmtid="{D5CDD505-2E9C-101B-9397-08002B2CF9AE}" pid="4" name="LastSaved">
    <vt:filetime>2020-05-04T00:00:00Z</vt:filetime>
  </property>
</Properties>
</file>