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深圳亚联发展科技股份有限公司</w:t>
      </w:r>
    </w:p>
    <w:p>
      <w:pPr>
        <w:pStyle w:val="Style4"/>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6000" w:line="240" w:lineRule="auto"/>
        <w:ind w:left="0" w:right="0" w:firstLine="0"/>
        <w:jc w:val="center"/>
      </w:pPr>
      <w:r>
        <w:rPr>
          <w:color w:val="000000"/>
          <w:spacing w:val="0"/>
          <w:w w:val="100"/>
          <w:position w:val="0"/>
        </w:rPr>
        <w:t>2022-036</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66" w:right="1107" w:bottom="2866" w:left="1102"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公司负责人王永彬、主管会计工作负责人陈道军及会计机构负责人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司红娟声明：保证本年度报告中财务报告的真实、准确、完整。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581" w:lineRule="exact"/>
        <w:ind w:left="0" w:right="0"/>
        <w:jc w:val="both"/>
      </w:pPr>
      <w:r>
        <w:rPr>
          <w:color w:val="000000"/>
          <w:spacing w:val="0"/>
          <w:w w:val="100"/>
          <w:position w:val="0"/>
        </w:rPr>
        <w:t>中喜会计师事务所（特殊普通合伙）为本公司出具了无法表示意见的审计 报告，本公司董事会、监事会对相关事项已有详细说明，请投资者注意阅读。</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本报告中涉及的未来发展计划等前瞻性陈述属于计划性事项，不构成公司 对投资者的实质性承诺，敬请投资者注意投资风险。</w:t>
      </w:r>
    </w:p>
    <w:p>
      <w:pPr>
        <w:pStyle w:val="Style12"/>
        <w:keepNext w:val="0"/>
        <w:keepLines w:val="0"/>
        <w:widowControl w:val="0"/>
        <w:shd w:val="clear" w:color="auto" w:fill="auto"/>
        <w:bidi w:val="0"/>
        <w:spacing w:before="0" w:line="638" w:lineRule="exact"/>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中公司可能面对的风险和应对措 施部分描述了公司可能面对的主要风险，敬请广大投资者注意查阅。</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1016" w:val="left"/>
          <w:tab w:leader="dot" w:pos="960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9604"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5"/>
        <w:keepNext w:val="0"/>
        <w:keepLines w:val="0"/>
        <w:widowControl w:val="0"/>
        <w:shd w:val="clear" w:color="auto" w:fill="auto"/>
        <w:tabs>
          <w:tab w:pos="1016" w:val="left"/>
          <w:tab w:leader="dot" w:pos="9604" w:val="right"/>
        </w:tabs>
        <w:bidi w:val="0"/>
        <w:spacing w:before="0" w:line="240" w:lineRule="auto"/>
        <w:ind w:left="0" w:right="0" w:firstLine="0"/>
        <w:jc w:val="left"/>
      </w:pPr>
      <w:hyperlink w:anchor="bookmark56"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5"/>
        <w:keepNext w:val="0"/>
        <w:keepLines w:val="0"/>
        <w:widowControl w:val="0"/>
        <w:shd w:val="clear" w:color="auto" w:fill="auto"/>
        <w:tabs>
          <w:tab w:leader="dot" w:pos="9604" w:val="right"/>
        </w:tabs>
        <w:bidi w:val="0"/>
        <w:spacing w:before="0" w:line="240" w:lineRule="auto"/>
        <w:ind w:left="0" w:right="0" w:firstLine="0"/>
        <w:jc w:val="left"/>
      </w:pPr>
      <w:hyperlink w:anchor="bookmark249"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15"/>
        <w:keepNext w:val="0"/>
        <w:keepLines w:val="0"/>
        <w:widowControl w:val="0"/>
        <w:shd w:val="clear" w:color="auto" w:fill="auto"/>
        <w:tabs>
          <w:tab w:pos="1016" w:val="left"/>
          <w:tab w:leader="dot" w:pos="9604" w:val="right"/>
        </w:tabs>
        <w:bidi w:val="0"/>
        <w:spacing w:before="0" w:line="240" w:lineRule="auto"/>
        <w:ind w:left="0" w:right="0" w:firstLine="0"/>
        <w:jc w:val="left"/>
      </w:pPr>
      <w:hyperlink w:anchor="bookmark419"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5"/>
        <w:keepNext w:val="0"/>
        <w:keepLines w:val="0"/>
        <w:widowControl w:val="0"/>
        <w:shd w:val="clear" w:color="auto" w:fill="auto"/>
        <w:tabs>
          <w:tab w:leader="dot" w:pos="9604" w:val="right"/>
        </w:tabs>
        <w:bidi w:val="0"/>
        <w:spacing w:before="0" w:line="240" w:lineRule="auto"/>
        <w:ind w:left="0" w:right="0" w:firstLine="0"/>
        <w:jc w:val="left"/>
      </w:pPr>
      <w:hyperlink w:anchor="bookmark438"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5"/>
        <w:keepNext w:val="0"/>
        <w:keepLines w:val="0"/>
        <w:widowControl w:val="0"/>
        <w:shd w:val="clear" w:color="auto" w:fill="auto"/>
        <w:tabs>
          <w:tab w:pos="1016" w:val="left"/>
          <w:tab w:leader="dot" w:pos="9604" w:val="right"/>
        </w:tabs>
        <w:bidi w:val="0"/>
        <w:spacing w:before="0" w:line="240" w:lineRule="auto"/>
        <w:ind w:left="0" w:right="0" w:firstLine="0"/>
        <w:jc w:val="left"/>
      </w:pPr>
      <w:hyperlink w:anchor="bookmark597"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5"/>
        <w:keepNext w:val="0"/>
        <w:keepLines w:val="0"/>
        <w:widowControl w:val="0"/>
        <w:shd w:val="clear" w:color="auto" w:fill="auto"/>
        <w:tabs>
          <w:tab w:pos="1016" w:val="left"/>
          <w:tab w:leader="dot" w:pos="9604" w:val="right"/>
        </w:tabs>
        <w:bidi w:val="0"/>
        <w:spacing w:before="0" w:line="240" w:lineRule="auto"/>
        <w:ind w:left="0" w:right="0" w:firstLine="0"/>
        <w:jc w:val="left"/>
      </w:pPr>
      <w:hyperlink w:anchor="bookmark663"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5"/>
        <w:keepNext w:val="0"/>
        <w:keepLines w:val="0"/>
        <w:widowControl w:val="0"/>
        <w:shd w:val="clear" w:color="auto" w:fill="auto"/>
        <w:tabs>
          <w:tab w:leader="dot" w:pos="9604" w:val="right"/>
        </w:tabs>
        <w:bidi w:val="0"/>
        <w:spacing w:before="0" w:line="240" w:lineRule="auto"/>
        <w:ind w:left="0" w:right="0" w:firstLine="0"/>
        <w:jc w:val="left"/>
      </w:pPr>
      <w:hyperlink w:anchor="bookmark667"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5"/>
        <w:keepNext w:val="0"/>
        <w:keepLines w:val="0"/>
        <w:widowControl w:val="0"/>
        <w:shd w:val="clear" w:color="auto" w:fill="auto"/>
        <w:tabs>
          <w:tab w:leader="dot" w:pos="9604" w:val="right"/>
        </w:tabs>
        <w:bidi w:val="0"/>
        <w:spacing w:before="0" w:line="240" w:lineRule="auto"/>
        <w:ind w:left="0" w:right="0" w:firstLine="0"/>
        <w:jc w:val="left"/>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671"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83</w:t>
        </w:r>
      </w:hyperlink>
      <w:r>
        <w:fldChar w:fldCharType="end"/>
      </w:r>
    </w:p>
    <w:p>
      <w:pPr>
        <w:pStyle w:val="Style4"/>
        <w:keepNext w:val="0"/>
        <w:keepLines w:val="0"/>
        <w:widowControl w:val="0"/>
        <w:shd w:val="clear" w:color="auto" w:fill="auto"/>
        <w:bidi w:val="0"/>
        <w:spacing w:before="640" w:after="88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报告期内公开披露过的所有公司文件的正本及公告的原稿。</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其他有关资料。</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本公司、公司、亚联发展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深圳亚联发展科技股份有限公司章程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永利发展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乾德精一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嘉兴乾德精一投资合伙企业（有限合伙）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深圳精一投资管理有限公司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香港键桥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开店宝科技集团有限公司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开店宝支付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开店宝支付服务有限公司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公司以支付现金的方式购买开店宝科技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全城淘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全城淘信息技术服务有限公司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德威普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键桥智能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深圳键桥智能技术有限公司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大连亚联投资管理有限公司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3"/>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42"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亚联发展</w:t>
              <w:tab/>
              <w:t>股票代码</w:t>
              <w:tab/>
            </w:r>
            <w:r>
              <w:rPr>
                <w:rFonts w:ascii="Times New Roman" w:eastAsia="Times New Roman" w:hAnsi="Times New Roman" w:cs="Times New Roman"/>
                <w:color w:val="000000"/>
                <w:spacing w:val="0"/>
                <w:w w:val="100"/>
                <w:position w:val="0"/>
                <w:sz w:val="18"/>
                <w:szCs w:val="18"/>
              </w:rPr>
              <w:t>002316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亚联发展</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Asia Link Technology Development Co.,Ltd.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Asia Link Technology</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号达实大厦</w:t>
            </w:r>
            <w:r>
              <w:rPr>
                <w:rFonts w:ascii="Times New Roman" w:eastAsia="Times New Roman" w:hAnsi="Times New Roman" w:cs="Times New Roman"/>
                <w:color w:val="000000"/>
                <w:spacing w:val="0"/>
                <w:w w:val="100"/>
                <w:position w:val="0"/>
                <w:sz w:val="18"/>
                <w:szCs w:val="18"/>
              </w:rPr>
              <w:t>1902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月公司注册地址变更为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深圳市南山区高新科技园后海大道</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号怡化金融科技 大厦</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月公司注册地址变更为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深圳市南山区粤海街道高新区社区科技南一路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号达实大厦</w:t>
            </w:r>
            <w:r>
              <w:rPr>
                <w:rFonts w:ascii="Times New Roman" w:eastAsia="Times New Roman" w:hAnsi="Times New Roman" w:cs="Times New Roman"/>
                <w:color w:val="000000"/>
                <w:spacing w:val="0"/>
                <w:w w:val="100"/>
                <w:position w:val="0"/>
                <w:sz w:val="18"/>
                <w:szCs w:val="18"/>
              </w:rPr>
              <w:t>1902”</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号达实大厦</w:t>
            </w:r>
            <w:r>
              <w:rPr>
                <w:rFonts w:ascii="Times New Roman" w:eastAsia="Times New Roman" w:hAnsi="Times New Roman" w:cs="Times New Roman"/>
                <w:color w:val="000000"/>
                <w:spacing w:val="0"/>
                <w:w w:val="100"/>
                <w:position w:val="0"/>
                <w:sz w:val="18"/>
                <w:szCs w:val="18"/>
              </w:rPr>
              <w:t>1902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"http://www.asialink.com" </w:instrText>
            </w:r>
            <w:r>
              <w:fldChar w:fldCharType="separate"/>
            </w:r>
            <w:r>
              <w:rPr>
                <w:rFonts w:ascii="Times New Roman" w:eastAsia="Times New Roman" w:hAnsi="Times New Roman" w:cs="Times New Roman"/>
                <w:color w:val="000000"/>
                <w:spacing w:val="0"/>
                <w:w w:val="100"/>
                <w:position w:val="0"/>
                <w:sz w:val="18"/>
                <w:szCs w:val="18"/>
              </w:rPr>
              <w:t>http://www.asialink.com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asialink@asialink.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董丹彤</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深圳市南山区粤海街道高新区社区科技 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号达实大厦</w:t>
            </w:r>
            <w:r>
              <w:rPr>
                <w:rFonts w:ascii="Times New Roman" w:eastAsia="Times New Roman" w:hAnsi="Times New Roman" w:cs="Times New Roman"/>
                <w:color w:val="000000"/>
                <w:spacing w:val="0"/>
                <w:w w:val="100"/>
                <w:position w:val="0"/>
                <w:sz w:val="18"/>
                <w:szCs w:val="18"/>
              </w:rPr>
              <w:t>1902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深圳市南山区粤海街道高新区社区科技 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号达实大厦</w:t>
            </w:r>
            <w:r>
              <w:rPr>
                <w:rFonts w:ascii="Times New Roman" w:eastAsia="Times New Roman" w:hAnsi="Times New Roman" w:cs="Times New Roman"/>
                <w:color w:val="000000"/>
                <w:spacing w:val="0"/>
                <w:w w:val="100"/>
                <w:position w:val="0"/>
                <w:sz w:val="18"/>
                <w:szCs w:val="18"/>
              </w:rPr>
              <w:t>1902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0755-26551650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0755-26551650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0755-26635033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0755-26635033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asialink@asialink. com</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ddtong@asialink.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《证券时报》、《中国证券报》、《上海证券报》、《证券日报》</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公司董事会秘书处</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408"/>
        <w:gridCol w:w="617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91440300708474420M</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90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日，永利发展收到法院出具的《陕西省西安市中级人民法院执行 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】陕</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执恢</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号之一），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日，中国证券登记结 算有限责任公司出具了《证券过户登记确认书》，本次股份过户登记手续已完 成，过户日期为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日，股份过户登记手续完成后，王永彬先生控 制的永利发展及其一致行动人香港键桥合计持有公司</w:t>
            </w:r>
            <w:r>
              <w:rPr>
                <w:rFonts w:ascii="Times New Roman" w:eastAsia="Times New Roman" w:hAnsi="Times New Roman" w:cs="Times New Roman"/>
                <w:color w:val="000000"/>
                <w:spacing w:val="0"/>
                <w:w w:val="100"/>
                <w:position w:val="0"/>
                <w:sz w:val="18"/>
                <w:szCs w:val="18"/>
              </w:rPr>
              <w:t>7,625.0806</w:t>
            </w:r>
            <w:r>
              <w:rPr>
                <w:color w:val="000000"/>
                <w:spacing w:val="0"/>
                <w:w w:val="100"/>
                <w:position w:val="0"/>
              </w:rPr>
              <w:t>万股股份，占 公司总股本的</w:t>
            </w:r>
            <w:r>
              <w:rPr>
                <w:rFonts w:ascii="Times New Roman" w:eastAsia="Times New Roman" w:hAnsi="Times New Roman" w:cs="Times New Roman"/>
                <w:color w:val="000000"/>
                <w:spacing w:val="0"/>
                <w:w w:val="100"/>
                <w:position w:val="0"/>
                <w:sz w:val="18"/>
                <w:szCs w:val="18"/>
              </w:rPr>
              <w:t>19.3963%</w:t>
            </w:r>
            <w:r>
              <w:rPr>
                <w:color w:val="000000"/>
                <w:spacing w:val="0"/>
                <w:w w:val="100"/>
                <w:position w:val="0"/>
              </w:rPr>
              <w:t>，其中永利发展持有公司</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万股股份，占公司总股 本的</w:t>
            </w:r>
            <w:r>
              <w:rPr>
                <w:rFonts w:ascii="Times New Roman" w:eastAsia="Times New Roman" w:hAnsi="Times New Roman" w:cs="Times New Roman"/>
                <w:color w:val="000000"/>
                <w:spacing w:val="0"/>
                <w:w w:val="100"/>
                <w:position w:val="0"/>
                <w:sz w:val="18"/>
                <w:szCs w:val="18"/>
              </w:rPr>
              <w:t>13.2937%</w:t>
            </w:r>
            <w:r>
              <w:rPr>
                <w:color w:val="000000"/>
                <w:spacing w:val="0"/>
                <w:w w:val="100"/>
                <w:position w:val="0"/>
              </w:rPr>
              <w:t>，其一致行动人香港键桥持有公司</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万股股份，占公司 总股本的</w:t>
            </w:r>
            <w:r>
              <w:rPr>
                <w:rFonts w:ascii="Times New Roman" w:eastAsia="Times New Roman" w:hAnsi="Times New Roman" w:cs="Times New Roman"/>
                <w:color w:val="000000"/>
                <w:spacing w:val="0"/>
                <w:w w:val="100"/>
                <w:position w:val="0"/>
                <w:sz w:val="18"/>
                <w:szCs w:val="18"/>
              </w:rPr>
              <w:t>6.1027%</w:t>
            </w:r>
            <w:r>
              <w:rPr>
                <w:color w:val="000000"/>
                <w:spacing w:val="0"/>
                <w:w w:val="100"/>
                <w:position w:val="0"/>
              </w:rPr>
              <w:t>。永利发展成为公司控股股东，王永彬先生成为公司实际控 制人。</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408"/>
        <w:gridCol w:w="617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北京市东城区崇文门外大街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室</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饶世旗、周香萍</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52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1,933,242,996.83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4,201,004,150.54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-273,887,019.16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-485,718,546.80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-148,345,871.43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-363,492,061.76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-507,765,112.39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-171,195,259.62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-114,797,770.64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128,014,424.11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246,929,891.93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-0.6967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-0.3774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-0.6967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-0.3774</w:t>
            </w:r>
          </w:p>
        </w:tc>
      </w:tr>
    </w:tbl>
    <w:tbl>
      <w:tblPr>
        <w:tblOverlap w:val="never"/>
        <w:jc w:val="center"/>
        <w:tblLayout w:type="fixed"/>
      </w:tblPr>
      <w:tblGrid>
        <w:gridCol w:w="2842"/>
        <w:gridCol w:w="1522"/>
        <w:gridCol w:w="1738"/>
        <w:gridCol w:w="1738"/>
        <w:gridCol w:w="174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2,082,268,310.94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2,489,474,527.24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3,071,760,281.22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-43,714,193.67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237,339,867.47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720,601,521.00</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1718"/>
        <w:gridCol w:w="2126"/>
        <w:gridCol w:w="334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1,933,242,996.83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合并范围内的全部业务收入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1,319,590.94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4,894,609.87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与上市公司主营业务无关的营业收入</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1,931,923,405.89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3,274,324,697.87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上市公司主营业务收入</w:t>
            </w:r>
          </w:p>
        </w:tc>
      </w:tr>
    </w:tbl>
    <w:p>
      <w:pPr>
        <w:widowControl w:val="0"/>
        <w:spacing w:after="319" w:line="1" w:lineRule="exact"/>
      </w:pPr>
    </w:p>
    <w:p>
      <w:pPr>
        <w:pStyle w:val="Style23"/>
        <w:keepNext/>
        <w:keepLines/>
        <w:widowControl w:val="0"/>
        <w:shd w:val="clear" w:color="auto" w:fill="auto"/>
        <w:tabs>
          <w:tab w:pos="522" w:val="left"/>
        </w:tabs>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9"/>
        <w:keepNext/>
        <w:keepLines/>
        <w:widowControl w:val="0"/>
        <w:shd w:val="clear" w:color="auto" w:fill="auto"/>
        <w:tabs>
          <w:tab w:pos="395" w:val="left"/>
        </w:tabs>
        <w:bidi w:val="0"/>
        <w:spacing w:before="0" w:after="38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95" w:val="left"/>
        </w:tabs>
        <w:bidi w:val="0"/>
        <w:spacing w:before="0" w:after="38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681,608,608.26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533,167,981.43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357,831,468.27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360,634,938.87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-17,183,846.89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-20,877,562.64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-39,715,732.20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-196,109,877.43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-19,202,071.78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-23,603,181.34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-42,298,320.73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-278,388,487.91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-122,044,554.83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-14,934,114.42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-22,120,633.17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44,301,531.78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3"/>
        <w:keepNext/>
        <w:keepLines/>
        <w:widowControl w:val="0"/>
        <w:shd w:val="clear" w:color="auto" w:fill="auto"/>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416"/>
        <w:gridCol w:w="1421"/>
        <w:gridCol w:w="1334"/>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212,260.49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1,998,125.77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4,590,437.85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9,353,801.22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21,774,031.11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54,037,610.23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978,737.94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4,788,052.06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-3,384,847.27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5,096,865.70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-4,756,564.03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84,211,798.78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14,725,262.69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处置长期股权投资 </w:t>
            </w:r>
            <w:r>
              <w:rPr>
                <w:rFonts w:ascii="Times New Roman" w:eastAsia="Times New Roman" w:hAnsi="Times New Roman" w:cs="Times New Roman"/>
                <w:color w:val="000000"/>
                <w:spacing w:val="0"/>
                <w:w w:val="100"/>
                <w:position w:val="0"/>
                <w:sz w:val="18"/>
                <w:szCs w:val="18"/>
              </w:rPr>
              <w:t xml:space="preserve">77,019,047.76 </w:t>
            </w:r>
            <w:r>
              <w:rPr>
                <w:color w:val="000000"/>
                <w:spacing w:val="0"/>
                <w:w w:val="100"/>
                <w:position w:val="0"/>
              </w:rPr>
              <w:t xml:space="preserve">元、增 值税加计扣除等 </w:t>
            </w:r>
            <w:r>
              <w:rPr>
                <w:rFonts w:ascii="Times New Roman" w:eastAsia="Times New Roman" w:hAnsi="Times New Roman" w:cs="Times New Roman"/>
                <w:color w:val="000000"/>
                <w:spacing w:val="0"/>
                <w:w w:val="100"/>
                <w:position w:val="0"/>
                <w:sz w:val="18"/>
                <w:szCs w:val="18"/>
              </w:rPr>
              <w:t xml:space="preserve">7,192,751.02 </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1,746,788.90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7,508,930.28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7,482,563.26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18,826,841.46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23,539,532.60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89,605,042.60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22,046,565.59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22,849,388.19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22" w:lineRule="exact"/>
        <w:ind w:left="0" w:right="0" w:firstLine="0"/>
        <w:jc w:val="both"/>
        <w:sectPr>
          <w:footnotePr>
            <w:pos w:val="pageBottom"/>
            <w:numFmt w:val="decimal"/>
            <w:numRestart w:val="continuous"/>
          </w:footnotePr>
          <w:pgSz w:w="11900" w:h="16840"/>
          <w:pgMar w:top="1441" w:right="1124" w:bottom="1715" w:left="1090"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40" w:after="54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3"/>
        <w:keepNext/>
        <w:keepLines/>
        <w:widowControl w:val="0"/>
        <w:shd w:val="clear" w:color="auto" w:fill="auto"/>
        <w:bidi w:val="0"/>
        <w:spacing w:before="0" w:after="28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、报告期内公司所处的行业情况</w:t>
      </w:r>
      <w:bookmarkEnd w:id="59"/>
      <w:bookmarkEnd w:id="60"/>
      <w:bookmarkEnd w:id="62"/>
      <w:bookmarkEnd w:id="58"/>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tabs>
          <w:tab w:pos="851" w:val="left"/>
        </w:tabs>
        <w:bidi w:val="0"/>
        <w:spacing w:before="0" w:after="0" w:line="313" w:lineRule="exact"/>
        <w:ind w:left="0" w:right="0"/>
        <w:jc w:val="both"/>
      </w:pPr>
      <w:bookmarkStart w:id="63" w:name="bookmark63"/>
      <w:r>
        <w:rPr>
          <w:color w:val="000000"/>
          <w:spacing w:val="0"/>
          <w:w w:val="100"/>
          <w:position w:val="0"/>
        </w:rPr>
        <w:t>（</w:t>
      </w:r>
      <w:bookmarkEnd w:id="63"/>
      <w:r>
        <w:rPr>
          <w:color w:val="000000"/>
          <w:spacing w:val="0"/>
          <w:w w:val="100"/>
          <w:position w:val="0"/>
        </w:rPr>
        <w:t>一）</w:t>
        <w:tab/>
        <w:t>第三方支付业务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年支付体系运行总体情况》报告显示，我国支付体系运行平稳，银行账户数量持续增长， 非现金支付业务量稳步增长，支付系统业务金额稳步增长。其中银行账户数量保持增长，截至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年末，全国共开立银行账 户</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36.64</w:t>
      </w:r>
      <w:r>
        <w:rPr>
          <w:color w:val="000000"/>
          <w:spacing w:val="0"/>
          <w:w w:val="100"/>
          <w:position w:val="0"/>
        </w:rPr>
        <w:t>亿户，同比增长</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，增速较上年末下降</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个百分点；银行卡数量小幅增长，截至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年末，全国共开立银行 卡</w:t>
      </w:r>
      <w:r>
        <w:rPr>
          <w:rFonts w:ascii="Times New Roman" w:eastAsia="Times New Roman" w:hAnsi="Times New Roman" w:cs="Times New Roman"/>
          <w:color w:val="000000"/>
          <w:spacing w:val="0"/>
          <w:w w:val="100"/>
          <w:position w:val="0"/>
          <w:sz w:val="18"/>
          <w:szCs w:val="18"/>
        </w:rPr>
        <w:t>92.47</w:t>
      </w:r>
      <w:r>
        <w:rPr>
          <w:color w:val="000000"/>
          <w:spacing w:val="0"/>
          <w:w w:val="100"/>
          <w:position w:val="0"/>
        </w:rPr>
        <w:t>亿张，同比增长</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。其中，借记卡</w:t>
      </w:r>
      <w:r>
        <w:rPr>
          <w:rFonts w:ascii="Times New Roman" w:eastAsia="Times New Roman" w:hAnsi="Times New Roman" w:cs="Times New Roman"/>
          <w:color w:val="000000"/>
          <w:spacing w:val="0"/>
          <w:w w:val="100"/>
          <w:position w:val="0"/>
          <w:sz w:val="18"/>
          <w:szCs w:val="18"/>
        </w:rPr>
        <w:t>84.47</w:t>
      </w:r>
      <w:r>
        <w:rPr>
          <w:color w:val="000000"/>
          <w:spacing w:val="0"/>
          <w:w w:val="100"/>
          <w:position w:val="0"/>
        </w:rPr>
        <w:t>亿张，同比增长</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；信用卡和借贷合一"</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亿张，同比增长</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 人均持有银行卡</w:t>
      </w:r>
      <w:r>
        <w:rPr>
          <w:rFonts w:ascii="Times New Roman" w:eastAsia="Times New Roman" w:hAnsi="Times New Roman" w:cs="Times New Roman"/>
          <w:color w:val="000000"/>
          <w:spacing w:val="0"/>
          <w:w w:val="100"/>
          <w:position w:val="0"/>
          <w:sz w:val="18"/>
          <w:szCs w:val="18"/>
        </w:rPr>
        <w:t>6.55</w:t>
      </w:r>
      <w:r>
        <w:rPr>
          <w:color w:val="000000"/>
          <w:spacing w:val="0"/>
          <w:w w:val="100"/>
          <w:position w:val="0"/>
        </w:rPr>
        <w:t>张，其中，人均持有信用卡和借贷合一卡</w:t>
      </w:r>
      <w:r>
        <w:rPr>
          <w:rFonts w:ascii="Times New Roman" w:eastAsia="Times New Roman" w:hAnsi="Times New Roman" w:cs="Times New Roman"/>
          <w:color w:val="000000"/>
          <w:spacing w:val="0"/>
          <w:w w:val="100"/>
          <w:position w:val="0"/>
          <w:sz w:val="18"/>
          <w:szCs w:val="18"/>
        </w:rPr>
        <w:t>0.57</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年全国银行卡消费业务笔数达到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,318.18</w:t>
      </w:r>
      <w:r>
        <w:rPr>
          <w:color w:val="000000"/>
          <w:spacing w:val="0"/>
          <w:w w:val="100"/>
          <w:position w:val="0"/>
        </w:rPr>
        <w:t>亿笔，同 比增长</w:t>
      </w:r>
      <w:r>
        <w:rPr>
          <w:rFonts w:ascii="Times New Roman" w:eastAsia="Times New Roman" w:hAnsi="Times New Roman" w:cs="Times New Roman"/>
          <w:color w:val="000000"/>
          <w:spacing w:val="0"/>
          <w:w w:val="100"/>
          <w:position w:val="0"/>
          <w:sz w:val="18"/>
          <w:szCs w:val="18"/>
        </w:rPr>
        <w:t>30.52%</w:t>
      </w:r>
      <w:r>
        <w:rPr>
          <w:color w:val="000000"/>
          <w:spacing w:val="0"/>
          <w:w w:val="100"/>
          <w:position w:val="0"/>
        </w:rPr>
        <w:t>；全国银行卡消费业务金额</w:t>
      </w:r>
      <w:r>
        <w:rPr>
          <w:rFonts w:ascii="Times New Roman" w:eastAsia="Times New Roman" w:hAnsi="Times New Roman" w:cs="Times New Roman"/>
          <w:color w:val="000000"/>
          <w:spacing w:val="0"/>
          <w:w w:val="100"/>
          <w:position w:val="0"/>
          <w:sz w:val="18"/>
          <w:szCs w:val="18"/>
        </w:rPr>
        <w:t>135.97</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年全国银行卡卡均消费金额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万元，同比 增长</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。由于现金交易无法可靠统计，故选取银行卡渗透率反应现金支付业务规模。我国银行卡渗透率自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年起逐 年上升，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年银行卡渗透率为</w:t>
      </w:r>
      <w:r>
        <w:rPr>
          <w:rFonts w:ascii="Times New Roman" w:eastAsia="Times New Roman" w:hAnsi="Times New Roman" w:cs="Times New Roman"/>
          <w:color w:val="000000"/>
          <w:spacing w:val="0"/>
          <w:w w:val="100"/>
          <w:position w:val="0"/>
          <w:sz w:val="18"/>
          <w:szCs w:val="18"/>
        </w:rPr>
        <w:t>49.20%</w:t>
      </w:r>
      <w:r>
        <w:rPr>
          <w:color w:val="000000"/>
          <w:spacing w:val="0"/>
          <w:w w:val="100"/>
          <w:position w:val="0"/>
        </w:rPr>
        <w:t>，较上年上升</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个百分点，表明银行卡交易规模持续升高，相反现金交易规模逐年 减少。银行卡联网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机具数量有所增长。截至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年末，银联跨行支付系统联网特约商户</w:t>
      </w:r>
      <w:r>
        <w:rPr>
          <w:rFonts w:ascii="Times New Roman" w:eastAsia="Times New Roman" w:hAnsi="Times New Roman" w:cs="Times New Roman"/>
          <w:color w:val="000000"/>
          <w:spacing w:val="0"/>
          <w:w w:val="100"/>
          <w:position w:val="0"/>
          <w:sz w:val="18"/>
          <w:szCs w:val="18"/>
        </w:rPr>
        <w:t>2,798.2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万户，较上年末减少</w:t>
      </w:r>
      <w:r>
        <w:rPr>
          <w:rFonts w:ascii="Times New Roman" w:eastAsia="Times New Roman" w:hAnsi="Times New Roman" w:cs="Times New Roman"/>
          <w:color w:val="000000"/>
          <w:spacing w:val="0"/>
          <w:w w:val="100"/>
          <w:position w:val="0"/>
          <w:sz w:val="18"/>
          <w:szCs w:val="18"/>
        </w:rPr>
        <w:t xml:space="preserve">96.48 </w:t>
      </w:r>
      <w:r>
        <w:rPr>
          <w:color w:val="000000"/>
          <w:spacing w:val="0"/>
          <w:w w:val="100"/>
          <w:position w:val="0"/>
        </w:rPr>
        <w:t>万户，联网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w:t>
      </w:r>
      <w:r>
        <w:rPr>
          <w:rFonts w:ascii="Times New Roman" w:eastAsia="Times New Roman" w:hAnsi="Times New Roman" w:cs="Times New Roman"/>
          <w:color w:val="000000"/>
          <w:spacing w:val="0"/>
          <w:w w:val="100"/>
          <w:position w:val="0"/>
          <w:sz w:val="18"/>
          <w:szCs w:val="18"/>
        </w:rPr>
        <w:t>53,893.6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万台，较上年末增加</w:t>
      </w:r>
      <w:r>
        <w:rPr>
          <w:rFonts w:ascii="Times New Roman" w:eastAsia="Times New Roman" w:hAnsi="Times New Roman" w:cs="Times New Roman"/>
          <w:color w:val="000000"/>
          <w:spacing w:val="0"/>
          <w:w w:val="100"/>
          <w:position w:val="0"/>
          <w:sz w:val="18"/>
          <w:szCs w:val="18"/>
        </w:rPr>
        <w:t>60.58</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机具</w:t>
      </w:r>
      <w:r>
        <w:rPr>
          <w:rFonts w:ascii="Times New Roman" w:eastAsia="Times New Roman" w:hAnsi="Times New Roman" w:cs="Times New Roman"/>
          <w:color w:val="000000"/>
          <w:spacing w:val="0"/>
          <w:w w:val="100"/>
          <w:position w:val="0"/>
          <w:sz w:val="18"/>
          <w:szCs w:val="18"/>
        </w:rPr>
        <w:t>694.78</w:t>
      </w:r>
      <w:r>
        <w:rPr>
          <w:color w:val="000000"/>
          <w:spacing w:val="0"/>
          <w:w w:val="100"/>
          <w:position w:val="0"/>
        </w:rPr>
        <w:t>万台，较上年末减少</w:t>
      </w:r>
      <w:r>
        <w:rPr>
          <w:rFonts w:ascii="Times New Roman" w:eastAsia="Times New Roman" w:hAnsi="Times New Roman" w:cs="Times New Roman"/>
          <w:color w:val="000000"/>
          <w:spacing w:val="0"/>
          <w:w w:val="100"/>
          <w:position w:val="0"/>
          <w:sz w:val="18"/>
          <w:szCs w:val="18"/>
        </w:rPr>
        <w:t>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万台。全国每万人拥 有联网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w:t>
      </w:r>
      <w:r>
        <w:rPr>
          <w:rFonts w:ascii="Times New Roman" w:eastAsia="Times New Roman" w:hAnsi="Times New Roman" w:cs="Times New Roman"/>
          <w:color w:val="000000"/>
          <w:spacing w:val="0"/>
          <w:w w:val="100"/>
          <w:position w:val="0"/>
          <w:sz w:val="18"/>
          <w:szCs w:val="18"/>
        </w:rPr>
        <w:t>275.63</w:t>
      </w:r>
      <w:r>
        <w:rPr>
          <w:color w:val="000000"/>
          <w:spacing w:val="0"/>
          <w:w w:val="100"/>
          <w:position w:val="0"/>
        </w:rPr>
        <w:t>台，同比增长</w:t>
      </w: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。支付收单行业在监管引导下逐步进入稳健发展阶段。</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年，数字人民币在国内加快试点推广。根据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年金融统计数据新闻发布会介绍，人民银行已经在深圳、苏州、雄 安、成都、上海、海南、长沙、西安、青岛、大连等地和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年北京冬奥会场景开展数字人民币试点，截至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年底，数字 人民币试点场景已超过</w:t>
      </w:r>
      <w:r>
        <w:rPr>
          <w:rFonts w:ascii="Times New Roman" w:eastAsia="Times New Roman" w:hAnsi="Times New Roman" w:cs="Times New Roman"/>
          <w:color w:val="000000"/>
          <w:spacing w:val="0"/>
          <w:w w:val="100"/>
          <w:position w:val="0"/>
          <w:sz w:val="18"/>
          <w:szCs w:val="18"/>
        </w:rPr>
        <w:t>808.5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万个，累计开立个人钱包</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亿个，交易金额</w:t>
      </w:r>
      <w:r>
        <w:rPr>
          <w:rFonts w:ascii="Times New Roman" w:eastAsia="Times New Roman" w:hAnsi="Times New Roman" w:cs="Times New Roman"/>
          <w:color w:val="000000"/>
          <w:spacing w:val="0"/>
          <w:w w:val="100"/>
          <w:position w:val="0"/>
          <w:sz w:val="18"/>
          <w:szCs w:val="18"/>
        </w:rPr>
        <w:t>875.65</w:t>
      </w:r>
      <w:r>
        <w:rPr>
          <w:color w:val="000000"/>
          <w:spacing w:val="0"/>
          <w:w w:val="100"/>
          <w:position w:val="0"/>
        </w:rPr>
        <w:t>亿元。</w:t>
      </w:r>
    </w:p>
    <w:p>
      <w:pPr>
        <w:pStyle w:val="Style18"/>
        <w:keepNext w:val="0"/>
        <w:keepLines w:val="0"/>
        <w:widowControl w:val="0"/>
        <w:shd w:val="clear" w:color="auto" w:fill="auto"/>
        <w:tabs>
          <w:tab w:pos="851" w:val="left"/>
        </w:tabs>
        <w:bidi w:val="0"/>
        <w:spacing w:before="0" w:after="0" w:line="313" w:lineRule="exact"/>
        <w:ind w:left="0" w:right="0"/>
        <w:jc w:val="both"/>
      </w:pPr>
      <w:bookmarkStart w:id="64" w:name="bookmark64"/>
      <w:r>
        <w:rPr>
          <w:color w:val="000000"/>
          <w:spacing w:val="0"/>
          <w:w w:val="100"/>
          <w:position w:val="0"/>
        </w:rPr>
        <w:t>（</w:t>
      </w:r>
      <w:bookmarkEnd w:id="64"/>
      <w:r>
        <w:rPr>
          <w:color w:val="000000"/>
          <w:spacing w:val="0"/>
          <w:w w:val="100"/>
          <w:position w:val="0"/>
        </w:rPr>
        <w:t>二）</w:t>
        <w:tab/>
        <w:t>商户经营服务业务</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规划）明确提 出打造数字经济新优势，加快数字社会建设步伐，及坚持扩大内需，全面促进消费。伴随居民消费升级，中小微企业的数字 化进程不断提速。智能支付终端已成为商户数字化经营载体，智能支付终端搭载</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软件为商户实现与消费者的多种互动， 已应用到店铺进销存管理、会员分析、营销服务等各个方面，通过对店铺的数字化管理，利用经营数据分析消费者行为，帮 助商户更好地了解消费者，针对其消费特征和偏好制定或改善营销策略，并实现再营销的工具平台，提高消费者粘性及忠诚 度，开发消费者的潜在消费需求，给商户带来利润上的提升。根据国家税务总局数据，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年度，全国新增涉税市场主体</w:t>
      </w:r>
      <w:r>
        <w:rPr>
          <w:rFonts w:ascii="Times New Roman" w:eastAsia="Times New Roman" w:hAnsi="Times New Roman" w:cs="Times New Roman"/>
          <w:color w:val="000000"/>
          <w:spacing w:val="0"/>
          <w:w w:val="100"/>
          <w:position w:val="0"/>
          <w:sz w:val="18"/>
          <w:szCs w:val="18"/>
        </w:rPr>
        <w:t xml:space="preserve">1,326 </w:t>
      </w:r>
      <w:r>
        <w:rPr>
          <w:color w:val="000000"/>
          <w:spacing w:val="0"/>
          <w:w w:val="100"/>
          <w:position w:val="0"/>
        </w:rPr>
        <w:t>万户，同比增长</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。市场主体及企业数字化转型需求的快速增长将进一步促进其对商户经营服务业务的需求。</w:t>
      </w:r>
    </w:p>
    <w:p>
      <w:pPr>
        <w:pStyle w:val="Style18"/>
        <w:keepNext w:val="0"/>
        <w:keepLines w:val="0"/>
        <w:widowControl w:val="0"/>
        <w:shd w:val="clear" w:color="auto" w:fill="auto"/>
        <w:tabs>
          <w:tab w:pos="851" w:val="left"/>
        </w:tabs>
        <w:bidi w:val="0"/>
        <w:spacing w:before="0" w:after="0" w:line="313" w:lineRule="exact"/>
        <w:ind w:left="0" w:right="0"/>
        <w:jc w:val="both"/>
      </w:pPr>
      <w:bookmarkStart w:id="65" w:name="bookmark65"/>
      <w:r>
        <w:rPr>
          <w:color w:val="000000"/>
          <w:spacing w:val="0"/>
          <w:w w:val="100"/>
          <w:position w:val="0"/>
        </w:rPr>
        <w:t>（</w:t>
      </w:r>
      <w:bookmarkEnd w:id="65"/>
      <w:r>
        <w:rPr>
          <w:color w:val="000000"/>
          <w:spacing w:val="0"/>
          <w:w w:val="100"/>
          <w:position w:val="0"/>
        </w:rPr>
        <w:t>三）</w:t>
        <w:tab/>
        <w:t>智能电网领域</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电力行业是国民经济的基础产业、支柱产业和战略产业，而发展电力信息化、智能电网及电力物联网等产业是实现我国 能源生产、消费、技术革新的重要手段。电力通信作为电力生产调度及其各种应用的基础承载网络，从网络规模、结构到技 术装备日趋完备，在保证电网安全、稳定、经济、高效运行方面发挥重要作用。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规划提出构建现代能源体系，其中 包括加快电网基础设施智能化改造和智能微电网建设。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日召开的中央财经委员会第九次会议亦指出深化电力体 制改革，构建以新能源为主体的新型电力系统。智能电网亦是我国低碳化、清洁化、高效化的能源转型的关键。国家鼓励电 力信息化、智能化是行业发展的主要方向，将为产业内相关企业带来福音。</w:t>
      </w:r>
    </w:p>
    <w:p>
      <w:pPr>
        <w:pStyle w:val="Style18"/>
        <w:keepNext w:val="0"/>
        <w:keepLines w:val="0"/>
        <w:widowControl w:val="0"/>
        <w:shd w:val="clear" w:color="auto" w:fill="auto"/>
        <w:tabs>
          <w:tab w:pos="851" w:val="left"/>
        </w:tabs>
        <w:bidi w:val="0"/>
        <w:spacing w:before="0" w:after="0" w:line="313" w:lineRule="exact"/>
        <w:ind w:left="0" w:right="0"/>
        <w:jc w:val="both"/>
      </w:pPr>
      <w:bookmarkStart w:id="66" w:name="bookmark66"/>
      <w:r>
        <w:rPr>
          <w:color w:val="000000"/>
          <w:spacing w:val="0"/>
          <w:w w:val="100"/>
          <w:position w:val="0"/>
        </w:rPr>
        <w:t>（</w:t>
      </w:r>
      <w:bookmarkEnd w:id="66"/>
      <w:r>
        <w:rPr>
          <w:color w:val="000000"/>
          <w:spacing w:val="0"/>
          <w:w w:val="100"/>
          <w:position w:val="0"/>
        </w:rPr>
        <w:t>四）</w:t>
        <w:tab/>
        <w:t>智慧交通领域</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加快建设交通强国是我国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规划中建设现代化基础设施体系章节的重要组成部分。根据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月中共中央、国 务院印发的《国家综合立体交通网规划纲要》，到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年国家综合立体交通网实体线网总规模合计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万公里左右，其中公路 </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万公里左右，包括国家高速公路网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万公里左右，普通国道网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万公里左右。《国家综合立体交通网规划纲要》亦明确加 快提升交通运输科技创新能力，推进交通基础设施数字化、网联化，推动卫星通信技术、新一代通信技术、高分遥感卫星、 人工智能等行业应用；加快既有设施智能化，利用新技术赋能交通基础设施发展，加强既有交通基础设施提质升级，提高设 </w:t>
      </w:r>
      <w:r>
        <w:rPr>
          <w:color w:val="000000"/>
          <w:spacing w:val="0"/>
          <w:w w:val="100"/>
          <w:position w:val="0"/>
        </w:rPr>
        <w:t>施利用效率和服务水平，推动公路路网管理和出行信息服务智能化，完善道路交通监控设备及配套网络。政策支持的延续， 为智慧交通行业带来新的需求与机会。</w:t>
      </w:r>
    </w:p>
    <w:p>
      <w:pPr>
        <w:pStyle w:val="Style18"/>
        <w:keepNext w:val="0"/>
        <w:keepLines w:val="0"/>
        <w:widowControl w:val="0"/>
        <w:shd w:val="clear" w:color="auto" w:fill="auto"/>
        <w:bidi w:val="0"/>
        <w:spacing w:before="0" w:after="36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日，中国城市轨道交通协会发布《城市轨道交通发展战略与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发展思路》研究报告，提出了总体发 展战略、重点发展方向及政策建议等多维度的发展思路，旨在指导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期间我国城市轨道交通行业高效率运行、高品质 服务和高效能治理，推动我国构建安全、便捷、绿色、高效、经济的新一代智慧型城市轨道交通。城市轨道交通不仅包括地 铁，也包括轻轨、市域快轨、磁浮、有轨电车、单轨等制式。地铁的里程最长，占到中国内地城轨总里程的</w:t>
      </w:r>
      <w:r>
        <w:rPr>
          <w:rFonts w:ascii="Times New Roman" w:eastAsia="Times New Roman" w:hAnsi="Times New Roman" w:cs="Times New Roman"/>
          <w:color w:val="000000"/>
          <w:spacing w:val="0"/>
          <w:w w:val="100"/>
          <w:position w:val="0"/>
          <w:sz w:val="18"/>
          <w:szCs w:val="18"/>
        </w:rPr>
        <w:t>78.61%</w:t>
      </w:r>
      <w:r>
        <w:rPr>
          <w:color w:val="000000"/>
          <w:spacing w:val="0"/>
          <w:w w:val="100"/>
          <w:position w:val="0"/>
        </w:rPr>
        <w:t>，其次 是市域快轨、有轨电车和轻轨。</w:t>
      </w:r>
    </w:p>
    <w:p>
      <w:pPr>
        <w:pStyle w:val="Style23"/>
        <w:keepNext/>
        <w:keepLines/>
        <w:widowControl w:val="0"/>
        <w:shd w:val="clear" w:color="auto" w:fill="auto"/>
        <w:bidi w:val="0"/>
        <w:spacing w:before="0" w:after="28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、报告期内公司从事的主要业务</w:t>
      </w:r>
      <w:bookmarkEnd w:id="67"/>
      <w:bookmarkEnd w:id="68"/>
      <w:bookmarkEnd w:id="70"/>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报告期内，公司积极跟进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规划，继续贯彻落实公司战略，投身智慧化浪潮。智慧经营方面，公司在巩固提升原 有中小微商户支付服务的基础上，以赋能中小微商户智慧经营为核心，进一步深化中小微商家数字化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服务；智慧 专网方面，公司完成专网通信业务转型，围绕能源、交通产业生态圈推进业务转型升级和平台管理升级，促进其所服务行业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水平的提升。公司主要业务具体情况如下：</w:t>
      </w:r>
    </w:p>
    <w:p>
      <w:pPr>
        <w:pStyle w:val="Style18"/>
        <w:keepNext w:val="0"/>
        <w:keepLines w:val="0"/>
        <w:widowControl w:val="0"/>
        <w:shd w:val="clear" w:color="auto" w:fill="auto"/>
        <w:tabs>
          <w:tab w:pos="851" w:val="left"/>
        </w:tabs>
        <w:bidi w:val="0"/>
        <w:spacing w:before="0" w:after="0" w:line="314" w:lineRule="exact"/>
        <w:ind w:left="0" w:right="0"/>
        <w:jc w:val="both"/>
      </w:pPr>
      <w:bookmarkStart w:id="71" w:name="bookmark71"/>
      <w:r>
        <w:rPr>
          <w:color w:val="000000"/>
          <w:spacing w:val="0"/>
          <w:w w:val="100"/>
          <w:position w:val="0"/>
        </w:rPr>
        <w:t>（</w:t>
      </w:r>
      <w:bookmarkEnd w:id="71"/>
      <w:r>
        <w:rPr>
          <w:color w:val="000000"/>
          <w:spacing w:val="0"/>
          <w:w w:val="100"/>
          <w:position w:val="0"/>
        </w:rPr>
        <w:t>一）</w:t>
        <w:tab/>
        <w:t>智慧经营领域</w:t>
      </w:r>
    </w:p>
    <w:p>
      <w:pPr>
        <w:pStyle w:val="Style18"/>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报告期内，公司在智慧经营领域主要从事第三方支付业务及商户经营服务业务。公司控股子公司开店宝科技是公司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慧经营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战略的主要承载者，开店宝科技始终秉承着专注服务小微商家的经营理念，以科技为驱动力，通过不断深化支付科 技、数据科技等综合服务，为中小微商家的经营进行多维度赋能，建立以中小微商家为核心的商业生态体系。</w:t>
      </w:r>
    </w:p>
    <w:p>
      <w:pPr>
        <w:pStyle w:val="Style18"/>
        <w:keepNext w:val="0"/>
        <w:keepLines w:val="0"/>
        <w:widowControl w:val="0"/>
        <w:shd w:val="clear" w:color="auto" w:fill="auto"/>
        <w:tabs>
          <w:tab w:pos="654" w:val="left"/>
        </w:tabs>
        <w:bidi w:val="0"/>
        <w:spacing w:before="0" w:after="0" w:line="360" w:lineRule="auto"/>
        <w:ind w:left="0" w:right="0"/>
        <w:jc w:val="both"/>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w:t>
        <w:tab/>
        <w:t>第三方支付业务</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开店宝科技全资下属公司开店宝支付是拥有全国性银行卡收单业务牌照的第三方支付机构。开店宝科技自主研发一整套 支持多产品、集成多模块的系统平台，通过多种</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w:t>
      </w:r>
      <w:r>
        <w:rPr>
          <w:color w:val="000000"/>
          <w:spacing w:val="0"/>
          <w:w w:val="100"/>
          <w:position w:val="0"/>
        </w:rPr>
        <w:t>传统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等市场主流的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 xml:space="preserve">机型和智能手机客户端软件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开店宝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品牌推广旗下各类产品，定位不同需求的中小微商户，切入到实际的智慧经营场景中，为中小微商户提 供银行卡收单、便民支付等增值服务及由交易行为衍生的数据服务。截至本报告期末，累计售出</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支付终端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,970.5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部， 累计布放</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支付终端</w:t>
      </w:r>
      <w:r>
        <w:rPr>
          <w:rFonts w:ascii="Times New Roman" w:eastAsia="Times New Roman" w:hAnsi="Times New Roman" w:cs="Times New Roman"/>
          <w:color w:val="000000"/>
          <w:spacing w:val="0"/>
          <w:w w:val="100"/>
          <w:position w:val="0"/>
          <w:sz w:val="18"/>
          <w:szCs w:val="18"/>
        </w:rPr>
        <w:t>846.47</w:t>
      </w:r>
      <w:r>
        <w:rPr>
          <w:color w:val="000000"/>
          <w:spacing w:val="0"/>
          <w:w w:val="100"/>
          <w:position w:val="0"/>
        </w:rPr>
        <w:t>万部。</w:t>
      </w:r>
    </w:p>
    <w:p>
      <w:pPr>
        <w:pStyle w:val="Style18"/>
        <w:keepNext w:val="0"/>
        <w:keepLines w:val="0"/>
        <w:widowControl w:val="0"/>
        <w:shd w:val="clear" w:color="auto" w:fill="auto"/>
        <w:bidi w:val="0"/>
        <w:spacing w:before="0" w:after="140" w:line="313" w:lineRule="exact"/>
        <w:ind w:left="0" w:right="0"/>
        <w:jc w:val="both"/>
      </w:pPr>
      <w:r>
        <w:rPr>
          <w:color w:val="000000"/>
          <w:spacing w:val="0"/>
          <w:w w:val="100"/>
          <w:position w:val="0"/>
        </w:rPr>
        <w:t>报告期内，开店宝支付推进与银行机构在数字人民币的运营活动领域方面的合作。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月开店宝支付配合中国邮政 储蓄银行股份有限公司上海分行进行数字人民币的试点推广活动，于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上海新世界城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向客户发放每份金额为单个</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元数字 人民币红包，每个客户仅可获得一个，活动总名额</w:t>
      </w:r>
      <w:r>
        <w:rPr>
          <w:rFonts w:ascii="Times New Roman" w:eastAsia="Times New Roman" w:hAnsi="Times New Roman" w:cs="Times New Roman"/>
          <w:color w:val="000000"/>
          <w:spacing w:val="0"/>
          <w:w w:val="100"/>
          <w:position w:val="0"/>
          <w:sz w:val="18"/>
          <w:szCs w:val="18"/>
        </w:rPr>
        <w:t>3333</w:t>
      </w:r>
      <w:r>
        <w:rPr>
          <w:color w:val="000000"/>
          <w:spacing w:val="0"/>
          <w:w w:val="100"/>
          <w:position w:val="0"/>
        </w:rPr>
        <w:t>个。具体内容详见公司于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日刊登在指定信息披露媒体《证 券时报》、《中国证券报》、《上海证券报》、《证券日报》和巨潮资讯网（网址为：</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）的《关于</w:t>
      </w:r>
      <w:r>
        <w:rPr>
          <w:color w:val="000000"/>
          <w:spacing w:val="0"/>
          <w:w w:val="100"/>
          <w:position w:val="0"/>
        </w:rPr>
        <w:t xml:space="preserve"> 深圳证券交易所关注函回复的公告》（公告编号：</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p>
      <w:pPr>
        <w:pStyle w:val="Style18"/>
        <w:keepNext w:val="0"/>
        <w:keepLines w:val="0"/>
        <w:widowControl w:val="0"/>
        <w:shd w:val="clear" w:color="auto" w:fill="auto"/>
        <w:tabs>
          <w:tab w:pos="674" w:val="left"/>
        </w:tabs>
        <w:bidi w:val="0"/>
        <w:spacing w:before="0" w:after="0" w:line="360" w:lineRule="auto"/>
        <w:ind w:left="0" w:right="0"/>
        <w:jc w:val="both"/>
      </w:pPr>
      <w:bookmarkStart w:id="73" w:name="bookmark73"/>
      <w:r>
        <w:rPr>
          <w:rFonts w:ascii="Times New Roman" w:eastAsia="Times New Roman" w:hAnsi="Times New Roman" w:cs="Times New Roman"/>
          <w:color w:val="000000"/>
          <w:spacing w:val="0"/>
          <w:w w:val="100"/>
          <w:position w:val="0"/>
          <w:sz w:val="18"/>
          <w:szCs w:val="18"/>
        </w:rPr>
        <w:t>2</w:t>
      </w:r>
      <w:bookmarkEnd w:id="73"/>
      <w:r>
        <w:rPr>
          <w:color w:val="000000"/>
          <w:spacing w:val="0"/>
          <w:w w:val="100"/>
          <w:position w:val="0"/>
        </w:rPr>
        <w:t>、</w:t>
        <w:tab/>
        <w:t>商户经营服务业务</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全城淘能够提供基于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产品和解决方案，向商户提供互通互联的全渠道数字化经营工具，为商户提供 门店管理、</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管理、会员营销、库存管理、电子发票、小程序等服务，助力打造数字化智慧门店，帮助中小微商家实现 门店收银及店铺管理的智慧化升级，用技术驱动商业革新，让生意更简单，让开店更轻松，成为商家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生意的好帮手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 告期内，全城淘通过中国支付清算协会收单外包服务机构聚合支付服务业务备案，同时通过了全国业务地域的特约商户推荐、 受理标识张贴、特约商户维护、以及受理终端布放与维护等全业务类型备案。在巩固提升原有小微商户服务业务基础上，全 城淘不断向商户精细化、专业化发展，为商户提供的融合多个支付渠道并实现一站式对账的技术服务，打造具有市场影响力 品牌的收单专业化服务联合体。</w:t>
      </w:r>
    </w:p>
    <w:p>
      <w:pPr>
        <w:pStyle w:val="Style18"/>
        <w:keepNext w:val="0"/>
        <w:keepLines w:val="0"/>
        <w:widowControl w:val="0"/>
        <w:shd w:val="clear" w:color="auto" w:fill="auto"/>
        <w:tabs>
          <w:tab w:pos="851" w:val="left"/>
        </w:tabs>
        <w:bidi w:val="0"/>
        <w:spacing w:before="0" w:after="0" w:line="314" w:lineRule="exact"/>
        <w:ind w:left="0" w:right="0"/>
        <w:jc w:val="both"/>
      </w:pPr>
      <w:bookmarkStart w:id="74" w:name="bookmark74"/>
      <w:r>
        <w:rPr>
          <w:color w:val="000000"/>
          <w:spacing w:val="0"/>
          <w:w w:val="100"/>
          <w:position w:val="0"/>
        </w:rPr>
        <w:t>（</w:t>
      </w:r>
      <w:bookmarkEnd w:id="74"/>
      <w:r>
        <w:rPr>
          <w:color w:val="000000"/>
          <w:spacing w:val="0"/>
          <w:w w:val="100"/>
          <w:position w:val="0"/>
        </w:rPr>
        <w:t>二）</w:t>
        <w:tab/>
        <w:t>智慧专网领域</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公司智慧专网领域主要为电力、交通等行业提供信息通信技术解决方案。报告期内，公司围绕能源、交通产业生态圈持 续推进业务转型升级和平台管理升级，继续推进专网通信业务转型步伐。公司作为国内率先从事专网通信领域的高新技术企 业，始终坚持专网通信技术解决方案服务商的定位，具有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专业方案、优质服务、量身定制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三大优势，密切结合行业特点， 突出专用性和个性化服务，为电力、交通等行业提供信息通信技术解决方案，包括相关软硬件产品的研发与服务，通过不断 引入先进技术成果，持续推动专网通信技术的发展和行业解决方案的升级。</w:t>
      </w:r>
    </w:p>
    <w:p>
      <w:pPr>
        <w:pStyle w:val="Style18"/>
        <w:keepNext w:val="0"/>
        <w:keepLines w:val="0"/>
        <w:widowControl w:val="0"/>
        <w:shd w:val="clear" w:color="auto" w:fill="auto"/>
        <w:tabs>
          <w:tab w:pos="660" w:val="left"/>
        </w:tabs>
        <w:bidi w:val="0"/>
        <w:spacing w:before="0" w:after="0" w:line="312" w:lineRule="exact"/>
        <w:ind w:left="0" w:right="0"/>
        <w:jc w:val="both"/>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w:t>
        <w:tab/>
        <w:t>智能电网领域</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报告期内，公司积极开展电力行业领域业务，在原有传统集成服务业务的基础上，围绕国家电网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新型电力系统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主方向， 挖掘开拓公司业务，加大对电力信息安全、工业智能、物联网等业务以及电力新能源项目的投入力度，不断切入电力核心业 务板块，实现公司业务发展的新突破。报告期内，公司持续加强业务宣传以及生态合作力度，公司与华为、中兴、新华三等 </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行业知名供应商持续开展合作，在电力通信传输、数据通信、调度控制、运行维护和电力信息安全、工业智能以及物联 网领域的业务拓展均取得良好进展与业绩。在工业智能和物联网领域，持续加大力度推动产品侧的生态发展，公司积极推广 基于华为</w:t>
      </w:r>
      <w:r>
        <w:rPr>
          <w:rFonts w:ascii="Times New Roman" w:eastAsia="Times New Roman" w:hAnsi="Times New Roman" w:cs="Times New Roman"/>
          <w:color w:val="000000"/>
          <w:spacing w:val="0"/>
          <w:w w:val="100"/>
          <w:position w:val="0"/>
          <w:sz w:val="18"/>
          <w:szCs w:val="18"/>
        </w:rPr>
        <w:t>Atlas</w:t>
      </w:r>
      <w:r>
        <w:rPr>
          <w:color w:val="000000"/>
          <w:spacing w:val="0"/>
          <w:w w:val="100"/>
          <w:position w:val="0"/>
        </w:rPr>
        <w:t>人工智能计算平台开发的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无人值守变电站智能运检系统</w:t>
      </w:r>
      <w:r>
        <w:rPr>
          <w:rFonts w:ascii="Times New Roman" w:eastAsia="Times New Roman" w:hAnsi="Times New Roman" w:cs="Times New Roman"/>
          <w:color w:val="000000"/>
          <w:spacing w:val="0"/>
          <w:w w:val="100"/>
          <w:position w:val="0"/>
          <w:sz w:val="18"/>
          <w:szCs w:val="18"/>
        </w:rPr>
        <w:t>V 6”</w:t>
      </w:r>
      <w:r>
        <w:rPr>
          <w:color w:val="000000"/>
          <w:spacing w:val="0"/>
          <w:w w:val="100"/>
          <w:position w:val="0"/>
        </w:rPr>
        <w:t>及基于华为</w:t>
      </w:r>
      <w:r>
        <w:rPr>
          <w:rFonts w:ascii="Times New Roman" w:eastAsia="Times New Roman" w:hAnsi="Times New Roman" w:cs="Times New Roman"/>
          <w:color w:val="000000"/>
          <w:spacing w:val="0"/>
          <w:w w:val="100"/>
          <w:position w:val="0"/>
          <w:sz w:val="18"/>
          <w:szCs w:val="18"/>
        </w:rPr>
        <w:t xml:space="preserve">Tai Shan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系列开发的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变电站智能 网关系统</w:t>
      </w:r>
      <w:r>
        <w:rPr>
          <w:rFonts w:ascii="Times New Roman" w:eastAsia="Times New Roman" w:hAnsi="Times New Roman" w:cs="Times New Roman"/>
          <w:color w:val="000000"/>
          <w:spacing w:val="0"/>
          <w:w w:val="100"/>
          <w:position w:val="0"/>
          <w:sz w:val="18"/>
          <w:szCs w:val="18"/>
        </w:rPr>
        <w:t>V 1.1”</w:t>
      </w:r>
      <w:r>
        <w:rPr>
          <w:color w:val="000000"/>
          <w:spacing w:val="0"/>
          <w:w w:val="100"/>
          <w:position w:val="0"/>
        </w:rPr>
        <w:t>，积极推广变电站智能网关产品以及基于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融合技术的电力生产智能运维系统整体解决方案。目前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变电站 智能网关系统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解决方案已应用在南方电网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余个站点，积累了丰富的施工和维保经验，为该产品在全国的推广打下良好基 础。同时公司继续保持与中国电力科学研究院、广东电力科学研究院、南瑞集团等之间的合作，不断探索与挖掘行业用户需 求以及具体应用实现。</w:t>
      </w:r>
    </w:p>
    <w:p>
      <w:pPr>
        <w:pStyle w:val="Style18"/>
        <w:keepNext w:val="0"/>
        <w:keepLines w:val="0"/>
        <w:widowControl w:val="0"/>
        <w:shd w:val="clear" w:color="auto" w:fill="auto"/>
        <w:tabs>
          <w:tab w:pos="674" w:val="left"/>
        </w:tabs>
        <w:bidi w:val="0"/>
        <w:spacing w:before="0" w:after="0" w:line="312" w:lineRule="exact"/>
        <w:ind w:left="0" w:right="0"/>
        <w:jc w:val="both"/>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w:t>
        <w:tab/>
        <w:t>智慧交通领域</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报告期内，公司在高速公路及城市智能交通业务领域主要为客户提供高速公路智能交通系统、城市道路监控系统、路口 交通信号控制系统、电子警察系统、交通信息统计系统等整体解决方案。公司控股子公司南京凌云不断提升项目执行能力、 工程服务水平以及客户满意度，并重点布局从以工程总包的传统集成业务不断迈向产品和技术开发的战略目标。报告期内， 南京凌云在夯实江苏省内公路局项目的基础上，持续加大力度开拓内蒙古、河北、云南、浙江、贵州等外省新市场。</w:t>
      </w:r>
    </w:p>
    <w:p>
      <w:pPr>
        <w:pStyle w:val="Style18"/>
        <w:keepNext w:val="0"/>
        <w:keepLines w:val="0"/>
        <w:widowControl w:val="0"/>
        <w:shd w:val="clear" w:color="auto" w:fill="auto"/>
        <w:bidi w:val="0"/>
        <w:spacing w:before="0" w:after="380" w:line="322" w:lineRule="exact"/>
        <w:ind w:left="0" w:right="0"/>
        <w:jc w:val="both"/>
      </w:pPr>
      <w:r>
        <w:rPr>
          <w:color w:val="000000"/>
          <w:spacing w:val="0"/>
          <w:w w:val="100"/>
          <w:position w:val="0"/>
        </w:rPr>
        <w:t>城市轨道交通业务领域方面，公司在执行前期中标的各项目的同时，积极开拓新市场，巩固核心区域市场，推广智慧地 铁示范站建设与服务案例经验。</w:t>
      </w:r>
    </w:p>
    <w:p>
      <w:pPr>
        <w:pStyle w:val="Style23"/>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三</w:t>
      </w:r>
      <w:bookmarkEnd w:id="79"/>
      <w:r>
        <w:rPr>
          <w:color w:val="000000"/>
          <w:spacing w:val="0"/>
          <w:w w:val="100"/>
          <w:position w:val="0"/>
        </w:rPr>
        <w:t>、核心竞争力分析</w:t>
      </w:r>
      <w:bookmarkEnd w:id="77"/>
      <w:bookmarkEnd w:id="78"/>
      <w:bookmarkEnd w:id="80"/>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经过多年的积累与沉淀，公司智慧经营及智慧专网领域的业务在产品、技术、团队、渠道及服务、客户关系、风控能力 方面均形成了具有优势的核心竞争力。</w:t>
      </w:r>
    </w:p>
    <w:p>
      <w:pPr>
        <w:pStyle w:val="Style18"/>
        <w:keepNext w:val="0"/>
        <w:keepLines w:val="0"/>
        <w:widowControl w:val="0"/>
        <w:shd w:val="clear" w:color="auto" w:fill="auto"/>
        <w:tabs>
          <w:tab w:pos="660" w:val="left"/>
        </w:tabs>
        <w:bidi w:val="0"/>
        <w:spacing w:before="0" w:after="0" w:line="312" w:lineRule="exact"/>
        <w:ind w:left="0" w:right="0"/>
        <w:jc w:val="both"/>
      </w:pPr>
      <w:bookmarkStart w:id="81" w:name="bookmark81"/>
      <w:r>
        <w:rPr>
          <w:rFonts w:ascii="Times New Roman" w:eastAsia="Times New Roman" w:hAnsi="Times New Roman" w:cs="Times New Roman"/>
          <w:color w:val="000000"/>
          <w:spacing w:val="0"/>
          <w:w w:val="100"/>
          <w:position w:val="0"/>
          <w:sz w:val="18"/>
          <w:szCs w:val="18"/>
        </w:rPr>
        <w:t>1</w:t>
      </w:r>
      <w:bookmarkEnd w:id="81"/>
      <w:r>
        <w:rPr>
          <w:color w:val="000000"/>
          <w:spacing w:val="0"/>
          <w:w w:val="100"/>
          <w:position w:val="0"/>
        </w:rPr>
        <w:t>、</w:t>
        <w:tab/>
        <w:t>产品及技术优势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智慧经营领域，开店宝科技专注于赋能中小微商户智慧经营，通过提供基于场景的支付服务，为中小微商家提供专业的 移动互联网综合服务解决方案。依托新一代科技平台，对现有产品及服务持续优化，严格把控产品质量及服务水平，坚持创 新、整合、共赢的理念，进行产品创新，围绕支付业务，提供灵活方便的</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硬件和智能手机客户端软件</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实现企业 收单以及便民支付等有卡支付终端的智能化和移动互联。全过程保证用户数据安全，并充分发挥了有卡支付安全、大额的优 势，实现了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支付。开店宝科技提供的支付终端产品及技术系统平台均通过了中国银行卡检测中心的检测、北京 国家金融科技认证中心的认证、银联支付数据安全标准检测、银联卡支付应用软件安全认证，达到了高安全、高可靠、高稳 定、高性能的系统标准，为用户提供了安全便利的使用环境。开店宝科技核心技术、风险控制系统、数据处理系统均为自行 研发，拥有</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项软件著作权，持有专利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项，在申请专利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个，在产品创新及系统稳定性等方面拥有优势。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智慧专网领域主要为能源、交通等行业提供信息通信技术解决方案，定位于专网信息通信技术领域的集成服务，凭借着 对行业客户需求的深刻理解，以及多年在行业内持之以恒的积累与沉淀，具备了为客户提供量身定制的解决方案及高品质产 品与服务的能力，持续致力于将信息通信的最新技术成果引入能源、交通等领域，并与专网的具体应用相结合，长期的技术 积累和具体实践经验保证了公司能精准提炼需求模型、为客户量身定制、开发的系统和产品能够达到专业控制系统的严格要 求，以强大的系统方案整合能力、快速的定制开发能力，以及高效的项目管理能力为基础的服务平台，铸成了公司专网通信 业务的核心竞争优势。同时，在专网通信信息技术领域的长期积累使公司掌握了客户所处行业具体应用的核心技术。截至报 告期末，公司专网通信业务已累计申请获得专利</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项，拥有安 防一级资质、国家级高新技术企业等国内高等级的资质证书。</w:t>
      </w:r>
    </w:p>
    <w:p>
      <w:pPr>
        <w:pStyle w:val="Style18"/>
        <w:keepNext w:val="0"/>
        <w:keepLines w:val="0"/>
        <w:widowControl w:val="0"/>
        <w:shd w:val="clear" w:color="auto" w:fill="auto"/>
        <w:tabs>
          <w:tab w:pos="674" w:val="left"/>
        </w:tabs>
        <w:bidi w:val="0"/>
        <w:spacing w:before="0" w:after="0" w:line="312"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2</w:t>
      </w:r>
      <w:bookmarkEnd w:id="82"/>
      <w:r>
        <w:rPr>
          <w:color w:val="000000"/>
          <w:spacing w:val="0"/>
          <w:w w:val="100"/>
          <w:position w:val="0"/>
        </w:rPr>
        <w:t>、</w:t>
        <w:tab/>
        <w:t>团队优势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智慧经营领域业务核心团队成员均为来自支付、金融、审计、信息技术等领域的专业人士，均拥有多年从业经验，在行 业发展、技术研发、风险控制和团队建设等方面拥有丰富的实践经验。</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智慧专网领域业务管理团队与核心员工均从事专网信息通信技术领域几十年，具备专业的项目管理经验，在行业内拥有 </w:t>
      </w:r>
      <w:r>
        <w:rPr>
          <w:color w:val="000000"/>
          <w:spacing w:val="0"/>
          <w:w w:val="100"/>
          <w:position w:val="0"/>
        </w:rPr>
        <w:t>丰富经验和较强影响力，能够及时准确地把握市场发展动态，对专网信息通信技术的未来发展具有准确预判。同时，公司凭 借在专网领域多年的发展与积累，储备了充分的专业工程技术服务团队，具备专业扎实的技术功底以及定制开发能力。</w:t>
      </w:r>
    </w:p>
    <w:p>
      <w:pPr>
        <w:pStyle w:val="Style18"/>
        <w:keepNext w:val="0"/>
        <w:keepLines w:val="0"/>
        <w:widowControl w:val="0"/>
        <w:shd w:val="clear" w:color="auto" w:fill="auto"/>
        <w:tabs>
          <w:tab w:pos="664" w:val="left"/>
        </w:tabs>
        <w:bidi w:val="0"/>
        <w:spacing w:before="0" w:after="0" w:line="360" w:lineRule="auto"/>
        <w:ind w:left="0" w:right="0"/>
        <w:jc w:val="both"/>
      </w:pPr>
      <w:bookmarkStart w:id="83" w:name="bookmark83"/>
      <w:r>
        <w:rPr>
          <w:rFonts w:ascii="Times New Roman" w:eastAsia="Times New Roman" w:hAnsi="Times New Roman" w:cs="Times New Roman"/>
          <w:color w:val="000000"/>
          <w:spacing w:val="0"/>
          <w:w w:val="100"/>
          <w:position w:val="0"/>
          <w:sz w:val="18"/>
          <w:szCs w:val="18"/>
        </w:rPr>
        <w:t>3</w:t>
      </w:r>
      <w:bookmarkEnd w:id="83"/>
      <w:r>
        <w:rPr>
          <w:color w:val="000000"/>
          <w:spacing w:val="0"/>
          <w:w w:val="100"/>
          <w:position w:val="0"/>
        </w:rPr>
        <w:t>、</w:t>
        <w:tab/>
        <w:t>渠道及服务优势</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开店宝科技已在各省市建立</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家分支机构，业务范围已覆盖全国，并依托新一代科技平台，进行客户深耕，坚持科技、 数据、服务整合等核心发展战略，以叠加客户增值服务为基础，进一步提升地位及商户体验感。针对市场的不断变化，开店 宝科技标准化、规范化的统一的服务体系，新一代科技平台一站式服务模式，为商户经营提供了强有力的支持。同时，为加 强服务能力建设，开店宝科技在河南新乡的客服中心，客服团队通过电话、互联网、移动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等多种渠道，及时响应客户需 求，为客户提供实名认证、账户查询、业务咨询与投诉等多种服务。</w:t>
      </w:r>
    </w:p>
    <w:p>
      <w:pPr>
        <w:pStyle w:val="Style18"/>
        <w:keepNext w:val="0"/>
        <w:keepLines w:val="0"/>
        <w:widowControl w:val="0"/>
        <w:shd w:val="clear" w:color="auto" w:fill="auto"/>
        <w:bidi w:val="0"/>
        <w:spacing w:before="0" w:after="120" w:line="316" w:lineRule="exact"/>
        <w:ind w:left="0" w:right="0"/>
        <w:jc w:val="both"/>
      </w:pPr>
      <w:r>
        <w:rPr>
          <w:color w:val="000000"/>
          <w:spacing w:val="0"/>
          <w:w w:val="100"/>
          <w:position w:val="0"/>
        </w:rPr>
        <w:t>智慧专网领域业务目前已在全国主要的重点城市设立营销服务平台，客户群体遍布全国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余个省、市、自治区，服务网 络覆盖全国。公司根据</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质量控制体系的技术服务标准，形成标准化的作业流程和严格的追诉制度，并形成以深圳总 部为中心，以分布全国各地的办事处为拓展的二级服务网络，确保第一时间响应客户的服务需求，同时，通过建立定期巡访 制度，主动了解产品使用情况及用户需求。</w:t>
      </w:r>
    </w:p>
    <w:p>
      <w:pPr>
        <w:pStyle w:val="Style18"/>
        <w:keepNext w:val="0"/>
        <w:keepLines w:val="0"/>
        <w:widowControl w:val="0"/>
        <w:shd w:val="clear" w:color="auto" w:fill="auto"/>
        <w:tabs>
          <w:tab w:pos="674" w:val="left"/>
        </w:tabs>
        <w:bidi w:val="0"/>
        <w:spacing w:before="0" w:after="0" w:line="360" w:lineRule="auto"/>
        <w:ind w:left="0" w:right="0"/>
        <w:jc w:val="both"/>
      </w:pPr>
      <w:bookmarkStart w:id="84" w:name="bookmark84"/>
      <w:r>
        <w:rPr>
          <w:rFonts w:ascii="Times New Roman" w:eastAsia="Times New Roman" w:hAnsi="Times New Roman" w:cs="Times New Roman"/>
          <w:color w:val="000000"/>
          <w:spacing w:val="0"/>
          <w:w w:val="100"/>
          <w:position w:val="0"/>
          <w:sz w:val="18"/>
          <w:szCs w:val="18"/>
        </w:rPr>
        <w:t>4</w:t>
      </w:r>
      <w:bookmarkEnd w:id="84"/>
      <w:r>
        <w:rPr>
          <w:color w:val="000000"/>
          <w:spacing w:val="0"/>
          <w:w w:val="100"/>
          <w:position w:val="0"/>
        </w:rPr>
        <w:t>、</w:t>
        <w:tab/>
        <w:t>客户关系优势</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开店宝科技凭借对支付用户需求的深度了解和对新兴支付技术的深刻理解，自成立以来即定位于拓展及服务小微商户， 为小微商户提供高效快捷的支付服务同时，为其提供智慧经营模式的线下线上经营互动服务。开店宝科技对小微商户持续构 建客户信用累积体系，逐步积累了规模庞大、优质的小微客户；同时，开店宝科技利用移动终端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终端即客户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的特征，长期 不懈地进行客户教育并提供一系列增值服务，牢牢绑定客户，培养客户支付习惯，增强客户黏性。</w:t>
      </w:r>
    </w:p>
    <w:p>
      <w:pPr>
        <w:pStyle w:val="Style18"/>
        <w:keepNext w:val="0"/>
        <w:keepLines w:val="0"/>
        <w:widowControl w:val="0"/>
        <w:shd w:val="clear" w:color="auto" w:fill="auto"/>
        <w:bidi w:val="0"/>
        <w:spacing w:before="0" w:after="120" w:line="316" w:lineRule="exact"/>
        <w:ind w:left="0" w:right="0"/>
        <w:jc w:val="both"/>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余年耕耘，公司专网通信业务在电力行业的多种通信系统解决方案已经覆盖国家电网的各级省市，建立了长期稳 定的客户关系。近年来，公司将电力调度通信技术上的综合优势拓展到交通领域，分别在轨道交通、城市智能交通与高速公 路等领域建设了许多优秀且在行业具有代表性的大型成功案例，公司开发的专业系统解决方案在行业内广泛推广并获得客户 的高度认可。</w:t>
      </w:r>
    </w:p>
    <w:p>
      <w:pPr>
        <w:pStyle w:val="Style18"/>
        <w:keepNext w:val="0"/>
        <w:keepLines w:val="0"/>
        <w:widowControl w:val="0"/>
        <w:shd w:val="clear" w:color="auto" w:fill="auto"/>
        <w:tabs>
          <w:tab w:pos="674" w:val="left"/>
        </w:tabs>
        <w:bidi w:val="0"/>
        <w:spacing w:before="0" w:after="0" w:line="360" w:lineRule="auto"/>
        <w:ind w:left="0" w:right="0"/>
        <w:jc w:val="both"/>
      </w:pPr>
      <w:bookmarkStart w:id="85" w:name="bookmark85"/>
      <w:r>
        <w:rPr>
          <w:rFonts w:ascii="Times New Roman" w:eastAsia="Times New Roman" w:hAnsi="Times New Roman" w:cs="Times New Roman"/>
          <w:color w:val="000000"/>
          <w:spacing w:val="0"/>
          <w:w w:val="100"/>
          <w:position w:val="0"/>
          <w:sz w:val="18"/>
          <w:szCs w:val="18"/>
        </w:rPr>
        <w:t>5</w:t>
      </w:r>
      <w:bookmarkEnd w:id="85"/>
      <w:r>
        <w:rPr>
          <w:color w:val="000000"/>
          <w:spacing w:val="0"/>
          <w:w w:val="100"/>
          <w:position w:val="0"/>
        </w:rPr>
        <w:t>、</w:t>
        <w:tab/>
        <w:t>风控能力优势</w:t>
      </w:r>
    </w:p>
    <w:p>
      <w:pPr>
        <w:pStyle w:val="Style18"/>
        <w:keepNext w:val="0"/>
        <w:keepLines w:val="0"/>
        <w:widowControl w:val="0"/>
        <w:shd w:val="clear" w:color="auto" w:fill="auto"/>
        <w:bidi w:val="0"/>
        <w:spacing w:before="0" w:after="380" w:line="310" w:lineRule="exact"/>
        <w:ind w:left="0" w:right="0"/>
        <w:jc w:val="both"/>
      </w:pPr>
      <w:r>
        <w:rPr>
          <w:color w:val="000000"/>
          <w:spacing w:val="0"/>
          <w:w w:val="100"/>
          <w:position w:val="0"/>
        </w:rPr>
        <w:t>科技与支付深度交融的时代已经到来，开店宝科技始终高度重视风控能力建设，持续丰富、优化相关风控数据资产，不 断打磨自身技术，助力支付行业运作效率和服务能力的全面提升。在商户管理方面，严格按照中国人民银行、中国银联的风 险交易监控系统规范建设，通过外包服务商管理、商户准入、数据核查、征信评分等方式，对商户风险进行管控；同时通过 风控系统规则的设置，多维度合理限制商户的刷卡额度、交易时间及交易地区等。在交易监控方面，通过从风险建模、评级、 监控、预警等多个维度构建起一个</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小时不间断运行的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风控生态体系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，实时进行大数据挖掘比对，从数十个维度组建的 近百余条风控规则中验证核查每一笔资金往来，对潜在风险与安全隐患形成有效地预警，对伪卡、盗刷、移机等风险监控覆 盖率达到</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以上。</w:t>
      </w:r>
    </w:p>
    <w:p>
      <w:pPr>
        <w:pStyle w:val="Style23"/>
        <w:keepNext/>
        <w:keepLines/>
        <w:widowControl w:val="0"/>
        <w:shd w:val="clear" w:color="auto" w:fill="auto"/>
        <w:bidi w:val="0"/>
        <w:spacing w:before="0" w:after="38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四</w:t>
      </w:r>
      <w:bookmarkEnd w:id="88"/>
      <w:r>
        <w:rPr>
          <w:color w:val="000000"/>
          <w:spacing w:val="0"/>
          <w:w w:val="100"/>
          <w:position w:val="0"/>
        </w:rPr>
        <w:t>、主营业务分析</w:t>
      </w:r>
      <w:bookmarkEnd w:id="86"/>
      <w:bookmarkEnd w:id="87"/>
      <w:bookmarkEnd w:id="89"/>
    </w:p>
    <w:p>
      <w:pPr>
        <w:pStyle w:val="Style29"/>
        <w:keepNext/>
        <w:keepLines/>
        <w:widowControl w:val="0"/>
        <w:shd w:val="clear" w:color="auto" w:fill="auto"/>
        <w:bidi w:val="0"/>
        <w:spacing w:before="0" w:after="26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、概述</w:t>
      </w:r>
      <w:bookmarkEnd w:id="90"/>
      <w:bookmarkEnd w:id="91"/>
      <w:bookmarkEnd w:id="93"/>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报告期内，公司以第三方支付为切入，赋能中小微商户智慧经营；同时完成专网通信业务转型，积极打造智慧专网。</w:t>
      </w:r>
    </w:p>
    <w:p>
      <w:pPr>
        <w:pStyle w:val="Style18"/>
        <w:keepNext w:val="0"/>
        <w:keepLines w:val="0"/>
        <w:widowControl w:val="0"/>
        <w:shd w:val="clear" w:color="auto" w:fill="auto"/>
        <w:bidi w:val="0"/>
        <w:spacing w:before="0" w:after="0" w:line="313" w:lineRule="exact"/>
        <w:ind w:left="0" w:right="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）智慧经营领域</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报告期内，公司继续以第三方支付为切入，服务实体经济，赋能中小微商户智慧经营，在巩固提升原有小微商户服务业 务基础上，向商户精细化、专业化发展，通过销售多种</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、传统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等市场主流的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机型，为个人、中小 微企业及行业客户提供第三方支付服务。同时，开店宝科技集合全城淘在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服务领域的技术及解决方案能力和优势资源， 为小微商户的智慧门店转型提供全面的产品服务，帮助商户提升门店营销转化率、门店管理效率以及数据分析准确率，改善 顾客的购物体验，提高顾客忠诚度，全面赋能传统门店，实现消费场景、会员营销、经营管理等的升级改造，助力商家打造 数字化智慧门店。</w:t>
      </w:r>
    </w:p>
    <w:p>
      <w:pPr>
        <w:pStyle w:val="Style18"/>
        <w:keepNext w:val="0"/>
        <w:keepLines w:val="0"/>
        <w:widowControl w:val="0"/>
        <w:shd w:val="clear" w:color="auto" w:fill="auto"/>
        <w:bidi w:val="0"/>
        <w:spacing w:before="0" w:after="0" w:line="302" w:lineRule="exact"/>
        <w:ind w:left="0" w:right="0"/>
        <w:jc w:val="left"/>
      </w:pPr>
      <w:r>
        <w:rPr>
          <w:color w:val="000000"/>
          <w:spacing w:val="0"/>
          <w:w w:val="100"/>
          <w:position w:val="0"/>
        </w:rPr>
        <w:t>报告期内，开店宝科技受市场竞争加剧影响交易量下降，累计处理交易金额为</w:t>
      </w:r>
      <w:r>
        <w:rPr>
          <w:rFonts w:ascii="Times New Roman" w:eastAsia="Times New Roman" w:hAnsi="Times New Roman" w:cs="Times New Roman"/>
          <w:color w:val="000000"/>
          <w:spacing w:val="0"/>
          <w:w w:val="100"/>
          <w:position w:val="0"/>
          <w:sz w:val="18"/>
          <w:szCs w:val="18"/>
        </w:rPr>
        <w:t>16,970.49</w:t>
      </w:r>
      <w:r>
        <w:rPr>
          <w:color w:val="000000"/>
          <w:spacing w:val="0"/>
          <w:w w:val="100"/>
          <w:position w:val="0"/>
        </w:rPr>
        <w:t>亿（支付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结算），较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 降</w:t>
      </w:r>
      <w:r>
        <w:rPr>
          <w:rFonts w:ascii="Times New Roman" w:eastAsia="Times New Roman" w:hAnsi="Times New Roman" w:cs="Times New Roman"/>
          <w:color w:val="000000"/>
          <w:spacing w:val="0"/>
          <w:w w:val="100"/>
          <w:position w:val="0"/>
          <w:sz w:val="18"/>
          <w:szCs w:val="18"/>
        </w:rPr>
        <w:t>44.15%</w:t>
      </w:r>
      <w:r>
        <w:rPr>
          <w:color w:val="000000"/>
          <w:spacing w:val="0"/>
          <w:w w:val="100"/>
          <w:position w:val="0"/>
        </w:rPr>
        <w:t>；开店宝科技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136,021.35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44.14%</w:t>
      </w:r>
      <w:r>
        <w:rPr>
          <w:color w:val="000000"/>
          <w:spacing w:val="0"/>
          <w:w w:val="100"/>
          <w:position w:val="0"/>
        </w:rPr>
        <w:t xml:space="preserve">；开店宝科技通过调整政策、降本增效力实 </w:t>
      </w:r>
      <w:r>
        <w:rPr>
          <w:color w:val="000000"/>
          <w:spacing w:val="0"/>
          <w:w w:val="100"/>
          <w:position w:val="0"/>
        </w:rPr>
        <w:t>现扭亏为盈，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年度实现归属于母公司净利润为</w:t>
      </w:r>
      <w:r>
        <w:rPr>
          <w:rFonts w:ascii="Times New Roman" w:eastAsia="Times New Roman" w:hAnsi="Times New Roman" w:cs="Times New Roman"/>
          <w:color w:val="000000"/>
          <w:spacing w:val="0"/>
          <w:w w:val="100"/>
          <w:position w:val="0"/>
          <w:sz w:val="18"/>
          <w:szCs w:val="18"/>
        </w:rPr>
        <w:t>853.85</w:t>
      </w:r>
      <w:r>
        <w:rPr>
          <w:color w:val="000000"/>
          <w:spacing w:val="0"/>
          <w:w w:val="100"/>
          <w:position w:val="0"/>
        </w:rPr>
        <w:t>万元，归属于上市公司股东的净利润为</w:t>
      </w:r>
      <w:r>
        <w:rPr>
          <w:rFonts w:ascii="Times New Roman" w:eastAsia="Times New Roman" w:hAnsi="Times New Roman" w:cs="Times New Roman"/>
          <w:color w:val="000000"/>
          <w:spacing w:val="0"/>
          <w:w w:val="100"/>
          <w:position w:val="0"/>
          <w:sz w:val="18"/>
          <w:szCs w:val="18"/>
        </w:rPr>
        <w:t>184.34</w:t>
      </w:r>
      <w:r>
        <w:rPr>
          <w:color w:val="000000"/>
          <w:spacing w:val="0"/>
          <w:w w:val="100"/>
          <w:position w:val="0"/>
        </w:rPr>
        <w:t>万元。</w:t>
      </w:r>
    </w:p>
    <w:p>
      <w:pPr>
        <w:pStyle w:val="Style18"/>
        <w:keepNext w:val="0"/>
        <w:keepLines w:val="0"/>
        <w:widowControl w:val="0"/>
        <w:shd w:val="clear" w:color="auto" w:fill="auto"/>
        <w:tabs>
          <w:tab w:pos="768" w:val="left"/>
        </w:tabs>
        <w:bidi w:val="0"/>
        <w:spacing w:before="0" w:after="0" w:line="314"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智慧专网领域</w:t>
      </w:r>
    </w:p>
    <w:p>
      <w:pPr>
        <w:pStyle w:val="Style18"/>
        <w:keepNext w:val="0"/>
        <w:keepLines w:val="0"/>
        <w:widowControl w:val="0"/>
        <w:shd w:val="clear" w:color="auto" w:fill="auto"/>
        <w:bidi w:val="0"/>
        <w:spacing w:before="0" w:after="0" w:line="314" w:lineRule="exact"/>
        <w:ind w:left="0" w:right="0" w:firstLine="280"/>
        <w:jc w:val="left"/>
      </w:pPr>
      <w:r>
        <w:rPr>
          <w:color w:val="000000"/>
          <w:spacing w:val="0"/>
          <w:w w:val="100"/>
          <w:position w:val="0"/>
        </w:rPr>
        <w:t>报告期内，公司在智能电网业务领域实现销售业绩合计</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亿元；公司持续加强业务宣传以及生态合作力度，公司与华 为、中兴、新华三等</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行业知名供应商持续开展合作，在电力通信传输、数据通信、调度控制、运行维护和电力信息安全、 工业智能以及物联网领域的业务拓展均取得良好进展与业绩。在工业智能和物联网领域，持续加大力度推动产品侧的生态发 展。积极推广变电站智能网关产品以及基于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融合技术的电力生产智能运维系统整体解决方案。目前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变电站智能网关系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解决方案已在南方电网做过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多个站点。</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报告期内，公司在高速公路及城市智能交通业务领域主要为客户提供高速公路智能交通系统、城市道路监控系统、路口 交通信号控制系统、电子警察系统、交通信息统计系统等整体解决方案，实现销售业绩合计</w:t>
      </w:r>
      <w:r>
        <w:rPr>
          <w:rFonts w:ascii="Times New Roman" w:eastAsia="Times New Roman" w:hAnsi="Times New Roman" w:cs="Times New Roman"/>
          <w:color w:val="000000"/>
          <w:spacing w:val="0"/>
          <w:w w:val="100"/>
          <w:position w:val="0"/>
          <w:sz w:val="18"/>
          <w:szCs w:val="18"/>
        </w:rPr>
        <w:t>2.31</w:t>
      </w:r>
      <w:r>
        <w:rPr>
          <w:color w:val="000000"/>
          <w:spacing w:val="0"/>
          <w:w w:val="100"/>
          <w:position w:val="0"/>
        </w:rPr>
        <w:t xml:space="preserve">亿元。高速公路业务领域， 公司控股子公司南京凌云中标内蒙古二连浩特至广州高速公路集宁至阿荣旗联络线扎兰屯至阿荣旗段补充工程总承包 </w:t>
      </w:r>
      <w:r>
        <w:rPr>
          <w:rFonts w:ascii="Times New Roman" w:eastAsia="Times New Roman" w:hAnsi="Times New Roman" w:cs="Times New Roman"/>
          <w:color w:val="000000"/>
          <w:spacing w:val="0"/>
          <w:w w:val="100"/>
          <w:position w:val="0"/>
          <w:sz w:val="18"/>
          <w:szCs w:val="18"/>
        </w:rPr>
        <w:t>ZAZCB</w:t>
      </w:r>
      <w:r>
        <w:rPr>
          <w:color w:val="000000"/>
          <w:spacing w:val="0"/>
          <w:w w:val="100"/>
          <w:position w:val="0"/>
        </w:rPr>
        <w:t>段，中标金额</w:t>
      </w:r>
      <w:r>
        <w:rPr>
          <w:rFonts w:ascii="Times New Roman" w:eastAsia="Times New Roman" w:hAnsi="Times New Roman" w:cs="Times New Roman"/>
          <w:color w:val="000000"/>
          <w:spacing w:val="0"/>
          <w:w w:val="100"/>
          <w:position w:val="0"/>
          <w:sz w:val="18"/>
          <w:szCs w:val="18"/>
        </w:rPr>
        <w:t>3,475</w:t>
      </w:r>
      <w:r>
        <w:rPr>
          <w:color w:val="000000"/>
          <w:spacing w:val="0"/>
          <w:w w:val="100"/>
          <w:position w:val="0"/>
        </w:rPr>
        <w:t>万元；中标南京沪蓉高速公路阳山互通建设工程机电项目施工招标</w:t>
      </w:r>
      <w:r>
        <w:rPr>
          <w:rFonts w:ascii="Times New Roman" w:eastAsia="Times New Roman" w:hAnsi="Times New Roman" w:cs="Times New Roman"/>
          <w:color w:val="000000"/>
          <w:spacing w:val="0"/>
          <w:w w:val="100"/>
          <w:position w:val="0"/>
          <w:sz w:val="18"/>
          <w:szCs w:val="18"/>
        </w:rPr>
        <w:t>YSHT-JDSG2</w:t>
      </w:r>
      <w:r>
        <w:rPr>
          <w:color w:val="000000"/>
          <w:spacing w:val="0"/>
          <w:w w:val="100"/>
          <w:position w:val="0"/>
        </w:rPr>
        <w:t xml:space="preserve">标段，中标金额 </w:t>
      </w:r>
      <w:r>
        <w:rPr>
          <w:rFonts w:ascii="Times New Roman" w:eastAsia="Times New Roman" w:hAnsi="Times New Roman" w:cs="Times New Roman"/>
          <w:color w:val="000000"/>
          <w:spacing w:val="0"/>
          <w:w w:val="100"/>
          <w:position w:val="0"/>
          <w:sz w:val="18"/>
          <w:szCs w:val="18"/>
        </w:rPr>
        <w:t>2,323</w:t>
      </w:r>
      <w:r>
        <w:rPr>
          <w:color w:val="000000"/>
          <w:spacing w:val="0"/>
          <w:w w:val="100"/>
          <w:position w:val="0"/>
        </w:rPr>
        <w:t>万元；中标贵州省凯里市环城高速公路北段三大系统专业工程，中标金额</w:t>
      </w:r>
      <w:r>
        <w:rPr>
          <w:rFonts w:ascii="Times New Roman" w:eastAsia="Times New Roman" w:hAnsi="Times New Roman" w:cs="Times New Roman"/>
          <w:color w:val="000000"/>
          <w:spacing w:val="0"/>
          <w:w w:val="100"/>
          <w:position w:val="0"/>
          <w:sz w:val="18"/>
          <w:szCs w:val="18"/>
        </w:rPr>
        <w:t>3,628</w:t>
      </w:r>
      <w:r>
        <w:rPr>
          <w:color w:val="000000"/>
          <w:spacing w:val="0"/>
          <w:w w:val="100"/>
          <w:position w:val="0"/>
        </w:rPr>
        <w:t>万元；中标河北雄安新区建材运输通道 安新至大册营公路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S326</w:t>
      </w:r>
      <w:r>
        <w:rPr>
          <w:color w:val="000000"/>
          <w:spacing w:val="0"/>
          <w:w w:val="100"/>
          <w:position w:val="0"/>
        </w:rPr>
        <w:t>）</w:t>
      </w:r>
      <w:r>
        <w:rPr>
          <w:color w:val="000000"/>
          <w:spacing w:val="0"/>
          <w:w w:val="100"/>
          <w:position w:val="0"/>
        </w:rPr>
        <w:t>交通安全设施施工</w:t>
      </w:r>
      <w:r>
        <w:rPr>
          <w:rFonts w:ascii="Times New Roman" w:eastAsia="Times New Roman" w:hAnsi="Times New Roman" w:cs="Times New Roman"/>
          <w:color w:val="000000"/>
          <w:spacing w:val="0"/>
          <w:w w:val="100"/>
          <w:position w:val="0"/>
          <w:sz w:val="18"/>
          <w:szCs w:val="18"/>
        </w:rPr>
        <w:t>ADJA-3</w:t>
      </w:r>
      <w:r>
        <w:rPr>
          <w:color w:val="000000"/>
          <w:spacing w:val="0"/>
          <w:w w:val="100"/>
          <w:position w:val="0"/>
        </w:rPr>
        <w:t>标段，中标金额</w:t>
      </w:r>
      <w:r>
        <w:rPr>
          <w:rFonts w:ascii="Times New Roman" w:eastAsia="Times New Roman" w:hAnsi="Times New Roman" w:cs="Times New Roman"/>
          <w:color w:val="000000"/>
          <w:spacing w:val="0"/>
          <w:w w:val="100"/>
          <w:position w:val="0"/>
          <w:sz w:val="18"/>
          <w:szCs w:val="18"/>
        </w:rPr>
        <w:t>1,243</w:t>
      </w:r>
      <w:r>
        <w:rPr>
          <w:color w:val="000000"/>
          <w:spacing w:val="0"/>
          <w:w w:val="100"/>
          <w:position w:val="0"/>
        </w:rPr>
        <w:t>万元。南京凌云不断提升项目执行能力、工程服 务水平以及客户满意度，并重点布局从以工程总包的传统集成业务不断迈向产品和技术开发的战略目标。</w:t>
      </w:r>
    </w:p>
    <w:p>
      <w:pPr>
        <w:pStyle w:val="Style18"/>
        <w:keepNext w:val="0"/>
        <w:keepLines w:val="0"/>
        <w:widowControl w:val="0"/>
        <w:shd w:val="clear" w:color="auto" w:fill="auto"/>
        <w:tabs>
          <w:tab w:pos="841" w:val="left"/>
        </w:tabs>
        <w:bidi w:val="0"/>
        <w:spacing w:before="0" w:after="380" w:line="314"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报告期内，受市场竞争加剧影响，开店宝科技营业收入同比下降，公司实现营业总收入</w:t>
      </w:r>
      <w:r>
        <w:rPr>
          <w:rFonts w:ascii="Times New Roman" w:eastAsia="Times New Roman" w:hAnsi="Times New Roman" w:cs="Times New Roman"/>
          <w:color w:val="000000"/>
          <w:spacing w:val="0"/>
          <w:w w:val="100"/>
          <w:position w:val="0"/>
          <w:sz w:val="18"/>
          <w:szCs w:val="18"/>
        </w:rPr>
        <w:t>193,324.30</w:t>
      </w:r>
      <w:r>
        <w:rPr>
          <w:color w:val="000000"/>
          <w:spacing w:val="0"/>
          <w:w w:val="100"/>
          <w:position w:val="0"/>
        </w:rPr>
        <w:t>万元，较上年同 期下降</w:t>
      </w:r>
      <w:r>
        <w:rPr>
          <w:rFonts w:ascii="Times New Roman" w:eastAsia="Times New Roman" w:hAnsi="Times New Roman" w:cs="Times New Roman"/>
          <w:color w:val="000000"/>
          <w:spacing w:val="0"/>
          <w:w w:val="100"/>
          <w:position w:val="0"/>
          <w:sz w:val="18"/>
          <w:szCs w:val="18"/>
        </w:rPr>
        <w:t>41.05%</w:t>
      </w:r>
      <w:r>
        <w:rPr>
          <w:color w:val="000000"/>
          <w:spacing w:val="0"/>
          <w:w w:val="100"/>
          <w:position w:val="0"/>
        </w:rPr>
        <w:t>，不考虑商誉减值因素，实现归属于上市公司股东的净利润</w:t>
      </w:r>
      <w:r>
        <w:rPr>
          <w:rFonts w:ascii="Times New Roman" w:eastAsia="Times New Roman" w:hAnsi="Times New Roman" w:cs="Times New Roman"/>
          <w:color w:val="000000"/>
          <w:spacing w:val="0"/>
          <w:w w:val="100"/>
          <w:position w:val="0"/>
          <w:sz w:val="18"/>
          <w:szCs w:val="18"/>
        </w:rPr>
        <w:t>-886.29</w:t>
      </w:r>
      <w:r>
        <w:rPr>
          <w:color w:val="000000"/>
          <w:spacing w:val="0"/>
          <w:w w:val="100"/>
          <w:position w:val="0"/>
        </w:rPr>
        <w:t>万元，较上年同期减亏</w:t>
      </w:r>
      <w:r>
        <w:rPr>
          <w:rFonts w:ascii="Times New Roman" w:eastAsia="Times New Roman" w:hAnsi="Times New Roman" w:cs="Times New Roman"/>
          <w:color w:val="000000"/>
          <w:spacing w:val="0"/>
          <w:w w:val="100"/>
          <w:position w:val="0"/>
          <w:sz w:val="18"/>
          <w:szCs w:val="18"/>
        </w:rPr>
        <w:t>95.22%</w:t>
      </w:r>
      <w:r>
        <w:rPr>
          <w:color w:val="000000"/>
          <w:spacing w:val="0"/>
          <w:w w:val="100"/>
          <w:position w:val="0"/>
        </w:rPr>
        <w:t>；开店宝科 技虽通过调整政策、降本增效力提升其盈利能力，较去年同期实现扭亏为盈，但经营业绩仍未达预期，公司对购买开店宝科 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的股权计提商誉减值</w:t>
      </w:r>
      <w:r>
        <w:rPr>
          <w:rFonts w:ascii="Times New Roman" w:eastAsia="Times New Roman" w:hAnsi="Times New Roman" w:cs="Times New Roman"/>
          <w:color w:val="000000"/>
          <w:spacing w:val="0"/>
          <w:w w:val="100"/>
          <w:position w:val="0"/>
          <w:sz w:val="18"/>
          <w:szCs w:val="18"/>
        </w:rPr>
        <w:t>26,502.4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万元；受上述主要原因影响，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 xml:space="preserve">-27,388.70 </w:t>
      </w:r>
      <w:r>
        <w:rPr>
          <w:color w:val="000000"/>
          <w:spacing w:val="0"/>
          <w:w w:val="100"/>
          <w:position w:val="0"/>
        </w:rPr>
        <w:t>万元，较上年同期减亏</w:t>
      </w:r>
      <w:r>
        <w:rPr>
          <w:rFonts w:ascii="Times New Roman" w:eastAsia="Times New Roman" w:hAnsi="Times New Roman" w:cs="Times New Roman"/>
          <w:color w:val="000000"/>
          <w:spacing w:val="0"/>
          <w:w w:val="100"/>
          <w:position w:val="0"/>
          <w:sz w:val="18"/>
          <w:szCs w:val="18"/>
        </w:rPr>
        <w:t>43.61%</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、收入与成本</w:t>
      </w:r>
      <w:bookmarkEnd w:id="100"/>
      <w:bookmarkEnd w:id="97"/>
      <w:bookmarkEnd w:id="98"/>
    </w:p>
    <w:p>
      <w:pPr>
        <w:pStyle w:val="Style32"/>
        <w:keepNext/>
        <w:keepLines/>
        <w:widowControl w:val="0"/>
        <w:shd w:val="clear" w:color="auto" w:fill="auto"/>
        <w:bidi w:val="0"/>
        <w:spacing w:before="0" w:after="3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1,933,242,996.83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1,359,921,614.35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2,434,908,915.33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359,447,447.83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564,702,203.92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211,205,804.15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277,186,373.36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2,668,130.50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2,421,815.13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1,339,124,471.87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2,298,538,623.02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359,447,447.83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564,702,203.92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专网通讯解决方案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211,205,804.15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277,186,373.36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20,797,142.48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136,370,292.31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2,668,130.50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2,421,815.13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155,484,305.71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255,647,232.54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322,741,205.79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457,334,485.37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486,865,205.22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864,002,677.69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177,336,939.88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328,654,936.99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411,823,175.05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651,365,404.23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180,893,744.62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254,145,768.32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198,098,420.56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468,068,802.60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1,930,574,866.33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3,276,797,492.61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2,668,130.50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2,421,815.13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17"/>
        <w:gridCol w:w="1013"/>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681,608,608.</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533,167,981.</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357,831,468.</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360,634,938.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722,455,374.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940,228,667.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806,762,179.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809,773,085.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-17,183,846.</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-20,877,562.</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-39,715,732.</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-196,109,87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-31,600,959.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564,653.46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-6,526,980.3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-448,155,26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5"/>
      <w:bookmarkEnd w:id="106"/>
      <w:bookmarkEnd w:id="10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1,359,921,614.35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1,012,912,377.87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359,447,447.83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333,434,827.55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211,205,804.15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176,708,963.28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1,336,441,141.01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992,763,536.25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交通工程系统集 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359,447,447.83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333,434,827.55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专网通讯解决方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211,205,804.15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176,708,963.28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322,741,205.79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265,262,978.01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486,865,205.22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396,833,172.57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411,823,175.05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312,714,006.45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198,098,420.56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167,441,598.36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9"/>
      <w:bookmarkEnd w:id="110"/>
      <w:bookmarkEnd w:id="112"/>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3"/>
      <w:bookmarkEnd w:id="114"/>
      <w:bookmarkEnd w:id="116"/>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7"/>
      <w:bookmarkEnd w:id="118"/>
      <w:bookmarkEnd w:id="120"/>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8"/>
        <w:gridCol w:w="1757"/>
        <w:gridCol w:w="1416"/>
        <w:gridCol w:w="93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992,763,536.25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1,891,780,111.95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20,148,841.62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90,982,782.87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129,165,428.46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222,477,146.30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47,543,534.82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32,423,550.42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181,321,202.61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203,563,753.44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136,751,676.35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339,606,006.28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15,361,948.59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8,379,223.90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1,459,402.33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1,523,056,168.70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992,763,536.25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1,891,780,111.95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20,148,841.62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90,982,782.87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w:t>
            </w:r>
          </w:p>
        </w:tc>
      </w:tr>
    </w:tbl>
    <w:p>
      <w:pPr>
        <w:spacing w:lineRule="exact" w:line="1"/>
        <w:rPr>
          <w:sz w:val="2"/>
          <w:szCs w:val="2"/>
        </w:rPr>
      </w:pPr>
      <w:r>
        <w:br w:type="page"/>
      </w:r>
    </w:p>
    <w:tbl>
      <w:tblPr>
        <w:tblOverlap w:val="never"/>
        <w:jc w:val="center"/>
        <w:tblLayout w:type="fixed"/>
      </w:tblPr>
      <w:tblGrid>
        <w:gridCol w:w="1565"/>
        <w:gridCol w:w="1176"/>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181,321,202.61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203,563,853.44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136,751,676.35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339,606,006.28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15,361,948.59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8,379,223.90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专网通信解决方案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129,165,428.46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222,477,146.30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专网通信解决方案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47,543,534.82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32,423,550.42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1,459,402.33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1,523,056,168.70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2,790,672,077.49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bl>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主营业务成本构成</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1,055,669,019.66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1,934,042,288.60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330,635,472.69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517,023,682.61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136,751,676.35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339,606,006.28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1,523,056,168.70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bl>
    <w:p>
      <w:pPr>
        <w:widowControl w:val="0"/>
        <w:spacing w:after="339" w:line="1" w:lineRule="exact"/>
      </w:pPr>
    </w:p>
    <w:p>
      <w:pPr>
        <w:pStyle w:val="Style32"/>
        <w:keepNext/>
        <w:keepLines/>
        <w:widowControl w:val="0"/>
        <w:shd w:val="clear" w:color="auto" w:fill="auto"/>
        <w:tabs>
          <w:tab w:pos="493" w:val="left"/>
        </w:tabs>
        <w:bidi w:val="0"/>
        <w:spacing w:before="0" w:after="2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700" w:line="322" w:lineRule="exact"/>
        <w:ind w:left="0" w:right="0" w:firstLine="36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家，较上年减少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家（本年丧失控制权不再纳入合并范围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家，转让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家，合 并分立后转让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家，分立新增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18"/>
        <w:keepNext w:val="0"/>
        <w:keepLines w:val="0"/>
        <w:widowControl w:val="0"/>
        <w:shd w:val="clear" w:color="auto" w:fill="auto"/>
        <w:bidi w:val="0"/>
        <w:spacing w:before="0" w:after="34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18"/>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270,099,390.82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82,170,043.72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64,370,400.63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54,484,721.30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38,039,151.81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31,035,073.36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270,099,390.82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2,080,311,459.66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30,606,847.09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25,469,513.26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19,060,530.96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15,000,024.54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14,920,356.40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105,057,272.25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560"/>
        <w:gridCol w:w="1704"/>
        <w:gridCol w:w="1272"/>
        <w:gridCol w:w="36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128,184,750.32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239,866,116.29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主要系公司控股子公司开店宝科技本年交易 量减少导致返现费用较去年同期下降所致。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218,332,214.41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340,127,076.49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主要系公司降本增效，优化管理，对人员编制 进行合理优化所致。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57,849,567.03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45,073,875.77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主要系公司控股子公司开店宝科技增加借款 导致财务利息支出增加所致。</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76,216,805.82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86,259,455.95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主要系公司优化人员结构减少研发人员薪酬 所致。</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2731"/>
        <w:gridCol w:w="850"/>
        <w:gridCol w:w="2213"/>
        <w:gridCol w:w="226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通信数据治理系统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依据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国家电网通信管理系统技术 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资源命名及定义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，使 </w:t>
            </w:r>
            <w:r>
              <w:rPr>
                <w:rFonts w:ascii="Times New Roman" w:eastAsia="Times New Roman" w:hAnsi="Times New Roman" w:cs="Times New Roman"/>
                <w:color w:val="000000"/>
                <w:spacing w:val="0"/>
                <w:w w:val="100"/>
                <w:position w:val="0"/>
                <w:sz w:val="18"/>
                <w:szCs w:val="18"/>
              </w:rPr>
              <w:t>TMS</w:t>
            </w:r>
            <w:r>
              <w:rPr>
                <w:color w:val="000000"/>
                <w:spacing w:val="0"/>
                <w:w w:val="100"/>
                <w:position w:val="0"/>
              </w:rPr>
              <w:t>系统各种资源的命名及属性 字段都满足该标准的要求。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提高公司在国网信息化建 设中的竞争力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在国网各省地市的信息化建 设中占据一席之地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无人值守变电站智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能运检系统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提升变电站巡检工作的智能化，降 低变电运行人员工作强度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提升公司在南网变电站运 检部分业务的竞争力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能够为公司寻找新的利润增 长点</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智慧工地、智慧物 流仓库安全可视化 视频分析系统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基于深度神经网络算法模型和应 用，针对电力工地施工和物流仓库 管理工作，辅助安全管理部门的监 督和管理，以提高安全生产效率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提升公司在电力工地施工 和物流仓库管理部分业务 的竞争力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为公司开拓新的业务领域， 提供新的利润增长点</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电网设施定位及路 径规划软件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提供智能化的配电网基础数据维 护和分析软件，并为电网线损计算 提供数据源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提高公司在国网信息化建 设中的竞争力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为公司开拓新的业务领域， 提供新的利润增长点</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 xml:space="preserve">基于 </w:t>
            </w:r>
            <w:r>
              <w:rPr>
                <w:rFonts w:ascii="Times New Roman" w:eastAsia="Times New Roman" w:hAnsi="Times New Roman" w:cs="Times New Roman"/>
                <w:color w:val="000000"/>
                <w:spacing w:val="0"/>
                <w:w w:val="100"/>
                <w:position w:val="0"/>
                <w:sz w:val="18"/>
                <w:szCs w:val="18"/>
              </w:rPr>
              <w:t>TMS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OMS</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的光缆资源数据贯 通接口软件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作为中间件接口，提供</w:t>
            </w:r>
            <w:r>
              <w:rPr>
                <w:rFonts w:ascii="Times New Roman" w:eastAsia="Times New Roman" w:hAnsi="Times New Roman" w:cs="Times New Roman"/>
                <w:color w:val="000000"/>
                <w:spacing w:val="0"/>
                <w:w w:val="100"/>
                <w:position w:val="0"/>
                <w:sz w:val="18"/>
                <w:szCs w:val="18"/>
              </w:rPr>
              <w:t>TMS</w:t>
            </w:r>
            <w:r>
              <w:rPr>
                <w:color w:val="000000"/>
                <w:spacing w:val="0"/>
                <w:w w:val="100"/>
                <w:position w:val="0"/>
              </w:rPr>
              <w:t>系统、</w:t>
            </w:r>
          </w:p>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OMS</w:t>
            </w:r>
            <w:r>
              <w:rPr>
                <w:color w:val="000000"/>
                <w:spacing w:val="0"/>
                <w:w w:val="100"/>
                <w:position w:val="0"/>
              </w:rPr>
              <w:t>系统与光缆资源系统之间的 数据交换功能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提升公司在国网信息化建 设中与国网公司及其他建 设厂家之间的粘合度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通过各方合作，在后续信息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化建设中提升参与度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传输设备孤立网元 采集软件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针对传输网络中孤立的网元设备 进行数据采集和实时监测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从支持国产的一个品牌到 多个品牌传输设备，从而达 到对国产多品牌支持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为公司在通信传输领域提供 利润增长点</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基于网络技术的远 程监控装置的研究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开发出一种基于网络技术的远程 监控装置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得到一种基于网络技术的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远程监控装置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网络接口稳定插接 的数据中心交换机 的研究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开发出一种网络接口稳定插接的 数据中心交换机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得到一种网络接口稳定插 接的数据中心交换机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用于通讯技术的天 线调节稳定装置的 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开发出一种用于通讯技术的天线 调节稳定装置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得到一种用于通讯技术的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天线调节稳定装置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该项目促进了我司科研技术 的进一步发展，为公司带来 了新产品收益</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用于通讯技术的通 讯线线芯断裂检测 装置的研究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开发出一种用于通讯技术的通讯 线线芯断裂检测装置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得到一种用于通讯技术的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通讯线线芯断裂检测装置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用于网络技术的网 络信号检测装置的 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开发出一种用于网络技术的网络 信号检测装置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得到一种用于网络技术的 网络信号检测装置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该项目促进了我司科研技术 的进一步发展，为公司带来 了新产品收益</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组合式数据中心交</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换机的研究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开发出一种组合式数据中心交换 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得到一种组合式数据中心 交换机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该项目促进了我司科研技术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的进一步发展，为公司带来</w:t>
            </w:r>
          </w:p>
        </w:tc>
      </w:tr>
    </w:tbl>
    <w:p>
      <w:pPr>
        <w:spacing w:lineRule="exact" w:line="1"/>
        <w:rPr>
          <w:sz w:val="2"/>
          <w:szCs w:val="2"/>
        </w:rPr>
      </w:pPr>
      <w:r>
        <w:br w:type="page"/>
      </w:r>
    </w:p>
    <w:tbl>
      <w:tblPr>
        <w:tblOverlap w:val="never"/>
        <w:jc w:val="center"/>
        <w:tblLayout w:type="fixed"/>
      </w:tblPr>
      <w:tblGrid>
        <w:gridCol w:w="1526"/>
        <w:gridCol w:w="2731"/>
        <w:gridCol w:w="850"/>
        <w:gridCol w:w="2213"/>
        <w:gridCol w:w="22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了新产品收益</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多目标车辆检测雷 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开发一款多目标交通监测雷达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已完成产 品研发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形成一款可以跟市场主流 产品进行竞争的产品，通过 公安部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交通部相关检测机 构的检测，获得产品检测报 告；申请至少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项专利和软 件著作权；并围绕此款产 品，挖掘各类具体应用需 求，形成系列解决方案；在 市场上形成销售。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通过产品销售形成公司新的 利润点。在集成商生存压力 越来越大的行业环境下，开 启公司转型之路；项目研发 过程中获得的相关专利和软 著有利于公司集成项目投 标。</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交通信号控制机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开发一款智能交通信号控制机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已完成产 品研发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研制一款型号产品，通过公 安部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交通部相关检测机构 的检测，获得产品检测报 告；申请至少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项软件著作 权；逐步打开市场，产生销 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通过产品销售形成公司新的 利润点。助力公司有系统集 成想集成和研发并举转型； 项目研发过程中获得的相关 专利和软著有利于公司集成 项目投标。</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交通态势监控管理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开发将视频监控、车辆检测、气 象监测、隧道监控、交通信息发 布等系统业务集成在一起的交通 态势监控管理平台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已完成产 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以交通态势监控管理平台 的开发项目为载体，形成高 速公路交通监控管理（视频 监控、流量监测、事件检 测）、隧道监控管理、信息 发布管理等至少三个具体 的应用系统；申请至少四个 软件著作权；产生销售，将 软件平台应用到具体的项 目中去。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有助于公司从单纯的设备安 装集成到系统软件服务集成 进行升级，提升公司的集成 服务能力和水平，提高集成 项目的利润。项目研发过程 中获得的相关专利和软著有 利于公司集成项目投标。</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智能监控设备箱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研发''智能运维监控箱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，以及配套 的智能运维管理云平台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已完成产 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通过公安部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交通部相关检 测机构的检测，获得产品检 测报告；申请至少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项专利 或软件著作权；打开市场， 逐渐提高产品销量，争取在 三年内实现近千套销量。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丰富公司智能交通终端设备 产品线，形成公司新的利润 点。助力公司有系统集成想 集成和研发并举转型；项目 研发过程中获得的相关专利 和软著有利于公司集成项目 投标。</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开店宝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动态发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通过动态化方案，可以达到</w:t>
            </w: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共用同一套代码，节省人力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达成</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共用同一 套代码，节省人力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顺利开展集团金融业务；在 需求沟通和实现过程中解决 各自的逻辑，节省人力。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开店宝新一代系统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整合项目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确保新一代系统方案迁移的可行 性，完成后续系统的升级整合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完成新一代系统方案的迁 移，并进行后续系统的升级 整合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完成新一代系统方案的迁 移，并进行后续系统的升级 整合，满足日益增长的业务 需求</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开店宝开放平台项 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为更好地服务公司的合作伙伴，开 放更多的功能与数据，同时通过微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开放更多的功能与数据，与 合作伙伴实现链接、赋能、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为更好地服务公司的合作伙 伴，与合作伙伴达成共赢</w:t>
            </w:r>
          </w:p>
        </w:tc>
      </w:tr>
    </w:tbl>
    <w:p>
      <w:pPr>
        <w:spacing w:lineRule="exact" w:line="1"/>
        <w:rPr>
          <w:sz w:val="2"/>
          <w:szCs w:val="2"/>
        </w:rPr>
      </w:pPr>
      <w:r>
        <w:br w:type="page"/>
      </w:r>
    </w:p>
    <w:tbl>
      <w:tblPr>
        <w:tblOverlap w:val="never"/>
        <w:jc w:val="center"/>
        <w:tblLayout w:type="fixed"/>
      </w:tblPr>
      <w:tblGrid>
        <w:gridCol w:w="1526"/>
        <w:gridCol w:w="2731"/>
        <w:gridCol w:w="850"/>
        <w:gridCol w:w="2213"/>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信公众号的便利特性，结合后台权 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共创，让合作伙伴更便利地 经营自己的业务，通过后台 权限管理，提升了工作效 率。</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开店宝微信公众号 开发项目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将一些服务工具化、信息化、数字 化，让合作伙伴更便利地经营自己 的业务；同时通过新后端配置引 擎、前端组件及渲染引擎的运用， 提升了效率，实现价值增长。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开放了更多的功能与数据； 通过新后端配置引擎、前端 组件及渲染引擎的运用，提 升了效率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为更好地服务公司的项目组 和分公司提升了效率，实现 公司价值增长。</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服务商收益发票管 理系统开发项目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节约公司发票收集的人力成本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提高工作效率，提升发票验 证度，实现对服务商收益发 票的管理服务。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节约了公司的人力成本，保 障发票的真实度</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开店宝终端管理项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集团对金融科技行业的重视与外 部竞争持续加大，给集团的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 统建设以及金融服务提出了更高 更严格的要求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面对终端安全管理更严格 的要求，围绕一机一密的安 全机制对终端管理系统进 行建设，便于从系统角度对 出库终端进行安全管理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加强集团信息的安全管理； 满足已有的终端功能外，优 化用户使用体验</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开店宝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动态发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布平台项目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开发出一种开店宝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动态发布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得到一种开店宝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动态发 布平台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开店宝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软件项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开发出一种店宝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得到一种用于店宝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开店宝点刷软件项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开发出一种开店宝点刷软件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得到一种用于开店宝点刷 软件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开店宝交易费用统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一核算项目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开发出一种开店宝交易费用统一 核算系统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得到一种开店宝交易费用 统一核算系统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该项目促进了我司科研技术 的进一步发展，为公司带来 了新产品收益。</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开店宝携机入网管 理软件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开发出一种开店宝携机入网管理 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得到一种开店宝携机入网 管理软件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开店宝终端管理软 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开发出一种开店宝终端管理软件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得到一种开店宝终端管理 软件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该项目促进了我司科研技术 的进一步发展，为公司带来 了新产品收益。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全城淘业务营销大 数据对比系统的研 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从采集、加工、分析到服务的端到 端大数据管理能力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为商家的经营与决策提供 大数据支撑，实现精细化运 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促进了公司产品的数字化升 级，提升了产品的用户体验 及粘性。</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全城淘基于互联网 的可视消费信息收 银系统的研发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提升结算效率、节约人力成本、完 善数字化管理、节约改造成本、提 升消费体验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提升产品体验及竞争优势， 提升用户粘性。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完善了公司的产品功能和模 块，进一步提升了公司产品 的市场竞争力。</w:t>
            </w:r>
          </w:p>
        </w:tc>
      </w:tr>
    </w:tbl>
    <w:p>
      <w:pPr>
        <w:spacing w:lineRule="exact" w:line="1"/>
        <w:rPr>
          <w:sz w:val="2"/>
          <w:szCs w:val="2"/>
        </w:rPr>
      </w:pPr>
      <w:r>
        <w:br w:type="page"/>
      </w:r>
    </w:p>
    <w:tbl>
      <w:tblPr>
        <w:tblOverlap w:val="never"/>
        <w:jc w:val="center"/>
        <w:tblLayout w:type="fixed"/>
      </w:tblPr>
      <w:tblGrid>
        <w:gridCol w:w="1526"/>
        <w:gridCol w:w="2731"/>
        <w:gridCol w:w="850"/>
        <w:gridCol w:w="2213"/>
        <w:gridCol w:w="2266"/>
      </w:tblGrid>
      <w:tr>
        <w:trPr>
          <w:trHeight w:val="10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全城淘全触点互动 营销渠道管理平台 的研发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全渠道触点营销，将海量客户接触 优势转变为企业价值的重要途径 之一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在扩大营销覆盖面的基础 上，进一步丰富营销互动方 式和营销精准度。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增加了公司产品的价值与亮 点，提升了商家粘性，进一 步巩固了市场优势。</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专科及以下学历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125"/>
        <w:gridCol w:w="1661"/>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76,216,805.82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86,259,455.95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无。</w:t>
      </w:r>
    </w:p>
    <w:p>
      <w:pPr>
        <w:pStyle w:val="Style29"/>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2,263,042,436.52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3,610,014,463.35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2,377,840,207.16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3,482,000,039.24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w:t>
            </w:r>
          </w:p>
        </w:tc>
      </w:tr>
    </w:tbl>
    <w:p>
      <w:pPr>
        <w:spacing w:lineRule="exact" w:line="1"/>
        <w:rPr>
          <w:sz w:val="2"/>
          <w:szCs w:val="2"/>
        </w:rPr>
      </w:pPr>
      <w:r>
        <w:br w:type="page"/>
      </w:r>
    </w:p>
    <w:tbl>
      <w:tblPr>
        <w:tblOverlap w:val="never"/>
        <w:jc w:val="center"/>
        <w:tblLayout w:type="fixed"/>
      </w:tblPr>
      <w:tblGrid>
        <w:gridCol w:w="2698"/>
        <w:gridCol w:w="2093"/>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-114,797,770.64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128,014,424.11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53,516,241.70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26,490,796.92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115,978,031.45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137,491,113.80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-62,461,789.75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-111,000,316.88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531,567,804.42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677,768,685.21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367,261,758.87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678,515,845.34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164,306,045.55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-747,160.13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22,090.74%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-12,967,979.43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16,079,072.02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891" w:val="left"/>
        </w:tabs>
        <w:bidi w:val="0"/>
        <w:spacing w:before="0" w:after="0" w:line="322" w:lineRule="exact"/>
        <w:ind w:left="0" w:right="0" w:firstLine="36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经营活动产生的现金流量净额较去年同期下降</w:t>
      </w:r>
      <w:r>
        <w:rPr>
          <w:rFonts w:ascii="Times New Roman" w:eastAsia="Times New Roman" w:hAnsi="Times New Roman" w:cs="Times New Roman"/>
          <w:color w:val="000000"/>
          <w:spacing w:val="0"/>
          <w:w w:val="100"/>
          <w:position w:val="0"/>
          <w:sz w:val="18"/>
          <w:szCs w:val="18"/>
        </w:rPr>
        <w:t>189.68%</w:t>
      </w:r>
      <w:r>
        <w:rPr>
          <w:color w:val="000000"/>
          <w:spacing w:val="0"/>
          <w:w w:val="100"/>
          <w:position w:val="0"/>
        </w:rPr>
        <w:t>，主要系公司的控股子公司开店宝科技受市场竞争加剧等 因素的影响导致交易量同比下降所致；</w:t>
      </w:r>
    </w:p>
    <w:p>
      <w:pPr>
        <w:pStyle w:val="Style18"/>
        <w:keepNext w:val="0"/>
        <w:keepLines w:val="0"/>
        <w:widowControl w:val="0"/>
        <w:shd w:val="clear" w:color="auto" w:fill="auto"/>
        <w:tabs>
          <w:tab w:pos="901" w:val="left"/>
        </w:tabs>
        <w:bidi w:val="0"/>
        <w:spacing w:before="0" w:after="0" w:line="326" w:lineRule="exact"/>
        <w:ind w:left="0" w:right="0" w:firstLine="36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投资活动产生的现金流量净额较去年同期增加</w:t>
      </w:r>
      <w:r>
        <w:rPr>
          <w:rFonts w:ascii="Times New Roman" w:eastAsia="Times New Roman" w:hAnsi="Times New Roman" w:cs="Times New Roman"/>
          <w:color w:val="000000"/>
          <w:spacing w:val="0"/>
          <w:w w:val="100"/>
          <w:position w:val="0"/>
          <w:sz w:val="18"/>
          <w:szCs w:val="18"/>
        </w:rPr>
        <w:t>43.73%</w:t>
      </w:r>
      <w:r>
        <w:rPr>
          <w:color w:val="000000"/>
          <w:spacing w:val="0"/>
          <w:w w:val="100"/>
          <w:position w:val="0"/>
        </w:rPr>
        <w:t>，主要系公司的控股子公司开店宝科技投资股权支付现金较 去年同期减少所致；</w:t>
      </w:r>
    </w:p>
    <w:p>
      <w:pPr>
        <w:pStyle w:val="Style18"/>
        <w:keepNext w:val="0"/>
        <w:keepLines w:val="0"/>
        <w:widowControl w:val="0"/>
        <w:shd w:val="clear" w:color="auto" w:fill="auto"/>
        <w:tabs>
          <w:tab w:pos="896" w:val="left"/>
        </w:tabs>
        <w:bidi w:val="0"/>
        <w:spacing w:before="0" w:after="0" w:line="326" w:lineRule="exact"/>
        <w:ind w:left="0" w:right="0" w:firstLine="36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筹资活动产生的现金流量净额较去年同期增加</w:t>
      </w:r>
      <w:r>
        <w:rPr>
          <w:rFonts w:ascii="Times New Roman" w:eastAsia="Times New Roman" w:hAnsi="Times New Roman" w:cs="Times New Roman"/>
          <w:color w:val="000000"/>
          <w:spacing w:val="0"/>
          <w:w w:val="100"/>
          <w:position w:val="0"/>
          <w:sz w:val="18"/>
          <w:szCs w:val="18"/>
        </w:rPr>
        <w:t>22,090.74%</w:t>
      </w:r>
      <w:r>
        <w:rPr>
          <w:color w:val="000000"/>
          <w:spacing w:val="0"/>
          <w:w w:val="100"/>
          <w:position w:val="0"/>
        </w:rPr>
        <w:t>，主要系公司的控股子公司开店宝科技本报告期收到股 东委托贷款及股东借款所致。</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901" w:val="left"/>
        </w:tabs>
        <w:bidi w:val="0"/>
        <w:spacing w:before="0" w:after="0" w:line="305" w:lineRule="exact"/>
        <w:ind w:left="0" w:right="0" w:firstLine="360"/>
        <w:jc w:val="both"/>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公司控股子公司开店宝科技受市场竞争加剧等影响导致产品投放不达预期，线下收单交易量下降，开店宝科技虽 通过调整政策、降本增效力争提升其盈利能力，较去年的同期实现扭亏为盈，但经营业绩仍未达预期，对购买开店宝科技</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的股权计提商誉减值</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亿元；</w:t>
      </w:r>
    </w:p>
    <w:p>
      <w:pPr>
        <w:pStyle w:val="Style18"/>
        <w:keepNext w:val="0"/>
        <w:keepLines w:val="0"/>
        <w:widowControl w:val="0"/>
        <w:shd w:val="clear" w:color="auto" w:fill="auto"/>
        <w:tabs>
          <w:tab w:pos="805" w:val="left"/>
        </w:tabs>
        <w:bidi w:val="0"/>
        <w:spacing w:before="0" w:after="380" w:line="305" w:lineRule="exact"/>
        <w:ind w:left="0" w:right="0" w:firstLine="360"/>
        <w:jc w:val="both"/>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公司本年度运营机具及其他固定资产累积折旧和无形资产摊销金额合计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亿元。</w:t>
      </w:r>
    </w:p>
    <w:p>
      <w:pPr>
        <w:pStyle w:val="Style23"/>
        <w:keepNext/>
        <w:keepLines/>
        <w:widowControl w:val="0"/>
        <w:shd w:val="clear" w:color="auto" w:fill="auto"/>
        <w:bidi w:val="0"/>
        <w:spacing w:before="0" w:after="26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五</w:t>
      </w:r>
      <w:bookmarkEnd w:id="152"/>
      <w:r>
        <w:rPr>
          <w:color w:val="000000"/>
          <w:spacing w:val="0"/>
          <w:w w:val="100"/>
          <w:position w:val="0"/>
        </w:rPr>
        <w:t>、非主营业务分析</w:t>
      </w:r>
      <w:bookmarkEnd w:id="150"/>
      <w:bookmarkEnd w:id="151"/>
      <w:bookmarkEnd w:id="153"/>
    </w:p>
    <w:p>
      <w:pPr>
        <w:pStyle w:val="Style18"/>
        <w:keepNext w:val="0"/>
        <w:keepLines w:val="0"/>
        <w:widowControl w:val="0"/>
        <w:shd w:val="clear" w:color="auto" w:fill="auto"/>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315"/>
        <w:gridCol w:w="1699"/>
        <w:gridCol w:w="3403"/>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59,299,723.65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主要系公司处置大连亚联投资管理有限公 司和亚联投资（香港）有限公司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 权以及控股子公司开店宝科技处置北京即 富天下科技服务有限公司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的股权产生 投资收益所致。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-261,654,766.69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主要系对购买开店宝科技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股权形成的 商誉计提减值所致。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766,608.12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主要系公司收到与日常经营无关的政府补 助所致。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4,087,432.07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主要系公司支付滞纳金、资产报废等所致。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-6,966,324.93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主要系公司对部分应收款项计提坏账所致。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六</w:t>
      </w:r>
      <w:bookmarkEnd w:id="156"/>
      <w:r>
        <w:rPr>
          <w:color w:val="000000"/>
          <w:spacing w:val="0"/>
          <w:w w:val="100"/>
          <w:position w:val="0"/>
        </w:rPr>
        <w:t>、资产及负债状况分析</w:t>
      </w:r>
      <w:bookmarkEnd w:id="154"/>
      <w:bookmarkEnd w:id="155"/>
      <w:bookmarkEnd w:id="157"/>
    </w:p>
    <w:p>
      <w:pPr>
        <w:pStyle w:val="Style29"/>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285,466,340.3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398,907,354.77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主要系开店宝科技结算备付金较去 年同期减少所致。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288,320,359.2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325,299,546.15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44,738,380.05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63,166,262.13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143,452,654.7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160,919,696.73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54,313,050.41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96,975,482.22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107,672,719.1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242,078,536.70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主要系本年计提</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机折旧所致。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47,223,878.58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60,101,409.93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16,589,152.09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106,629,884.00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主要系本报告期归还了较多的短期 借款所致。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177,679,713.0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131,976,191.03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168,618,595.5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339,437,500.00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主要系本报告期公司的长期借款转 成一年内到期的非流动负债和收到 开店宝科技的股东委托贷款所致。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33,244,171.42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49,130,094.48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以公允价值计量的资产和负债</w:t>
      </w:r>
      <w:bookmarkEnd w:id="162"/>
      <w:bookmarkEnd w:id="163"/>
      <w:bookmarkEnd w:id="16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w:t>
        <w:tab/>
        <w:t>截至报告期末的资产权利受限情况</w:t>
      </w:r>
      <w:bookmarkEnd w:id="166"/>
      <w:bookmarkEnd w:id="167"/>
      <w:bookmarkEnd w:id="169"/>
    </w:p>
    <w:tbl>
      <w:tblPr>
        <w:tblOverlap w:val="never"/>
        <w:jc w:val="center"/>
        <w:tblLayout w:type="fixed"/>
      </w:tblPr>
      <w:tblGrid>
        <w:gridCol w:w="1286"/>
        <w:gridCol w:w="1699"/>
        <w:gridCol w:w="6389"/>
      </w:tblGrid>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年末账面价值（元）</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tbl>
      <w:tblPr>
        <w:tblOverlap w:val="never"/>
        <w:jc w:val="center"/>
        <w:tblLayout w:type="fixed"/>
      </w:tblPr>
      <w:tblGrid>
        <w:gridCol w:w="1286"/>
        <w:gridCol w:w="1699"/>
        <w:gridCol w:w="6389"/>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7,645,843.10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银行承兑汇票保证金、银行保函保证金及信用证保证金存款等。</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110,006,025.61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支付机构客户备付金及项目保证金等。</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上海浦东发展银行股份有限公司外高桥保税区支行（专用存款户）</w:t>
            </w:r>
            <w:r>
              <w:rPr>
                <w:color w:val="000000"/>
                <w:spacing w:val="0"/>
                <w:w w:val="100"/>
                <w:position w:val="0"/>
                <w:sz w:val="17"/>
                <w:szCs w:val="17"/>
              </w:rPr>
              <w:t>28,032.82</w:t>
            </w:r>
            <w:r>
              <w:rPr>
                <w:color w:val="000000"/>
                <w:spacing w:val="0"/>
                <w:w w:val="100"/>
                <w:position w:val="0"/>
              </w:rPr>
              <w:t>冻结 款</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的股权质押给建设银行深圳分行用于并购贷款。</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1,063,953,190.08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七</w:t>
      </w:r>
      <w:bookmarkEnd w:id="172"/>
      <w:r>
        <w:rPr>
          <w:color w:val="000000"/>
          <w:spacing w:val="0"/>
          <w:w w:val="100"/>
          <w:position w:val="0"/>
        </w:rPr>
        <w:t>、投资状况分析</w:t>
      </w:r>
      <w:bookmarkEnd w:id="170"/>
      <w:bookmarkEnd w:id="171"/>
      <w:bookmarkEnd w:id="173"/>
    </w:p>
    <w:p>
      <w:pPr>
        <w:pStyle w:val="Style29"/>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、总体情况</w:t>
      </w:r>
      <w:bookmarkEnd w:id="174"/>
      <w:bookmarkEnd w:id="175"/>
      <w:bookmarkEnd w:id="177"/>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30,197,690.72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89,717,037.94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金融资产投资</w:t>
      </w:r>
      <w:bookmarkEnd w:id="186"/>
      <w:bookmarkEnd w:id="187"/>
      <w:bookmarkEnd w:id="189"/>
    </w:p>
    <w:p>
      <w:pPr>
        <w:pStyle w:val="Style32"/>
        <w:keepNext/>
        <w:keepLines/>
        <w:widowControl w:val="0"/>
        <w:shd w:val="clear" w:color="auto" w:fill="auto"/>
        <w:tabs>
          <w:tab w:pos="493"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0"/>
      <w:bookmarkEnd w:id="191"/>
      <w:bookmarkEnd w:id="193"/>
    </w:p>
    <w:p>
      <w:pPr>
        <w:pStyle w:val="Style18"/>
        <w:keepNext w:val="0"/>
        <w:keepLines w:val="0"/>
        <w:widowControl w:val="0"/>
        <w:numPr>
          <w:ilvl w:val="0"/>
          <w:numId w:val="1"/>
        </w:numPr>
        <w:shd w:val="clear" w:color="auto" w:fill="auto"/>
        <w:tabs>
          <w:tab w:pos="299" w:val="left"/>
        </w:tabs>
        <w:bidi w:val="0"/>
        <w:spacing w:before="0" w:after="140" w:line="240" w:lineRule="auto"/>
        <w:ind w:left="0" w:right="0" w:firstLine="0"/>
        <w:jc w:val="left"/>
      </w:pPr>
      <w:bookmarkStart w:id="194" w:name="bookmark194"/>
      <w:bookmarkEnd w:id="1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5"/>
      <w:bookmarkEnd w:id="196"/>
      <w:bookmarkEnd w:id="198"/>
    </w:p>
    <w:p>
      <w:pPr>
        <w:pStyle w:val="Style18"/>
        <w:keepNext w:val="0"/>
        <w:keepLines w:val="0"/>
        <w:widowControl w:val="0"/>
        <w:numPr>
          <w:ilvl w:val="0"/>
          <w:numId w:val="1"/>
        </w:numPr>
        <w:shd w:val="clear" w:color="auto" w:fill="auto"/>
        <w:tabs>
          <w:tab w:pos="299" w:val="left"/>
        </w:tabs>
        <w:bidi w:val="0"/>
        <w:spacing w:before="0" w:after="140" w:line="240" w:lineRule="auto"/>
        <w:ind w:left="0" w:right="0" w:firstLine="0"/>
        <w:jc w:val="left"/>
      </w:pPr>
      <w:bookmarkStart w:id="199" w:name="bookmark199"/>
      <w:bookmarkEnd w:id="1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w:t>
        <w:tab/>
        <w:t>募集资金使用情况</w:t>
      </w:r>
      <w:bookmarkEnd w:id="200"/>
      <w:bookmarkEnd w:id="201"/>
      <w:bookmarkEnd w:id="203"/>
    </w:p>
    <w:p>
      <w:pPr>
        <w:pStyle w:val="Style18"/>
        <w:keepNext w:val="0"/>
        <w:keepLines w:val="0"/>
        <w:widowControl w:val="0"/>
        <w:numPr>
          <w:ilvl w:val="0"/>
          <w:numId w:val="1"/>
        </w:numPr>
        <w:shd w:val="clear" w:color="auto" w:fill="auto"/>
        <w:tabs>
          <w:tab w:pos="299" w:val="left"/>
        </w:tabs>
        <w:bidi w:val="0"/>
        <w:spacing w:before="0" w:after="140" w:line="240" w:lineRule="auto"/>
        <w:ind w:left="0" w:right="0" w:firstLine="0"/>
        <w:jc w:val="left"/>
      </w:pPr>
      <w:bookmarkStart w:id="204" w:name="bookmark204"/>
      <w:bookmarkEnd w:id="2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八</w:t>
      </w:r>
      <w:bookmarkEnd w:id="207"/>
      <w:r>
        <w:rPr>
          <w:color w:val="000000"/>
          <w:spacing w:val="0"/>
          <w:w w:val="100"/>
          <w:position w:val="0"/>
        </w:rPr>
        <w:t>、</w:t>
        <w:tab/>
        <w:t>重大资产和股权出售</w:t>
      </w:r>
      <w:bookmarkEnd w:id="205"/>
      <w:bookmarkEnd w:id="206"/>
      <w:bookmarkEnd w:id="208"/>
    </w:p>
    <w:p>
      <w:pPr>
        <w:pStyle w:val="Style29"/>
        <w:keepNext/>
        <w:keepLines/>
        <w:widowControl w:val="0"/>
        <w:shd w:val="clear" w:color="auto" w:fill="auto"/>
        <w:tabs>
          <w:tab w:pos="392" w:val="left"/>
        </w:tabs>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w:t>
        <w:tab/>
        <w:t>出售重大资产情况</w:t>
      </w:r>
      <w:bookmarkEnd w:id="209"/>
      <w:bookmarkEnd w:id="210"/>
      <w:bookmarkEnd w:id="21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92" w:val="left"/>
        </w:tabs>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出售重大股权情况</w:t>
      </w:r>
      <w:bookmarkEnd w:id="213"/>
      <w:bookmarkEnd w:id="214"/>
      <w:bookmarkEnd w:id="21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九</w:t>
      </w:r>
      <w:bookmarkEnd w:id="219"/>
      <w:r>
        <w:rPr>
          <w:color w:val="000000"/>
          <w:spacing w:val="0"/>
          <w:w w:val="100"/>
          <w:position w:val="0"/>
        </w:rPr>
        <w:t>、</w:t>
        <w:tab/>
        <w:t>主要控股参股公司分析</w:t>
      </w:r>
      <w:bookmarkEnd w:id="217"/>
      <w:bookmarkEnd w:id="218"/>
      <w:bookmarkEnd w:id="22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第三方支付 业务，小微 商家数据服 务业务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970,452,209.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133,746,676.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1,360,213,47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7,745,588.35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243,067.95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981"/>
        <w:gridCol w:w="3403"/>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亚联投资（香港）有限公司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处置亚联投资（香港）有限公司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及其合并下属子公司誉高信贷（香港）有限 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分立后处置</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处置大连亚联产生投资收益</w:t>
            </w:r>
            <w:r>
              <w:rPr>
                <w:rFonts w:ascii="Times New Roman" w:eastAsia="Times New Roman" w:hAnsi="Times New Roman" w:cs="Times New Roman"/>
                <w:color w:val="000000"/>
                <w:spacing w:val="0"/>
                <w:w w:val="100"/>
                <w:position w:val="0"/>
                <w:sz w:val="18"/>
                <w:szCs w:val="18"/>
              </w:rPr>
              <w:t>5,784.02</w:t>
            </w:r>
            <w:r>
              <w:rPr>
                <w:color w:val="000000"/>
                <w:spacing w:val="0"/>
                <w:w w:val="100"/>
                <w:position w:val="0"/>
              </w:rPr>
              <w:t>万 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奇鑫信用征信服务有限公司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协议转让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新乡市即富数据处理有限公司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安徽顺晟付信息技术有限公司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北京即富天下科技有限公司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处置北京即富天下科技有限公司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bidi w:val="0"/>
        <w:spacing w:before="0" w:after="380" w:line="317" w:lineRule="exact"/>
        <w:ind w:left="0" w:right="0"/>
        <w:jc w:val="left"/>
      </w:pPr>
      <w:r>
        <w:rPr>
          <w:color w:val="000000"/>
          <w:spacing w:val="0"/>
          <w:w w:val="100"/>
          <w:position w:val="0"/>
        </w:rPr>
        <w:t>开店宝科技本报告期实现营业收入</w:t>
      </w:r>
      <w:r>
        <w:rPr>
          <w:rFonts w:ascii="Times New Roman" w:eastAsia="Times New Roman" w:hAnsi="Times New Roman" w:cs="Times New Roman"/>
          <w:color w:val="000000"/>
          <w:spacing w:val="0"/>
          <w:w w:val="100"/>
          <w:position w:val="0"/>
          <w:sz w:val="20"/>
          <w:szCs w:val="20"/>
        </w:rPr>
        <w:t>1,360,213,473.02</w:t>
      </w:r>
      <w:r>
        <w:rPr>
          <w:color w:val="000000"/>
          <w:spacing w:val="0"/>
          <w:w w:val="100"/>
          <w:position w:val="0"/>
        </w:rPr>
        <w:t>元，较去年同期下降</w:t>
      </w:r>
      <w:r>
        <w:rPr>
          <w:rFonts w:ascii="Times New Roman" w:eastAsia="Times New Roman" w:hAnsi="Times New Roman" w:cs="Times New Roman"/>
          <w:color w:val="000000"/>
          <w:spacing w:val="0"/>
          <w:w w:val="100"/>
          <w:position w:val="0"/>
          <w:sz w:val="20"/>
          <w:szCs w:val="20"/>
        </w:rPr>
        <w:t>44.14%</w:t>
      </w:r>
      <w:r>
        <w:rPr>
          <w:color w:val="000000"/>
          <w:spacing w:val="0"/>
          <w:w w:val="100"/>
          <w:position w:val="0"/>
          <w:sz w:val="22"/>
          <w:szCs w:val="22"/>
        </w:rPr>
        <w:t>，</w:t>
      </w:r>
      <w:r>
        <w:rPr>
          <w:color w:val="000000"/>
          <w:spacing w:val="0"/>
          <w:w w:val="100"/>
          <w:position w:val="0"/>
        </w:rPr>
        <w:t>本报告期通过优化组织结构和岗位 结构，控制人工成本等方式提升盈利能力水平，实现扭亏为盈。</w:t>
      </w:r>
    </w:p>
    <w:p>
      <w:pPr>
        <w:pStyle w:val="Style23"/>
        <w:keepNext/>
        <w:keepLines/>
        <w:widowControl w:val="0"/>
        <w:shd w:val="clear" w:color="auto" w:fill="auto"/>
        <w:bidi w:val="0"/>
        <w:spacing w:before="0" w:after="380" w:line="240" w:lineRule="auto"/>
        <w:ind w:left="0" w:right="0" w:firstLine="0"/>
        <w:jc w:val="both"/>
      </w:pPr>
      <w:bookmarkStart w:id="221" w:name="bookmark221"/>
      <w:bookmarkStart w:id="222" w:name="bookmark222"/>
      <w:bookmarkStart w:id="223" w:name="bookmark223"/>
      <w:r>
        <w:rPr>
          <w:color w:val="000000"/>
          <w:spacing w:val="0"/>
          <w:w w:val="100"/>
          <w:position w:val="0"/>
        </w:rPr>
        <w:t>十、公司控制的结构化主体情况</w:t>
      </w:r>
      <w:bookmarkEnd w:id="221"/>
      <w:bookmarkEnd w:id="222"/>
      <w:bookmarkEnd w:id="223"/>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24" w:name="bookmark224"/>
      <w:bookmarkStart w:id="225" w:name="bookmark225"/>
      <w:bookmarkStart w:id="226" w:name="bookmark226"/>
      <w:r>
        <w:rPr>
          <w:color w:val="000000"/>
          <w:spacing w:val="0"/>
          <w:w w:val="100"/>
          <w:position w:val="0"/>
        </w:rPr>
        <w:t>十一、公司未来发展的展望</w:t>
      </w:r>
      <w:bookmarkEnd w:id="224"/>
      <w:bookmarkEnd w:id="225"/>
      <w:bookmarkEnd w:id="226"/>
    </w:p>
    <w:p>
      <w:pPr>
        <w:pStyle w:val="Style18"/>
        <w:keepNext w:val="0"/>
        <w:keepLines w:val="0"/>
        <w:widowControl w:val="0"/>
        <w:shd w:val="clear" w:color="auto" w:fill="auto"/>
        <w:bidi w:val="0"/>
        <w:spacing w:before="0" w:after="140" w:line="313" w:lineRule="exact"/>
        <w:ind w:left="0" w:right="0"/>
        <w:jc w:val="both"/>
      </w:pPr>
      <w:bookmarkStart w:id="227" w:name="bookmark227"/>
      <w:r>
        <w:rPr>
          <w:color w:val="000000"/>
          <w:spacing w:val="0"/>
          <w:w w:val="100"/>
          <w:position w:val="0"/>
        </w:rPr>
        <w:t>（</w:t>
      </w:r>
      <w:bookmarkEnd w:id="227"/>
      <w:r>
        <w:rPr>
          <w:color w:val="000000"/>
          <w:spacing w:val="0"/>
          <w:w w:val="100"/>
          <w:position w:val="0"/>
        </w:rPr>
        <w:t>一）行业格局和趋势</w:t>
      </w:r>
    </w:p>
    <w:p>
      <w:pPr>
        <w:pStyle w:val="Style18"/>
        <w:keepNext w:val="0"/>
        <w:keepLines w:val="0"/>
        <w:widowControl w:val="0"/>
        <w:shd w:val="clear" w:color="auto" w:fill="auto"/>
        <w:bidi w:val="0"/>
        <w:spacing w:before="0" w:after="0" w:line="360" w:lineRule="auto"/>
        <w:ind w:left="0" w:right="0"/>
        <w:jc w:val="both"/>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、智慧经营领域</w:t>
      </w:r>
    </w:p>
    <w:p>
      <w:pPr>
        <w:pStyle w:val="Style18"/>
        <w:keepNext w:val="0"/>
        <w:keepLines w:val="0"/>
        <w:widowControl w:val="0"/>
        <w:shd w:val="clear" w:color="auto" w:fill="auto"/>
        <w:tabs>
          <w:tab w:pos="765" w:val="left"/>
        </w:tabs>
        <w:bidi w:val="0"/>
        <w:spacing w:before="0" w:after="0" w:line="313" w:lineRule="exact"/>
        <w:ind w:left="0" w:right="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第三方支付业务</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对于支付行业而言，新冠疫情的全球大流行及其影响加速了消费者和商业行为方面的一系列现有趋势，人们的购买习惯 几乎在一夜之间完成了从线下到线上、从现金到非现金的转变，支付企业也迅速做出反应，加速赋能电商业务，拓展产品种 类，精简销售点和线上支付流程。根据波士顿咨询公司于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全球支付行业报告》，未来几年，随着支 付和承兑服务被纳入更多的数字化生态系统以及软件解决方案日趋专业化，支付行业有望延续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业务平台化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趋势。同时，监 管机构、政府和中央银行也正以更加积极的态度参与进来，其中许多机构正着手构建新的支付框架，并在某些领域对行业参 与者提出更高的标准。面对这些变化，大多数参与者将不得不调整自身的战略、运营模式和市场进入策略，并根据需要重构 核心业务。根据凯捷咨询公司发布的《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年世界支付报告》，受疫情加速推进转型时间线及顾客对数字化偏好持续增长的 引导，近</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的消费者经常使用手机钱包进行支付（每年超过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笔交易），而在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年的调查中，这一比例为</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。）。根 据凯捷的估计，到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非现金交易将从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亿增加到近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第三方支付具有公正性、便捷性、开放性的特点，其结算效率高、交易操作便捷，对促进交易公平性维护交易双方的合 法权益具有重要意义，随着第三方支付的渠道和形式不断演化发展，手机移动终端、二维码、智能终端等支付工具的不断更 新，第三方支付的开放性也预示着将有更多更方便快捷的支付方式不断地丰富我们的结算渠道。</w:t>
      </w:r>
    </w:p>
    <w:p>
      <w:pPr>
        <w:pStyle w:val="Style18"/>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日，人民银行召开的数字人民币研发试点工作座谈会强调，数字人民币研发试点要坚持体现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 拓展金融服务覆盖面，提升普惠金融服务水平，助力地方经济发展，支持数字政务建设，提升金融服务实体经济质效，改善 营商环境等方面发挥更大作用。各有关参与方要按照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规划部署，在现有试点地区基础上增加天津市、重庆市、广东 省广州市、福建省福州市和厦门市、浙江省承办亚运会的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个城市作为试点地区，北京市和河北省张家口市在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北京冬奥 会、冬残奥会场景试点结束后转为试点地区。充分发挥指定运营机构的优势作用，加大试点应用和生态体系建设力度。</w:t>
      </w:r>
    </w:p>
    <w:p>
      <w:pPr>
        <w:pStyle w:val="Style18"/>
        <w:keepNext w:val="0"/>
        <w:keepLines w:val="0"/>
        <w:widowControl w:val="0"/>
        <w:shd w:val="clear" w:color="auto" w:fill="auto"/>
        <w:tabs>
          <w:tab w:pos="765" w:val="left"/>
        </w:tabs>
        <w:bidi w:val="0"/>
        <w:spacing w:before="0" w:after="0" w:line="313" w:lineRule="exact"/>
        <w:ind w:left="0" w:right="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商户经营服务业务</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规划明确提出打造数字经济新优势，加快数字社会建设步伐，及坚持扩大内需，全面促进消费。政府出台多项 规划，旨在充分发挥海量数据和丰富应用场景优势，促进数字技术与实体经济深度融合，赋能传统产业转型升级，催生新产 业新业态新模式，壮大经济发展新引擎。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作为经济基础设施，是交易完成的关键环节，基于支付产业的数字化提速， 有助于弥合数字鸿沟，释放内需潜力。在政策推动、供需侧齐发力、疫情催化共同作用下，中小微企业的数字化进程不断提 速，中小微企业数字化升级需求迫切。从易观分析市场调研数据来看，</w:t>
      </w:r>
      <w:r>
        <w:rPr>
          <w:rFonts w:ascii="Times New Roman" w:eastAsia="Times New Roman" w:hAnsi="Times New Roman" w:cs="Times New Roman"/>
          <w:color w:val="000000"/>
          <w:spacing w:val="0"/>
          <w:w w:val="100"/>
          <w:position w:val="0"/>
          <w:sz w:val="18"/>
          <w:szCs w:val="18"/>
        </w:rPr>
        <w:t>89.6%</w:t>
      </w:r>
      <w:r>
        <w:rPr>
          <w:color w:val="000000"/>
          <w:spacing w:val="0"/>
          <w:w w:val="100"/>
          <w:position w:val="0"/>
        </w:rPr>
        <w:t>的中小微企业迫切需要通过数字化运营工具了 解市场信息和扩大销售能力，</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的中小微企业希望通过定制化的营销方案发掘更多客户，</w:t>
      </w:r>
      <w:r>
        <w:rPr>
          <w:rFonts w:ascii="Times New Roman" w:eastAsia="Times New Roman" w:hAnsi="Times New Roman" w:cs="Times New Roman"/>
          <w:color w:val="000000"/>
          <w:spacing w:val="0"/>
          <w:w w:val="100"/>
          <w:position w:val="0"/>
          <w:sz w:val="18"/>
          <w:szCs w:val="18"/>
        </w:rPr>
        <w:t>80.8%</w:t>
      </w:r>
      <w:r>
        <w:rPr>
          <w:color w:val="000000"/>
          <w:spacing w:val="0"/>
          <w:w w:val="100"/>
          <w:position w:val="0"/>
        </w:rPr>
        <w:t>的中小微企业希望通过 场景化洞察提高产品和服务质量。智能支付终端已成为商户数字化经营载体，智能支付终端搭载</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软件为商户实现与消费 者的多种互动，已应用到店铺进销存管理、会员分析、营销服务等各个方面，通过对店铺的数字化管理，利用经营数据分析 消费者行为，帮助商户更好地了解消费者，针对其消费特征和偏好制定或改善营销策略，并实现再营销的工具平台，提高消 费者粘性及忠诚度，开发消费者的潜在消费需求，给商户带来利润上的提升，最终实现以数字化为底座融合多元化场景的智 慧运营模式。在此背景下，通过与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服务商的整合让支付平台化、信息化，为客户提供基于场景的无缝高效交易服务体验， 从日常支付生态圈到全场景移动金融服务，第三方支付机构正在根据支付场景输出更多定制化的行业解决方案及增值服务， 助力企业客户实现数字化转型，将支付全面融合于企业经营管理及产业链的智能化升级中。</w:t>
      </w:r>
    </w:p>
    <w:p>
      <w:pPr>
        <w:pStyle w:val="Style18"/>
        <w:keepNext w:val="0"/>
        <w:keepLines w:val="0"/>
        <w:widowControl w:val="0"/>
        <w:shd w:val="clear" w:color="auto" w:fill="auto"/>
        <w:bidi w:val="0"/>
        <w:spacing w:before="0" w:after="140" w:line="316"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年初，人民银行等五部委联合印发《关于金融服务乡村振兴的指导意见》，要求积极引导移动支付便民工程全面向 乡村延伸，推动支付结算服务从服务农民生活向服务农业生产、农村生态有效延伸。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年人民银行等六部委联合发布《关 于金融支持巩固拓展脱贫攻坚成果全面推进乡村振兴的意见》，要求持续改善农村支付服务环境，鼓励和支持各类支付服 务主体到农村地区开展业务，鼓励符合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特点的新型支付产品创新。推动支付结算服务从服务农民生活向服务农业生产、 农村生态有效延伸，加强风险防范，持续开展宣传，不断提升农村支付服务水平。</w:t>
      </w:r>
    </w:p>
    <w:p>
      <w:pPr>
        <w:pStyle w:val="Style18"/>
        <w:keepNext w:val="0"/>
        <w:keepLines w:val="0"/>
        <w:widowControl w:val="0"/>
        <w:shd w:val="clear" w:color="auto" w:fill="auto"/>
        <w:bidi w:val="0"/>
        <w:spacing w:before="0" w:after="140" w:line="240" w:lineRule="auto"/>
        <w:ind w:left="0" w:right="0"/>
        <w:jc w:val="both"/>
      </w:pPr>
      <w:bookmarkStart w:id="231" w:name="bookmark231"/>
      <w:r>
        <w:rPr>
          <w:rFonts w:ascii="Times New Roman" w:eastAsia="Times New Roman" w:hAnsi="Times New Roman" w:cs="Times New Roman"/>
          <w:color w:val="000000"/>
          <w:spacing w:val="0"/>
          <w:w w:val="100"/>
          <w:position w:val="0"/>
          <w:sz w:val="18"/>
          <w:szCs w:val="18"/>
        </w:rPr>
        <w:t>2</w:t>
      </w:r>
      <w:bookmarkEnd w:id="231"/>
      <w:r>
        <w:rPr>
          <w:color w:val="000000"/>
          <w:spacing w:val="0"/>
          <w:w w:val="100"/>
          <w:position w:val="0"/>
        </w:rPr>
        <w:t>、智慧专网领域</w:t>
      </w:r>
    </w:p>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）智能电网领域</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我国是全球最大的碳排放国家，能源清洁低碳转型要求紧迫。国家电网和南方电网积极响应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碳中和、碳达峰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 将充分发挥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大国重器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顶梁柱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作用，自觉肩负起历史使命，建设安全高效、绿色智能、互联互通、共享互济的坚强智能 电网，加快电网向能源互联网升级，为实现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'目标作出国网公司和南网公司的贡献。充分发挥电网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桥梁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纽带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作用，带动产业链、供应链上下游，加快能源生产清洁化、能源消费电气化、能源利用高效化，推进能源电力行业 尽早以较低峰值达峰；当好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推动者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，引导绿色低碳生产生活方式，推动全社会尽快实现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先行者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，系统梳 理输配电各环节、生产办公全领域节能减排清单，深入挖掘节能减排潜力，实现企业碳排放率先达峰。</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公司作为电力行业信息通信技术解决方案服务商，时刻关注电力行业新能源转型的动态，时刻关注新能源从发电到输电、 用电的新技术应用。</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）智慧交通领域</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交通通运输部提出智慧交通生态一定是科技支撑、创新驱动的，全面应用产业科技能力，全面带动科技创新能力，形成 良性循环。尤其是能够体现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强化前沿关键科技研发。瞄准新一代信息技术、人工智能、智能制造、新材料、新能源等世界 科技前沿。由信息网络、人工智能等创新技术构成的智慧基础设施，应作为交通基础设施的设施。体现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推动大数据、互联 网、人工智能、区块链、超级计算等新技术与交通行业深度融合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的规划思路。推进数据资源赋能交通发展，加速交通基础 设施网、运输服务网、能源网与信息网络融合发展，构建泛在先进的交通信息基础设施。智慧交通行业启动速度越快，发展 势头越猛，越需要在一开始就从技术选型、解决方案、管理系统等实际操作层面入手，亚联发展争取成为智慧交通建设领域 最具系统建构能力的基础服务和解决方案提供商之一。</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随着近几年轨道交通行业的发展，目前已有</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个轨道交通运营城市，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年，国家发改委只批复了一个城市的轨道交通 建设规划，即佛山。城市轨道交通随着多年的建设，未来预期的批准建设项目会逐年减少。但国家发展改革委提出了都市圈 的发展，都市圈的发展也必然离不开轨道交通的串联，所以城际、市域（郊）铁路必然将会飞速崛起，它们介于城轨和干线 铁路之间，要求也相对宽松许多，近期长三角多层次轨道交通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规划建设出炉，总投资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万亿，其中干线铁路</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 城际铁路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项，市域（郊）铁路</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项（占据大半），足以说明市域、城际铁路的重要性日益明显。</w:t>
      </w:r>
    </w:p>
    <w:p>
      <w:pPr>
        <w:pStyle w:val="Style18"/>
        <w:keepNext w:val="0"/>
        <w:keepLines w:val="0"/>
        <w:widowControl w:val="0"/>
        <w:shd w:val="clear" w:color="auto" w:fill="auto"/>
        <w:tabs>
          <w:tab w:pos="831" w:val="left"/>
        </w:tabs>
        <w:bidi w:val="0"/>
        <w:spacing w:before="0" w:after="0" w:line="313" w:lineRule="exact"/>
        <w:ind w:left="0" w:right="0" w:firstLine="360"/>
        <w:jc w:val="both"/>
      </w:pPr>
      <w:bookmarkStart w:id="232" w:name="bookmark232"/>
      <w:r>
        <w:rPr>
          <w:color w:val="000000"/>
          <w:spacing w:val="0"/>
          <w:w w:val="100"/>
          <w:position w:val="0"/>
        </w:rPr>
        <w:t>（</w:t>
      </w:r>
      <w:bookmarkEnd w:id="232"/>
      <w:r>
        <w:rPr>
          <w:color w:val="000000"/>
          <w:spacing w:val="0"/>
          <w:w w:val="100"/>
          <w:position w:val="0"/>
        </w:rPr>
        <w:t>二）</w:t>
        <w:tab/>
        <w:t>公司发展战略</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公司将积极投身智慧化浪潮，以第三方支付为切入，综合运用科技能力、大数据能力、资源匹配能力和数字化运营能力， 为中小微商户的智慧经营进行多维度赋能，推动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上云用数赋智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产业政策的落地，助力于数字化生态的实现。对于深耕二十 余年的专网通信业务，公司也将以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为牵引，打造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智慧专网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，提升竞争力水平，继续保持其行业领先地位。</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智慧经营方面，公司将在为中小微商户提供第三方支付服务的基础上，为中小微商户智慧经营赋能。直接赋能方面，从 支付业务出发，帮助小微商户打通线上和线下，从营销、广告，到财务、进销存、客户管理等方面延伸增值服务，发展商户 经营服务生态闭环；间接赋能方面，基于自身技术优势和数据积累，为金融机构和相关持牌机构在客户风险识别、</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承载能 力等方面提供解决方案，以满足中小微商户的各种金融需求，间接地达成更好地赋能中小微商户智慧经营的目标。</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智慧专网方面，我国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规划提出统筹推进传统基础设施和新型基础设施建设，打造系统完备、高效实用、智能绿 色、安全可靠的现代化基础设施体系。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规划更进一步指出加快交通、能源、市政等传统基础设施数字化改造，加强 泛在感知、终端联网、智能调度体系建设。智慧专网为能源、交通等行业提供最基础的保障和支撑系统，在能源、交通行业 基础设施数字化改造的背景下，其应用领域将越来越广泛，智能电网、智能交通等重大网络工程建设的支持亦为专网通信行 业带来了新增长。</w:t>
      </w:r>
    </w:p>
    <w:p>
      <w:pPr>
        <w:pStyle w:val="Style18"/>
        <w:keepNext w:val="0"/>
        <w:keepLines w:val="0"/>
        <w:widowControl w:val="0"/>
        <w:shd w:val="clear" w:color="auto" w:fill="auto"/>
        <w:tabs>
          <w:tab w:pos="831" w:val="left"/>
        </w:tabs>
        <w:bidi w:val="0"/>
        <w:spacing w:before="0" w:after="0" w:line="313" w:lineRule="exact"/>
        <w:ind w:left="0" w:right="0" w:firstLine="360"/>
        <w:jc w:val="both"/>
      </w:pPr>
      <w:bookmarkStart w:id="233" w:name="bookmark233"/>
      <w:r>
        <w:rPr>
          <w:color w:val="000000"/>
          <w:spacing w:val="0"/>
          <w:w w:val="100"/>
          <w:position w:val="0"/>
        </w:rPr>
        <w:t>（</w:t>
      </w:r>
      <w:bookmarkEnd w:id="233"/>
      <w:r>
        <w:rPr>
          <w:color w:val="000000"/>
          <w:spacing w:val="0"/>
          <w:w w:val="100"/>
          <w:position w:val="0"/>
        </w:rPr>
        <w:t>三）</w:t>
        <w:tab/>
        <w:t>公司经营计划</w:t>
      </w:r>
    </w:p>
    <w:p>
      <w:pPr>
        <w:pStyle w:val="Style18"/>
        <w:keepNext w:val="0"/>
        <w:keepLines w:val="0"/>
        <w:widowControl w:val="0"/>
        <w:shd w:val="clear" w:color="auto" w:fill="auto"/>
        <w:bidi w:val="0"/>
        <w:spacing w:before="0" w:after="120" w:line="314"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年，公司将积极跟进国家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规划和二</w:t>
      </w:r>
      <w:r>
        <w:rPr>
          <w:color w:val="000000"/>
          <w:spacing w:val="0"/>
          <w:w w:val="100"/>
          <w:position w:val="0"/>
          <w:sz w:val="17"/>
          <w:szCs w:val="17"/>
        </w:rPr>
        <w:t>O</w:t>
      </w:r>
      <w:r>
        <w:rPr>
          <w:color w:val="000000"/>
          <w:spacing w:val="0"/>
          <w:w w:val="100"/>
          <w:position w:val="0"/>
        </w:rPr>
        <w:t>三五年远景目标，继续贯彻落实公司战略，以赋能中小微商户智慧经 营为核心；专网通信业务将继续巩固平台管理体系，打造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智慧专网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60" w:lineRule="auto"/>
        <w:ind w:left="0" w:right="0" w:firstLine="360"/>
        <w:jc w:val="both"/>
      </w:pPr>
      <w:bookmarkStart w:id="234" w:name="bookmark234"/>
      <w:r>
        <w:rPr>
          <w:rFonts w:ascii="Times New Roman" w:eastAsia="Times New Roman" w:hAnsi="Times New Roman" w:cs="Times New Roman"/>
          <w:color w:val="000000"/>
          <w:spacing w:val="0"/>
          <w:w w:val="100"/>
          <w:position w:val="0"/>
          <w:sz w:val="18"/>
          <w:szCs w:val="18"/>
        </w:rPr>
        <w:t>1</w:t>
      </w:r>
      <w:bookmarkEnd w:id="234"/>
      <w:r>
        <w:rPr>
          <w:color w:val="000000"/>
          <w:spacing w:val="0"/>
          <w:w w:val="100"/>
          <w:position w:val="0"/>
        </w:rPr>
        <w:t>、巩固提升支付服务并下沉市场，智慧经营解决方案赋能中小微商户</w:t>
      </w:r>
    </w:p>
    <w:p>
      <w:pPr>
        <w:pStyle w:val="Style18"/>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年，开店宝科技将在巩固提升原有中小微商户支付服务的基础上，加强市场服务创新和产品研发能力，优化支付服 务体验，继续推出并完善终端产品，下沉市场，覆盖多场景的支付方式。为解决农产品收购场景中收购企业或收购人之间的 结算问题，切实提高收购资金结算效率、降低结算成本、防范现金结算安全隐患，开店宝支付通过银联富农通及收付平台的 赋能于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收付通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产品，实现了农产品收购款银行卡结算，帮助银行机构延伸网点和客户，得到农产品收售各 方的认可。该产品的推出能够有效打通收单机构与收购行业主体之间的壁垒，后续计划通过全国分公司体系落地，在粮食、 </w:t>
      </w:r>
      <w:r>
        <w:rPr>
          <w:color w:val="000000"/>
          <w:spacing w:val="0"/>
          <w:w w:val="100"/>
          <w:position w:val="0"/>
        </w:rPr>
        <w:t>经济作物、大宗物资等收购业务中进行推广，践行支付为民，助力乡村振兴。公司将积极寻求与银行机构在数字人民币的运 营活动领域方面的合作，并时刻关注数字人民币发展趋势。</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同时，开店宝科技将继续定位不同商户的需求，切入到实际的智慧经营场景中，为中小微商户提供更好的支付服务和产 品体验。进一步完善面向</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端消费者的增值服务体系，进一步构建公司商户经营服务生态闭环。开店宝科技将进一步深化中 小微商家数字化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服务，深耕零售、餐饮行业，并布局拓展其他行业，为中小微商户智慧经营赋能，并提供数据运 用、广告投放、</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软件服务等增值业务服务，助力中小微商家数字化精细运营。同时，通过深化与共建合作伙伴生态的各 大银行和渠道合作，开展商户联合收单业务，帮助商户实现降本增收，并为公司间接赋能小微商户战略的实施提供更多纵深。</w:t>
      </w:r>
    </w:p>
    <w:p>
      <w:pPr>
        <w:pStyle w:val="Style18"/>
        <w:keepNext w:val="0"/>
        <w:keepLines w:val="0"/>
        <w:widowControl w:val="0"/>
        <w:shd w:val="clear" w:color="auto" w:fill="auto"/>
        <w:tabs>
          <w:tab w:pos="674" w:val="left"/>
        </w:tabs>
        <w:bidi w:val="0"/>
        <w:spacing w:before="0" w:after="0" w:line="360" w:lineRule="auto"/>
        <w:ind w:left="0" w:right="0"/>
        <w:jc w:val="both"/>
      </w:pPr>
      <w:bookmarkStart w:id="235" w:name="bookmark235"/>
      <w:r>
        <w:rPr>
          <w:rFonts w:ascii="Times New Roman" w:eastAsia="Times New Roman" w:hAnsi="Times New Roman" w:cs="Times New Roman"/>
          <w:color w:val="000000"/>
          <w:spacing w:val="0"/>
          <w:w w:val="100"/>
          <w:position w:val="0"/>
          <w:sz w:val="18"/>
          <w:szCs w:val="18"/>
        </w:rPr>
        <w:t>2</w:t>
      </w:r>
      <w:bookmarkEnd w:id="235"/>
      <w:r>
        <w:rPr>
          <w:color w:val="000000"/>
          <w:spacing w:val="0"/>
          <w:w w:val="100"/>
          <w:position w:val="0"/>
        </w:rPr>
        <w:t>、</w:t>
        <w:tab/>
        <w:t>继续巩固平台管理体系，促进其所服务行业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水平的提升</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年，公司将围绕能源、交通行业生态圈，继续巩固平台信用管理体系，在电力、高速公路、智能交通各行业领域的 通信技术解决方案业务方面，完善并执行高效的交付、服务体系。公司凭借多年的专网通信业务经营管理经验，充分利用内 外部资源搭建一套既有总公司的规范化运作，又有子公司的灵活与高效运作的经营管理机制。</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此外，公司将继续聚焦相关行业新兴技术发展及需求落地，重点聚焦人工智能、物联网、及订制软件等业务方向，探索 更多业务发展空间。公司将不断完善公司产品研发体系，深入挖掘行业用户需求，加快推动产品应用的市场化进程。</w:t>
      </w:r>
    </w:p>
    <w:p>
      <w:pPr>
        <w:pStyle w:val="Style18"/>
        <w:keepNext w:val="0"/>
        <w:keepLines w:val="0"/>
        <w:widowControl w:val="0"/>
        <w:shd w:val="clear" w:color="auto" w:fill="auto"/>
        <w:tabs>
          <w:tab w:pos="664" w:val="left"/>
        </w:tabs>
        <w:bidi w:val="0"/>
        <w:spacing w:before="0" w:after="0" w:line="360" w:lineRule="auto"/>
        <w:ind w:left="0" w:right="0"/>
        <w:jc w:val="both"/>
      </w:pPr>
      <w:bookmarkStart w:id="236" w:name="bookmark236"/>
      <w:r>
        <w:rPr>
          <w:rFonts w:ascii="Times New Roman" w:eastAsia="Times New Roman" w:hAnsi="Times New Roman" w:cs="Times New Roman"/>
          <w:color w:val="000000"/>
          <w:spacing w:val="0"/>
          <w:w w:val="100"/>
          <w:position w:val="0"/>
          <w:sz w:val="18"/>
          <w:szCs w:val="18"/>
        </w:rPr>
        <w:t>3</w:t>
      </w:r>
      <w:bookmarkEnd w:id="236"/>
      <w:r>
        <w:rPr>
          <w:color w:val="000000"/>
          <w:spacing w:val="0"/>
          <w:w w:val="100"/>
          <w:position w:val="0"/>
        </w:rPr>
        <w:t>、</w:t>
        <w:tab/>
        <w:t>聚焦主业同时加强成本费用控制，提高公司盈利能力</w:t>
      </w:r>
    </w:p>
    <w:p>
      <w:pPr>
        <w:pStyle w:val="Style18"/>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年，公司将进一步聚焦主业，积极开拓市场，力争提升营业收入，同时积极做好预算管理工作，加强财务开支的审 核，杜绝不合理开支；优化采购供应流程和结算体系，降低公司营业成本；优化组织架构和岗位结构，提高工作效率，控制 成本费用的支出；通过处置低效资产回收资金，提高公司资金使用效率，降低财务费用；以各种方式拓展公司盈利空间，提 高公司盈利能力。</w:t>
      </w:r>
    </w:p>
    <w:p>
      <w:pPr>
        <w:pStyle w:val="Style18"/>
        <w:keepNext w:val="0"/>
        <w:keepLines w:val="0"/>
        <w:widowControl w:val="0"/>
        <w:shd w:val="clear" w:color="auto" w:fill="auto"/>
        <w:tabs>
          <w:tab w:pos="674" w:val="left"/>
        </w:tabs>
        <w:bidi w:val="0"/>
        <w:spacing w:before="0" w:after="0" w:line="360" w:lineRule="auto"/>
        <w:ind w:left="0" w:right="0"/>
        <w:jc w:val="both"/>
      </w:pPr>
      <w:bookmarkStart w:id="237" w:name="bookmark237"/>
      <w:r>
        <w:rPr>
          <w:rFonts w:ascii="Times New Roman" w:eastAsia="Times New Roman" w:hAnsi="Times New Roman" w:cs="Times New Roman"/>
          <w:color w:val="000000"/>
          <w:spacing w:val="0"/>
          <w:w w:val="100"/>
          <w:position w:val="0"/>
          <w:sz w:val="18"/>
          <w:szCs w:val="18"/>
        </w:rPr>
        <w:t>4</w:t>
      </w:r>
      <w:bookmarkEnd w:id="237"/>
      <w:r>
        <w:rPr>
          <w:color w:val="000000"/>
          <w:spacing w:val="0"/>
          <w:w w:val="100"/>
          <w:position w:val="0"/>
        </w:rPr>
        <w:t>、</w:t>
        <w:tab/>
        <w:t>不断提升公司治理和规范化运作水平，积极强化团队建设</w:t>
      </w:r>
    </w:p>
    <w:p>
      <w:pPr>
        <w:pStyle w:val="Style18"/>
        <w:keepNext w:val="0"/>
        <w:keepLines w:val="0"/>
        <w:widowControl w:val="0"/>
        <w:shd w:val="clear" w:color="auto" w:fill="auto"/>
        <w:bidi w:val="0"/>
        <w:spacing w:before="0" w:after="40" w:line="313" w:lineRule="exact"/>
        <w:ind w:left="0" w:right="0"/>
        <w:jc w:val="both"/>
      </w:pPr>
      <w:r>
        <w:rPr>
          <w:color w:val="000000"/>
          <w:spacing w:val="0"/>
          <w:w w:val="100"/>
          <w:position w:val="0"/>
        </w:rPr>
        <w:t>公司将秉承诚信、精进、创新、共享的企业文化，不断完善公司三会一层运作，优化内部控制制度，保证公司治理制度 要求的科学性与规范性，提升公司治理和规范化运作水平。公司将通过建立健全长效的公司激励及约束机制，提高员工的认 同感和归属感，强化团队建设，增强公司整体凝聚力。</w:t>
      </w:r>
    </w:p>
    <w:p>
      <w:pPr>
        <w:pStyle w:val="Style18"/>
        <w:keepNext w:val="0"/>
        <w:keepLines w:val="0"/>
        <w:widowControl w:val="0"/>
        <w:shd w:val="clear" w:color="auto" w:fill="auto"/>
        <w:bidi w:val="0"/>
        <w:spacing w:before="0" w:after="140" w:line="313" w:lineRule="exact"/>
        <w:ind w:left="0" w:right="0"/>
        <w:jc w:val="both"/>
      </w:pPr>
      <w:bookmarkStart w:id="238" w:name="bookmark238"/>
      <w:r>
        <w:rPr>
          <w:color w:val="000000"/>
          <w:spacing w:val="0"/>
          <w:w w:val="100"/>
          <w:position w:val="0"/>
        </w:rPr>
        <w:t>（</w:t>
      </w:r>
      <w:bookmarkEnd w:id="238"/>
      <w:r>
        <w:rPr>
          <w:color w:val="000000"/>
          <w:spacing w:val="0"/>
          <w:w w:val="100"/>
          <w:position w:val="0"/>
        </w:rPr>
        <w:t>四）可能面对的风险和应对措施</w:t>
      </w:r>
    </w:p>
    <w:p>
      <w:pPr>
        <w:pStyle w:val="Style18"/>
        <w:keepNext w:val="0"/>
        <w:keepLines w:val="0"/>
        <w:widowControl w:val="0"/>
        <w:shd w:val="clear" w:color="auto" w:fill="auto"/>
        <w:tabs>
          <w:tab w:pos="656" w:val="left"/>
        </w:tabs>
        <w:bidi w:val="0"/>
        <w:spacing w:before="0" w:after="0" w:line="360" w:lineRule="auto"/>
        <w:ind w:left="0" w:right="0"/>
        <w:jc w:val="both"/>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w:t>
        <w:tab/>
        <w:t>宏观经济环境和政策风险</w:t>
      </w:r>
    </w:p>
    <w:p>
      <w:pPr>
        <w:pStyle w:val="Style18"/>
        <w:keepNext w:val="0"/>
        <w:keepLines w:val="0"/>
        <w:widowControl w:val="0"/>
        <w:shd w:val="clear" w:color="auto" w:fill="auto"/>
        <w:bidi w:val="0"/>
        <w:spacing w:before="0" w:after="140" w:line="313" w:lineRule="exact"/>
        <w:ind w:left="0" w:right="0"/>
        <w:jc w:val="both"/>
      </w:pPr>
      <w:r>
        <w:rPr>
          <w:color w:val="000000"/>
          <w:spacing w:val="0"/>
          <w:w w:val="100"/>
          <w:position w:val="0"/>
        </w:rPr>
        <w:t>公司从事的智慧专网业务主要面向电力、交通行业，上述行业的固定资产投资规模与国家的行业政策和宏观调控政策紧 密联系。虽然国家相关部门颁布了一系列支持电力信息化行业投资建设的政策文件，为电力信息化行业的发展提供了良好的 政策环境。但是如果我国宏观经济形势或国家的相关政策出现较大波动，导致电力行业经营状况不景气或者电力信息化投资 建设速度放缓、投资下降，可能会对公司的业务发展产生不利的影响。此外我国在支付行业的监管日渐趋严，主要表现在商 户的准入资质、支付细则的监管条件的不断细化，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交备付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断直连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等政策相继落地。如果宏观经济环境和政 策出现不利变化，或随着业务发展以及监管政策变化，若公司无法取得相关业务经营资质，将会对公司经营造成不利影响。 公司会时刻关注市场动向，并及时调整产品策略，在不断发展业务的同时，严格遵守各项行业政策与制度，始终注重违规风 险和声誉风险的防控。</w:t>
      </w:r>
    </w:p>
    <w:p>
      <w:pPr>
        <w:pStyle w:val="Style18"/>
        <w:keepNext w:val="0"/>
        <w:keepLines w:val="0"/>
        <w:widowControl w:val="0"/>
        <w:shd w:val="clear" w:color="auto" w:fill="auto"/>
        <w:tabs>
          <w:tab w:pos="674" w:val="left"/>
        </w:tabs>
        <w:bidi w:val="0"/>
        <w:spacing w:before="0" w:after="0" w:line="360" w:lineRule="auto"/>
        <w:ind w:left="0" w:right="0"/>
        <w:jc w:val="both"/>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w:t>
        <w:tab/>
        <w:t>市场竞争风险</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经过多年的经营积累，开店宝科技及下属机构已经赢得了一定的市场声誉，与客户建立了良好的合作关系，形成一定的 竞争优势。由于无卡支付与人脸支付的兴起，银行卡支付的内涵已从有卡形式扩展到基于无卡形式的支付，第三方支付机构 的主流交易模式发生改变。同时，我国提供第三方支付相关产品或服务的企业较多，随着市场规模的扩大、新技术的出现、 行业竞争的加剧以及监管政策的逐步完善，市场竞争格局可能发生变化。如开店宝科技不能继续准确分析市场发展规律并保 持前瞻性、加大服务创新和市场开发能力，不能在竞争中建立、保持和扩大自己的竞争优势，则可能导致业务拓展困难，影 响经营业绩。</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国内专网通信市场的格局已经发生根本性改变，公司目前主要的竞争对手为行业内规模较大、技术水平较高的大中型私 企以及具有政府背景的企业，其拥有从有线到无线、从硬件到软件、从设备到终端的全线通信产品线，产品在中国市场逐渐 形成垄断优势，公司面临的竞争压力较大。伴随着市场集中度的不断提高，竞争不断激烈，对公司的业务转型、服务差异化 等方面都提出了更高的要求。如果公司不能继续强化自身的竞争与服务优势，不能加大市场生态合作力度，可能在日趋激烈 的市场竞争中处于不利的地位。</w:t>
      </w:r>
    </w:p>
    <w:p>
      <w:pPr>
        <w:pStyle w:val="Style18"/>
        <w:keepNext w:val="0"/>
        <w:keepLines w:val="0"/>
        <w:widowControl w:val="0"/>
        <w:shd w:val="clear" w:color="auto" w:fill="auto"/>
        <w:bidi w:val="0"/>
        <w:spacing w:before="0" w:after="140" w:line="317" w:lineRule="exact"/>
        <w:ind w:left="0" w:right="0"/>
        <w:jc w:val="both"/>
      </w:pPr>
      <w:r>
        <w:rPr>
          <w:color w:val="000000"/>
          <w:spacing w:val="0"/>
          <w:w w:val="100"/>
          <w:position w:val="0"/>
        </w:rPr>
        <w:t>公司将密切关注市场环境与竞争格局情况，力争保持业务前瞻性，在不断提升服务水平的同时不断提升业务、产品的创 新能力，建立、保持和扩大自己的竞争优势，以适应市场不断变化的需求。</w:t>
      </w:r>
    </w:p>
    <w:p>
      <w:pPr>
        <w:pStyle w:val="Style18"/>
        <w:keepNext w:val="0"/>
        <w:keepLines w:val="0"/>
        <w:widowControl w:val="0"/>
        <w:shd w:val="clear" w:color="auto" w:fill="auto"/>
        <w:tabs>
          <w:tab w:pos="664" w:val="left"/>
        </w:tabs>
        <w:bidi w:val="0"/>
        <w:spacing w:before="0" w:after="0" w:line="360" w:lineRule="auto"/>
        <w:ind w:left="0" w:right="0"/>
        <w:jc w:val="both"/>
      </w:pPr>
      <w:bookmarkStart w:id="241" w:name="bookmark241"/>
      <w:r>
        <w:rPr>
          <w:rFonts w:ascii="Times New Roman" w:eastAsia="Times New Roman" w:hAnsi="Times New Roman" w:cs="Times New Roman"/>
          <w:color w:val="000000"/>
          <w:spacing w:val="0"/>
          <w:w w:val="100"/>
          <w:position w:val="0"/>
          <w:sz w:val="18"/>
          <w:szCs w:val="18"/>
        </w:rPr>
        <w:t>3</w:t>
      </w:r>
      <w:bookmarkEnd w:id="241"/>
      <w:r>
        <w:rPr>
          <w:color w:val="000000"/>
          <w:spacing w:val="0"/>
          <w:w w:val="100"/>
          <w:position w:val="0"/>
        </w:rPr>
        <w:t>、</w:t>
        <w:tab/>
        <w:t>商誉减值风险</w:t>
      </w:r>
    </w:p>
    <w:p>
      <w:pPr>
        <w:pStyle w:val="Style18"/>
        <w:keepNext w:val="0"/>
        <w:keepLines w:val="0"/>
        <w:widowControl w:val="0"/>
        <w:shd w:val="clear" w:color="auto" w:fill="auto"/>
        <w:bidi w:val="0"/>
        <w:spacing w:before="0" w:after="140" w:line="316" w:lineRule="exact"/>
        <w:ind w:left="0" w:right="0"/>
        <w:jc w:val="both"/>
      </w:pPr>
      <w:r>
        <w:rPr>
          <w:color w:val="000000"/>
          <w:spacing w:val="0"/>
          <w:w w:val="100"/>
          <w:position w:val="0"/>
        </w:rPr>
        <w:t>截至本报告期末，商誉账面价值</w:t>
      </w:r>
      <w:r>
        <w:rPr>
          <w:rFonts w:ascii="Times New Roman" w:eastAsia="Times New Roman" w:hAnsi="Times New Roman" w:cs="Times New Roman"/>
          <w:color w:val="000000"/>
          <w:spacing w:val="0"/>
          <w:w w:val="100"/>
          <w:position w:val="0"/>
          <w:sz w:val="18"/>
          <w:szCs w:val="18"/>
        </w:rPr>
        <w:t>2.97</w:t>
      </w:r>
      <w:r>
        <w:rPr>
          <w:color w:val="000000"/>
          <w:spacing w:val="0"/>
          <w:w w:val="100"/>
          <w:position w:val="0"/>
        </w:rPr>
        <w:t>亿元（其中开店宝科技相关资产商誉账面价值</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亿元），占公司总资产的</w:t>
      </w:r>
      <w:r>
        <w:rPr>
          <w:rFonts w:ascii="Times New Roman" w:eastAsia="Times New Roman" w:hAnsi="Times New Roman" w:cs="Times New Roman"/>
          <w:color w:val="000000"/>
          <w:spacing w:val="0"/>
          <w:w w:val="100"/>
          <w:position w:val="0"/>
          <w:sz w:val="18"/>
          <w:szCs w:val="18"/>
        </w:rPr>
        <w:t>14.27%</w:t>
      </w:r>
      <w:r>
        <w:rPr>
          <w:color w:val="000000"/>
          <w:spacing w:val="0"/>
          <w:w w:val="100"/>
          <w:position w:val="0"/>
        </w:rPr>
        <w:t>， 占归属于上市公司股东净资产的</w:t>
      </w:r>
      <w:r>
        <w:rPr>
          <w:rFonts w:ascii="Times New Roman" w:eastAsia="Times New Roman" w:hAnsi="Times New Roman" w:cs="Times New Roman"/>
          <w:color w:val="000000"/>
          <w:spacing w:val="0"/>
          <w:w w:val="100"/>
          <w:position w:val="0"/>
          <w:sz w:val="18"/>
          <w:szCs w:val="18"/>
        </w:rPr>
        <w:t>-679.96%</w:t>
      </w:r>
      <w:r>
        <w:rPr>
          <w:color w:val="000000"/>
          <w:spacing w:val="0"/>
          <w:w w:val="100"/>
          <w:position w:val="0"/>
        </w:rPr>
        <w:t>。根据《企业会计准则》规定，本次重大资产重组形成的商誉不作摊销处理，但需 在未来每年年度终了进行减值测试。如开店宝科技经营所处的经济、技术或者法律等环境以及其所处的市场在当期或者将在 近期发生重大不利变化，或者有证据表明其经营绩效已经低于或者将低于预期，则公司仍存在商誉减值的风险。若该部分商 誉发生减值，则可能对上市公司当期损益造成不利影响。公司将加强对开店宝科技的内部控制与管理，促进其实现稳定经营 与发展，并力争通过发挥业务板块的协同效应，提升开店宝科技的竞争力，降低商誉减值风险。</w:t>
      </w:r>
    </w:p>
    <w:p>
      <w:pPr>
        <w:pStyle w:val="Style18"/>
        <w:keepNext w:val="0"/>
        <w:keepLines w:val="0"/>
        <w:widowControl w:val="0"/>
        <w:shd w:val="clear" w:color="auto" w:fill="auto"/>
        <w:tabs>
          <w:tab w:pos="674" w:val="left"/>
        </w:tabs>
        <w:bidi w:val="0"/>
        <w:spacing w:before="0" w:after="0" w:line="360" w:lineRule="auto"/>
        <w:ind w:left="0" w:right="0"/>
        <w:jc w:val="left"/>
      </w:pPr>
      <w:bookmarkStart w:id="242" w:name="bookmark242"/>
      <w:r>
        <w:rPr>
          <w:rFonts w:ascii="Times New Roman" w:eastAsia="Times New Roman" w:hAnsi="Times New Roman" w:cs="Times New Roman"/>
          <w:color w:val="000000"/>
          <w:spacing w:val="0"/>
          <w:w w:val="100"/>
          <w:position w:val="0"/>
          <w:sz w:val="18"/>
          <w:szCs w:val="18"/>
        </w:rPr>
        <w:t>4</w:t>
      </w:r>
      <w:bookmarkEnd w:id="242"/>
      <w:r>
        <w:rPr>
          <w:color w:val="000000"/>
          <w:spacing w:val="0"/>
          <w:w w:val="100"/>
          <w:position w:val="0"/>
        </w:rPr>
        <w:t>、</w:t>
        <w:tab/>
        <w:t>经营管理风险</w:t>
      </w:r>
    </w:p>
    <w:p>
      <w:pPr>
        <w:pStyle w:val="Style18"/>
        <w:keepNext w:val="0"/>
        <w:keepLines w:val="0"/>
        <w:widowControl w:val="0"/>
        <w:shd w:val="clear" w:color="auto" w:fill="auto"/>
        <w:bidi w:val="0"/>
        <w:spacing w:before="0" w:after="140" w:line="312" w:lineRule="exact"/>
        <w:ind w:left="0" w:right="0"/>
        <w:jc w:val="left"/>
      </w:pPr>
      <w:r>
        <w:rPr>
          <w:color w:val="000000"/>
          <w:spacing w:val="0"/>
          <w:w w:val="100"/>
          <w:position w:val="0"/>
        </w:rPr>
        <w:t>随着公司的发展，对于公司的人员素质、管理水平等方面提出了更高要求。如果公司管理水平和机制不能适应公司业务 发展，将可能影响公司实际经营和市场竞争能力。公司将不断完善法人治理结构和组织架构，健全运营体系，加强风险管控， 以降低经营管理风险。</w:t>
      </w:r>
    </w:p>
    <w:p>
      <w:pPr>
        <w:pStyle w:val="Style18"/>
        <w:keepNext w:val="0"/>
        <w:keepLines w:val="0"/>
        <w:widowControl w:val="0"/>
        <w:shd w:val="clear" w:color="auto" w:fill="auto"/>
        <w:tabs>
          <w:tab w:pos="674" w:val="left"/>
        </w:tabs>
        <w:bidi w:val="0"/>
        <w:spacing w:before="0" w:after="0" w:line="360" w:lineRule="auto"/>
        <w:ind w:left="0" w:right="0"/>
        <w:jc w:val="left"/>
      </w:pPr>
      <w:bookmarkStart w:id="243" w:name="bookmark243"/>
      <w:r>
        <w:rPr>
          <w:rFonts w:ascii="Times New Roman" w:eastAsia="Times New Roman" w:hAnsi="Times New Roman" w:cs="Times New Roman"/>
          <w:color w:val="000000"/>
          <w:spacing w:val="0"/>
          <w:w w:val="100"/>
          <w:position w:val="0"/>
          <w:sz w:val="18"/>
          <w:szCs w:val="18"/>
        </w:rPr>
        <w:t>5</w:t>
      </w:r>
      <w:bookmarkEnd w:id="243"/>
      <w:r>
        <w:rPr>
          <w:color w:val="000000"/>
          <w:spacing w:val="0"/>
          <w:w w:val="100"/>
          <w:position w:val="0"/>
        </w:rPr>
        <w:t>、</w:t>
        <w:tab/>
        <w:t>应收账款和现金流的风险</w:t>
      </w:r>
    </w:p>
    <w:p>
      <w:pPr>
        <w:pStyle w:val="Style18"/>
        <w:keepNext w:val="0"/>
        <w:keepLines w:val="0"/>
        <w:widowControl w:val="0"/>
        <w:shd w:val="clear" w:color="auto" w:fill="auto"/>
        <w:bidi w:val="0"/>
        <w:spacing w:before="0" w:after="140" w:line="313" w:lineRule="exact"/>
        <w:ind w:left="0" w:right="0"/>
        <w:jc w:val="left"/>
      </w:pPr>
      <w:r>
        <w:rPr>
          <w:color w:val="000000"/>
          <w:spacing w:val="0"/>
          <w:w w:val="100"/>
          <w:position w:val="0"/>
        </w:rPr>
        <w:t>随着公司业务规模的扩大和销售收入的增加，公司应收账款也可能随之增长。如果出现应收账款无法收回而发生坏账的 情况，将对公司业绩和生产经营产生不利影响。随着公司业务的发展，对公司现金流提出了更高要求，同时，公司重大资产 重组贷款一定程度上提高了公司的资产负债率，较高的资产负债率可能带来财务费用较高、经营效率下降等风险，如果公司 现金流不能支撑公司业务扩张将对公司造成很大财务风险，影响公司未来发展。公司将通过资本结构优化以及处置低效资产 等方式回收部分现金，降低资产负债率和财务风险。</w:t>
      </w:r>
    </w:p>
    <w:p>
      <w:pPr>
        <w:pStyle w:val="Style18"/>
        <w:keepNext w:val="0"/>
        <w:keepLines w:val="0"/>
        <w:widowControl w:val="0"/>
        <w:shd w:val="clear" w:color="auto" w:fill="auto"/>
        <w:tabs>
          <w:tab w:pos="674" w:val="left"/>
        </w:tabs>
        <w:bidi w:val="0"/>
        <w:spacing w:before="0" w:after="0" w:line="360" w:lineRule="auto"/>
        <w:ind w:left="0" w:right="0"/>
        <w:jc w:val="left"/>
      </w:pPr>
      <w:bookmarkStart w:id="244" w:name="bookmark244"/>
      <w:r>
        <w:rPr>
          <w:rFonts w:ascii="Times New Roman" w:eastAsia="Times New Roman" w:hAnsi="Times New Roman" w:cs="Times New Roman"/>
          <w:color w:val="000000"/>
          <w:spacing w:val="0"/>
          <w:w w:val="100"/>
          <w:position w:val="0"/>
          <w:sz w:val="18"/>
          <w:szCs w:val="18"/>
        </w:rPr>
        <w:t>6</w:t>
      </w:r>
      <w:bookmarkEnd w:id="244"/>
      <w:r>
        <w:rPr>
          <w:color w:val="000000"/>
          <w:spacing w:val="0"/>
          <w:w w:val="100"/>
          <w:position w:val="0"/>
        </w:rPr>
        <w:t>、</w:t>
        <w:tab/>
        <w:t>第三方支付业务的经营风险</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公司从事的第三方支付业务，在商户准入过程中，对商户的真实性、用户征信等级、外包服务商的管理存在一定的风险； 商户交易过程中可能存在的由于监测体系不完善导致的银行卡欺诈等行为，同时随着公司产品类型不断增多，存在服务商利 用营销政策的漏洞，获取非合规性盈利的风险。</w:t>
      </w:r>
    </w:p>
    <w:p>
      <w:pPr>
        <w:pStyle w:val="Style18"/>
        <w:keepNext w:val="0"/>
        <w:keepLines w:val="0"/>
        <w:widowControl w:val="0"/>
        <w:shd w:val="clear" w:color="auto" w:fill="auto"/>
        <w:bidi w:val="0"/>
        <w:spacing w:before="0" w:after="360" w:line="313" w:lineRule="exact"/>
        <w:ind w:left="0" w:right="0"/>
        <w:jc w:val="left"/>
      </w:pPr>
      <w:r>
        <w:rPr>
          <w:color w:val="000000"/>
          <w:spacing w:val="0"/>
          <w:w w:val="100"/>
          <w:position w:val="0"/>
        </w:rPr>
        <w:t>公司业务严格按照中国银联相关业务规则进行商户准入流程，通过录入唯一的商户地区代码、商户入网需做现场注册等 措施核查商户真实性，同时我司建立入网资料信息校验、活体检测等功能；并对接各类权威征信服务商，对客户的身份证、 手机号、银行卡号等要素进行验证来确保商户真实性，严禁虚假商户入网，确保商户真实落地。根据设置的针对性风控规则， 并结合风险模型的数据，进行多维度的各类风险甄别并预警潜在风险的交易；同时人工根据欺诈形势动态调整规则参数，通 过事前预防、事中监测、事后分析形成实时的监控体系。同时拥有完善的黑名单体系，在维护自身黑名单数据的同时与中支 协、银联积极保持黑名单共享机制，及时针对行业新增的风险商户信息进行排查。目前公司第三方支付业务有效的将黑名单 管理，规则管理，风险模型、机器学习等几个模块相结合，通过实时拦截、规则引擎和模型评分形成实时的监控系统，建立 有效的反欺诈机制。同时，通过叠加的营销反欺诈系统，针对服务商业务拓展情况进行风险监控，针对激活后的真实交易情 况进行实时监控，推动营销政策发挥最大有利效果，保障业务正常有序开展。两套风控系统并行，从商户到服务商层面多维 度建立有效的反欺诈机制。</w:t>
      </w:r>
    </w:p>
    <w:p>
      <w:pPr>
        <w:pStyle w:val="Style23"/>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r>
        <w:rPr>
          <w:color w:val="000000"/>
          <w:spacing w:val="0"/>
          <w:w w:val="100"/>
          <w:position w:val="0"/>
        </w:rPr>
        <w:t>十二、报告期内接待调研、沟通、采访等活动</w:t>
      </w:r>
      <w:bookmarkEnd w:id="245"/>
      <w:bookmarkEnd w:id="246"/>
      <w:bookmarkEnd w:id="24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27"/>
        <w:gridCol w:w="533"/>
        <w:gridCol w:w="710"/>
        <w:gridCol w:w="1272"/>
        <w:gridCol w:w="2410"/>
        <w:gridCol w:w="2069"/>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调研的基本情况索引</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 业绩说明会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日发布的投资者关系 活动记录表。</w:t>
            </w:r>
          </w:p>
        </w:tc>
      </w:tr>
    </w:tbl>
    <w:p>
      <w:pPr>
        <w:pStyle w:val="Style10"/>
        <w:keepNext/>
        <w:keepLines/>
        <w:widowControl w:val="0"/>
        <w:shd w:val="clear" w:color="auto" w:fill="auto"/>
        <w:bidi w:val="0"/>
        <w:spacing w:before="0" w:after="560" w:line="240" w:lineRule="auto"/>
        <w:ind w:left="0" w:right="0" w:firstLine="0"/>
        <w:jc w:val="center"/>
      </w:pPr>
      <w:bookmarkStart w:id="248" w:name="bookmark248"/>
      <w:bookmarkStart w:id="249" w:name="bookmark249"/>
      <w:bookmarkStart w:id="250" w:name="bookmark250"/>
      <w:r>
        <w:rPr>
          <w:color w:val="000000"/>
          <w:spacing w:val="0"/>
          <w:w w:val="100"/>
          <w:position w:val="0"/>
        </w:rPr>
        <w:t>第四节公司治理</w:t>
      </w:r>
      <w:bookmarkEnd w:id="248"/>
      <w:bookmarkEnd w:id="249"/>
      <w:bookmarkEnd w:id="250"/>
    </w:p>
    <w:p>
      <w:pPr>
        <w:pStyle w:val="Style23"/>
        <w:keepNext/>
        <w:keepLines/>
        <w:widowControl w:val="0"/>
        <w:shd w:val="clear" w:color="auto" w:fill="auto"/>
        <w:bidi w:val="0"/>
        <w:spacing w:before="0" w:after="260" w:line="240" w:lineRule="auto"/>
        <w:ind w:left="0" w:right="0" w:firstLine="0"/>
        <w:jc w:val="left"/>
      </w:pPr>
      <w:bookmarkStart w:id="251" w:name="bookmark251"/>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、公司治理的基本状况</w:t>
      </w:r>
      <w:bookmarkEnd w:id="252"/>
      <w:bookmarkEnd w:id="253"/>
      <w:bookmarkEnd w:id="255"/>
      <w:bookmarkEnd w:id="251"/>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报告期内，公司严格按照《中华人民共和国公司法》、《中华人民共和国证券法》、《上市公司治理准则》、《深圳证 券交易所股票上市规则》和中国证监会、深圳证券交易所有关法律法规等的要求，不断完善公司治理结构，建立健全内部管 理和控制制度，持续深入开展公司治理活动，规范运作，提高治理水平。截至报告期末，公司治理实际情况基本符合中国证 监会发布的有关上市公司治理规范性文件的要求。</w:t>
      </w:r>
    </w:p>
    <w:p>
      <w:pPr>
        <w:pStyle w:val="Style18"/>
        <w:keepNext w:val="0"/>
        <w:keepLines w:val="0"/>
        <w:widowControl w:val="0"/>
        <w:shd w:val="clear" w:color="auto" w:fill="auto"/>
        <w:tabs>
          <w:tab w:pos="703" w:val="left"/>
        </w:tabs>
        <w:bidi w:val="0"/>
        <w:spacing w:before="0" w:after="0" w:line="315"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1</w:t>
      </w:r>
      <w:bookmarkEnd w:id="256"/>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公司严格按照《上市公司股东大会规则》、《公司章程》以及《股东大会议事规则》的规定和要求，规范股东大会的召 集、召开及议事程序，并由律师进行现场见证，能够确保全体股东特别是中小股东享有平等地位，充分行使自己的权力。</w:t>
      </w:r>
    </w:p>
    <w:p>
      <w:pPr>
        <w:pStyle w:val="Style18"/>
        <w:keepNext w:val="0"/>
        <w:keepLines w:val="0"/>
        <w:widowControl w:val="0"/>
        <w:shd w:val="clear" w:color="auto" w:fill="auto"/>
        <w:tabs>
          <w:tab w:pos="722" w:val="left"/>
        </w:tabs>
        <w:bidi w:val="0"/>
        <w:spacing w:before="0" w:after="0" w:line="315" w:lineRule="exact"/>
        <w:ind w:left="0" w:right="0"/>
        <w:jc w:val="left"/>
      </w:pPr>
      <w:bookmarkStart w:id="257" w:name="bookmark257"/>
      <w:r>
        <w:rPr>
          <w:rFonts w:ascii="Times New Roman" w:eastAsia="Times New Roman" w:hAnsi="Times New Roman" w:cs="Times New Roman"/>
          <w:color w:val="000000"/>
          <w:spacing w:val="0"/>
          <w:w w:val="100"/>
          <w:position w:val="0"/>
          <w:sz w:val="18"/>
          <w:szCs w:val="18"/>
        </w:rPr>
        <w:t>2</w:t>
      </w:r>
      <w:bookmarkEnd w:id="257"/>
      <w:r>
        <w:rPr>
          <w:color w:val="000000"/>
          <w:spacing w:val="0"/>
          <w:w w:val="100"/>
          <w:position w:val="0"/>
        </w:rPr>
        <w:t>、</w:t>
        <w:tab/>
        <w:t>关于公司与控股股东</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公司拥有独立完整的业务和自主经营能力，在业务、人员、资产、机构、财务上与上市公司控股股东完全分开，公司董 事会、监事会和内部机构独立运作。公司控股股东能严格规范自己的行为，依法行使股东权利，没有超越公司股东大会直接 或间接干预公司的决策和经营活动的行为。</w:t>
      </w:r>
    </w:p>
    <w:p>
      <w:pPr>
        <w:pStyle w:val="Style18"/>
        <w:keepNext w:val="0"/>
        <w:keepLines w:val="0"/>
        <w:widowControl w:val="0"/>
        <w:shd w:val="clear" w:color="auto" w:fill="auto"/>
        <w:tabs>
          <w:tab w:pos="722" w:val="left"/>
        </w:tabs>
        <w:bidi w:val="0"/>
        <w:spacing w:before="0" w:after="0" w:line="315" w:lineRule="exact"/>
        <w:ind w:left="0" w:right="0"/>
        <w:jc w:val="both"/>
      </w:pPr>
      <w:bookmarkStart w:id="258" w:name="bookmark258"/>
      <w:r>
        <w:rPr>
          <w:rFonts w:ascii="Times New Roman" w:eastAsia="Times New Roman" w:hAnsi="Times New Roman" w:cs="Times New Roman"/>
          <w:color w:val="000000"/>
          <w:spacing w:val="0"/>
          <w:w w:val="100"/>
          <w:position w:val="0"/>
          <w:sz w:val="18"/>
          <w:szCs w:val="18"/>
        </w:rPr>
        <w:t>3</w:t>
      </w:r>
      <w:bookmarkEnd w:id="258"/>
      <w:r>
        <w:rPr>
          <w:color w:val="000000"/>
          <w:spacing w:val="0"/>
          <w:w w:val="100"/>
          <w:position w:val="0"/>
        </w:rPr>
        <w:t>、</w:t>
        <w:tab/>
        <w:t>关于董事与董事会</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人，董事会人数和人员构成符合法律、法规的要求。董事会按照《董事会议 事规则》召开会议，执行股东大会决议并依法行使职权；公司全体董事能够按照《董事会议事规则》、《独立董事工作制度》 等的要求认真履行勤勉尽责的义务，行使《公司章程》赋予的职权，按时出席董事会和股东大会，熟悉有关法律法规；公司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位独立董事在工作中保持充分的独立性，积极参加董事会会议，认真审议各项议案，对有关的事项发表了独立意见，切 实维护公司和中小股东的利益。</w:t>
      </w:r>
    </w:p>
    <w:p>
      <w:pPr>
        <w:pStyle w:val="Style18"/>
        <w:keepNext w:val="0"/>
        <w:keepLines w:val="0"/>
        <w:widowControl w:val="0"/>
        <w:shd w:val="clear" w:color="auto" w:fill="auto"/>
        <w:tabs>
          <w:tab w:pos="722" w:val="left"/>
        </w:tabs>
        <w:bidi w:val="0"/>
        <w:spacing w:before="0" w:after="0" w:line="315"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4</w:t>
      </w:r>
      <w:bookmarkEnd w:id="259"/>
      <w:r>
        <w:rPr>
          <w:color w:val="000000"/>
          <w:spacing w:val="0"/>
          <w:w w:val="100"/>
          <w:position w:val="0"/>
        </w:rPr>
        <w:t>、</w:t>
        <w:tab/>
        <w:t>关于监事与监事会</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名监事组成，其中股东代表监事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人，监事人数和人员构成符合法律、法规的要求。 公司监事会严格按照《公司章程》及《监事会议事规则》等相关规定召集召开监事会。各监事按时出席监事会，认真履行职 责，能够本着对股东负责的精神，对公司重大事项、财务状况等进行监督并发表意见，维护了公司及股东的合法权益。</w:t>
      </w:r>
    </w:p>
    <w:p>
      <w:pPr>
        <w:pStyle w:val="Style18"/>
        <w:keepNext w:val="0"/>
        <w:keepLines w:val="0"/>
        <w:widowControl w:val="0"/>
        <w:shd w:val="clear" w:color="auto" w:fill="auto"/>
        <w:tabs>
          <w:tab w:pos="722" w:val="left"/>
        </w:tabs>
        <w:bidi w:val="0"/>
        <w:spacing w:before="0" w:after="0" w:line="315" w:lineRule="exact"/>
        <w:ind w:left="0" w:right="0"/>
        <w:jc w:val="both"/>
      </w:pPr>
      <w:bookmarkStart w:id="260" w:name="bookmark260"/>
      <w:r>
        <w:rPr>
          <w:rFonts w:ascii="Times New Roman" w:eastAsia="Times New Roman" w:hAnsi="Times New Roman" w:cs="Times New Roman"/>
          <w:color w:val="000000"/>
          <w:spacing w:val="0"/>
          <w:w w:val="100"/>
          <w:position w:val="0"/>
          <w:sz w:val="18"/>
          <w:szCs w:val="18"/>
        </w:rPr>
        <w:t>5</w:t>
      </w:r>
      <w:bookmarkEnd w:id="260"/>
      <w:r>
        <w:rPr>
          <w:color w:val="000000"/>
          <w:spacing w:val="0"/>
          <w:w w:val="100"/>
          <w:position w:val="0"/>
        </w:rPr>
        <w:t>、</w:t>
        <w:tab/>
        <w:t>关于绩效评价和激励约束机制</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公司逐步建立并完善公正、透明的董事、监事、高级管理人员的绩效评价标准与激励约束机制；公司高级管理人员的聘 任公开、透明，符合法律法规的规定。</w:t>
      </w:r>
    </w:p>
    <w:p>
      <w:pPr>
        <w:pStyle w:val="Style18"/>
        <w:keepNext w:val="0"/>
        <w:keepLines w:val="0"/>
        <w:widowControl w:val="0"/>
        <w:shd w:val="clear" w:color="auto" w:fill="auto"/>
        <w:tabs>
          <w:tab w:pos="722" w:val="left"/>
        </w:tabs>
        <w:bidi w:val="0"/>
        <w:spacing w:before="0" w:after="0" w:line="315" w:lineRule="exact"/>
        <w:ind w:left="0" w:right="0"/>
        <w:jc w:val="both"/>
      </w:pPr>
      <w:bookmarkStart w:id="261" w:name="bookmark261"/>
      <w:r>
        <w:rPr>
          <w:rFonts w:ascii="Times New Roman" w:eastAsia="Times New Roman" w:hAnsi="Times New Roman" w:cs="Times New Roman"/>
          <w:color w:val="000000"/>
          <w:spacing w:val="0"/>
          <w:w w:val="100"/>
          <w:position w:val="0"/>
          <w:sz w:val="18"/>
          <w:szCs w:val="18"/>
        </w:rPr>
        <w:t>6</w:t>
      </w:r>
      <w:bookmarkEnd w:id="261"/>
      <w:r>
        <w:rPr>
          <w:color w:val="000000"/>
          <w:spacing w:val="0"/>
          <w:w w:val="100"/>
          <w:position w:val="0"/>
        </w:rPr>
        <w:t>、</w:t>
        <w:tab/>
        <w:t>关于相关利益者</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公司充分尊重和维护相关利益者的合法权益，实现股东、员工、社会等各方利益的协调平衡，共同推动公司持续、健康 的发展。</w:t>
      </w:r>
    </w:p>
    <w:p>
      <w:pPr>
        <w:pStyle w:val="Style18"/>
        <w:keepNext w:val="0"/>
        <w:keepLines w:val="0"/>
        <w:widowControl w:val="0"/>
        <w:shd w:val="clear" w:color="auto" w:fill="auto"/>
        <w:tabs>
          <w:tab w:pos="722" w:val="left"/>
        </w:tabs>
        <w:bidi w:val="0"/>
        <w:spacing w:before="0" w:after="0" w:line="315" w:lineRule="exact"/>
        <w:ind w:left="0" w:right="0"/>
        <w:jc w:val="both"/>
      </w:pPr>
      <w:bookmarkStart w:id="262" w:name="bookmark262"/>
      <w:r>
        <w:rPr>
          <w:rFonts w:ascii="Times New Roman" w:eastAsia="Times New Roman" w:hAnsi="Times New Roman" w:cs="Times New Roman"/>
          <w:color w:val="000000"/>
          <w:spacing w:val="0"/>
          <w:w w:val="100"/>
          <w:position w:val="0"/>
          <w:sz w:val="18"/>
          <w:szCs w:val="18"/>
        </w:rPr>
        <w:t>7</w:t>
      </w:r>
      <w:bookmarkEnd w:id="262"/>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公司指定董事会秘书为公司的投资者关系管理负责人，负责公司的信息披露与投资者关系的管理，接待机构、股东的来 访和咨询；报告期内，指定《证券时报》、《中国证券报》、《上海证券报》、《证券日报》和巨潮资讯网（网址为：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为公司信息披露的报纸和网站，严格按照有关法律法规的规定真实、准确、及时的披露信息，并</w:t>
      </w:r>
      <w:r>
        <w:rPr>
          <w:color w:val="000000"/>
          <w:spacing w:val="0"/>
          <w:w w:val="100"/>
          <w:position w:val="0"/>
        </w:rPr>
        <w:t xml:space="preserve"> 确保所有股东有公平的机会获得信息。</w:t>
      </w:r>
    </w:p>
    <w:p>
      <w:pPr>
        <w:pStyle w:val="Style1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80" w:line="31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66" w:val="left"/>
        </w:tabs>
        <w:bidi w:val="0"/>
        <w:spacing w:before="0" w:after="260" w:line="322" w:lineRule="exact"/>
        <w:ind w:left="0" w:right="0" w:firstLine="0"/>
        <w:jc w:val="both"/>
      </w:pPr>
      <w:bookmarkStart w:id="263" w:name="bookmark263"/>
      <w:bookmarkStart w:id="264" w:name="bookmark264"/>
      <w:bookmarkStart w:id="265" w:name="bookmark265"/>
      <w:bookmarkStart w:id="266" w:name="bookmark266"/>
      <w:r>
        <w:rPr>
          <w:color w:val="000000"/>
          <w:spacing w:val="0"/>
          <w:w w:val="100"/>
          <w:position w:val="0"/>
        </w:rPr>
        <w:t>二</w:t>
      </w:r>
      <w:bookmarkEnd w:id="265"/>
      <w:r>
        <w:rPr>
          <w:color w:val="000000"/>
          <w:spacing w:val="0"/>
          <w:w w:val="100"/>
          <w:position w:val="0"/>
        </w:rPr>
        <w:t>、</w:t>
        <w:tab/>
        <w:t>公司相对于控股股东、实际控制人在保证公司资产、人员、财务、机构、业务等方面的 独立情况</w:t>
      </w:r>
      <w:bookmarkEnd w:id="263"/>
      <w:bookmarkEnd w:id="264"/>
      <w:bookmarkEnd w:id="266"/>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公司控股股东为永利发展，与控股股东在资产、人员、财务、机构、业务等方面完全分开，具有独立完整的业务及自主 经营能力。</w:t>
      </w:r>
    </w:p>
    <w:p>
      <w:pPr>
        <w:pStyle w:val="Style18"/>
        <w:keepNext w:val="0"/>
        <w:keepLines w:val="0"/>
        <w:widowControl w:val="0"/>
        <w:shd w:val="clear" w:color="auto" w:fill="auto"/>
        <w:tabs>
          <w:tab w:pos="649" w:val="left"/>
        </w:tabs>
        <w:bidi w:val="0"/>
        <w:spacing w:before="0" w:after="0" w:line="315" w:lineRule="exact"/>
        <w:ind w:left="0" w:right="0" w:firstLine="360"/>
        <w:jc w:val="both"/>
      </w:pPr>
      <w:bookmarkStart w:id="267" w:name="bookmark267"/>
      <w:r>
        <w:rPr>
          <w:rFonts w:ascii="Times New Roman" w:eastAsia="Times New Roman" w:hAnsi="Times New Roman" w:cs="Times New Roman"/>
          <w:color w:val="000000"/>
          <w:spacing w:val="0"/>
          <w:w w:val="100"/>
          <w:position w:val="0"/>
          <w:sz w:val="18"/>
          <w:szCs w:val="18"/>
        </w:rPr>
        <w:t>1</w:t>
      </w:r>
      <w:bookmarkEnd w:id="267"/>
      <w:r>
        <w:rPr>
          <w:color w:val="000000"/>
          <w:spacing w:val="0"/>
          <w:w w:val="100"/>
          <w:position w:val="0"/>
        </w:rPr>
        <w:t>、</w:t>
        <w:tab/>
        <w:t>在资产方面：公司拥有与专网通信产品研发和生产经营有关的研发系统、生产系统、销售系统和配套设施，合法拥 有或使用与生产经营有关的土地、厂房、机器设备以及商标、专利、非专利技术的所有权或者使用权，具有独立的原料采购 和产品销售系统，不存在与控股股东共用的情形；公司未以资产、权益或信誉为控股股东及其控制的其他企业的债务提供担 保，对所有资产拥有自主的控制和支配权，不存在资产、资金被控股股东占用而损害发行人及其中小股东利益的情形。</w:t>
      </w:r>
    </w:p>
    <w:p>
      <w:pPr>
        <w:pStyle w:val="Style18"/>
        <w:keepNext w:val="0"/>
        <w:keepLines w:val="0"/>
        <w:widowControl w:val="0"/>
        <w:shd w:val="clear" w:color="auto" w:fill="auto"/>
        <w:tabs>
          <w:tab w:pos="649" w:val="left"/>
        </w:tabs>
        <w:bidi w:val="0"/>
        <w:spacing w:before="0" w:after="0" w:line="315" w:lineRule="exact"/>
        <w:ind w:left="0" w:right="0" w:firstLine="360"/>
        <w:jc w:val="both"/>
      </w:pPr>
      <w:bookmarkStart w:id="268" w:name="bookmark268"/>
      <w:r>
        <w:rPr>
          <w:rFonts w:ascii="Times New Roman" w:eastAsia="Times New Roman" w:hAnsi="Times New Roman" w:cs="Times New Roman"/>
          <w:color w:val="000000"/>
          <w:spacing w:val="0"/>
          <w:w w:val="100"/>
          <w:position w:val="0"/>
          <w:sz w:val="18"/>
          <w:szCs w:val="18"/>
        </w:rPr>
        <w:t>2</w:t>
      </w:r>
      <w:bookmarkEnd w:id="268"/>
      <w:r>
        <w:rPr>
          <w:color w:val="000000"/>
          <w:spacing w:val="0"/>
          <w:w w:val="100"/>
          <w:position w:val="0"/>
        </w:rPr>
        <w:t>、</w:t>
        <w:tab/>
        <w:t>在人员方面：公司的劳动、人事及工资管理完全独立于控股股东单位。公司总经理、副总经理、财务总监、董事会 秘书等高级管理人员均不存在在控股股东及其控制的其他企业中担任除董事、监事以外的其他职务的情况，亦不存在在控股 股东及其控制的其他企业领薪的情况。公司的董事会成员、监事会成员和高级管理人员均通过合法程序产生，控股股东未违 规干预公司董事会和股东大会作出的人事任免决定。公司拥有独立的生产、经营、管理人员，对员工实行聘任制。公司设有 行政人力资源部统一负责公司的劳动、人事、薪酬以及社会保障管理工作。</w:t>
      </w:r>
    </w:p>
    <w:p>
      <w:pPr>
        <w:pStyle w:val="Style18"/>
        <w:keepNext w:val="0"/>
        <w:keepLines w:val="0"/>
        <w:widowControl w:val="0"/>
        <w:shd w:val="clear" w:color="auto" w:fill="auto"/>
        <w:tabs>
          <w:tab w:pos="658" w:val="left"/>
        </w:tabs>
        <w:bidi w:val="0"/>
        <w:spacing w:before="0" w:after="0" w:line="315" w:lineRule="exact"/>
        <w:ind w:left="0" w:right="0" w:firstLine="360"/>
        <w:jc w:val="both"/>
      </w:pPr>
      <w:bookmarkStart w:id="269" w:name="bookmark269"/>
      <w:r>
        <w:rPr>
          <w:rFonts w:ascii="Times New Roman" w:eastAsia="Times New Roman" w:hAnsi="Times New Roman" w:cs="Times New Roman"/>
          <w:color w:val="000000"/>
          <w:spacing w:val="0"/>
          <w:w w:val="100"/>
          <w:position w:val="0"/>
          <w:sz w:val="18"/>
          <w:szCs w:val="18"/>
        </w:rPr>
        <w:t>3</w:t>
      </w:r>
      <w:bookmarkEnd w:id="269"/>
      <w:r>
        <w:rPr>
          <w:color w:val="000000"/>
          <w:spacing w:val="0"/>
          <w:w w:val="100"/>
          <w:position w:val="0"/>
        </w:rPr>
        <w:t>、</w:t>
        <w:tab/>
        <w:t>在财务方面：公司已设立独立的财务部门，配备了专职的财务会计人员，并已建立了独立的财务核算体系，能够独 立作出财务决策，具有规范的财务会计制度。同时，公司拥有独立的银行账号，不存在与控股股东或任何其他单位共用银行 账户的情况，并且依法独立进行纳税申报和履行纳税义务。本公司独立对外签订合同。</w:t>
      </w:r>
    </w:p>
    <w:p>
      <w:pPr>
        <w:pStyle w:val="Style18"/>
        <w:keepNext w:val="0"/>
        <w:keepLines w:val="0"/>
        <w:widowControl w:val="0"/>
        <w:shd w:val="clear" w:color="auto" w:fill="auto"/>
        <w:tabs>
          <w:tab w:pos="644" w:val="left"/>
        </w:tabs>
        <w:bidi w:val="0"/>
        <w:spacing w:before="0" w:after="0" w:line="315" w:lineRule="exact"/>
        <w:ind w:left="0" w:right="0" w:firstLine="360"/>
        <w:jc w:val="both"/>
      </w:pPr>
      <w:bookmarkStart w:id="270" w:name="bookmark270"/>
      <w:r>
        <w:rPr>
          <w:rFonts w:ascii="Times New Roman" w:eastAsia="Times New Roman" w:hAnsi="Times New Roman" w:cs="Times New Roman"/>
          <w:color w:val="000000"/>
          <w:spacing w:val="0"/>
          <w:w w:val="100"/>
          <w:position w:val="0"/>
          <w:sz w:val="18"/>
          <w:szCs w:val="18"/>
        </w:rPr>
        <w:t>4</w:t>
      </w:r>
      <w:bookmarkEnd w:id="270"/>
      <w:r>
        <w:rPr>
          <w:color w:val="000000"/>
          <w:spacing w:val="0"/>
          <w:w w:val="100"/>
          <w:position w:val="0"/>
        </w:rPr>
        <w:t>、</w:t>
        <w:tab/>
        <w:t>机构设置方面：公司建立了健全的内部经营管理机构，拥有独立的生产经营场所和办公机构，与控股股东及其控制 的其他企业完全分开，不存在混合经营、合署办公的情形。公司已建立健全有效的股东大会、董事会、监事会等机构并制定 了相应的议事规则，各机构依照《中华人民共和国公司法》及《公司章程》的规定在各自职责范围内独立决策。公司及各职 能部门与控股股东（包括其他关联方）及其职能部门完全分开，相互不存在隶属关系。</w:t>
      </w:r>
    </w:p>
    <w:p>
      <w:pPr>
        <w:pStyle w:val="Style18"/>
        <w:keepNext w:val="0"/>
        <w:keepLines w:val="0"/>
        <w:widowControl w:val="0"/>
        <w:shd w:val="clear" w:color="auto" w:fill="auto"/>
        <w:bidi w:val="0"/>
        <w:spacing w:before="0" w:after="300" w:line="315" w:lineRule="exact"/>
        <w:ind w:left="0" w:right="0" w:firstLine="360"/>
        <w:jc w:val="both"/>
      </w:pPr>
      <w:bookmarkStart w:id="271" w:name="bookmark271"/>
      <w:r>
        <w:rPr>
          <w:rFonts w:ascii="Times New Roman" w:eastAsia="Times New Roman" w:hAnsi="Times New Roman" w:cs="Times New Roman"/>
          <w:color w:val="000000"/>
          <w:spacing w:val="0"/>
          <w:w w:val="100"/>
          <w:position w:val="0"/>
          <w:sz w:val="18"/>
          <w:szCs w:val="18"/>
        </w:rPr>
        <w:t>5</w:t>
      </w:r>
      <w:bookmarkEnd w:id="271"/>
      <w:r>
        <w:rPr>
          <w:color w:val="000000"/>
          <w:spacing w:val="0"/>
          <w:w w:val="100"/>
          <w:position w:val="0"/>
        </w:rPr>
        <w:t>、 在业务方面：公司不存在因部分改制、行业特性、国家政策或收购兼并等原因导致的同业竞争和关联交易问题。公 司业务结构完整，拥有独立的采购、生产和销售体系，建立健全了各项管理制度，自主决策、自主组织和管理生产经营活动， 独立开展业务并承担责任和风险，不依赖于控股股东或其他任何关联方，与控股股东及其控制的其他企业间不存在同业竞争 或者显失公平的关联交易，也不存在控股股东直接或间接干预公司经营运作的情形。</w:t>
      </w:r>
    </w:p>
    <w:p>
      <w:pPr>
        <w:pStyle w:val="Style23"/>
        <w:keepNext/>
        <w:keepLines/>
        <w:widowControl w:val="0"/>
        <w:shd w:val="clear" w:color="auto" w:fill="auto"/>
        <w:tabs>
          <w:tab w:pos="566" w:val="left"/>
        </w:tabs>
        <w:bidi w:val="0"/>
        <w:spacing w:before="0" w:after="380" w:line="322" w:lineRule="exact"/>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三</w:t>
      </w:r>
      <w:bookmarkEnd w:id="274"/>
      <w:r>
        <w:rPr>
          <w:color w:val="000000"/>
          <w:spacing w:val="0"/>
          <w:w w:val="100"/>
          <w:position w:val="0"/>
        </w:rPr>
        <w:t>、</w:t>
        <w:tab/>
        <w:t>同业竞争情况</w:t>
      </w:r>
      <w:bookmarkEnd w:id="272"/>
      <w:bookmarkEnd w:id="273"/>
      <w:bookmarkEnd w:id="275"/>
    </w:p>
    <w:p>
      <w:pPr>
        <w:pStyle w:val="Style18"/>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66" w:val="left"/>
        </w:tabs>
        <w:bidi w:val="0"/>
        <w:spacing w:before="0" w:after="380" w:line="322"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四</w:t>
      </w:r>
      <w:bookmarkEnd w:id="278"/>
      <w:r>
        <w:rPr>
          <w:color w:val="000000"/>
          <w:spacing w:val="0"/>
          <w:w w:val="100"/>
          <w:position w:val="0"/>
        </w:rPr>
        <w:t>、</w:t>
        <w:tab/>
        <w:t>报告期内召开的年度股东大会和临时股东大会的有关情况</w:t>
      </w:r>
      <w:bookmarkEnd w:id="276"/>
      <w:bookmarkEnd w:id="277"/>
      <w:bookmarkEnd w:id="279"/>
    </w:p>
    <w:p>
      <w:pPr>
        <w:pStyle w:val="Style29"/>
        <w:keepNext/>
        <w:keepLines/>
        <w:widowControl w:val="0"/>
        <w:shd w:val="clear" w:color="auto" w:fill="auto"/>
        <w:bidi w:val="0"/>
        <w:spacing w:before="0" w:after="30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、本报告期股东大会情况</w:t>
      </w:r>
      <w:bookmarkEnd w:id="280"/>
      <w:bookmarkEnd w:id="281"/>
      <w:bookmarkEnd w:id="283"/>
    </w:p>
    <w:tbl>
      <w:tblPr>
        <w:tblOverlap w:val="never"/>
        <w:jc w:val="center"/>
        <w:tblLayout w:type="fixed"/>
      </w:tblPr>
      <w:tblGrid>
        <w:gridCol w:w="1603"/>
        <w:gridCol w:w="1238"/>
        <w:gridCol w:w="1416"/>
        <w:gridCol w:w="850"/>
        <w:gridCol w:w="850"/>
        <w:gridCol w:w="362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审议通过《关于控股子公司向中信银行股份有 限公司南京分行申请综合授信额度及公司为 其提供担保的议案》。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审议通过《关于增加公司经营范围及修订公司 章程的议案》。</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度监事会工作报告》、《公司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w:t>
            </w:r>
          </w:p>
        </w:tc>
      </w:tr>
    </w:tbl>
    <w:p>
      <w:pPr>
        <w:spacing w:lineRule="exact" w:line="1"/>
        <w:rPr>
          <w:sz w:val="2"/>
          <w:szCs w:val="2"/>
        </w:rPr>
      </w:pPr>
      <w:r>
        <w:br w:type="page"/>
      </w:r>
    </w:p>
    <w:tbl>
      <w:tblPr>
        <w:tblOverlap w:val="never"/>
        <w:jc w:val="center"/>
        <w:tblLayout w:type="fixed"/>
      </w:tblPr>
      <w:tblGrid>
        <w:gridCol w:w="1603"/>
        <w:gridCol w:w="1238"/>
        <w:gridCol w:w="1416"/>
        <w:gridCol w:w="850"/>
        <w:gridCol w:w="850"/>
        <w:gridCol w:w="362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算报告》、《公司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年度利润分配预案》、《关 于未来三年（</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年）股东回报规划的 议案》、《关于未弥补亏损达到实收股本总额三 分之一的议案》、《关于控股子公司向南京银行 股份有限公司南京金融城支行申请基本授信 额度及公司为其提供担保的议案》。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审议通过《关于选举公司独立董事的议案》、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《关于向控股股东借款暨关联交易的议案》。</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审议通过《关于续聘会计师事务所的议案》、</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《关于控股子公司向公司控股股东借款暨关</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联交易的议案》。</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、表决权恢复的优先股股东请求召开临时股东大会</w:t>
      </w:r>
      <w:bookmarkEnd w:id="284"/>
      <w:bookmarkEnd w:id="285"/>
      <w:bookmarkEnd w:id="28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五</w:t>
      </w:r>
      <w:bookmarkEnd w:id="290"/>
      <w:r>
        <w:rPr>
          <w:color w:val="000000"/>
          <w:spacing w:val="0"/>
          <w:w w:val="100"/>
          <w:position w:val="0"/>
        </w:rPr>
        <w:t>、董事、监事和高级管理人员情况</w:t>
      </w:r>
      <w:bookmarkEnd w:id="288"/>
      <w:bookmarkEnd w:id="289"/>
      <w:bookmarkEnd w:id="291"/>
    </w:p>
    <w:p>
      <w:pPr>
        <w:pStyle w:val="Style29"/>
        <w:keepNext/>
        <w:keepLines/>
        <w:widowControl w:val="0"/>
        <w:shd w:val="clear" w:color="auto" w:fill="auto"/>
        <w:bidi w:val="0"/>
        <w:spacing w:before="0" w:after="32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、基本情况</w:t>
      </w:r>
      <w:bookmarkEnd w:id="292"/>
      <w:bookmarkEnd w:id="293"/>
      <w:bookmarkEnd w:id="295"/>
    </w:p>
    <w:tbl>
      <w:tblPr>
        <w:tblOverlap w:val="never"/>
        <w:jc w:val="center"/>
        <w:tblLayout w:type="fixed"/>
      </w:tblPr>
      <w:tblGrid>
        <w:gridCol w:w="739"/>
        <w:gridCol w:w="1253"/>
        <w:gridCol w:w="566"/>
        <w:gridCol w:w="566"/>
        <w:gridCol w:w="557"/>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0"/>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股数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0"/>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迟维君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吕功华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5,499,20</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资金需 求减持。</w:t>
            </w:r>
          </w:p>
        </w:tc>
      </w:tr>
    </w:tbl>
    <w:p>
      <w:pPr>
        <w:spacing w:lineRule="exact" w:line="1"/>
        <w:rPr>
          <w:sz w:val="2"/>
          <w:szCs w:val="2"/>
        </w:rPr>
      </w:pPr>
      <w:r>
        <w:br w:type="page"/>
      </w:r>
    </w:p>
    <w:tbl>
      <w:tblPr>
        <w:tblOverlap w:val="never"/>
        <w:jc w:val="center"/>
        <w:tblLayout w:type="fixed"/>
      </w:tblPr>
      <w:tblGrid>
        <w:gridCol w:w="739"/>
        <w:gridCol w:w="1253"/>
        <w:gridCol w:w="566"/>
        <w:gridCol w:w="566"/>
        <w:gridCol w:w="557"/>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姚科辉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王连宏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易欢欢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华建强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 书、副总经理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袁训明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齐轩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王思邈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程启北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陈道军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1253"/>
        <w:gridCol w:w="566"/>
        <w:gridCol w:w="566"/>
        <w:gridCol w:w="557"/>
        <w:gridCol w:w="734"/>
        <w:gridCol w:w="739"/>
        <w:gridCol w:w="734"/>
        <w:gridCol w:w="734"/>
        <w:gridCol w:w="739"/>
        <w:gridCol w:w="734"/>
        <w:gridCol w:w="734"/>
        <w:gridCol w:w="74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546"/>
        <w:gridCol w:w="404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因工作变动原因提请辞去公司总经理职务。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因工作变动原因提请辞去公司董事会秘书职务。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因工作变动原因提请辞去公司职工代表监事职务。</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widowControl w:val="0"/>
        <w:spacing w:after="259" w:line="1" w:lineRule="exact"/>
      </w:pPr>
    </w:p>
    <w:p>
      <w:pPr>
        <w:pStyle w:val="Style29"/>
        <w:keepNext/>
        <w:keepLines/>
        <w:widowControl w:val="0"/>
        <w:shd w:val="clear" w:color="auto" w:fill="auto"/>
        <w:bidi w:val="0"/>
        <w:spacing w:before="0" w:after="260" w:line="314" w:lineRule="exact"/>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、任职情况</w:t>
      </w:r>
      <w:bookmarkEnd w:id="296"/>
      <w:bookmarkEnd w:id="297"/>
      <w:bookmarkEnd w:id="299"/>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42"/>
        <w:keepNext w:val="0"/>
        <w:keepLines w:val="0"/>
        <w:widowControl w:val="0"/>
        <w:shd w:val="clear" w:color="auto" w:fill="auto"/>
        <w:bidi w:val="0"/>
        <w:spacing w:before="0" w:line="314" w:lineRule="exact"/>
        <w:ind w:left="0" w:right="0" w:firstLine="0"/>
        <w:jc w:val="left"/>
      </w:pPr>
      <w:bookmarkStart w:id="300" w:name="bookmark300"/>
      <w:r>
        <w:rPr>
          <w:color w:val="000000"/>
          <w:spacing w:val="0"/>
          <w:w w:val="100"/>
          <w:position w:val="0"/>
        </w:rPr>
        <w:t>（</w:t>
      </w:r>
      <w:bookmarkEnd w:id="300"/>
      <w:r>
        <w:rPr>
          <w:color w:val="000000"/>
          <w:spacing w:val="0"/>
          <w:w w:val="100"/>
          <w:position w:val="0"/>
        </w:rPr>
        <w:t>一）现任董事主要工作经历</w:t>
      </w:r>
    </w:p>
    <w:p>
      <w:pPr>
        <w:pStyle w:val="Style18"/>
        <w:keepNext w:val="0"/>
        <w:keepLines w:val="0"/>
        <w:widowControl w:val="0"/>
        <w:shd w:val="clear" w:color="auto" w:fill="auto"/>
        <w:tabs>
          <w:tab w:pos="663" w:val="left"/>
        </w:tabs>
        <w:bidi w:val="0"/>
        <w:spacing w:before="0" w:after="40" w:line="314" w:lineRule="exact"/>
        <w:ind w:left="0" w:right="0"/>
        <w:jc w:val="both"/>
      </w:pPr>
      <w:bookmarkStart w:id="301" w:name="bookmark301"/>
      <w:r>
        <w:rPr>
          <w:rFonts w:ascii="Times New Roman" w:eastAsia="Times New Roman" w:hAnsi="Times New Roman" w:cs="Times New Roman"/>
          <w:color w:val="000000"/>
          <w:spacing w:val="0"/>
          <w:w w:val="100"/>
          <w:position w:val="0"/>
          <w:sz w:val="18"/>
          <w:szCs w:val="18"/>
        </w:rPr>
        <w:t>1</w:t>
      </w:r>
      <w:bookmarkEnd w:id="301"/>
      <w:r>
        <w:rPr>
          <w:color w:val="000000"/>
          <w:spacing w:val="0"/>
          <w:w w:val="100"/>
          <w:position w:val="0"/>
        </w:rPr>
        <w:t>、</w:t>
        <w:tab/>
        <w:t>王永彬先生，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年生，中国国籍，无境外永久居留权，工学博士，高级工程师职称。现任良运集团有限公司担任 董事长、经理，大连永利商务发展有限公司执行董事，开店宝科技集团有限公司、深圳亚联大数据科技发展有限公司、大连 富良投资有限公司董事长，键桥通讯技术有限公司、大连农村商业银行股份有限公司、中国华粮物流集团北良有限公司、大 连国运房地产开发有限公司董事等。王永彬先生于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月加入本公司，现担任本公司董事长，为本公司实际控制人。</w:t>
      </w:r>
    </w:p>
    <w:p>
      <w:pPr>
        <w:pStyle w:val="Style18"/>
        <w:keepNext w:val="0"/>
        <w:keepLines w:val="0"/>
        <w:widowControl w:val="0"/>
        <w:shd w:val="clear" w:color="auto" w:fill="auto"/>
        <w:bidi w:val="0"/>
        <w:spacing w:before="0" w:after="40" w:line="312" w:lineRule="exact"/>
        <w:ind w:left="0" w:right="0"/>
        <w:jc w:val="both"/>
      </w:pPr>
      <w:bookmarkStart w:id="302" w:name="bookmark302"/>
      <w:r>
        <w:rPr>
          <w:rFonts w:ascii="Times New Roman" w:eastAsia="Times New Roman" w:hAnsi="Times New Roman" w:cs="Times New Roman"/>
          <w:color w:val="000000"/>
          <w:spacing w:val="0"/>
          <w:w w:val="100"/>
          <w:position w:val="0"/>
          <w:sz w:val="18"/>
          <w:szCs w:val="18"/>
        </w:rPr>
        <w:t>2</w:t>
      </w:r>
      <w:bookmarkEnd w:id="302"/>
      <w:r>
        <w:rPr>
          <w:color w:val="000000"/>
          <w:spacing w:val="0"/>
          <w:w w:val="100"/>
          <w:position w:val="0"/>
        </w:rPr>
        <w:t>、 姚科辉先生，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年生，中国国籍，无境外永久居留权，本科学历，中国注册会计师，律师。曾任大华会计师事务 所（特殊普通合伙）大连分所高级经理、大连旅顺国汇小额贷款股份有限公司风控总监、大连名泽投资管理有限公司监事， 现任深圳精一投资管理有限公司、正基科技发展（深圳）有限公司董事，玉品天下（深圳）实业发展有限公司监事。姚科辉 先生自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月起担任本公司董事。</w:t>
      </w:r>
    </w:p>
    <w:p>
      <w:pPr>
        <w:pStyle w:val="Style18"/>
        <w:keepNext w:val="0"/>
        <w:keepLines w:val="0"/>
        <w:widowControl w:val="0"/>
        <w:shd w:val="clear" w:color="auto" w:fill="auto"/>
        <w:tabs>
          <w:tab w:pos="672" w:val="left"/>
        </w:tabs>
        <w:bidi w:val="0"/>
        <w:spacing w:before="0" w:after="40" w:line="313" w:lineRule="exact"/>
        <w:ind w:left="0" w:right="0"/>
        <w:jc w:val="both"/>
      </w:pPr>
      <w:bookmarkStart w:id="303" w:name="bookmark303"/>
      <w:r>
        <w:rPr>
          <w:rFonts w:ascii="Times New Roman" w:eastAsia="Times New Roman" w:hAnsi="Times New Roman" w:cs="Times New Roman"/>
          <w:color w:val="000000"/>
          <w:spacing w:val="0"/>
          <w:w w:val="100"/>
          <w:position w:val="0"/>
          <w:sz w:val="18"/>
          <w:szCs w:val="18"/>
        </w:rPr>
        <w:t>3</w:t>
      </w:r>
      <w:bookmarkEnd w:id="303"/>
      <w:r>
        <w:rPr>
          <w:color w:val="000000"/>
          <w:spacing w:val="0"/>
          <w:w w:val="100"/>
          <w:position w:val="0"/>
        </w:rPr>
        <w:t>、</w:t>
        <w:tab/>
        <w:t>易欢欢先生，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年生，中国国籍，无境外永久居留权，北京大学通信与信息系统硕士。曾任甲骨文（中国）战略 咨询部高级经理，国金证券研究部执行总经理、计算机与互联网行业首席分析师，申万宏源证券董事总经理、研究所执行所 长。现任开店宝科技集团有限公司、徐州淮海数据交换服务有限公司董事，汉威科技集团股份有限公司独立董事，兼任北京 大学金融校友联合会副会长，中国人民银行金融研究所互联网中心副秘书长，中国保险行业协会互联网分会副秘书长，中国 证券业协会互联网专家委员，中国青年企业家协会常务理事。易欢欢先生自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月起担任本公司董事。</w:t>
      </w:r>
    </w:p>
    <w:p>
      <w:pPr>
        <w:pStyle w:val="Style18"/>
        <w:keepNext w:val="0"/>
        <w:keepLines w:val="0"/>
        <w:widowControl w:val="0"/>
        <w:shd w:val="clear" w:color="auto" w:fill="auto"/>
        <w:tabs>
          <w:tab w:pos="663" w:val="left"/>
        </w:tabs>
        <w:bidi w:val="0"/>
        <w:spacing w:before="0" w:after="40" w:line="316" w:lineRule="exact"/>
        <w:ind w:left="0" w:right="0"/>
        <w:jc w:val="both"/>
      </w:pPr>
      <w:bookmarkStart w:id="304" w:name="bookmark304"/>
      <w:r>
        <w:rPr>
          <w:rFonts w:ascii="Times New Roman" w:eastAsia="Times New Roman" w:hAnsi="Times New Roman" w:cs="Times New Roman"/>
          <w:color w:val="000000"/>
          <w:spacing w:val="0"/>
          <w:w w:val="100"/>
          <w:position w:val="0"/>
          <w:sz w:val="18"/>
          <w:szCs w:val="18"/>
        </w:rPr>
        <w:t>4</w:t>
      </w:r>
      <w:bookmarkEnd w:id="304"/>
      <w:r>
        <w:rPr>
          <w:color w:val="000000"/>
          <w:spacing w:val="0"/>
          <w:w w:val="100"/>
          <w:position w:val="0"/>
        </w:rPr>
        <w:t>、</w:t>
        <w:tab/>
        <w:t>王连宏先生，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年生，中国国籍，无境外永久居留权，大连理工大学计算力学硕士，清华大学经管学院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color w:val="000000"/>
          <w:spacing w:val="0"/>
          <w:w w:val="100"/>
          <w:position w:val="0"/>
        </w:rPr>
        <w:t>曾任大连人寿保险股份有限公司五一广场营销部经理，中保人寿大连分公司业务管理处副处长，中国人寿大连分公司客户服 务部经理，中国人寿大连分公司信息技术处处长，新华人寿保险公司大连分公司总经理助理，新华人寿保险公司辽宁分公司 副总经理，生命人寿保险股份有限公司大连分公司总经理，富德生命人寿保险股份有限公司北京分公司总经理，生命人寿保 险股份有限公司总裁助理，现任富德保险销售有限公司董事长。王连宏先生自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月起担任本公司董事。</w:t>
      </w:r>
    </w:p>
    <w:p>
      <w:pPr>
        <w:pStyle w:val="Style18"/>
        <w:keepNext w:val="0"/>
        <w:keepLines w:val="0"/>
        <w:widowControl w:val="0"/>
        <w:shd w:val="clear" w:color="auto" w:fill="auto"/>
        <w:tabs>
          <w:tab w:pos="312" w:val="left"/>
        </w:tabs>
        <w:bidi w:val="0"/>
        <w:spacing w:before="0" w:after="40" w:line="313" w:lineRule="exact"/>
        <w:ind w:left="0" w:right="0"/>
        <w:jc w:val="both"/>
      </w:pPr>
      <w:bookmarkStart w:id="305" w:name="bookmark305"/>
      <w:r>
        <w:rPr>
          <w:rFonts w:ascii="Times New Roman" w:eastAsia="Times New Roman" w:hAnsi="Times New Roman" w:cs="Times New Roman"/>
          <w:color w:val="000000"/>
          <w:spacing w:val="0"/>
          <w:w w:val="100"/>
          <w:position w:val="0"/>
          <w:sz w:val="18"/>
          <w:szCs w:val="18"/>
        </w:rPr>
        <w:t>5</w:t>
      </w:r>
      <w:bookmarkEnd w:id="305"/>
      <w:r>
        <w:rPr>
          <w:color w:val="000000"/>
          <w:spacing w:val="0"/>
          <w:w w:val="100"/>
          <w:position w:val="0"/>
        </w:rPr>
        <w:t>、</w:t>
        <w:tab/>
        <w:t>薛璞先生，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 xml:space="preserve">年生，中国国籍，无境外永久居留权，理学硕士。曾任大连市商业委员会改革处主任科员，大连双 </w:t>
      </w:r>
      <w:r>
        <w:rPr>
          <w:color w:val="000000"/>
          <w:spacing w:val="0"/>
          <w:w w:val="100"/>
          <w:position w:val="0"/>
        </w:rPr>
        <w:t>兴商品城有限公司总经理助理，大连良运集团有限公司、大连富良投资有限公司董事会秘书。现任良运集团有限公司、大连 国运房地产开发有限公司、大连华歌时代传媒股份有限公司、大连良运大酒店有限公司董事，骑域国际马术俱乐部（北京） 有限公司、郑州良运粮食口岸发展有限公司执行董事，大连荣华商业管理咨询有限公司执行董事、经理，大连永利商务发展 有限公司经理，大连北方国际粮食物流股份有限公司董事会秘书等。</w:t>
      </w:r>
    </w:p>
    <w:p>
      <w:pPr>
        <w:pStyle w:val="Style18"/>
        <w:keepNext w:val="0"/>
        <w:keepLines w:val="0"/>
        <w:widowControl w:val="0"/>
        <w:shd w:val="clear" w:color="auto" w:fill="auto"/>
        <w:bidi w:val="0"/>
        <w:spacing w:before="0" w:after="40" w:line="314" w:lineRule="exact"/>
        <w:ind w:left="0" w:right="0"/>
        <w:jc w:val="both"/>
      </w:pPr>
      <w:bookmarkStart w:id="306" w:name="bookmark306"/>
      <w:r>
        <w:rPr>
          <w:rFonts w:ascii="Times New Roman" w:eastAsia="Times New Roman" w:hAnsi="Times New Roman" w:cs="Times New Roman"/>
          <w:color w:val="000000"/>
          <w:spacing w:val="0"/>
          <w:w w:val="100"/>
          <w:position w:val="0"/>
          <w:sz w:val="18"/>
          <w:szCs w:val="18"/>
        </w:rPr>
        <w:t>6</w:t>
      </w:r>
      <w:bookmarkEnd w:id="306"/>
      <w:r>
        <w:rPr>
          <w:color w:val="000000"/>
          <w:spacing w:val="0"/>
          <w:w w:val="100"/>
          <w:position w:val="0"/>
        </w:rPr>
        <w:t>、 丁建臣先生，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年生，中国国籍，无境外永久居留权，经济学博士。曾任中国金融学院成教处副处长，中国金融 学院培训中心主任，华斯控股股份有限公司独立董事。现任对外经济贸易大学金融学院教授，博士生导师，金陵华软科技股 份有限公司、厦门华侨电子股份有限公司、光大永明人寿保险有限公司独立董事，北京麦克瑞企业管理有限公司执行董事、 经理。</w:t>
      </w:r>
    </w:p>
    <w:p>
      <w:pPr>
        <w:pStyle w:val="Style18"/>
        <w:keepNext w:val="0"/>
        <w:keepLines w:val="0"/>
        <w:widowControl w:val="0"/>
        <w:shd w:val="clear" w:color="auto" w:fill="auto"/>
        <w:bidi w:val="0"/>
        <w:spacing w:before="0" w:after="40" w:line="317" w:lineRule="exact"/>
        <w:ind w:left="0" w:right="0"/>
        <w:jc w:val="both"/>
      </w:pPr>
      <w:bookmarkStart w:id="307" w:name="bookmark307"/>
      <w:r>
        <w:rPr>
          <w:rFonts w:ascii="Times New Roman" w:eastAsia="Times New Roman" w:hAnsi="Times New Roman" w:cs="Times New Roman"/>
          <w:color w:val="000000"/>
          <w:spacing w:val="0"/>
          <w:w w:val="100"/>
          <w:position w:val="0"/>
          <w:sz w:val="18"/>
          <w:szCs w:val="18"/>
        </w:rPr>
        <w:t>7</w:t>
      </w:r>
      <w:bookmarkEnd w:id="307"/>
      <w:r>
        <w:rPr>
          <w:color w:val="000000"/>
          <w:spacing w:val="0"/>
          <w:w w:val="100"/>
          <w:position w:val="0"/>
        </w:rPr>
        <w:t>、 傅荣女士，</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年生，中国国籍，无境外永久居留权，工商管理（财务管理）博士，东北财经大学教授（会计专业）。 曾任辽宁港口股份有限公司独立监事，中国会计学会会计基础理论专业委员会委员，广州商学院客座教授，现任大连财经学 院外聘教授。傅荣女士自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月起担任本公司独立董事。</w:t>
      </w:r>
    </w:p>
    <w:p>
      <w:pPr>
        <w:pStyle w:val="Style18"/>
        <w:keepNext w:val="0"/>
        <w:keepLines w:val="0"/>
        <w:widowControl w:val="0"/>
        <w:shd w:val="clear" w:color="auto" w:fill="auto"/>
        <w:tabs>
          <w:tab w:pos="649" w:val="left"/>
        </w:tabs>
        <w:bidi w:val="0"/>
        <w:spacing w:before="0" w:after="40" w:line="317" w:lineRule="exact"/>
        <w:ind w:left="0" w:right="0"/>
        <w:jc w:val="both"/>
      </w:pPr>
      <w:bookmarkStart w:id="308" w:name="bookmark308"/>
      <w:r>
        <w:rPr>
          <w:rFonts w:ascii="Times New Roman" w:eastAsia="Times New Roman" w:hAnsi="Times New Roman" w:cs="Times New Roman"/>
          <w:color w:val="000000"/>
          <w:spacing w:val="0"/>
          <w:w w:val="100"/>
          <w:position w:val="0"/>
          <w:sz w:val="18"/>
          <w:szCs w:val="18"/>
        </w:rPr>
        <w:t>8</w:t>
      </w:r>
      <w:bookmarkEnd w:id="308"/>
      <w:r>
        <w:rPr>
          <w:color w:val="000000"/>
          <w:spacing w:val="0"/>
          <w:w w:val="100"/>
          <w:position w:val="0"/>
        </w:rPr>
        <w:t>、</w:t>
        <w:tab/>
        <w:t>迟维君先生，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年生，中国国籍，无境外永久居留权，本科学历。曾任工商银行大连市甘井子支行副行长、工商 银行大连市沙河口支行行长、工商银行大连市分行行长、工商银行内审直属分局副局长。迟维君先生自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月起担任本 公司独立董事。</w:t>
      </w:r>
    </w:p>
    <w:p>
      <w:pPr>
        <w:pStyle w:val="Style18"/>
        <w:keepNext w:val="0"/>
        <w:keepLines w:val="0"/>
        <w:widowControl w:val="0"/>
        <w:shd w:val="clear" w:color="auto" w:fill="auto"/>
        <w:tabs>
          <w:tab w:pos="654" w:val="left"/>
        </w:tabs>
        <w:bidi w:val="0"/>
        <w:spacing w:before="0" w:after="40" w:line="310" w:lineRule="exact"/>
        <w:ind w:left="0" w:right="0"/>
        <w:jc w:val="both"/>
      </w:pPr>
      <w:bookmarkStart w:id="309" w:name="bookmark309"/>
      <w:r>
        <w:rPr>
          <w:rFonts w:ascii="Times New Roman" w:eastAsia="Times New Roman" w:hAnsi="Times New Roman" w:cs="Times New Roman"/>
          <w:color w:val="000000"/>
          <w:spacing w:val="0"/>
          <w:w w:val="100"/>
          <w:position w:val="0"/>
          <w:sz w:val="18"/>
          <w:szCs w:val="18"/>
        </w:rPr>
        <w:t>9</w:t>
      </w:r>
      <w:bookmarkEnd w:id="309"/>
      <w:r>
        <w:rPr>
          <w:color w:val="000000"/>
          <w:spacing w:val="0"/>
          <w:w w:val="100"/>
          <w:position w:val="0"/>
        </w:rPr>
        <w:t>、</w:t>
        <w:tab/>
        <w:t>吕功华先生，</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年生，中国国籍，无境外永久居留权，本科学历。曾任工商银行大连信托投资公司经济师、部门 经理及总经理助理、工商银行大连市分行法律顾问、辽宁住邦律师事务所专职律师，现任上海君澜（大连）律师事务所专职 律师。吕功华先生自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月起担任本公司独立董事。</w:t>
      </w:r>
    </w:p>
    <w:p>
      <w:pPr>
        <w:pStyle w:val="Style42"/>
        <w:keepNext w:val="0"/>
        <w:keepLines w:val="0"/>
        <w:widowControl w:val="0"/>
        <w:shd w:val="clear" w:color="auto" w:fill="auto"/>
        <w:tabs>
          <w:tab w:pos="615" w:val="left"/>
        </w:tabs>
        <w:bidi w:val="0"/>
        <w:spacing w:before="0" w:line="316" w:lineRule="exact"/>
        <w:ind w:left="0" w:right="0" w:firstLine="0"/>
        <w:jc w:val="left"/>
      </w:pPr>
      <w:bookmarkStart w:id="310" w:name="bookmark310"/>
      <w:r>
        <w:rPr>
          <w:color w:val="000000"/>
          <w:spacing w:val="0"/>
          <w:w w:val="100"/>
          <w:position w:val="0"/>
        </w:rPr>
        <w:t>（</w:t>
      </w:r>
      <w:bookmarkEnd w:id="310"/>
      <w:r>
        <w:rPr>
          <w:color w:val="000000"/>
          <w:spacing w:val="0"/>
          <w:w w:val="100"/>
          <w:position w:val="0"/>
        </w:rPr>
        <w:t>二）</w:t>
        <w:tab/>
        <w:t>现任监事主要工作经历</w:t>
      </w:r>
    </w:p>
    <w:p>
      <w:pPr>
        <w:pStyle w:val="Style18"/>
        <w:keepNext w:val="0"/>
        <w:keepLines w:val="0"/>
        <w:widowControl w:val="0"/>
        <w:shd w:val="clear" w:color="auto" w:fill="auto"/>
        <w:bidi w:val="0"/>
        <w:spacing w:before="0" w:after="40" w:line="316" w:lineRule="exact"/>
        <w:ind w:left="0" w:right="0"/>
        <w:jc w:val="both"/>
      </w:pPr>
      <w:bookmarkStart w:id="311" w:name="bookmark311"/>
      <w:r>
        <w:rPr>
          <w:rFonts w:ascii="Times New Roman" w:eastAsia="Times New Roman" w:hAnsi="Times New Roman" w:cs="Times New Roman"/>
          <w:color w:val="000000"/>
          <w:spacing w:val="0"/>
          <w:w w:val="100"/>
          <w:position w:val="0"/>
          <w:sz w:val="18"/>
          <w:szCs w:val="18"/>
        </w:rPr>
        <w:t>1</w:t>
      </w:r>
      <w:bookmarkEnd w:id="311"/>
      <w:r>
        <w:rPr>
          <w:color w:val="000000"/>
          <w:spacing w:val="0"/>
          <w:w w:val="100"/>
          <w:position w:val="0"/>
        </w:rPr>
        <w:t>、 袁训明先生，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年生，中国国籍，无境外永久居留权，通信与电子系统硕士，清华大学深圳研究生院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，电 子信息高级工程师。曾任职于信息产业部电子五十四研究所、深圳市数字传输工程技术研发中心。现任南京凌云科技发展有 限公司董事长，深圳市德威普软件技术有限公司、湖南键桥通讯技术有限公司执行董事、总经理，东莞键桥通讯技术有限公 司执行董事、经理，广州键桥技术有限公司、深圳键桥华能通讯技术有限公司、深圳键桥轨道交通有限公司、深圳键桥智能 技术有限公司监事，深圳市专家人才联合会理事。袁训明先生于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月加入本公司，现担任本公司总工程师，自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月起担任本公司监事。</w:t>
      </w:r>
    </w:p>
    <w:p>
      <w:pPr>
        <w:pStyle w:val="Style18"/>
        <w:keepNext w:val="0"/>
        <w:keepLines w:val="0"/>
        <w:widowControl w:val="0"/>
        <w:shd w:val="clear" w:color="auto" w:fill="auto"/>
        <w:tabs>
          <w:tab w:pos="644" w:val="left"/>
        </w:tabs>
        <w:bidi w:val="0"/>
        <w:spacing w:before="0" w:after="40" w:line="312" w:lineRule="exact"/>
        <w:ind w:left="0" w:right="0"/>
        <w:jc w:val="both"/>
      </w:pPr>
      <w:bookmarkStart w:id="312" w:name="bookmark312"/>
      <w:r>
        <w:rPr>
          <w:rFonts w:ascii="Times New Roman" w:eastAsia="Times New Roman" w:hAnsi="Times New Roman" w:cs="Times New Roman"/>
          <w:color w:val="000000"/>
          <w:spacing w:val="0"/>
          <w:w w:val="100"/>
          <w:position w:val="0"/>
          <w:sz w:val="18"/>
          <w:szCs w:val="18"/>
        </w:rPr>
        <w:t>2</w:t>
      </w:r>
      <w:bookmarkEnd w:id="312"/>
      <w:r>
        <w:rPr>
          <w:color w:val="000000"/>
          <w:spacing w:val="0"/>
          <w:w w:val="100"/>
          <w:position w:val="0"/>
        </w:rPr>
        <w:t>、</w:t>
        <w:tab/>
        <w:t>齐轩先生，</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年生，中国国籍，无境外永久居留权，国际金融学硕士。曾任职于北京艾亿新融资本管理有限公司、 蔷薇控股股份有限公司，曾任亚联投资（香港）有限公司、誉高信贷（香港）有限公司董事，现任广州亚联企业管理有限公 司监事。齐轩先生于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月加入本公司，现担任本公司监事、投资经理。</w:t>
      </w:r>
    </w:p>
    <w:p>
      <w:pPr>
        <w:pStyle w:val="Style18"/>
        <w:keepNext w:val="0"/>
        <w:keepLines w:val="0"/>
        <w:widowControl w:val="0"/>
        <w:shd w:val="clear" w:color="auto" w:fill="auto"/>
        <w:tabs>
          <w:tab w:pos="654" w:val="left"/>
        </w:tabs>
        <w:bidi w:val="0"/>
        <w:spacing w:before="0" w:after="40" w:line="319" w:lineRule="exact"/>
        <w:ind w:left="0" w:right="0"/>
        <w:jc w:val="both"/>
      </w:pPr>
      <w:bookmarkStart w:id="313" w:name="bookmark313"/>
      <w:r>
        <w:rPr>
          <w:rFonts w:ascii="Times New Roman" w:eastAsia="Times New Roman" w:hAnsi="Times New Roman" w:cs="Times New Roman"/>
          <w:color w:val="000000"/>
          <w:spacing w:val="0"/>
          <w:w w:val="100"/>
          <w:position w:val="0"/>
          <w:sz w:val="18"/>
          <w:szCs w:val="18"/>
        </w:rPr>
        <w:t>3</w:t>
      </w:r>
      <w:bookmarkEnd w:id="313"/>
      <w:r>
        <w:rPr>
          <w:color w:val="000000"/>
          <w:spacing w:val="0"/>
          <w:w w:val="100"/>
          <w:position w:val="0"/>
        </w:rPr>
        <w:t>、</w:t>
        <w:tab/>
        <w:t>赵娜女士，</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年生，中国国籍，无境外永久居留权，工商管理学硕士。曾任职于中国融资租赁有限公司，现任深 圳平和科技服务有限公司执行董事、总经理，大连亚联企业咨询有限公司监事。赵娜女士于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月加入本公司，现担任 本公司监事、内部审计部副经理。</w:t>
      </w:r>
    </w:p>
    <w:p>
      <w:pPr>
        <w:pStyle w:val="Style42"/>
        <w:keepNext w:val="0"/>
        <w:keepLines w:val="0"/>
        <w:widowControl w:val="0"/>
        <w:shd w:val="clear" w:color="auto" w:fill="auto"/>
        <w:tabs>
          <w:tab w:pos="615" w:val="left"/>
        </w:tabs>
        <w:bidi w:val="0"/>
        <w:spacing w:before="0"/>
        <w:ind w:left="0" w:right="0" w:firstLine="0"/>
        <w:jc w:val="left"/>
      </w:pPr>
      <w:bookmarkStart w:id="314" w:name="bookmark314"/>
      <w:r>
        <w:rPr>
          <w:color w:val="000000"/>
          <w:spacing w:val="0"/>
          <w:w w:val="100"/>
          <w:position w:val="0"/>
        </w:rPr>
        <w:t>（</w:t>
      </w:r>
      <w:bookmarkEnd w:id="314"/>
      <w:r>
        <w:rPr>
          <w:color w:val="000000"/>
          <w:spacing w:val="0"/>
          <w:w w:val="100"/>
          <w:position w:val="0"/>
        </w:rPr>
        <w:t>三）</w:t>
        <w:tab/>
        <w:t>现任高级管理人员主要工作经历</w:t>
      </w:r>
    </w:p>
    <w:p>
      <w:pPr>
        <w:pStyle w:val="Style18"/>
        <w:keepNext w:val="0"/>
        <w:keepLines w:val="0"/>
        <w:widowControl w:val="0"/>
        <w:shd w:val="clear" w:color="auto" w:fill="auto"/>
        <w:tabs>
          <w:tab w:pos="639" w:val="left"/>
        </w:tabs>
        <w:bidi w:val="0"/>
        <w:spacing w:before="0" w:after="40" w:line="314" w:lineRule="exact"/>
        <w:ind w:left="0" w:right="0"/>
        <w:jc w:val="both"/>
      </w:pPr>
      <w:bookmarkStart w:id="315" w:name="bookmark315"/>
      <w:r>
        <w:rPr>
          <w:rFonts w:ascii="Times New Roman" w:eastAsia="Times New Roman" w:hAnsi="Times New Roman" w:cs="Times New Roman"/>
          <w:color w:val="000000"/>
          <w:spacing w:val="0"/>
          <w:w w:val="100"/>
          <w:position w:val="0"/>
          <w:sz w:val="18"/>
          <w:szCs w:val="18"/>
        </w:rPr>
        <w:t>1</w:t>
      </w:r>
      <w:bookmarkEnd w:id="315"/>
      <w:r>
        <w:rPr>
          <w:color w:val="000000"/>
          <w:spacing w:val="0"/>
          <w:w w:val="100"/>
          <w:position w:val="0"/>
        </w:rPr>
        <w:t>、</w:t>
        <w:tab/>
        <w:t>余明先生，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年生，中国国籍，无境外永久居留权，经济学博士。曾分别在中国人民银行总行教育司、货币政策 司、办公厅等司局任职，后历任中国农业银行总行办公室副主任、主任，农业银行浙江省分行党委副书记、副行长，农业银 行纽约分行行长，美国中国总商会副会长。余明先生于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月加入本公司，现担任本公司总经理。</w:t>
      </w:r>
    </w:p>
    <w:p>
      <w:pPr>
        <w:pStyle w:val="Style18"/>
        <w:keepNext w:val="0"/>
        <w:keepLines w:val="0"/>
        <w:widowControl w:val="0"/>
        <w:shd w:val="clear" w:color="auto" w:fill="auto"/>
        <w:tabs>
          <w:tab w:pos="644" w:val="left"/>
        </w:tabs>
        <w:bidi w:val="0"/>
        <w:spacing w:before="0" w:after="40" w:line="317" w:lineRule="exact"/>
        <w:ind w:left="0" w:right="0"/>
        <w:jc w:val="both"/>
      </w:pPr>
      <w:bookmarkStart w:id="316" w:name="bookmark316"/>
      <w:r>
        <w:rPr>
          <w:rFonts w:ascii="Times New Roman" w:eastAsia="Times New Roman" w:hAnsi="Times New Roman" w:cs="Times New Roman"/>
          <w:color w:val="000000"/>
          <w:spacing w:val="0"/>
          <w:w w:val="100"/>
          <w:position w:val="0"/>
          <w:sz w:val="18"/>
          <w:szCs w:val="18"/>
        </w:rPr>
        <w:t>2</w:t>
      </w:r>
      <w:bookmarkEnd w:id="316"/>
      <w:r>
        <w:rPr>
          <w:color w:val="000000"/>
          <w:spacing w:val="0"/>
          <w:w w:val="100"/>
          <w:position w:val="0"/>
        </w:rPr>
        <w:t>、</w:t>
        <w:tab/>
        <w:t>程启北先生，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年生，中国国籍，无境外永久居留权，本科学历，清华大学深圳研究生院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曾任深圳市光桥 通信技术有限公司董事、总经理，深圳键桥轨道交通有限公司董事，现任深圳键桥华能通讯技术有限公司、深圳键桥智能技 术有限公司执行董事，无锡键桥电子科技有限公司监事。程启北先生于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月加入本公司，现担任本公司副总经理。</w:t>
      </w:r>
    </w:p>
    <w:p>
      <w:pPr>
        <w:pStyle w:val="Style18"/>
        <w:keepNext w:val="0"/>
        <w:keepLines w:val="0"/>
        <w:widowControl w:val="0"/>
        <w:shd w:val="clear" w:color="auto" w:fill="auto"/>
        <w:tabs>
          <w:tab w:pos="654" w:val="left"/>
        </w:tabs>
        <w:bidi w:val="0"/>
        <w:spacing w:before="0" w:after="140" w:line="313" w:lineRule="exact"/>
        <w:ind w:left="0" w:right="0"/>
        <w:jc w:val="both"/>
      </w:pPr>
      <w:bookmarkStart w:id="317" w:name="bookmark317"/>
      <w:r>
        <w:rPr>
          <w:rFonts w:ascii="Times New Roman" w:eastAsia="Times New Roman" w:hAnsi="Times New Roman" w:cs="Times New Roman"/>
          <w:color w:val="000000"/>
          <w:spacing w:val="0"/>
          <w:w w:val="100"/>
          <w:position w:val="0"/>
          <w:sz w:val="18"/>
          <w:szCs w:val="18"/>
        </w:rPr>
        <w:t>3</w:t>
      </w:r>
      <w:bookmarkEnd w:id="317"/>
      <w:r>
        <w:rPr>
          <w:color w:val="000000"/>
          <w:spacing w:val="0"/>
          <w:w w:val="100"/>
          <w:position w:val="0"/>
        </w:rPr>
        <w:t>、</w:t>
        <w:tab/>
        <w:t>李琳女士，</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年生，中国国籍，无境外永久居留权，经济学硕士，高级会计师、注册会计师、注册资产评估师。 曾任大连振邦氟涂料股份有限公司财务总监、副总经理，大连浩华会计师事务所有限公司副总经理，大连华锐重工铸钢股份 有限公司、大连华锐重工铸钢有限公司总会计师，中国融资租赁有限公司财务总监，现任开店宝科技集团有限公司董事、副 总经理，深圳盈华小额贷款有限公司、深圳亚联大数据科技发展有限公司、辽宁氟材料研究院有限公司监事。李琳女士于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月加入本公司，现担任本公司副总经理、内部审计部门负责人。</w:t>
      </w:r>
    </w:p>
    <w:p>
      <w:pPr>
        <w:pStyle w:val="Style18"/>
        <w:keepNext w:val="0"/>
        <w:keepLines w:val="0"/>
        <w:widowControl w:val="0"/>
        <w:shd w:val="clear" w:color="auto" w:fill="auto"/>
        <w:tabs>
          <w:tab w:pos="294" w:val="left"/>
        </w:tabs>
        <w:bidi w:val="0"/>
        <w:spacing w:before="0" w:after="60" w:line="360" w:lineRule="auto"/>
        <w:ind w:left="0" w:right="0"/>
        <w:jc w:val="both"/>
      </w:pPr>
      <w:bookmarkStart w:id="318" w:name="bookmark318"/>
      <w:r>
        <w:rPr>
          <w:rFonts w:ascii="Times New Roman" w:eastAsia="Times New Roman" w:hAnsi="Times New Roman" w:cs="Times New Roman"/>
          <w:color w:val="000000"/>
          <w:spacing w:val="0"/>
          <w:w w:val="100"/>
          <w:position w:val="0"/>
          <w:sz w:val="18"/>
          <w:szCs w:val="18"/>
        </w:rPr>
        <w:t>4</w:t>
      </w:r>
      <w:bookmarkEnd w:id="318"/>
      <w:r>
        <w:rPr>
          <w:color w:val="000000"/>
          <w:spacing w:val="0"/>
          <w:w w:val="100"/>
          <w:position w:val="0"/>
        </w:rPr>
        <w:t>、</w:t>
        <w:tab/>
        <w:t>陈道军先生，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年生，中国国籍，无境外永久居留权，本科学历，高级会计师。曾任美国康明斯（中国）投资有</w:t>
        <w:br w:type="page"/>
      </w:r>
      <w:r>
        <w:rPr>
          <w:color w:val="000000"/>
          <w:spacing w:val="0"/>
          <w:w w:val="100"/>
          <w:position w:val="0"/>
        </w:rPr>
        <w:t>限公司昆明公司财务经理，海航集团有限公司金融板块审计经理，海航集团财务有限公司稽核法律部经理，金海重工股份有 限公司财务总监、副总裁，深圳键桥轨道交通有限公司董事，大连亚联投资管理有限公司监事，现任开店宝科技集团有限公 司董事、财务总监。陈道军先生于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月加入本公司，现担任本公司财务总监。</w:t>
      </w:r>
    </w:p>
    <w:p>
      <w:pPr>
        <w:pStyle w:val="Style18"/>
        <w:keepNext w:val="0"/>
        <w:keepLines w:val="0"/>
        <w:widowControl w:val="0"/>
        <w:shd w:val="clear" w:color="auto" w:fill="auto"/>
        <w:bidi w:val="0"/>
        <w:spacing w:before="0" w:after="140" w:line="314" w:lineRule="exact"/>
        <w:ind w:left="0" w:right="0"/>
        <w:jc w:val="both"/>
      </w:pPr>
      <w:bookmarkStart w:id="319" w:name="bookmark319"/>
      <w:r>
        <w:rPr>
          <w:rFonts w:ascii="Times New Roman" w:eastAsia="Times New Roman" w:hAnsi="Times New Roman" w:cs="Times New Roman"/>
          <w:color w:val="000000"/>
          <w:spacing w:val="0"/>
          <w:w w:val="100"/>
          <w:position w:val="0"/>
          <w:sz w:val="18"/>
          <w:szCs w:val="18"/>
        </w:rPr>
        <w:t>5</w:t>
      </w:r>
      <w:bookmarkEnd w:id="319"/>
      <w:r>
        <w:rPr>
          <w:color w:val="000000"/>
          <w:spacing w:val="0"/>
          <w:w w:val="100"/>
          <w:position w:val="0"/>
        </w:rPr>
        <w:t>、王思邈女士，</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年生，中国国籍，无境外永久居留权，管理学硕士。曾任职于大通证券股份有限公司、辽宁信鼎 检测认证有限公司，曾任深圳亚联发展科技股份有限公司证券事务代表、监事、董事会秘书处总监等，现任广州亚联企业管 理有限公司执行董事、经理，大连亚联企业咨询有限公司执行董事、总经理，开店宝科技集团有限公司董事会秘书。王思邈 女士于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月加入本公司，现担任本公司董事会秘书。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323"/>
        <w:gridCol w:w="1421"/>
        <w:gridCol w:w="1771"/>
        <w:gridCol w:w="1349"/>
        <w:gridCol w:w="14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163"/>
        <w:gridCol w:w="1205"/>
        <w:gridCol w:w="1488"/>
        <w:gridCol w:w="1099"/>
        <w:gridCol w:w="138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大连富良投资有限公司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大连农村商业银行股份有限公司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大连北方国际粮食物流股份有限公司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中国华粮物流集团北良有限公司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大连国运房地产开发有限公司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俊贤有限公司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姚科辉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姚科辉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正基科技发展（深圳）有限公司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姚科辉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玉品天下（深圳）实业发展有限公司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易欢欢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徐州淮海数据交换服务有限公司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易欢欢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163"/>
        <w:gridCol w:w="1205"/>
        <w:gridCol w:w="1488"/>
        <w:gridCol w:w="1099"/>
        <w:gridCol w:w="1387"/>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易欢欢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北京千人互融信息技术有限公司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易欢欢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王连宏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富德保险销售有限公司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大连荣华商业管理咨询有限公司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良运（大连）新能源科技发展有限公司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大连俭汤旅游度假发展有限公司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长春市寅泰房地产开发有限公司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大连良运企业管理发展有限公司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大连良运欧宝超市管理有限公司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大连华歌时代传媒股份有限公司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大连良运大酒店有限公司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吉林省吉晟美家房地产开发有限公司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大连国运房地产开发有限公司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骑域国际马术俱乐部（北京）有限公司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良运集团景县生物工程有限公司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郑州良运粮食口岸发展有限公司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薛璞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大连北方国际粮食物流股份有限公司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丁建臣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对外经济贸易大学金融学院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丁建臣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金陵华软科技股份有限公司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丁建臣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厦门华侨电子股份有限公司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丁建臣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光大永明人寿保险有限公司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丁建臣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北京麦克瑞企业管理有限公司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傅荣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大连财经学院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外聘教授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吕功华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上海君澜（大连）律师事务所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袁训明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深圳平和科技服务有限公司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程启北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无锡键桥电子科技有限公司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深圳盈华小额贷款有限公司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辽宁氟材料研究院有限公司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、董事、监事、高级管理人员报酬情况</w:t>
      </w:r>
      <w:bookmarkEnd w:id="320"/>
      <w:bookmarkEnd w:id="321"/>
      <w:bookmarkEnd w:id="323"/>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tabs>
          <w:tab w:pos="825" w:val="left"/>
        </w:tabs>
        <w:bidi w:val="0"/>
        <w:spacing w:before="0" w:after="0" w:line="317" w:lineRule="exact"/>
        <w:ind w:left="0" w:right="0"/>
        <w:jc w:val="both"/>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董事、监事、高级管理人员报酬的决策程序</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公司董事、监事薪酬需经薪酬与考核委员会初审后提请董事会审议、股东会批准；高级管理人员薪酬与考核需经薪酬委 员会初审后提请董事会批准。决策程序符合《中华人民共和国公司法》、《公司章程》和《董事会薪酬与考核委员会工作细 则》的相关规定。</w:t>
      </w:r>
    </w:p>
    <w:p>
      <w:pPr>
        <w:pStyle w:val="Style18"/>
        <w:keepNext w:val="0"/>
        <w:keepLines w:val="0"/>
        <w:widowControl w:val="0"/>
        <w:shd w:val="clear" w:color="auto" w:fill="auto"/>
        <w:tabs>
          <w:tab w:pos="825" w:val="left"/>
        </w:tabs>
        <w:bidi w:val="0"/>
        <w:spacing w:before="0" w:after="0" w:line="317" w:lineRule="exact"/>
        <w:ind w:left="0" w:right="0"/>
        <w:jc w:val="both"/>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董事、监事、高级管理人员报酬的确定依据</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在公司任职的董事、监事、高级管理人员的年度薪酬参照行业平均薪酬水平，根据公司年度经营业绩及经营发展状况， 考虑岗位职责及工作业绩等因素确定。</w:t>
      </w:r>
    </w:p>
    <w:p>
      <w:pPr>
        <w:pStyle w:val="Style18"/>
        <w:keepNext w:val="0"/>
        <w:keepLines w:val="0"/>
        <w:widowControl w:val="0"/>
        <w:shd w:val="clear" w:color="auto" w:fill="auto"/>
        <w:tabs>
          <w:tab w:pos="825" w:val="left"/>
        </w:tabs>
        <w:bidi w:val="0"/>
        <w:spacing w:before="0" w:after="0" w:line="317" w:lineRule="exact"/>
        <w:ind w:left="0" w:right="0"/>
        <w:jc w:val="both"/>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董事、监事、高级管理人员报酬的实际支付</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非在公司任职的董事津贴为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月；独立董事津贴为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月；公司高级管理人员的薪酬严格按照决策程序与确 定依据支付。</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迟维君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吕功华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姚科辉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 书、副总经理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陈道军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六</w:t>
      </w:r>
      <w:bookmarkEnd w:id="329"/>
      <w:r>
        <w:rPr>
          <w:color w:val="000000"/>
          <w:spacing w:val="0"/>
          <w:w w:val="100"/>
          <w:position w:val="0"/>
        </w:rPr>
        <w:t>、报告期内董事履行职责的情况</w:t>
      </w:r>
      <w:bookmarkEnd w:id="327"/>
      <w:bookmarkEnd w:id="328"/>
      <w:bookmarkEnd w:id="330"/>
    </w:p>
    <w:p>
      <w:pPr>
        <w:pStyle w:val="Style29"/>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、本报告期董事会情况</w:t>
      </w:r>
      <w:bookmarkEnd w:id="331"/>
      <w:bookmarkEnd w:id="332"/>
      <w:bookmarkEnd w:id="334"/>
    </w:p>
    <w:tbl>
      <w:tblPr>
        <w:tblOverlap w:val="never"/>
        <w:jc w:val="center"/>
        <w:tblLayout w:type="fixed"/>
      </w:tblPr>
      <w:tblGrid>
        <w:gridCol w:w="1565"/>
        <w:gridCol w:w="994"/>
        <w:gridCol w:w="989"/>
        <w:gridCol w:w="60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第五届董事会第二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审议通过《</w:t>
            </w:r>
            <w:r>
              <w:rPr>
                <w:color w:val="000000"/>
                <w:spacing w:val="0"/>
                <w:w w:val="100"/>
                <w:position w:val="0"/>
                <w:sz w:val="18"/>
                <w:szCs w:val="18"/>
              </w:rPr>
              <w:t>〈</w:t>
            </w:r>
            <w:r>
              <w:rPr>
                <w:color w:val="000000"/>
                <w:spacing w:val="0"/>
                <w:w w:val="100"/>
                <w:position w:val="0"/>
              </w:rPr>
              <w:t>关于提高上市公司质量自查情况报告</w:t>
            </w:r>
            <w:r>
              <w:rPr>
                <w:color w:val="000000"/>
                <w:spacing w:val="0"/>
                <w:w w:val="100"/>
                <w:position w:val="0"/>
                <w:sz w:val="18"/>
                <w:szCs w:val="18"/>
              </w:rPr>
              <w:t>〉</w:t>
            </w:r>
            <w:r>
              <w:rPr>
                <w:color w:val="000000"/>
                <w:spacing w:val="0"/>
                <w:w w:val="100"/>
                <w:position w:val="0"/>
              </w:rPr>
              <w:t>的议案》、《关于控股子公 司向中信银行股份有限公司南京分行申请综合授信额度及公司为其提供担保 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年第一次临时股东大会的议案》。</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第五届董事会第二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审议通过《关于出售资产的议案》。</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第五届董事会第二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审议通过《关于增加公司经营范围及修订公司章程的议案》、《关于聘任公司 董事会秘书的议案》、《关于聘任公司证券事务代表的议案》、《关于修订</w:t>
            </w:r>
            <w:r>
              <w:rPr>
                <w:color w:val="000000"/>
                <w:spacing w:val="0"/>
                <w:w w:val="100"/>
                <w:position w:val="0"/>
                <w:sz w:val="18"/>
                <w:szCs w:val="18"/>
              </w:rPr>
              <w:t>〈</w:t>
            </w:r>
            <w:r>
              <w:rPr>
                <w:color w:val="000000"/>
                <w:spacing w:val="0"/>
                <w:w w:val="100"/>
                <w:position w:val="0"/>
              </w:rPr>
              <w:t>对外 担保管理办法</w:t>
            </w:r>
            <w:r>
              <w:rPr>
                <w:color w:val="000000"/>
                <w:spacing w:val="0"/>
                <w:w w:val="100"/>
                <w:position w:val="0"/>
                <w:sz w:val="18"/>
                <w:szCs w:val="18"/>
              </w:rPr>
              <w:t>〉</w:t>
            </w:r>
            <w:r>
              <w:rPr>
                <w:color w:val="000000"/>
                <w:spacing w:val="0"/>
                <w:w w:val="100"/>
                <w:position w:val="0"/>
              </w:rPr>
              <w:t>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年第二次临时股东大会的议案》。</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第五届董事会第三 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年度财务决算报告》、《公司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年度内部控制自我评价报告》、《关于 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年）股东回报规划的议案》、《关于计提资产减值准备和 信用减值准备的议案》、《关于未弥补亏损达到实收股本总额三分之一的议 案》、《关于会计政策变更的议案》、《公司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年第一季度报告及正文》、《关 于控股子公司向南京银行股份有限公司南京金融城支行申请基本授信额度及 公司为其提供担保的议案》、《关于修订</w:t>
            </w:r>
            <w:r>
              <w:rPr>
                <w:color w:val="000000"/>
                <w:spacing w:val="0"/>
                <w:w w:val="100"/>
                <w:position w:val="0"/>
                <w:sz w:val="18"/>
                <w:szCs w:val="18"/>
              </w:rPr>
              <w:t>〈</w:t>
            </w:r>
            <w:r>
              <w:rPr>
                <w:color w:val="000000"/>
                <w:spacing w:val="0"/>
                <w:w w:val="100"/>
                <w:position w:val="0"/>
              </w:rPr>
              <w:t>防范控股股东及关联方资金占用制 度</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信息披露事务管理制度</w:t>
            </w:r>
            <w:r>
              <w:rPr>
                <w:color w:val="000000"/>
                <w:spacing w:val="0"/>
                <w:w w:val="100"/>
                <w:position w:val="0"/>
                <w:sz w:val="18"/>
                <w:szCs w:val="18"/>
              </w:rPr>
              <w:t>〉</w:t>
            </w:r>
            <w:r>
              <w:rPr>
                <w:color w:val="000000"/>
                <w:spacing w:val="0"/>
                <w:w w:val="100"/>
                <w:position w:val="0"/>
              </w:rPr>
              <w:t>的议案》、《关于召开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审议通过《关于提名公司独立董事候选人的议案》、《关于向控股股东借款暨 关联交易的议案》、《关于召开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年第三次临时股东大会的议案》。</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审议通过《关于控股子公司的全资子公司转让北京即富天下科技有限公司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审议通过《关于聘任公司总经理的议案》。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审议通过《关于对全资子公司存续分立的议案》。</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年半年度报告及摘要》。根据深圳证券交易所有关规定， 免于披露。</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审议通过《关于控股子公司向公司控股股东借款暨关联交易的议案》。</w:t>
            </w:r>
          </w:p>
        </w:tc>
      </w:tr>
    </w:tbl>
    <w:p>
      <w:pPr>
        <w:spacing w:lineRule="exact" w:line="1"/>
        <w:rPr>
          <w:sz w:val="2"/>
          <w:szCs w:val="2"/>
        </w:rPr>
      </w:pPr>
      <w:r>
        <w:br w:type="page"/>
      </w:r>
    </w:p>
    <w:tbl>
      <w:tblPr>
        <w:tblOverlap w:val="never"/>
        <w:jc w:val="center"/>
        <w:tblLayout w:type="fixed"/>
      </w:tblPr>
      <w:tblGrid>
        <w:gridCol w:w="1565"/>
        <w:gridCol w:w="994"/>
        <w:gridCol w:w="989"/>
        <w:gridCol w:w="6034"/>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年第三季度报告》、《关于会计估计变更的议案》、《关于 续聘会计师事务所的议案》、《关于聘任公司副总经理的议案》、《关于调整公 司部分高级管理人员基本薪酬的议案》、《关于控股子公司向公司控股股东借 款暨关联交易的议案》、《关于召开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年第四次临时股东大会的议案》。</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第五届董事会第三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审议通过《关于转让大连亚联投资管理有限公司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股权的议案》、《关于控 股子公司向招商银行股份有限公司南京分行申请综合授信额度及公司为其提 供担保的议案》、《关于召开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年第一次临时股东大会的议案》。</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、董事出席董事会及股东大会的情况</w:t>
      </w:r>
      <w:bookmarkEnd w:id="335"/>
      <w:bookmarkEnd w:id="336"/>
      <w:bookmarkEnd w:id="338"/>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0"/>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姚科辉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傅荣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迟维君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吕功华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连续两次未亲自出席董事会的说明 无。</w:t>
      </w:r>
    </w:p>
    <w:p>
      <w:pPr>
        <w:pStyle w:val="Style29"/>
        <w:keepNext/>
        <w:keepLines/>
        <w:widowControl w:val="0"/>
        <w:shd w:val="clear" w:color="auto" w:fill="auto"/>
        <w:tabs>
          <w:tab w:pos="378" w:val="left"/>
        </w:tabs>
        <w:bidi w:val="0"/>
        <w:spacing w:before="0" w:after="2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3</w:t>
      </w:r>
      <w:bookmarkEnd w:id="341"/>
      <w:r>
        <w:rPr>
          <w:color w:val="000000"/>
          <w:spacing w:val="0"/>
          <w:w w:val="100"/>
          <w:position w:val="0"/>
        </w:rPr>
        <w:t>、</w:t>
        <w:tab/>
        <w:t>董事对公司有关事项提出异议的情况</w:t>
      </w:r>
      <w:bookmarkEnd w:id="339"/>
      <w:bookmarkEnd w:id="340"/>
      <w:bookmarkEnd w:id="34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4</w:t>
      </w:r>
      <w:bookmarkEnd w:id="345"/>
      <w:r>
        <w:rPr>
          <w:color w:val="000000"/>
          <w:spacing w:val="0"/>
          <w:w w:val="100"/>
          <w:position w:val="0"/>
        </w:rPr>
        <w:t>、</w:t>
        <w:tab/>
        <w:t>董事履行职责的其他说明</w:t>
      </w:r>
      <w:bookmarkEnd w:id="343"/>
      <w:bookmarkEnd w:id="344"/>
      <w:bookmarkEnd w:id="346"/>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报告期内，公司全体董事根据《公司法》、《上市公司治理准则》、《深圳证券交易所股票上市规则》和《公司章程》 等有关法律、法规及规范性文件的规定和要求，诚信、勤勉、尽责、忠实地履行职责，积极参与公司治理和决策活动，对公</w:t>
        <w:br w:type="page"/>
      </w:r>
      <w:r>
        <w:rPr>
          <w:color w:val="000000"/>
          <w:spacing w:val="0"/>
          <w:w w:val="100"/>
          <w:position w:val="0"/>
        </w:rPr>
        <w:t>司治理及经营发展决策等方面提出了专业性意见。独立董事对重大事项发表了独立意见，有效保证了公司董事会决策的公正 性和客观性。公司董事恪尽职守，勤勉尽职，努力维护了公司整体利益和广大中小股东的合法权益，为公司的规范运作和健 康发展发挥了积极作用。</w:t>
      </w:r>
    </w:p>
    <w:p>
      <w:pPr>
        <w:pStyle w:val="Style23"/>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七</w:t>
      </w:r>
      <w:bookmarkEnd w:id="349"/>
      <w:r>
        <w:rPr>
          <w:color w:val="000000"/>
          <w:spacing w:val="0"/>
          <w:w w:val="100"/>
          <w:position w:val="0"/>
        </w:rPr>
        <w:t>、董事会下设专门委员会在报告期内的情况</w:t>
      </w:r>
      <w:bookmarkEnd w:id="347"/>
      <w:bookmarkEnd w:id="348"/>
      <w:bookmarkEnd w:id="350"/>
    </w:p>
    <w:tbl>
      <w:tblPr>
        <w:tblOverlap w:val="never"/>
        <w:jc w:val="center"/>
        <w:tblLayout w:type="fixed"/>
      </w:tblPr>
      <w:tblGrid>
        <w:gridCol w:w="1200"/>
        <w:gridCol w:w="1642"/>
        <w:gridCol w:w="754"/>
        <w:gridCol w:w="1195"/>
        <w:gridCol w:w="1594"/>
        <w:gridCol w:w="994"/>
        <w:gridCol w:w="998"/>
        <w:gridCol w:w="120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召开会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提出的重要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意见和建议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140" w:right="0" w:hanging="140"/>
              <w:jc w:val="left"/>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65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报告期内，王永彬先 生担任战略委员会 主任委员，姚科辉先 生、黄喜胜先生、易 欢欢先生、华建强先 生担任战略委员会 委员。</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审议通过《关于控股 子公司的全资子公 司转让北京即富天 下科技有限公司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审议通过《关于对全 资子公司存续分立 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审议通过《关于转让 大连亚联投资管理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报告期内，傅荣女士 担任审计委员会主 任委员，迟维君先 生、王连宏先生担任 审计委员会委员。</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 审计事前沟通、与治 理层的沟通。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关于公司</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审计工作计 划进行沟 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3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审议通过《公司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 摘要》、《公司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 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度内部控制自我评 价报告》、《关于计提 资产减值准备和信 用减值准备的议 案》、《关于未弥补亏 损达到实收股本总 额三分之一的议 案》、《关于会计政策 变更的议案》、《公司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告及正文》、《关于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内部审计部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同意将相关 议案提交公 司董事会审 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378" w:right="1046" w:bottom="1383" w:left="1063"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31" w:bottom="1157" w:left="1126" w:header="0" w:footer="3" w:gutter="0"/>
          <w:cols w:space="720"/>
          <w:noEndnote/>
          <w:rtlGutter w:val="0"/>
          <w:docGrid w:linePitch="360"/>
        </w:sectPr>
      </w:pPr>
    </w:p>
    <w:tbl>
      <w:tblPr>
        <w:tblOverlap w:val="never"/>
        <w:jc w:val="left"/>
        <w:tblLayout w:type="fixed"/>
      </w:tblPr>
      <w:tblGrid>
        <w:gridCol w:w="1200"/>
        <w:gridCol w:w="1642"/>
        <w:gridCol w:w="754"/>
        <w:gridCol w:w="1205"/>
      </w:tblGrid>
      <w:tr>
        <w:trPr>
          <w:trHeight w:val="2549" w:hRule="exact"/>
        </w:trPr>
        <w:tc>
          <w:tcPr>
            <w:vMerge w:val="restart"/>
            <w:tcBorders>
              <w:top w:val="single" w:sz="4"/>
              <w:left w:val="single" w:sz="4"/>
            </w:tcBorders>
            <w:shd w:val="clear" w:color="auto" w:fill="FFFFFF"/>
            <w:vAlign w:val="top"/>
          </w:tcPr>
          <w:p>
            <w:pPr>
              <w:framePr w:w="4800" w:h="13800"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3800"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3800"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800" w:h="13800" w:wrap="none" w:vAnchor="text" w:hAnchor="page" w:x="1127" w:y="21"/>
              <w:widowControl w:val="0"/>
              <w:rPr>
                <w:sz w:val="10"/>
                <w:szCs w:val="10"/>
              </w:rPr>
            </w:pPr>
          </w:p>
        </w:tc>
      </w:tr>
      <w:tr>
        <w:trPr>
          <w:trHeight w:val="2275" w:hRule="exact"/>
        </w:trPr>
        <w:tc>
          <w:tcPr>
            <w:vMerge/>
            <w:tcBorders>
              <w:left w:val="single" w:sz="4"/>
            </w:tcBorders>
            <w:shd w:val="clear" w:color="auto" w:fill="FFFFFF"/>
            <w:vAlign w:val="top"/>
          </w:tcPr>
          <w:p>
            <w:pPr>
              <w:framePr w:w="4800" w:h="13800" w:wrap="none" w:vAnchor="text" w:hAnchor="page" w:x="1127" w:y="21"/>
            </w:pPr>
          </w:p>
        </w:tc>
        <w:tc>
          <w:tcPr>
            <w:vMerge/>
            <w:tcBorders>
              <w:left w:val="single" w:sz="4"/>
            </w:tcBorders>
            <w:shd w:val="clear" w:color="auto" w:fill="FFFFFF"/>
            <w:vAlign w:val="top"/>
          </w:tcPr>
          <w:p>
            <w:pPr>
              <w:framePr w:w="4800" w:h="13800" w:wrap="none" w:vAnchor="text" w:hAnchor="page" w:x="1127" w:y="21"/>
            </w:pPr>
          </w:p>
        </w:tc>
        <w:tc>
          <w:tcPr>
            <w:vMerge/>
            <w:tcBorders>
              <w:left w:val="single" w:sz="4"/>
            </w:tcBorders>
            <w:shd w:val="clear" w:color="auto" w:fill="FFFFFF"/>
            <w:vAlign w:val="top"/>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211" w:hRule="exact"/>
        </w:trPr>
        <w:tc>
          <w:tcPr>
            <w:vMerge/>
            <w:tcBorders>
              <w:left w:val="single" w:sz="4"/>
            </w:tcBorders>
            <w:shd w:val="clear" w:color="auto" w:fill="FFFFFF"/>
            <w:vAlign w:val="top"/>
          </w:tcPr>
          <w:p>
            <w:pPr>
              <w:framePr w:w="4800" w:h="13800" w:wrap="none" w:vAnchor="text" w:hAnchor="page" w:x="1127" w:y="21"/>
            </w:pPr>
          </w:p>
        </w:tc>
        <w:tc>
          <w:tcPr>
            <w:vMerge/>
            <w:tcBorders>
              <w:left w:val="single" w:sz="4"/>
            </w:tcBorders>
            <w:shd w:val="clear" w:color="auto" w:fill="FFFFFF"/>
            <w:vAlign w:val="top"/>
          </w:tcPr>
          <w:p>
            <w:pPr>
              <w:framePr w:w="4800" w:h="13800" w:wrap="none" w:vAnchor="text" w:hAnchor="page" w:x="1127" w:y="21"/>
            </w:pPr>
          </w:p>
        </w:tc>
        <w:tc>
          <w:tcPr>
            <w:vMerge/>
            <w:tcBorders>
              <w:left w:val="single" w:sz="4"/>
            </w:tcBorders>
            <w:shd w:val="clear" w:color="auto" w:fill="FFFFFF"/>
            <w:vAlign w:val="top"/>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339" w:hRule="exact"/>
        </w:trPr>
        <w:tc>
          <w:tcPr>
            <w:vMerge w:val="restart"/>
            <w:tcBorders>
              <w:top w:val="single" w:sz="4"/>
              <w:lef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314" w:lineRule="exact"/>
              <w:ind w:left="0" w:right="0" w:firstLine="0"/>
              <w:jc w:val="left"/>
            </w:pPr>
            <w:r>
              <w:rPr>
                <w:color w:val="000000"/>
                <w:spacing w:val="0"/>
                <w:w w:val="100"/>
                <w:position w:val="0"/>
              </w:rPr>
              <w:t>报告期内，吕功华先</w:t>
            </w:r>
          </w:p>
          <w:p>
            <w:pPr>
              <w:pStyle w:val="Style20"/>
              <w:keepNext w:val="0"/>
              <w:keepLines w:val="0"/>
              <w:framePr w:w="4800" w:h="13800" w:wrap="none" w:vAnchor="text" w:hAnchor="page" w:x="1127" w:y="21"/>
              <w:widowControl w:val="0"/>
              <w:shd w:val="clear" w:color="auto" w:fill="auto"/>
              <w:bidi w:val="0"/>
              <w:spacing w:before="0" w:after="0" w:line="314" w:lineRule="exact"/>
              <w:ind w:left="0" w:right="0" w:firstLine="0"/>
              <w:jc w:val="left"/>
            </w:pPr>
            <w:r>
              <w:rPr>
                <w:color w:val="000000"/>
                <w:spacing w:val="0"/>
                <w:w w:val="100"/>
                <w:position w:val="0"/>
              </w:rPr>
              <w:t>生担任提名委员会 主任委员，傅荣女 士、姚科辉先生担任 提名委员会委员。</w:t>
            </w:r>
          </w:p>
        </w:tc>
        <w:tc>
          <w:tcPr>
            <w:vMerge w:val="restart"/>
            <w:tcBorders>
              <w:top w:val="single" w:sz="4"/>
              <w:lef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1334"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1339"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1339"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薪酬与考核委</w:t>
            </w:r>
          </w:p>
        </w:tc>
        <w:tc>
          <w:tcPr>
            <w:tcBorders>
              <w:top w:val="single" w:sz="4"/>
              <w:left w:val="single" w:sz="4"/>
              <w:bottom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报告期内，迟维君先</w:t>
            </w:r>
          </w:p>
        </w:tc>
        <w:tc>
          <w:tcPr>
            <w:tcBorders>
              <w:top w:val="single" w:sz="4"/>
              <w:left w:val="single" w:sz="4"/>
              <w:bottom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0"/>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r>
    </w:tbl>
    <w:p>
      <w:pPr>
        <w:framePr w:w="4800" w:h="13800" w:wrap="none" w:vAnchor="text" w:hAnchor="page" w:x="1127" w:y="21"/>
        <w:widowControl w:val="0"/>
        <w:spacing w:line="1" w:lineRule="exact"/>
      </w:pPr>
    </w:p>
    <w:tbl>
      <w:tblPr>
        <w:tblOverlap w:val="never"/>
        <w:jc w:val="left"/>
        <w:tblLayout w:type="fixed"/>
      </w:tblPr>
      <w:tblGrid>
        <w:gridCol w:w="1603"/>
        <w:gridCol w:w="994"/>
        <w:gridCol w:w="998"/>
        <w:gridCol w:w="1205"/>
      </w:tblGrid>
      <w:tr>
        <w:trPr>
          <w:trHeight w:val="2549" w:hRule="exact"/>
        </w:trPr>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度工作总结与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年度工作计划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《关于</w:t>
            </w:r>
            <w:r>
              <w:rPr>
                <w:color w:val="000000"/>
                <w:spacing w:val="0"/>
                <w:w w:val="100"/>
                <w:position w:val="0"/>
                <w:sz w:val="18"/>
                <w:szCs w:val="18"/>
              </w:rPr>
              <w:t>〈</w:t>
            </w:r>
            <w:r>
              <w:rPr>
                <w:color w:val="000000"/>
                <w:spacing w:val="0"/>
                <w:w w:val="100"/>
                <w:position w:val="0"/>
              </w:rPr>
              <w:t>内部审计 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 工作总结及第二季 度工作计划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年报审 计事后沟通。</w:t>
            </w:r>
          </w:p>
        </w:tc>
        <w:tc>
          <w:tcPr>
            <w:tcBorders>
              <w:top w:val="single" w:sz="4"/>
              <w:left w:val="single" w:sz="4"/>
            </w:tcBorders>
            <w:shd w:val="clear" w:color="auto" w:fill="FFFFFF"/>
            <w:vAlign w:val="top"/>
          </w:tcPr>
          <w:p>
            <w:pPr>
              <w:framePr w:w="4800" w:h="13800" w:wrap="none" w:vAnchor="text" w:hAnchor="page" w:x="5908" w:y="21"/>
              <w:widowControl w:val="0"/>
              <w:rPr>
                <w:sz w:val="10"/>
                <w:szCs w:val="10"/>
              </w:rPr>
            </w:pPr>
          </w:p>
        </w:tc>
        <w:tc>
          <w:tcPr>
            <w:tcBorders>
              <w:top w:val="single" w:sz="4"/>
              <w:left w:val="single" w:sz="4"/>
            </w:tcBorders>
            <w:shd w:val="clear" w:color="auto" w:fill="FFFFFF"/>
            <w:vAlign w:val="top"/>
          </w:tcPr>
          <w:p>
            <w:pPr>
              <w:framePr w:w="4800" w:h="13800"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800" w:wrap="none" w:vAnchor="text" w:hAnchor="page" w:x="5908" w:y="21"/>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 xml:space="preserve">审议通过《公司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 及摘要》、《关于</w:t>
            </w:r>
            <w:r>
              <w:rPr>
                <w:color w:val="000000"/>
                <w:spacing w:val="0"/>
                <w:w w:val="100"/>
                <w:position w:val="0"/>
                <w:sz w:val="18"/>
                <w:szCs w:val="18"/>
              </w:rPr>
              <w:t>〈</w:t>
            </w:r>
            <w:r>
              <w:rPr>
                <w:color w:val="000000"/>
                <w:spacing w:val="0"/>
                <w:w w:val="100"/>
                <w:position w:val="0"/>
              </w:rPr>
              <w:t>内 部审计部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 二季度工作总结及 第三季度工作计 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0"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11" w:hRule="exact"/>
        </w:trPr>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93" w:lineRule="exact"/>
              <w:ind w:left="0" w:right="0" w:firstLine="0"/>
              <w:jc w:val="left"/>
            </w:pPr>
            <w:r>
              <w:rPr>
                <w:color w:val="000000"/>
                <w:spacing w:val="0"/>
                <w:w w:val="100"/>
                <w:position w:val="0"/>
              </w:rPr>
              <w:t xml:space="preserve">审议通过《公司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w:t>
            </w:r>
          </w:p>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告》、《关于</w:t>
            </w:r>
            <w:r>
              <w:rPr>
                <w:color w:val="000000"/>
                <w:spacing w:val="0"/>
                <w:w w:val="100"/>
                <w:position w:val="0"/>
                <w:sz w:val="18"/>
                <w:szCs w:val="18"/>
              </w:rPr>
              <w:t>〈</w:t>
            </w:r>
            <w:r>
              <w:rPr>
                <w:color w:val="000000"/>
                <w:spacing w:val="0"/>
                <w:w w:val="100"/>
                <w:position w:val="0"/>
              </w:rPr>
              <w:t>内部审 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年第三季 度工作总结及第四 季度工作计划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《关于会计估计变 更的议案》、《关于续 聘会计师事务所的 议案》。</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审议通过《关于聘任 公司董事会秘书的 议案》。</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0"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审议通过《关于提名 公司独立董事候选 人的议案》。</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0"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审议通过《关于聘任 公司总经理的议 案》。</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审议通过《关于聘任 公司副总经理的议 案》。</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同意将相关 议案提交公 司董事会审 议。</w:t>
            </w:r>
          </w:p>
        </w:tc>
        <w:tc>
          <w:tcPr>
            <w:tcBorders>
              <w:top w:val="single" w:sz="4"/>
              <w:lef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审议通过《关于调整</w:t>
            </w:r>
          </w:p>
        </w:tc>
        <w:tc>
          <w:tcPr>
            <w:tcBorders>
              <w:top w:val="single" w:sz="4"/>
              <w:left w:val="single" w:sz="4"/>
              <w:bottom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同意将相关</w:t>
            </w:r>
          </w:p>
        </w:tc>
        <w:tc>
          <w:tcPr>
            <w:tcBorders>
              <w:top w:val="single" w:sz="4"/>
              <w:left w:val="single" w:sz="4"/>
              <w:bottom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bl>
    <w:p>
      <w:pPr>
        <w:framePr w:w="4800" w:h="13800"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47" w:right="1131" w:bottom="1157" w:left="1126" w:header="0" w:footer="3" w:gutter="0"/>
          <w:cols w:space="720"/>
          <w:noEndnote/>
          <w:rtlGutter w:val="0"/>
          <w:docGrid w:linePitch="360"/>
        </w:sectPr>
      </w:pPr>
    </w:p>
    <w:tbl>
      <w:tblPr>
        <w:tblOverlap w:val="never"/>
        <w:jc w:val="center"/>
        <w:tblLayout w:type="fixed"/>
      </w:tblPr>
      <w:tblGrid>
        <w:gridCol w:w="1200"/>
        <w:gridCol w:w="1642"/>
        <w:gridCol w:w="754"/>
        <w:gridCol w:w="1195"/>
        <w:gridCol w:w="1594"/>
        <w:gridCol w:w="994"/>
        <w:gridCol w:w="998"/>
        <w:gridCol w:w="1205"/>
      </w:tblGrid>
      <w:tr>
        <w:trPr>
          <w:trHeight w:val="162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生担任薪酬与考核 委员会主任委员，吕 功华先生、易欢欢先 生担任薪酬与考核 委员会委员。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公司部分高级管理 人员基本薪酬的议 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议案提交公 司董事会审 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八</w:t>
      </w:r>
      <w:bookmarkEnd w:id="353"/>
      <w:r>
        <w:rPr>
          <w:color w:val="000000"/>
          <w:spacing w:val="0"/>
          <w:w w:val="100"/>
          <w:position w:val="0"/>
        </w:rPr>
        <w:t>、监事会工作情况</w:t>
      </w:r>
      <w:bookmarkEnd w:id="351"/>
      <w:bookmarkEnd w:id="352"/>
      <w:bookmarkEnd w:id="35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九</w:t>
      </w:r>
      <w:bookmarkEnd w:id="357"/>
      <w:r>
        <w:rPr>
          <w:color w:val="000000"/>
          <w:spacing w:val="0"/>
          <w:w w:val="100"/>
          <w:position w:val="0"/>
        </w:rPr>
        <w:t>、公司员工情况</w:t>
      </w:r>
      <w:bookmarkEnd w:id="355"/>
      <w:bookmarkEnd w:id="356"/>
      <w:bookmarkEnd w:id="358"/>
    </w:p>
    <w:p>
      <w:pPr>
        <w:pStyle w:val="Style29"/>
        <w:keepNext/>
        <w:keepLines/>
        <w:widowControl w:val="0"/>
        <w:shd w:val="clear" w:color="auto" w:fill="auto"/>
        <w:bidi w:val="0"/>
        <w:spacing w:before="0" w:after="32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、员工数量、专业构成及教育程度</w:t>
      </w:r>
      <w:bookmarkEnd w:id="359"/>
      <w:bookmarkEnd w:id="360"/>
      <w:bookmarkEnd w:id="36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552</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bl>
    <w:p>
      <w:pPr>
        <w:widowControl w:val="0"/>
        <w:spacing w:after="359" w:line="1" w:lineRule="exact"/>
      </w:pPr>
    </w:p>
    <w:p>
      <w:pPr>
        <w:pStyle w:val="Style29"/>
        <w:keepNext/>
        <w:keepLines/>
        <w:widowControl w:val="0"/>
        <w:shd w:val="clear" w:color="auto" w:fill="auto"/>
        <w:bidi w:val="0"/>
        <w:spacing w:before="0" w:after="2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、薪酬政策</w:t>
      </w:r>
      <w:bookmarkEnd w:id="363"/>
      <w:bookmarkEnd w:id="364"/>
      <w:bookmarkEnd w:id="366"/>
    </w:p>
    <w:p>
      <w:pPr>
        <w:pStyle w:val="Style18"/>
        <w:keepNext w:val="0"/>
        <w:keepLines w:val="0"/>
        <w:widowControl w:val="0"/>
        <w:shd w:val="clear" w:color="auto" w:fill="auto"/>
        <w:tabs>
          <w:tab w:pos="825" w:val="left"/>
        </w:tabs>
        <w:bidi w:val="0"/>
        <w:spacing w:before="0" w:after="0" w:line="331" w:lineRule="exact"/>
        <w:ind w:left="0" w:right="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公司薪酬政策跟随公司的战略规划和年度业绩目标紧密相关；</w:t>
      </w:r>
    </w:p>
    <w:p>
      <w:pPr>
        <w:pStyle w:val="Style18"/>
        <w:keepNext w:val="0"/>
        <w:keepLines w:val="0"/>
        <w:widowControl w:val="0"/>
        <w:shd w:val="clear" w:color="auto" w:fill="auto"/>
        <w:tabs>
          <w:tab w:pos="825" w:val="left"/>
        </w:tabs>
        <w:bidi w:val="0"/>
        <w:spacing w:before="0" w:after="0" w:line="331" w:lineRule="exact"/>
        <w:ind w:left="0" w:right="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公司秉承薪酬体系在外部具有竞争性、内部公平性和激励性，坚持同工同酬；</w:t>
      </w:r>
    </w:p>
    <w:p>
      <w:pPr>
        <w:pStyle w:val="Style18"/>
        <w:keepNext w:val="0"/>
        <w:keepLines w:val="0"/>
        <w:widowControl w:val="0"/>
        <w:shd w:val="clear" w:color="auto" w:fill="auto"/>
        <w:tabs>
          <w:tab w:pos="825" w:val="left"/>
        </w:tabs>
        <w:bidi w:val="0"/>
        <w:spacing w:before="0" w:after="0" w:line="331" w:lineRule="exact"/>
        <w:ind w:left="0" w:right="0"/>
        <w:jc w:val="both"/>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遵守国家相关法律法规，在特定条件下，公司遵守国家工资总额规定办法，不会变相突破工资总额的控制；</w:t>
      </w:r>
    </w:p>
    <w:p>
      <w:pPr>
        <w:pStyle w:val="Style18"/>
        <w:keepNext w:val="0"/>
        <w:keepLines w:val="0"/>
        <w:widowControl w:val="0"/>
        <w:shd w:val="clear" w:color="auto" w:fill="auto"/>
        <w:tabs>
          <w:tab w:pos="825" w:val="left"/>
        </w:tabs>
        <w:bidi w:val="0"/>
        <w:spacing w:before="0" w:after="0" w:line="331" w:lineRule="exact"/>
        <w:ind w:left="0" w:right="0"/>
        <w:jc w:val="both"/>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公司有年度、月度人力成本预算管控，人力成本与公司经营情况相关联，实现人员优化与人力的最大价值体现；</w:t>
      </w:r>
    </w:p>
    <w:p>
      <w:pPr>
        <w:pStyle w:val="Style18"/>
        <w:keepNext w:val="0"/>
        <w:keepLines w:val="0"/>
        <w:widowControl w:val="0"/>
        <w:shd w:val="clear" w:color="auto" w:fill="auto"/>
        <w:tabs>
          <w:tab w:pos="825" w:val="left"/>
        </w:tabs>
        <w:bidi w:val="0"/>
        <w:spacing w:before="0" w:after="0" w:line="331" w:lineRule="exact"/>
        <w:ind w:left="0" w:right="0"/>
        <w:jc w:val="both"/>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公司月度工资发放及时，不会延迟员工薪资发放。</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360" w:line="331"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，核心技术人员薪酬占全体员工薪酬的</w:t>
      </w:r>
      <w:r>
        <w:rPr>
          <w:rFonts w:ascii="Times New Roman" w:eastAsia="Times New Roman" w:hAnsi="Times New Roman" w:cs="Times New Roman"/>
          <w:color w:val="000000"/>
          <w:spacing w:val="0"/>
          <w:w w:val="100"/>
          <w:position w:val="0"/>
          <w:sz w:val="18"/>
          <w:szCs w:val="18"/>
        </w:rPr>
        <w:t>3.49%</w:t>
      </w:r>
      <w:r>
        <w:rPr>
          <w:color w:val="000000"/>
          <w:spacing w:val="0"/>
          <w:w w:val="100"/>
          <w:position w:val="0"/>
        </w:rPr>
        <w:t>。</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培训计划</w:t>
      </w:r>
      <w:bookmarkEnd w:id="372"/>
      <w:bookmarkEnd w:id="373"/>
      <w:bookmarkEnd w:id="375"/>
    </w:p>
    <w:p>
      <w:pPr>
        <w:pStyle w:val="Style18"/>
        <w:keepNext w:val="0"/>
        <w:keepLines w:val="0"/>
        <w:widowControl w:val="0"/>
        <w:shd w:val="clear" w:color="auto" w:fill="auto"/>
        <w:tabs>
          <w:tab w:pos="825" w:val="left"/>
        </w:tabs>
        <w:bidi w:val="0"/>
        <w:spacing w:before="0" w:after="0" w:line="331" w:lineRule="exact"/>
        <w:ind w:left="0" w:right="0"/>
        <w:jc w:val="left"/>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公司给予不同层级的员工有相应的培训计划，比如中高层外部培训、管理类培训，基层员工专业技能培训等；</w:t>
      </w:r>
    </w:p>
    <w:p>
      <w:pPr>
        <w:pStyle w:val="Style18"/>
        <w:keepNext w:val="0"/>
        <w:keepLines w:val="0"/>
        <w:widowControl w:val="0"/>
        <w:shd w:val="clear" w:color="auto" w:fill="auto"/>
        <w:tabs>
          <w:tab w:pos="901" w:val="left"/>
        </w:tabs>
        <w:bidi w:val="0"/>
        <w:spacing w:before="0" w:after="0" w:line="331" w:lineRule="exact"/>
        <w:ind w:left="0" w:right="0"/>
        <w:jc w:val="left"/>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支付团队组织参与了相关的法律法规、支付信息访问控制管理办法及敏感数据如何进行技术处理，加强信息安全 知识普及，提高个人信息保护和公司信息保护的意识；</w:t>
      </w:r>
    </w:p>
    <w:p>
      <w:pPr>
        <w:pStyle w:val="Style18"/>
        <w:keepNext w:val="0"/>
        <w:keepLines w:val="0"/>
        <w:widowControl w:val="0"/>
        <w:shd w:val="clear" w:color="auto" w:fill="auto"/>
        <w:tabs>
          <w:tab w:pos="825" w:val="left"/>
        </w:tabs>
        <w:bidi w:val="0"/>
        <w:spacing w:before="0" w:after="0" w:line="331" w:lineRule="exact"/>
        <w:ind w:left="0" w:right="0"/>
        <w:jc w:val="left"/>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技术等团队会有检测认证机构、售后产品认证、工程师培训等相关外部培训；</w:t>
      </w:r>
    </w:p>
    <w:p>
      <w:pPr>
        <w:pStyle w:val="Style18"/>
        <w:keepNext w:val="0"/>
        <w:keepLines w:val="0"/>
        <w:widowControl w:val="0"/>
        <w:shd w:val="clear" w:color="auto" w:fill="auto"/>
        <w:tabs>
          <w:tab w:pos="825" w:val="left"/>
        </w:tabs>
        <w:bidi w:val="0"/>
        <w:spacing w:before="0" w:after="360" w:line="331" w:lineRule="exact"/>
        <w:ind w:left="0" w:right="0"/>
        <w:jc w:val="left"/>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针对新员工有入职培训和回顾培训。</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w:t>
        <w:tab/>
        <w:t>劳务外包情况</w:t>
      </w:r>
      <w:bookmarkEnd w:id="380"/>
      <w:bookmarkEnd w:id="381"/>
      <w:bookmarkEnd w:id="383"/>
    </w:p>
    <w:p>
      <w:pPr>
        <w:pStyle w:val="Style18"/>
        <w:keepNext w:val="0"/>
        <w:keepLines w:val="0"/>
        <w:widowControl w:val="0"/>
        <w:shd w:val="clear" w:color="auto" w:fill="auto"/>
        <w:bidi w:val="0"/>
        <w:spacing w:before="0" w:after="36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r>
        <w:rPr>
          <w:color w:val="000000"/>
          <w:spacing w:val="0"/>
          <w:w w:val="100"/>
          <w:position w:val="0"/>
        </w:rPr>
        <w:t>十、公司利润分配及资本公积金转增股本情况</w:t>
      </w:r>
      <w:bookmarkEnd w:id="384"/>
      <w:bookmarkEnd w:id="385"/>
      <w:bookmarkEnd w:id="386"/>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r>
        <w:rPr>
          <w:color w:val="000000"/>
          <w:spacing w:val="0"/>
          <w:w w:val="100"/>
          <w:position w:val="0"/>
        </w:rPr>
        <w:t>十一、公司股权激励计划、员工持股计划或其他员工激励措施的实施情况</w:t>
      </w:r>
      <w:bookmarkEnd w:id="387"/>
      <w:bookmarkEnd w:id="388"/>
      <w:bookmarkEnd w:id="389"/>
    </w:p>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r>
        <w:rPr>
          <w:color w:val="000000"/>
          <w:spacing w:val="0"/>
          <w:w w:val="100"/>
          <w:position w:val="0"/>
        </w:rPr>
        <w:t>十二、报告期内的内部控制制度建设及实施情况</w:t>
      </w:r>
      <w:bookmarkEnd w:id="390"/>
      <w:bookmarkEnd w:id="391"/>
      <w:bookmarkEnd w:id="392"/>
    </w:p>
    <w:p>
      <w:pPr>
        <w:pStyle w:val="Style29"/>
        <w:keepNext/>
        <w:keepLines/>
        <w:widowControl w:val="0"/>
        <w:shd w:val="clear" w:color="auto" w:fill="auto"/>
        <w:tabs>
          <w:tab w:pos="368" w:val="left"/>
        </w:tabs>
        <w:bidi w:val="0"/>
        <w:spacing w:before="0" w:after="24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w:t>
        <w:tab/>
        <w:t>内部控制建设及实施情况</w:t>
      </w:r>
      <w:bookmarkEnd w:id="393"/>
      <w:bookmarkEnd w:id="394"/>
      <w:bookmarkEnd w:id="396"/>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公司根据中国证监会、深圳证券交易所的有关规定，遵循内部控制的基本原则，结合公司的实际情况，建立健全了较为 完善的内部控制制度管理体系。从公司层面到各业务流程层面均建立了必要的内控措施，为公司经营管理的合法合规、资产 安全、财务报告及相关信息的真实完整提供合理保障，并由审计委员会、内部审计部门共同组成公司的风险内控管理组织体 系，对公司的内部控制管理进行监督与评价。公司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年度内部控制自我评价报告全面、真实、准确地反映了公司内部控制 的实际情况，报告期公司不存在内部控制重大缺陷和重要缺陷。</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报告期内发现的内部控制重大缺陷的具体情况</w:t>
      </w:r>
      <w:bookmarkEnd w:id="397"/>
      <w:bookmarkEnd w:id="398"/>
      <w:bookmarkEnd w:id="400"/>
    </w:p>
    <w:p>
      <w:pPr>
        <w:pStyle w:val="Style1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0"/>
        <w:jc w:val="both"/>
      </w:pPr>
      <w:bookmarkStart w:id="401" w:name="bookmark401"/>
      <w:bookmarkStart w:id="402" w:name="bookmark402"/>
      <w:bookmarkStart w:id="403" w:name="bookmark403"/>
      <w:r>
        <w:rPr>
          <w:color w:val="000000"/>
          <w:spacing w:val="0"/>
          <w:w w:val="100"/>
          <w:position w:val="0"/>
        </w:rPr>
        <w:t>十三、公司报告期内对子公司的管理控制情况</w:t>
      </w:r>
      <w:bookmarkEnd w:id="401"/>
      <w:bookmarkEnd w:id="402"/>
      <w:bookmarkEnd w:id="403"/>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both"/>
      </w:pPr>
      <w:bookmarkStart w:id="404" w:name="bookmark404"/>
      <w:bookmarkStart w:id="405" w:name="bookmark405"/>
      <w:bookmarkStart w:id="406" w:name="bookmark406"/>
      <w:r>
        <w:rPr>
          <w:color w:val="000000"/>
          <w:spacing w:val="0"/>
          <w:w w:val="100"/>
          <w:position w:val="0"/>
        </w:rPr>
        <w:t>十四、内部控制自我评价报告或内部控制审计报告</w:t>
      </w:r>
      <w:bookmarkEnd w:id="404"/>
      <w:bookmarkEnd w:id="405"/>
      <w:bookmarkEnd w:id="406"/>
    </w:p>
    <w:p>
      <w:pPr>
        <w:pStyle w:val="Style29"/>
        <w:keepNext/>
        <w:keepLines/>
        <w:widowControl w:val="0"/>
        <w:shd w:val="clear" w:color="auto" w:fill="auto"/>
        <w:bidi w:val="0"/>
        <w:spacing w:before="0" w:after="320" w:line="240"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、内控自我评价报告</w:t>
      </w:r>
      <w:bookmarkEnd w:id="407"/>
      <w:bookmarkEnd w:id="408"/>
      <w:bookmarkEnd w:id="410"/>
    </w:p>
    <w:tbl>
      <w:tblPr>
        <w:tblOverlap w:val="never"/>
        <w:jc w:val="center"/>
        <w:tblLayout w:type="fixed"/>
      </w:tblPr>
      <w:tblGrid>
        <w:gridCol w:w="3197"/>
        <w:gridCol w:w="3322"/>
        <w:gridCol w:w="30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日巨潮资讯网（网址为：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w:t>
            </w:r>
            <w:r>
              <w:rPr>
                <w:color w:val="000000"/>
                <w:spacing w:val="0"/>
                <w:w w:val="100"/>
                <w:position w:val="0"/>
              </w:rPr>
              <w:t xml:space="preserve"> 《深圳亚联发展科技股份有限公司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r>
      <w:tr>
        <w:trPr>
          <w:trHeight w:val="398"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90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42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具有以下特征的认定为重大缺陷：董 事、监事、高级管理人员舞弊；注册会计 师发现当期财务报告存在重大错报，而内 部控制在运行过程中未能发现该错报；对 已经公告的财务报告出现的重大差错进行 错报更正；公司审计委员会和内部审计部 对内部控制的监督无效。</w:t>
            </w:r>
          </w:p>
          <w:p>
            <w:pPr>
              <w:pStyle w:val="Style20"/>
              <w:keepNext w:val="0"/>
              <w:keepLines w:val="0"/>
              <w:widowControl w:val="0"/>
              <w:shd w:val="clear" w:color="auto" w:fill="auto"/>
              <w:tabs>
                <w:tab w:pos="42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具有以下特征的认定为重要缺陷：未 依照公认会计准则选择和应用会计政策；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394"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具有以下特征的认定为重大缺陷： 决策程序导致重大失误；严重违犯国家 法律、行政法规和规范性文件；重要业 务缺乏制度控制或制度控制体系失效， 且缺乏有效的补偿性控制；遭受证监会 处罚或证券交易所警告；中高级管理人 员和高级技术人员流失严重；内部控制 重大或重要缺陷未得到整改。</w:t>
            </w:r>
          </w:p>
          <w:p>
            <w:pPr>
              <w:pStyle w:val="Style20"/>
              <w:keepNext w:val="0"/>
              <w:keepLines w:val="0"/>
              <w:widowControl w:val="0"/>
              <w:shd w:val="clear" w:color="auto" w:fill="auto"/>
              <w:tabs>
                <w:tab w:pos="298"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具有以下特征的认定为重要缺陷：</w:t>
            </w:r>
          </w:p>
        </w:tc>
      </w:tr>
    </w:tbl>
    <w:p>
      <w:pPr>
        <w:widowControl w:val="0"/>
        <w:spacing w:line="1" w:lineRule="exact"/>
      </w:pPr>
      <w:r>
        <w:br w:type="page"/>
      </w:r>
    </w:p>
    <w:tbl>
      <w:tblPr>
        <w:tblOverlap w:val="never"/>
        <w:jc w:val="center"/>
        <w:tblLayout w:type="fixed"/>
      </w:tblPr>
      <w:tblGrid>
        <w:gridCol w:w="3197"/>
        <w:gridCol w:w="3317"/>
        <w:gridCol w:w="3067"/>
      </w:tblGrid>
      <w:tr>
        <w:trPr>
          <w:trHeight w:val="259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未建立反舞弊程序和控制措施；对于非常 规或特殊交易的账务处理没有建立相应的 控制机制或没有实施且没有相应的补偿性 控制。</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)一般缺陷：未构成重大缺陷、重要缺 陷标准的其他内部控制缺陷。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决策程序导致出现一般性失误；重要业 务制度或制度控制体系有缺陷；关键岗 位业务人员流失严重；公司内部控制重 要或一般缺陷未得到整改；其他对公司 产生较大负面影响的情形。</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)具有以下特征的认定为一般缺陷： 未构成重大缺陷、重要缺陷标准的其他 内部控制缺陷。</w:t>
            </w:r>
          </w:p>
        </w:tc>
      </w:tr>
      <w:tr>
        <w:trPr>
          <w:trHeight w:val="266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0"/>
              <w:keepNext w:val="0"/>
              <w:keepLines w:val="0"/>
              <w:widowControl w:val="0"/>
              <w:numPr>
                <w:ilvl w:val="0"/>
                <w:numId w:val="3"/>
              </w:numPr>
              <w:shd w:val="clear" w:color="auto" w:fill="auto"/>
              <w:tabs>
                <w:tab w:pos="451" w:val="left"/>
              </w:tabs>
              <w:bidi w:val="0"/>
              <w:spacing w:before="0" w:after="40" w:line="312" w:lineRule="exact"/>
              <w:ind w:left="0" w:right="0" w:firstLine="0"/>
              <w:jc w:val="both"/>
            </w:pPr>
            <w:r>
              <w:rPr>
                <w:color w:val="000000"/>
                <w:spacing w:val="0"/>
                <w:w w:val="100"/>
                <w:position w:val="0"/>
              </w:rPr>
              <w:t>重大缺陷：错报。利润总额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 报。资产总额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；错报。营业收入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0"/>
              <w:keepNext w:val="0"/>
              <w:keepLines w:val="0"/>
              <w:widowControl w:val="0"/>
              <w:numPr>
                <w:ilvl w:val="0"/>
                <w:numId w:val="3"/>
              </w:numPr>
              <w:shd w:val="clear" w:color="auto" w:fill="auto"/>
              <w:tabs>
                <w:tab w:pos="451" w:val="left"/>
              </w:tabs>
              <w:bidi w:val="0"/>
              <w:spacing w:before="0" w:after="40" w:line="314" w:lineRule="exact"/>
              <w:ind w:left="0" w:right="0" w:firstLine="0"/>
              <w:jc w:val="both"/>
            </w:pPr>
            <w:r>
              <w:rPr>
                <w:color w:val="000000"/>
                <w:spacing w:val="0"/>
                <w:w w:val="100"/>
                <w:position w:val="0"/>
              </w:rPr>
              <w:t>重要缺陷：利润总额的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w:t>
            </w:r>
            <w:r>
              <w:rPr>
                <w:color w:val="000000"/>
                <w:spacing w:val="0"/>
                <w:w w:val="100"/>
                <w:position w:val="0"/>
              </w:rPr>
              <w:t>错报</w:t>
            </w:r>
            <w:r>
              <w:rPr>
                <w:color w:val="000000"/>
                <w:spacing w:val="0"/>
                <w:w w:val="100"/>
                <w:position w:val="0"/>
                <w:sz w:val="17"/>
                <w:szCs w:val="17"/>
              </w:rPr>
              <w:t xml:space="preserve">V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w:t>
            </w:r>
            <w:r>
              <w:rPr>
                <w:color w:val="000000"/>
                <w:spacing w:val="0"/>
                <w:w w:val="100"/>
                <w:position w:val="0"/>
              </w:rPr>
              <w:t>错报</w:t>
            </w:r>
            <w:r>
              <w:rPr>
                <w:color w:val="000000"/>
                <w:spacing w:val="0"/>
                <w:w w:val="100"/>
                <w:position w:val="0"/>
                <w:sz w:val="17"/>
                <w:szCs w:val="17"/>
              </w:rPr>
              <w:t xml:space="preserve">V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w:t>
            </w:r>
            <w:r>
              <w:rPr>
                <w:color w:val="000000"/>
                <w:spacing w:val="0"/>
                <w:w w:val="100"/>
                <w:position w:val="0"/>
              </w:rPr>
              <w:t>错报</w:t>
            </w:r>
            <w:r>
              <w:rPr>
                <w:color w:val="000000"/>
                <w:spacing w:val="0"/>
                <w:w w:val="100"/>
                <w:position w:val="0"/>
                <w:sz w:val="17"/>
                <w:szCs w:val="17"/>
              </w:rPr>
              <w:t xml:space="preserve">V </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0"/>
              <w:keepNext w:val="0"/>
              <w:keepLines w:val="0"/>
              <w:widowControl w:val="0"/>
              <w:numPr>
                <w:ilvl w:val="0"/>
                <w:numId w:val="3"/>
              </w:numPr>
              <w:shd w:val="clear" w:color="auto" w:fill="auto"/>
              <w:tabs>
                <w:tab w:pos="451" w:val="left"/>
              </w:tabs>
              <w:bidi w:val="0"/>
              <w:spacing w:before="0" w:after="40" w:line="307" w:lineRule="exact"/>
              <w:ind w:left="0" w:right="0" w:firstLine="0"/>
              <w:jc w:val="both"/>
            </w:pPr>
            <w:r>
              <w:rPr>
                <w:color w:val="000000"/>
                <w:spacing w:val="0"/>
                <w:w w:val="100"/>
                <w:position w:val="0"/>
              </w:rPr>
              <w:t>一般缺陷：错报</w:t>
            </w:r>
            <w:r>
              <w:rPr>
                <w:color w:val="000000"/>
                <w:spacing w:val="0"/>
                <w:w w:val="100"/>
                <w:position w:val="0"/>
                <w:sz w:val="17"/>
                <w:szCs w:val="17"/>
              </w:rPr>
              <w:t>V</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 报</w:t>
            </w:r>
            <w:r>
              <w:rPr>
                <w:color w:val="000000"/>
                <w:spacing w:val="0"/>
                <w:w w:val="100"/>
                <w:position w:val="0"/>
                <w:sz w:val="17"/>
                <w:szCs w:val="17"/>
              </w:rPr>
              <w:t>V</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color w:val="000000"/>
                <w:spacing w:val="0"/>
                <w:w w:val="100"/>
                <w:position w:val="0"/>
                <w:sz w:val="17"/>
                <w:szCs w:val="17"/>
              </w:rPr>
              <w:t>V</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numPr>
                <w:ilvl w:val="0"/>
                <w:numId w:val="5"/>
              </w:numPr>
              <w:shd w:val="clear" w:color="auto" w:fill="auto"/>
              <w:tabs>
                <w:tab w:pos="355" w:val="left"/>
              </w:tabs>
              <w:bidi w:val="0"/>
              <w:spacing w:before="0" w:after="0" w:line="307" w:lineRule="exact"/>
              <w:ind w:left="0" w:right="0" w:firstLine="0"/>
              <w:jc w:val="both"/>
            </w:pPr>
            <w:r>
              <w:rPr>
                <w:color w:val="000000"/>
                <w:spacing w:val="0"/>
                <w:w w:val="100"/>
                <w:position w:val="0"/>
              </w:rPr>
              <w:t>重大缺陷：错报。资产总额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0"/>
              <w:keepNext w:val="0"/>
              <w:keepLines w:val="0"/>
              <w:widowControl w:val="0"/>
              <w:numPr>
                <w:ilvl w:val="0"/>
                <w:numId w:val="5"/>
              </w:numPr>
              <w:shd w:val="clear" w:color="auto" w:fill="auto"/>
              <w:tabs>
                <w:tab w:pos="437" w:val="left"/>
              </w:tabs>
              <w:bidi w:val="0"/>
              <w:spacing w:before="0" w:after="60" w:line="307" w:lineRule="exact"/>
              <w:ind w:left="0" w:right="0" w:firstLine="0"/>
              <w:jc w:val="both"/>
            </w:pP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w:t>
            </w:r>
            <w:r>
              <w:rPr>
                <w:color w:val="000000"/>
                <w:spacing w:val="0"/>
                <w:w w:val="100"/>
                <w:position w:val="0"/>
              </w:rPr>
              <w:t>错 报</w:t>
            </w:r>
            <w:r>
              <w:rPr>
                <w:color w:val="000000"/>
                <w:spacing w:val="0"/>
                <w:w w:val="100"/>
                <w:position w:val="0"/>
                <w:sz w:val="17"/>
                <w:szCs w:val="17"/>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0"/>
              <w:keepNext w:val="0"/>
              <w:keepLines w:val="0"/>
              <w:widowControl w:val="0"/>
              <w:numPr>
                <w:ilvl w:val="0"/>
                <w:numId w:val="5"/>
              </w:numPr>
              <w:shd w:val="clear" w:color="auto" w:fill="auto"/>
              <w:tabs>
                <w:tab w:pos="298" w:val="left"/>
              </w:tabs>
              <w:bidi w:val="0"/>
              <w:spacing w:before="0" w:after="0" w:line="307" w:lineRule="exact"/>
              <w:ind w:left="0" w:right="0" w:firstLine="0"/>
              <w:jc w:val="both"/>
            </w:pPr>
            <w:r>
              <w:rPr>
                <w:color w:val="000000"/>
                <w:spacing w:val="0"/>
                <w:w w:val="100"/>
                <w:position w:val="0"/>
              </w:rPr>
              <w:t>一般缺陷：错报</w:t>
            </w:r>
            <w:r>
              <w:rPr>
                <w:color w:val="000000"/>
                <w:spacing w:val="0"/>
                <w:w w:val="100"/>
                <w:position w:val="0"/>
                <w:sz w:val="17"/>
                <w:szCs w:val="17"/>
              </w:rPr>
              <w:t>V</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9"/>
        <w:keepNext/>
        <w:keepLines/>
        <w:widowControl w:val="0"/>
        <w:shd w:val="clear" w:color="auto" w:fill="auto"/>
        <w:bidi w:val="0"/>
        <w:spacing w:before="0" w:after="28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、内部控制审计报告</w:t>
      </w:r>
      <w:bookmarkEnd w:id="411"/>
      <w:bookmarkEnd w:id="412"/>
      <w:bookmarkEnd w:id="414"/>
    </w:p>
    <w:p>
      <w:pPr>
        <w:pStyle w:val="Style18"/>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415" w:name="bookmark415"/>
      <w:bookmarkStart w:id="416" w:name="bookmark416"/>
      <w:bookmarkStart w:id="417" w:name="bookmark417"/>
      <w:r>
        <w:rPr>
          <w:color w:val="000000"/>
          <w:spacing w:val="0"/>
          <w:w w:val="100"/>
          <w:position w:val="0"/>
        </w:rPr>
        <w:t>十五、上市公司治理专项行动自查问题整改情况</w:t>
      </w:r>
      <w:bookmarkEnd w:id="415"/>
      <w:bookmarkEnd w:id="416"/>
      <w:bookmarkEnd w:id="417"/>
    </w:p>
    <w:p>
      <w:pPr>
        <w:pStyle w:val="Style18"/>
        <w:keepNext w:val="0"/>
        <w:keepLines w:val="0"/>
        <w:widowControl w:val="0"/>
        <w:shd w:val="clear" w:color="auto" w:fill="auto"/>
        <w:bidi w:val="0"/>
        <w:spacing w:before="0" w:after="300" w:line="312" w:lineRule="exact"/>
        <w:ind w:left="0" w:right="0" w:firstLine="360"/>
        <w:jc w:val="both"/>
        <w:sectPr>
          <w:footnotePr>
            <w:pos w:val="pageBottom"/>
            <w:numFmt w:val="decimal"/>
            <w:numRestart w:val="continuous"/>
          </w:footnotePr>
          <w:pgSz w:w="11900" w:h="16840"/>
          <w:pgMar w:top="1441" w:right="1056" w:bottom="1465" w:left="1062" w:header="0" w:footer="3" w:gutter="0"/>
          <w:cols w:space="720"/>
          <w:noEndnote/>
          <w:rtlGutter w:val="0"/>
          <w:docGrid w:linePitch="360"/>
        </w:sectPr>
      </w:pPr>
      <w:r>
        <w:rPr>
          <w:color w:val="000000"/>
          <w:spacing w:val="0"/>
          <w:w w:val="100"/>
          <w:position w:val="0"/>
        </w:rPr>
        <w:t>公司经过认真对照自查，未发现存在重大违法违规事项和侵害上市公司利益事项的情形，不存在影响公司治理水平的违 法违规事项。公司将以本次自查整改活动为契机，谨记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四个敬畏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不披露虚假信息、不从事内幕交易、不操纵市场 价格、不损害上市公司利益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四条底线，强化规范运作意识，健全内部控制制度，加强信息披露管理，切实提升公司规范运 作水平及公司治理有效性，维护公司及全体股东合法利益，实现公司持续、健康、稳定发展。</w:t>
      </w:r>
    </w:p>
    <w:p>
      <w:pPr>
        <w:pStyle w:val="Style10"/>
        <w:keepNext/>
        <w:keepLines/>
        <w:widowControl w:val="0"/>
        <w:shd w:val="clear" w:color="auto" w:fill="auto"/>
        <w:bidi w:val="0"/>
        <w:spacing w:before="820" w:after="540" w:line="240" w:lineRule="auto"/>
        <w:ind w:left="0" w:right="0" w:firstLine="0"/>
        <w:jc w:val="center"/>
      </w:pPr>
      <w:bookmarkStart w:id="418" w:name="bookmark418"/>
      <w:bookmarkStart w:id="419" w:name="bookmark419"/>
      <w:bookmarkStart w:id="420" w:name="bookmark420"/>
      <w:r>
        <w:rPr>
          <w:color w:val="000000"/>
          <w:spacing w:val="0"/>
          <w:w w:val="100"/>
          <w:position w:val="0"/>
        </w:rPr>
        <w:t>第五节环境和社会责任</w:t>
      </w:r>
      <w:bookmarkEnd w:id="418"/>
      <w:bookmarkEnd w:id="419"/>
      <w:bookmarkEnd w:id="420"/>
    </w:p>
    <w:p>
      <w:pPr>
        <w:pStyle w:val="Style23"/>
        <w:keepNext/>
        <w:keepLines/>
        <w:widowControl w:val="0"/>
        <w:shd w:val="clear" w:color="auto" w:fill="auto"/>
        <w:bidi w:val="0"/>
        <w:spacing w:before="0" w:after="380" w:line="240" w:lineRule="auto"/>
        <w:ind w:left="0" w:right="0" w:firstLine="260"/>
        <w:jc w:val="left"/>
      </w:pPr>
      <w:bookmarkStart w:id="421" w:name="bookmark421"/>
      <w:bookmarkStart w:id="422" w:name="bookmark422"/>
      <w:bookmarkStart w:id="423" w:name="bookmark423"/>
      <w:bookmarkStart w:id="424" w:name="bookmark424"/>
      <w:r>
        <w:rPr>
          <w:color w:val="000000"/>
          <w:spacing w:val="0"/>
          <w:w w:val="100"/>
          <w:position w:val="0"/>
        </w:rPr>
        <w:t>、重大环保问题</w:t>
      </w:r>
      <w:bookmarkEnd w:id="422"/>
      <w:bookmarkEnd w:id="423"/>
      <w:bookmarkEnd w:id="424"/>
      <w:bookmarkEnd w:id="42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公司及子公司不属于环境保护部门公布的重点排污单位。</w:t>
      </w:r>
    </w:p>
    <w:p>
      <w:pPr>
        <w:pStyle w:val="Style23"/>
        <w:keepNext/>
        <w:keepLines/>
        <w:widowControl w:val="0"/>
        <w:shd w:val="clear" w:color="auto" w:fill="auto"/>
        <w:bidi w:val="0"/>
        <w:spacing w:before="0" w:after="2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、社会责任情况</w:t>
      </w:r>
      <w:bookmarkEnd w:id="425"/>
      <w:bookmarkEnd w:id="426"/>
      <w:bookmarkEnd w:id="428"/>
    </w:p>
    <w:p>
      <w:pPr>
        <w:pStyle w:val="Style18"/>
        <w:keepNext w:val="0"/>
        <w:keepLines w:val="0"/>
        <w:widowControl w:val="0"/>
        <w:shd w:val="clear" w:color="auto" w:fill="auto"/>
        <w:bidi w:val="0"/>
        <w:spacing w:before="0" w:after="40" w:line="313" w:lineRule="exact"/>
        <w:ind w:left="0" w:right="0"/>
        <w:jc w:val="left"/>
      </w:pPr>
      <w:r>
        <w:rPr>
          <w:color w:val="000000"/>
          <w:spacing w:val="0"/>
          <w:w w:val="100"/>
          <w:position w:val="0"/>
        </w:rPr>
        <w:t>报告期内，公司积极履行社会责任，促进公司与各方共同发展。</w:t>
      </w:r>
    </w:p>
    <w:p>
      <w:pPr>
        <w:pStyle w:val="Style18"/>
        <w:keepNext w:val="0"/>
        <w:keepLines w:val="0"/>
        <w:widowControl w:val="0"/>
        <w:shd w:val="clear" w:color="auto" w:fill="auto"/>
        <w:bidi w:val="0"/>
        <w:spacing w:before="0" w:after="40" w:line="313" w:lineRule="exact"/>
        <w:ind w:left="0" w:right="0"/>
        <w:jc w:val="left"/>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 公司严格按照《公司法》、《证券法》等有关法律、法规及规范性文件、《公司章程》和相关制度的要求，不断提 升和完善法人治理结构，强化规范运作；真实、准确、完整地履行信息披露义务，保障全体股东平等的享有各项合法权益。 公司制定了《投资者关系管理制度》，并严格执行《上市公司与投资者关系工作指引》等规定，建立董事会与投资者的良好 沟通机制，通过法定信息披露以及股东大会、业绩说明会、交易所互动易问答、咨询电话等交流方式，与投资者形成良性互 动。公司制定了《自有媒介信息发布管理办法》，强化对公司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子公司各网站、微信公众号的管理，将公司需要发布的内容 划分为日常信息、技术类信息和新闻动态三大类，执行不同的审核和发布流程，进一步规范公司对外信息发布行为，有助于 利益相关者从不同渠道了解公司的信息。</w:t>
      </w:r>
    </w:p>
    <w:p>
      <w:pPr>
        <w:pStyle w:val="Style18"/>
        <w:keepNext w:val="0"/>
        <w:keepLines w:val="0"/>
        <w:widowControl w:val="0"/>
        <w:shd w:val="clear" w:color="auto" w:fill="auto"/>
        <w:tabs>
          <w:tab w:pos="696" w:val="left"/>
        </w:tabs>
        <w:bidi w:val="0"/>
        <w:spacing w:before="0" w:after="40" w:line="313" w:lineRule="exact"/>
        <w:ind w:left="0" w:right="0"/>
        <w:jc w:val="left"/>
      </w:pPr>
      <w:bookmarkStart w:id="430" w:name="bookmark430"/>
      <w:r>
        <w:rPr>
          <w:rFonts w:ascii="Times New Roman" w:eastAsia="Times New Roman" w:hAnsi="Times New Roman" w:cs="Times New Roman"/>
          <w:color w:val="000000"/>
          <w:spacing w:val="0"/>
          <w:w w:val="100"/>
          <w:position w:val="0"/>
          <w:sz w:val="18"/>
          <w:szCs w:val="18"/>
        </w:rPr>
        <w:t>2</w:t>
      </w:r>
      <w:bookmarkEnd w:id="430"/>
      <w:r>
        <w:rPr>
          <w:color w:val="000000"/>
          <w:spacing w:val="0"/>
          <w:w w:val="100"/>
          <w:position w:val="0"/>
        </w:rPr>
        <w:t>、</w:t>
        <w:tab/>
        <w:t>公司注重保护职工的合法权益，严格遵守《劳动法》、《劳动合同法》，为所有员工缴纳了社会保险、住房公积金， 并为员工购买意外伤害团体医疗保险，全面保障员工的各项权益。公司严格执行劳动用工制度，实行全员劳动合同制度，与 职工通过平等协商签订劳动合同，严格执行工作时间和休息休假制度，实施带薪年休假制度。公司及子公司有步骤地组织开 展多种形式的培训，以员工职业规划和公司业务发展需要相结合，实施职工岗位知识技能培训与素质提升培训，不断提高员 工的各项技能。公司重视企业文化建设，以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联结美好生活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这一组织使命为牵引，落实诚信、精进、创新、共享的核心价值 观。公司通过举办员工生日会、拓展训练等内容丰富的活动，丰富员工的业余生活。公司还定期组织全体员工进行身体健康 检查，保证员工的身心健康。公司已通过</w:t>
      </w:r>
      <w:r>
        <w:rPr>
          <w:rFonts w:ascii="Times New Roman" w:eastAsia="Times New Roman" w:hAnsi="Times New Roman" w:cs="Times New Roman"/>
          <w:color w:val="000000"/>
          <w:spacing w:val="0"/>
          <w:w w:val="100"/>
          <w:position w:val="0"/>
          <w:sz w:val="18"/>
          <w:szCs w:val="18"/>
        </w:rPr>
        <w:t>GB/T28001-2011(idt OHSAS18001:2007)</w:t>
      </w:r>
      <w:r>
        <w:rPr>
          <w:color w:val="000000"/>
          <w:spacing w:val="0"/>
          <w:w w:val="100"/>
          <w:position w:val="0"/>
        </w:rPr>
        <w:t>职业健康安全管理体系认证，对维护员工 的合法权益，保障员工在工作过程中的健康与安全提供了保障。</w:t>
      </w:r>
    </w:p>
    <w:p>
      <w:pPr>
        <w:pStyle w:val="Style18"/>
        <w:keepNext w:val="0"/>
        <w:keepLines w:val="0"/>
        <w:widowControl w:val="0"/>
        <w:shd w:val="clear" w:color="auto" w:fill="auto"/>
        <w:tabs>
          <w:tab w:pos="701" w:val="left"/>
        </w:tabs>
        <w:bidi w:val="0"/>
        <w:spacing w:before="0" w:after="0" w:line="315" w:lineRule="exact"/>
        <w:ind w:left="0" w:right="0"/>
        <w:jc w:val="left"/>
      </w:pPr>
      <w:bookmarkStart w:id="431" w:name="bookmark431"/>
      <w:r>
        <w:rPr>
          <w:rFonts w:ascii="Times New Roman" w:eastAsia="Times New Roman" w:hAnsi="Times New Roman" w:cs="Times New Roman"/>
          <w:color w:val="000000"/>
          <w:spacing w:val="0"/>
          <w:w w:val="100"/>
          <w:position w:val="0"/>
          <w:sz w:val="18"/>
          <w:szCs w:val="18"/>
        </w:rPr>
        <w:t>3</w:t>
      </w:r>
      <w:bookmarkEnd w:id="431"/>
      <w:r>
        <w:rPr>
          <w:color w:val="000000"/>
          <w:spacing w:val="0"/>
          <w:w w:val="100"/>
          <w:position w:val="0"/>
        </w:rPr>
        <w:t>、</w:t>
        <w:tab/>
        <w:t>报告期内，开店宝科技曾多次向四川省甘孜州、四川省凉山州、宁夏中卫市海原县、云南省巧家县等地捐赠物资， 包括</w:t>
      </w:r>
      <w:r>
        <w:rPr>
          <w:rFonts w:ascii="Times New Roman" w:eastAsia="Times New Roman" w:hAnsi="Times New Roman" w:cs="Times New Roman"/>
          <w:color w:val="000000"/>
          <w:spacing w:val="0"/>
          <w:w w:val="100"/>
          <w:position w:val="0"/>
          <w:sz w:val="18"/>
          <w:szCs w:val="18"/>
        </w:rPr>
        <w:t>376</w:t>
      </w:r>
      <w:r>
        <w:rPr>
          <w:color w:val="000000"/>
          <w:spacing w:val="0"/>
          <w:w w:val="100"/>
          <w:position w:val="0"/>
        </w:rPr>
        <w:t>本图书、千余件衣服及围巾、数十套升旗服。开店宝科技积极发扬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的企业文化，传递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更精准、更深 入、更完善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的公益理念，切实帮助当地贫困学生解决生活困难，陪伴他们温暖过冬。</w:t>
      </w:r>
    </w:p>
    <w:p>
      <w:pPr>
        <w:pStyle w:val="Style18"/>
        <w:keepNext w:val="0"/>
        <w:keepLines w:val="0"/>
        <w:widowControl w:val="0"/>
        <w:shd w:val="clear" w:color="auto" w:fill="auto"/>
        <w:tabs>
          <w:tab w:pos="691" w:val="left"/>
        </w:tabs>
        <w:bidi w:val="0"/>
        <w:spacing w:before="0" w:after="380" w:line="315" w:lineRule="exact"/>
        <w:ind w:left="0" w:right="0"/>
        <w:jc w:val="left"/>
      </w:pPr>
      <w:bookmarkStart w:id="432" w:name="bookmark432"/>
      <w:r>
        <w:rPr>
          <w:rFonts w:ascii="Times New Roman" w:eastAsia="Times New Roman" w:hAnsi="Times New Roman" w:cs="Times New Roman"/>
          <w:color w:val="000000"/>
          <w:spacing w:val="0"/>
          <w:w w:val="100"/>
          <w:position w:val="0"/>
          <w:sz w:val="18"/>
          <w:szCs w:val="18"/>
        </w:rPr>
        <w:t>4</w:t>
      </w:r>
      <w:bookmarkEnd w:id="432"/>
      <w:r>
        <w:rPr>
          <w:color w:val="000000"/>
          <w:spacing w:val="0"/>
          <w:w w:val="100"/>
          <w:position w:val="0"/>
        </w:rPr>
        <w:t>、</w:t>
        <w:tab/>
        <w:t>报告期内，甘肃兰州出现局部疫情反复的情况，为助力地方抗疫工作，公司兰州办事处紧急向兰州市七里河区、城 关区辖区供电服务中心、电力住宅小区等捐赠了一批防疫物资，包括防疫口罩</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只，防疫手套</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双，防护服</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套， </w:t>
      </w:r>
      <w:r>
        <w:rPr>
          <w:color w:val="000000"/>
          <w:spacing w:val="0"/>
          <w:w w:val="100"/>
          <w:position w:val="0"/>
        </w:rPr>
        <w:t>并收到了兰州市城关区雁北街道党工委及办事处的感谢信。</w:t>
      </w:r>
    </w:p>
    <w:p>
      <w:pPr>
        <w:pStyle w:val="Style23"/>
        <w:keepNext/>
        <w:keepLines/>
        <w:widowControl w:val="0"/>
        <w:shd w:val="clear" w:color="auto" w:fill="auto"/>
        <w:bidi w:val="0"/>
        <w:spacing w:before="0" w:after="38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三</w:t>
      </w:r>
      <w:bookmarkEnd w:id="435"/>
      <w:r>
        <w:rPr>
          <w:color w:val="000000"/>
          <w:spacing w:val="0"/>
          <w:w w:val="100"/>
          <w:position w:val="0"/>
        </w:rPr>
        <w:t>、巩固拓展脱贫攻坚成果、乡村振兴的情况</w:t>
      </w:r>
      <w:bookmarkEnd w:id="433"/>
      <w:bookmarkEnd w:id="434"/>
      <w:bookmarkEnd w:id="43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520" w:line="240" w:lineRule="auto"/>
        <w:ind w:left="0" w:right="0" w:firstLine="0"/>
        <w:jc w:val="center"/>
      </w:pPr>
      <w:bookmarkStart w:id="437" w:name="bookmark437"/>
      <w:bookmarkStart w:id="438" w:name="bookmark438"/>
      <w:bookmarkStart w:id="439" w:name="bookmark439"/>
      <w:r>
        <w:rPr>
          <w:color w:val="000000"/>
          <w:spacing w:val="0"/>
          <w:w w:val="100"/>
          <w:position w:val="0"/>
        </w:rPr>
        <w:t>第六节重要事项</w:t>
      </w:r>
      <w:bookmarkEnd w:id="437"/>
      <w:bookmarkEnd w:id="438"/>
      <w:bookmarkEnd w:id="439"/>
    </w:p>
    <w:p>
      <w:pPr>
        <w:pStyle w:val="Style23"/>
        <w:keepNext/>
        <w:keepLines/>
        <w:widowControl w:val="0"/>
        <w:shd w:val="clear" w:color="auto" w:fill="auto"/>
        <w:bidi w:val="0"/>
        <w:spacing w:before="0" w:after="340" w:line="240" w:lineRule="auto"/>
        <w:ind w:left="0" w:right="0" w:firstLine="0"/>
        <w:jc w:val="left"/>
      </w:pPr>
      <w:bookmarkStart w:id="440" w:name="bookmark440"/>
      <w:bookmarkStart w:id="441" w:name="bookmark441"/>
      <w:bookmarkStart w:id="442" w:name="bookmark442"/>
      <w:bookmarkStart w:id="443" w:name="bookmark443"/>
      <w:bookmarkStart w:id="444" w:name="bookmark444"/>
      <w:r>
        <w:rPr>
          <w:color w:val="000000"/>
          <w:spacing w:val="0"/>
          <w:w w:val="100"/>
          <w:position w:val="0"/>
        </w:rPr>
        <w:t>一</w:t>
      </w:r>
      <w:bookmarkEnd w:id="443"/>
      <w:r>
        <w:rPr>
          <w:color w:val="000000"/>
          <w:spacing w:val="0"/>
          <w:w w:val="100"/>
          <w:position w:val="0"/>
        </w:rPr>
        <w:t>、承诺事项履行情况</w:t>
      </w:r>
      <w:bookmarkEnd w:id="441"/>
      <w:bookmarkEnd w:id="442"/>
      <w:bookmarkEnd w:id="444"/>
      <w:bookmarkEnd w:id="440"/>
    </w:p>
    <w:p>
      <w:pPr>
        <w:pStyle w:val="Style29"/>
        <w:keepNext/>
        <w:keepLines/>
        <w:widowControl w:val="0"/>
        <w:shd w:val="clear" w:color="auto" w:fill="auto"/>
        <w:bidi w:val="0"/>
        <w:spacing w:before="0" w:after="340" w:line="307"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、公司实际控制人、股东、关联方、收购人以及公司等承诺相关方在报告期内履行完毕及截至报告期末 尚未履行完毕的承诺事项</w:t>
      </w:r>
      <w:bookmarkEnd w:id="445"/>
      <w:bookmarkEnd w:id="446"/>
      <w:bookmarkEnd w:id="44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994"/>
        <w:gridCol w:w="1133"/>
        <w:gridCol w:w="3547"/>
        <w:gridCol w:w="850"/>
        <w:gridCol w:w="989"/>
        <w:gridCol w:w="93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 或权益变动 报告书中所 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大连永利商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务发展有限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公司、王永</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、公司控股股东大连永利商务发展有限公 司、实际控制人王永彬出具《关于减少和规 范关联交易的承诺函》，具体如下：在本公司 及本人担任亚联发展控股股东、实际控制人 期间，本公司及本人将严格按照《中华人民 共和国公司法》等法律法规以及亚联发展公 司章程的有关规定行使股东权利或者董事权 利，在董事会及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或股东大会对有关涉及承诺 人事项的关联交易进行表决时，履行回避表 决的义务。本公司及本人以及控制的其他公 司、企业或者其他经济组织与亚联发展及其 控制的其他公司、企业或者其他经济组织之 间将尽量减少关联交易。如因客观情况导致 必要的关联交易无法避免的，本公司及本人 及其他附属企业将严格遵守法律法规及亚联 发展公司章程的规定，按照公允、合理的商 业准则进行。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、公司控股股东大连永利商务 发展有限公司、实际控制人王永彬出具《关 于避免同业竞争的承诺函》，具体如下：截至 本承诺函签署日，本公司及本人以及控制的 其他公司、企业或其他经济组织未从事与亚 联发展及其控制的其他公司、企业或其他经 济组织存在同业竞争关系。在本公司及本人 担任亚联发展控股股东、实际控制人期间， 本公司及本人以及控制的其他公司、企业或 者其他经济组织将避免直接或间接从事任何 与亚联发展及其控制的其他公司、企业或者 其他经济组织相同或相似且构成或可能构成 竞争关系的业务，亦不从事任何可能损害亚 联发展及其控制的其他公司、企业或者其他 经济组织利益的活动。如本公司及本公司控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制的其他公司、企业或者其他经济组织遇到 亚联发展及其控制的其他公司、企业或者其 他经济组织主营业务范围内的业务机会，本 公司及本人以及控制的其他公司、企业或者 其他经济组织应将该等合作机会让予亚联发 展及其控制的其他公司、企业或者其他经济 组织。本公司及本人若违反上述承诺，将承 担因此而给亚联发展及其控制的其他公司、 企业或者其他经济组织造成的损失。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大连永利商</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务发展有限</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公司、王永</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公司控股股东大连永利商务发展有限公司、 实际控制人王永彬出具《关于提供资料真实、 准确、完整的承诺函》，具体如下：截至亚联 发展详式权益变动报告书（以下简称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 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）签署之日，除本报告书前文已披露事项 外，本公司及本人不存在为避免对本报告书 内容产生误解而必须披露的其他信息；以及 中国证监会和深交所规定应披露未披露的其 他信息。本公司及本人承诺本报告书不存在 虚假记载、误导性陈述或重大遗漏，并对其 真实性、准确性、完整性承担个别和连带的 法律责任。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大连永利商</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务发展有限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公司、王永</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公司控股股东大连永利商务发展有限公司、 实际控制人王永彬出具《关于保证上市公司 独立性的承诺函》，具体如下：本次权益变动 对亚联发展的人员独立、资产完整、财务独 立、机构独立不会产生影响。亚联发展仍将 具有独立经营能力，在采购、生产、销售、 知识产权等方面保持独立，独立开展业务。 本次权益变动后，本公司及本人承诺将按照 《中华人民共和国公司法》、《中华人民共和 国证券法》和其他有关法律法规的要求，合 法合规地行使股东权利并履行相应的义务， 采取切实有效的措施保证亚联发展在人员、 资产、财务、机构和业务方面的独立性。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2587"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嘉兴乾德精</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一投资合伙</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自本承诺函出具之日起直至本次交易完成 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个月内，本合伙企业保证不会以直接或 间接方式减持在本次交易前持有的上市公司 股份，并保证上市公司的控股股东在此期间 不会因合伙企业自身原因发生变更。若本合 伙企业违反前述承诺，给上市公司或者投资 者造成损失的，本合伙企业将依法承担赔偿 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其他违反 承诺。</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自本承诺函出具之日起直至本次交易完成后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个月内，本公司保证不会以直接或间接方 式减持上市公司股份。若本公司违反前述承 诺，给上市公司或者投资者造成损失的，本 公司将依法承担赔偿责任。上述承诺与保证 不可变更及撤销。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格履行了 承诺。</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自本承诺函出具之日起直至本次交易完成后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个月内，本公司不会因发行股份等事项变 更实际控制人。上述承诺与保证不可变更及 撤销。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雁铭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张振 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关于不谋求上市公司控制权的承诺函自本 承诺函出具之日起直至本次交易完成后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 月内，本人不会以直接或间接方式增持上市 公司股份，不会以所持有的上市公司股份单 独或共同谋求上市公司的实际控制权，亦不 会以委托、征集投票权、协议、联合其他股 东以及其他任何方式单独或共同谋求上市公 司的实际控制权。若本人违反前述承诺，给 上市公司或者投资者造成损失的，本人将依 法承担赔偿责任。上述承诺与保证不可变更 及撤销。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键 桥通讯技术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王雁铭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鉴于键桥通讯技术有限公司（以下简称''香港 键桥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向黄喜胜、王雁铭转让上市公司 </w:t>
            </w:r>
            <w:r>
              <w:rPr>
                <w:rFonts w:ascii="Times New Roman" w:eastAsia="Times New Roman" w:hAnsi="Times New Roman" w:cs="Times New Roman"/>
                <w:color w:val="000000"/>
                <w:spacing w:val="0"/>
                <w:w w:val="100"/>
                <w:position w:val="0"/>
                <w:sz w:val="18"/>
                <w:szCs w:val="18"/>
              </w:rPr>
              <w:t>2,869.21</w:t>
            </w:r>
            <w:r>
              <w:rPr>
                <w:color w:val="000000"/>
                <w:spacing w:val="0"/>
                <w:w w:val="100"/>
                <w:position w:val="0"/>
              </w:rPr>
              <w:t>万股和</w:t>
            </w:r>
            <w:r>
              <w:rPr>
                <w:rFonts w:ascii="Times New Roman" w:eastAsia="Times New Roman" w:hAnsi="Times New Roman" w:cs="Times New Roman"/>
                <w:color w:val="000000"/>
                <w:spacing w:val="0"/>
                <w:w w:val="100"/>
                <w:position w:val="0"/>
                <w:sz w:val="18"/>
                <w:szCs w:val="18"/>
              </w:rPr>
              <w:t>1,965.60</w:t>
            </w:r>
            <w:r>
              <w:rPr>
                <w:color w:val="000000"/>
                <w:spacing w:val="0"/>
                <w:w w:val="100"/>
                <w:position w:val="0"/>
              </w:rPr>
              <w:t>万股股份，占上市公 司股份总额的比例为</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本次转让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）。香港键桥、黄喜胜、王雁铭作 出如下不可撤销的承诺：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、本次转让前，承 诺人互不存在关联关系，互不存在一致行动 关系；本次转让后，承诺人也无意通过投资 关系、协议、人员、资金安排等方式持有或 者共同控制上市公司股份，或者对上市公司 董事、监事、高级管理人员人选及上市公司 对外投资、分红等重大事项投票达成包括但 不限于合作、协议、默契及其他一致行动安 排，更无意通过一致行动安排谋取上市公司 实际控制权；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、本次转让与本次交易无关， 本次转让与本次交易不互为前提、互为条件， 承诺人相互之间不存在对上市公司有重大影 响的其他正在签署或者谈判的合同、默契或 者安排；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、如本次转让因涉嫌所提供或者披 露的信息存在虚假记载、误导性陈述或者重 大遗漏，被司法机关立案侦查或者被中国证 监会立案调查的，在案件调查结论明确之前， 将暂停转让承诺人在上市公司直接或间接拥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有权益的股份。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雁铭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佰趣投资咨询（上海）有限公司、</w:t>
            </w:r>
            <w:r>
              <w:rPr>
                <w:rFonts w:ascii="Times New Roman" w:eastAsia="Times New Roman" w:hAnsi="Times New Roman" w:cs="Times New Roman"/>
                <w:color w:val="000000"/>
                <w:spacing w:val="0"/>
                <w:w w:val="100"/>
                <w:position w:val="0"/>
                <w:sz w:val="18"/>
                <w:szCs w:val="18"/>
              </w:rPr>
              <w:t>Maxcard Holding Limited</w:t>
            </w:r>
            <w:r>
              <w:rPr>
                <w:color w:val="000000"/>
                <w:spacing w:val="0"/>
                <w:w w:val="100"/>
                <w:position w:val="0"/>
              </w:rPr>
              <w:t>产生的一切义务、风险、损 失，均由黄喜胜、王雁铭负责协调解决；如 对上海即富及其子公司造成损失，则由黄喜 胜、王雁铭对上海即富及其子公司进行补偿 并承担无限连带责任。本人保证上海即富不 会因上述事项收到任何实际损失。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关于保证上市公司控制权稳定性的承诺函 自本承诺函出具之日起直至本次交易完成后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个月内，本人保证不丧失对嘉兴乾德精一 投资合伙企业（有限合伙）的控制权，不会 以直接或间接方式减持嘉兴乾德精一投资合 伙企业（有限合伙）在本次交易前持有的上 市公司股份，并保证上市公司的控股股东、 实际控制人在此期间不会因本人原因发生变 更。若本人违反前述承诺，给上市公司或者 投资者造成损失的，本人将依法承担赔偿责 任。上述承诺与保证不可变更及撤销。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其他违反 承诺。</w:t>
            </w:r>
          </w:p>
        </w:tc>
      </w:tr>
      <w:tr>
        <w:trPr>
          <w:trHeight w:val="75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 兴乾德精一 投资合伙企 业（有限合 伙）</w:t>
            </w:r>
            <w:r>
              <w:rPr>
                <w:color w:val="000000"/>
                <w:spacing w:val="0"/>
                <w:w w:val="100"/>
                <w:position w:val="0"/>
                <w:sz w:val="18"/>
                <w:szCs w:val="18"/>
              </w:rPr>
              <w:t>；</w:t>
            </w:r>
            <w:r>
              <w:rPr>
                <w:color w:val="000000"/>
                <w:spacing w:val="0"/>
                <w:w w:val="100"/>
                <w:position w:val="0"/>
              </w:rPr>
              <w:t>刘辉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王雁铭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、公司控股股东乾德精一、实际控制人刘 辉出具《关于避免同业竞争的承诺函》，具体 如下：截至承诺函签署日，乾德精一、刘辉 及其控制的其他公司、企业或者其他经济组 织未从事与上市公司、上海即富及其控制的 其他公司、企业或者其他经济组织存在同业 竞争关系的业务。在作为上市公司的控股股 东、实际控制人期间，乾德精一、刘辉及其 控制的其他公司、企业或者其他经济组织将 避免从事任何与上市公司、上海即富及其控 制的其他公司、企业或者其他经济组织相同 或相似且构成或可能构成竞争关系的业务， 亦不从事任何可能损害上市公司、上海即富 及其控制的其他公司、企业或者其他经济组 织利益的活动。如乾德精一、刘辉及其控制 的其他公司、企业或者其他经济组织遇到上 市公司、上海即富及其控制的其他公司、企 业或者其他经济组织主营业务范围内的业务 机会，乾德精一、刘辉及其控制的其他公司、 企业或者其他经济组织应将该等合作机会让 予上市公司、上海即富及其控制的其他公司、 企业或者其他经济组织。乾德精一、刘辉若 违反上述承诺，将承担因此而给上市公司、 上海即富及其控制的其他公司、企业或者其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他经济组织造成的损失。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、黄喜胜、王雁铭 分别出具《关于避免同业竞争的承诺函》，具 体如下：本次交易完成后，在担任上海即富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以上的股东、董事、监事、高级管理 人员期间内：黄喜胜、王雁铭及其实际控制 的企业不会参与或进行与上市公司及其控股 子公司实际从事的业务存在竞争的业务活 动。黄喜胜、王雁铭若违反上述承诺，将承 担因此给上市公司及其控制的其他企业造成 的一切损失。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湖州同胜信 息技术合伙 企业（有限 合伙）</w:t>
            </w:r>
            <w:r>
              <w:rPr>
                <w:color w:val="000000"/>
                <w:spacing w:val="0"/>
                <w:w w:val="100"/>
                <w:position w:val="0"/>
                <w:sz w:val="18"/>
                <w:szCs w:val="18"/>
              </w:rPr>
              <w:t>；</w:t>
            </w:r>
            <w:r>
              <w:rPr>
                <w:color w:val="000000"/>
                <w:spacing w:val="0"/>
                <w:w w:val="100"/>
                <w:position w:val="0"/>
              </w:rPr>
              <w:t>黄喜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上海复 星工业技术 发展有限公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义乌市博铭 投资合伙企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 纬诺投资合 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关于避免资金占用的承诺函：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、除正常经 营性往来外，本人、本公司、本企业及本人、 本公司、本企业所控制的其他企业目前不存 在违规占用上海即富的资金，或采用预收款、 应付款等形式违规变相占用上海即富资金的 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、本次交易完成后，本人、本公司、 本企业及本人、本公司、本企业所控制的其 他企业将严格遵守国家有关法律、法规、规 范性文件以及上海即富、上市公司相关规章 制度的规定，坚决预防和杜绝本人、本公司、 本企业及其所控制的其他企业对上海即富的 非经营性占用资金情况发生，不以任何方式 违规占用或使用上海即富的资金或其他资 产、资源，不以任何直接或者间接的方式从 事损害或可能损害上海即富、上市公司及其 他股东利益的行为。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、本人、本公司、本企 业将利用对所控制的其他企业的控制权，促 使该企业按照同样的标准遵守上述承诺。本 人、本公司、本企业若违反上述承诺，将承 担因此给上海即富、上市公司造成的一切损 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 兴乾德精一 投资合伙企 业（有限合 伙）</w:t>
            </w:r>
            <w:r>
              <w:rPr>
                <w:color w:val="000000"/>
                <w:spacing w:val="0"/>
                <w:w w:val="100"/>
                <w:position w:val="0"/>
                <w:sz w:val="18"/>
                <w:szCs w:val="18"/>
              </w:rPr>
              <w:t>；</w:t>
            </w:r>
            <w:r>
              <w:rPr>
                <w:color w:val="000000"/>
                <w:spacing w:val="0"/>
                <w:w w:val="100"/>
                <w:position w:val="0"/>
              </w:rPr>
              <w:t>键桥通 讯技术有限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王雁铭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、公司控股股东乾德精一、实际控制人刘 辉出具《关于减少和规范关联交易的承诺 函》，具体如下：在作为上市公司的控股股东、 实际控制人期间，乾德精一、刘辉及其控制 的其他公司、企业或者其他经济组织将尽量 减少并规范与上市公司、上海即富及其控制 的其他公司、企业或者其他经济组织之间的 关联交易。对于无法避免或有合理原因而发 生的关联交易，乾德精一、刘辉及其控制的 其他公司、企业或者其他经济组织将遵循市 场原则以公允、合理的市场价格进行交易， 并根据有关法律、法规及规范性文件的规定 履行关联交易决策程序，依法履行信息披露</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义务和办理有关报批程序，不利用重要股东 地位损害上市公司及其他股东的合法权益。 乾德精一、刘辉若违反上述承诺，将承担因 此而给上市公司、上海即富及其控制的其他 公司、企业或者其他经济组织造成的损失。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以上的股东香港键桥出具《关于 减少和规范关联交易的承诺函》，具体如下： 在作为上市公司的持股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以上的股东期间， 香港键桥及其控制的其他公司、企业或者其 他经济组织将尽量减少并规范与上市公司、 上海即富及其控制的其他公司、企业或者其 他经济组织之间的关联交易。对于无法避免 或有合理原因而发生的关联交易，香港键桥 及其控制的其他公司、企业或者其他经济组 织将遵循市场原则以公允、合理的市场价格 进行交易，并根据有关法律、法规及规范性 文件的规定履行关联交易决策程序，依法履 行信息披露义务和办理有关报批程序，不利 用重要股东地位损害上市公司及其他股东的 合法权益。香港键桥若违反上述承诺，将承 担因此而给上市公司、上海即富及其控制的 其他公司、企业或者其他经济组织造成的损 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、黄喜胜、王雁铭分别出具《关于减少 和规范关联交易的承诺函》，具体如下：本次 交易完成后，在担任上市公司持股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 股东、董事、监事、高级管理人员等关联方 期间，黄喜胜、王雁铭及其控制的企业将减 少并规范与上市公司及其控制的企业之间的 关联交易。对于无法避免或有合理原因而发 生的关联交易，黄喜胜、王雁铭及其控制的 企业将遵循市场原则以公允、合理的市场价 格进行，根据有关法律、法规及规范性文件 的规定履行关联交易决策程序，依法履行信 息披露义务和办理有关报批手续，不损害上 市公司及其控制的企业以及前述企业股东的 合法权益。黄喜胜、王雁铭若违反上述承诺， 将承担因此而给上市公司及其控制的企业造 成的一切损失。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陈道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程启北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丛丰森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 州同胜信息 技术合伙企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不存在泄露上市公司本次交易的相关内幕信 息及利用该内幕信息进行内幕交易的情形， 不存在因涉嫌本次交易相关的内幕交易被立 案调查或者立案侦查的情形，不存在因涉嫌 本次交易相关的内幕交易而被中国证监会作 出行政处罚或者被司法机关依法追究刑事责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嘉兴乾德精 一投资合伙 企业（有限 合伙）</w:t>
            </w:r>
            <w:r>
              <w:rPr>
                <w:color w:val="000000"/>
                <w:spacing w:val="0"/>
                <w:w w:val="100"/>
                <w:position w:val="0"/>
                <w:sz w:val="18"/>
                <w:szCs w:val="18"/>
              </w:rPr>
              <w:t>；</w:t>
            </w:r>
            <w:r>
              <w:rPr>
                <w:color w:val="000000"/>
                <w:spacing w:val="0"/>
                <w:w w:val="100"/>
                <w:position w:val="0"/>
              </w:rPr>
              <w:t>键桥 通讯技术有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 华良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刘永泽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煜辉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孟令 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上海复 星工业技术 发展有限公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来美居贸易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陶艳艳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雁铭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王永 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易欢欢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袁训明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国信贷科技 控股有限公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任的情形，不存在《关于加强与上市公司重 大资产重组相关股票异常交易监管的暂行规 定》第十三条规定的不得参与上市公司重大 资产重组的情形。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湖州 同胜信息技 术合伙企业</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嘉兴乾德精 一投资合伙 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上海复星工 业技术发展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深圳市来美 居贸易有限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 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 博铭投资合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 乌市纬诺投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、乾德精一、刘辉出具《关于不存在关联 关系、不互为一致行动人的承诺函》，具体如 下：本次交易前，乾德精一、刘辉与纬诺投 资、博铭投资、黄喜胜、王雁铭、湖州同胜、 复兴工业、白涛不存在任何关联关系，亦不 存在《上市公司收购管理办法》第八十三条 所定义的构成一致行动关系的情形。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、纬诺 投资、博铭投资、黄喜胜、王雁铭出具《关 于不存在关联关系、不互为一致行动人的承 诺函》，具体如下：本次交易前纬诺投资、博 铭投资、黄喜胜、王雁铭与乾德精一及其主 要出资人、实际控制人刘辉除已公开披露的 信息外，不存在任何关联关系，亦不存在《上 市公司收购管理办法》第八十三条所定义的 构成一致行动关系的情形。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、上海即富全体 股东、黄喜胜、王雁铭、中国信贷科技出具</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《关于不互为一致行动人的承诺函》，具体如 下：本次交易对方中，纬诺投资和湖州同胜 均为黄喜胜控制，纬诺投资与湖州同胜构成 一致行动关系；复星工业与白涛构成一致行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资合伙企业</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（有限合</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伙）</w:t>
            </w:r>
            <w:r>
              <w:rPr>
                <w:color w:val="000000"/>
                <w:spacing w:val="0"/>
                <w:w w:val="100"/>
                <w:position w:val="0"/>
                <w:sz w:val="18"/>
                <w:szCs w:val="18"/>
              </w:rPr>
              <w:t>；</w:t>
            </w:r>
            <w:r>
              <w:rPr>
                <w:color w:val="000000"/>
                <w:spacing w:val="0"/>
                <w:w w:val="100"/>
                <w:position w:val="0"/>
              </w:rPr>
              <w:t>中国信 贷科技控股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动关系。除此之外，上海即富其他股东不存 在任何亲属关系或其他关联关系，亦不存在 通过协议或其他安排在上海即富的经营管 理、决策、提案和股权收益等方面形成一致 行动关系的情形。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嘉兴乾德精</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一投资合伙 企业（有限 合伙）</w:t>
            </w:r>
            <w:r>
              <w:rPr>
                <w:color w:val="000000"/>
                <w:spacing w:val="0"/>
                <w:w w:val="100"/>
                <w:position w:val="0"/>
                <w:sz w:val="18"/>
                <w:szCs w:val="18"/>
              </w:rPr>
              <w:t>；</w:t>
            </w:r>
            <w:r>
              <w:rPr>
                <w:color w:val="000000"/>
                <w:spacing w:val="0"/>
                <w:w w:val="100"/>
                <w:position w:val="0"/>
              </w:rPr>
              <w:t>刘辉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关于保证独立性的承诺函保证上市公司、上 海即富的人员、机构、业务、财务独立，资 产独立、完整，若违反上述承诺，将承担因 此而给上市公司、上海即富造成的损失。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杨芸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邵叶 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沈航惠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史恩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关于任职期限及竞业禁止的承诺包括黄喜 胜、史恩、邵叶佳、刘杨芸和沈航惠在内的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名标的公司主要管理人员在标的资产交割完 成后五个工作日内与标的公司签订服务期至 少至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日的劳动合同。自协议 签署日至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日前，除非因法定 事由或经上市公司书面同意，前述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名标的 公司主要管理人员不得离职，且标的公司主 要管理人员在标的公司任职期间及离职后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年内，不得在与标的公司及其控制的企业从 事相同或相似业务的公司任职，不得直接或 间接从事、经营、投资与标的公司及其控制 的企业相同或相似的业务，不得以标的公司 以外的名义为标的公司现有客户提供相同或 类似服务。若前述标的公司的任何一名主要 管理人员在标的公司任职期间及离职后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内，在与标的公司及其控制的企业从事相同 或相似业务的公司任职，直接或间接从事、 经营、投资与标的公司及其控制的企业相同 或相似的业务，以标的公司以外的名义为标 的公司现有客户提供相同或类似服务，该等 人员违反上述义务所获收益归标的公司所 有，且其应向标的公司承担赔偿责任（包括 赔偿守约方为避免损失而支出的合理费用）。</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陈道军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 启北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丛丰 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嘉兴乾 德精一投资 合伙企业</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键桥通 讯技术有限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关于提供信息真实性、准确性和完整性的承 诺函本次重组的信息披露和申请文件不存在 虚假记载、误导性陈述或者重大遗漏。如本 次重组因涉嫌所提供或者披露的信息存在虚 假记载、误导性陈述或者重大遗漏，被司法 机关立案侦查或者被中国证监会立案调查 的，在案件调查结论明确之前，将暂停转让 其在上市公司直接或间接拥有权益的股份。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蒋华 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永泽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刘煜 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孟令章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陶艳艳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永彬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易欢 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袁训明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湖州 同胜信息技 术合伙企业</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上海复星工 业技术发展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深圳市来美 居贸易有限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 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 博铭投资合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 乌市纬诺投 资合伙企业</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中国信 贷科技控股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关于提供资料真实、准确、完整的承诺函将 及时向上市公司提供本次交易的相关信息， 保证所提供的相关信息真实、准确、完整， 如因提供或披露的信息存在虚假记载、误导 性陈述或者重大遗漏，给上市公司或者投资 者造成损失的，将依法承担赔偿责任；如本 次交易因涉嫌所提供或披露的信息存在虚假 记载、误导性陈述或者重大遗漏，被司法机 关立案侦查或者被中国证监会立案调查的， 在案件调查结论明确之前，将暂停转让其在 上市公司拥有权益的股份。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湖州 同胜信息技 术合伙企业</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上海复 星工业技术 发展有限公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来美居贸易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义乌市博铭 投资合伙企 业（有限合 伙）</w:t>
            </w:r>
            <w:r>
              <w:rPr>
                <w:color w:val="000000"/>
                <w:spacing w:val="0"/>
                <w:w w:val="100"/>
                <w:position w:val="0"/>
                <w:sz w:val="18"/>
                <w:szCs w:val="18"/>
              </w:rPr>
              <w:t>；</w:t>
            </w:r>
            <w:r>
              <w:rPr>
                <w:color w:val="000000"/>
                <w:spacing w:val="0"/>
                <w:w w:val="100"/>
                <w:position w:val="0"/>
              </w:rPr>
              <w:t>义乌市 纬诺投资合 伙企业（有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关于资产权属的承诺函：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、作为上海即富 的股东，合法持有上海即富股权；已经依法 履行对上海即富的出资义务，不存在任何虚 假出资、延期出资、抽逃出资等违反作为上 海即富股东所应承担的义务及责任的行为， 不存在可能影响上海即富合法存续的情况。</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、所持有的上海即富股权为本公司合法财 产，为其最终权益所有人，不存在权属纠纷， 不存在信托、委托持股或者类似安排，不存 在禁止转让、限制转让的承诺或安排，亦不 存在质押、冻结、查封、财产保全或其他权 利限制的情形。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、上海即富及其控制的下属 企业未因涉嫌犯罪被司法机关立案侦查或者 涉嫌违法违规被中国证监会立案调查，未受 到任何重大行政处罚，亦未受到任何刑事处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138"/>
        <w:gridCol w:w="994"/>
        <w:gridCol w:w="1133"/>
        <w:gridCol w:w="3547"/>
        <w:gridCol w:w="850"/>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键桥通讯技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关于同业竞</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争、关联交</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易、资金占用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键桥通讯技术有限公司承诺：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、本公司目 前没有直接或间接地从事任何与股份公司营 业执照所列明经营范围内的业务存在竞争的 任何业务活动。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、本公司保证现时及将来均 不会以任何方式（包括但不限于独资经营， 合资经营，联营和拥有在其他公司或企业的 股票或权益）从事与股份公司的业务有竞争 或可能构成竞争的业务或活动。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、承诺期限： 长期有效。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键桥通讯技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0" w:lineRule="exact"/>
              <w:ind w:left="0" w:right="0" w:firstLine="0"/>
              <w:jc w:val="both"/>
            </w:pPr>
            <w:r>
              <w:rPr>
                <w:color w:val="000000"/>
                <w:spacing w:val="0"/>
                <w:w w:val="100"/>
                <w:position w:val="0"/>
              </w:rPr>
              <w:t>对于公司享有的企业所得税税收优惠事项， 公司控股股东键桥通讯技术有限公司承诺： 如今后公司因税收优惠被税务机关撤销而产 生额外税项和费用时，将及时、无条件、全 额承担公司补缴的税款以及因此所产生的所 有相关费用。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大连永利商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务发展有限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自本承诺函出具之日起直至承诺期限届满之 日，本公司保证不会以直接或间接方式减持 持有的上市公司股份，并保证上市公司的控 股股东在此期间不会因本公司自身原因发生 变更。若本公司违反前述承诺，给上市公司 或者投资者造成损失的，本公司将依法承担 赔偿责任。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嘉兴乾德精</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一投资合伙</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自本承诺函出具之日起直至承诺期限届满之 日，本合伙企业保证不会以直接或间接方式 减持持有的上市公司股份。若本合伙企业违 反前述承诺，给上市公司或者投资者造成损 失的，本合伙企业将依法承担赔偿责任。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自本承诺函出具之日起直至承诺期限届满之 日，本人保证不丧失对大连永利商务发展有 限公司及键桥通讯技术有限公司的控制权， 不会以直接或间接方式减持大连永利商务发 展有限公司及键桥通讯技术有限公司持有的 上市公司股份，并保证上市公司的控股股东、 实际控制人在此期间不会因本人原因发生变 更。若本人违反前述承诺，给上市公司或者 投资者造成损失的，本人将依法承担赔偿责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格履行了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承诺是否按 时履行</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162"/>
        <w:gridCol w:w="8539"/>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未履行完毕 的，应当详细 说明未完成</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履行的具体</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原因及下一</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步的工作计 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9"/>
        <w:keepNext/>
        <w:keepLines/>
        <w:widowControl w:val="0"/>
        <w:shd w:val="clear" w:color="auto" w:fill="auto"/>
        <w:bidi w:val="0"/>
        <w:spacing w:before="0" w:after="260" w:line="326"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、公司资产或项目存在盈利预测，且报告期仍处在盈利预测期间，公司就资产或项目达到原盈利预测及 其原因做出说明</w:t>
      </w:r>
      <w:bookmarkEnd w:id="449"/>
      <w:bookmarkEnd w:id="450"/>
      <w:bookmarkEnd w:id="452"/>
    </w:p>
    <w:p>
      <w:pPr>
        <w:pStyle w:val="Style18"/>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二</w:t>
      </w:r>
      <w:bookmarkEnd w:id="455"/>
      <w:r>
        <w:rPr>
          <w:color w:val="000000"/>
          <w:spacing w:val="0"/>
          <w:w w:val="100"/>
          <w:position w:val="0"/>
        </w:rPr>
        <w:t>、</w:t>
        <w:tab/>
        <w:t>控股股东及其他关联方对上市公司的非经营性占用资金情况</w:t>
      </w:r>
      <w:bookmarkEnd w:id="453"/>
      <w:bookmarkEnd w:id="454"/>
      <w:bookmarkEnd w:id="456"/>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三</w:t>
      </w:r>
      <w:bookmarkEnd w:id="459"/>
      <w:r>
        <w:rPr>
          <w:color w:val="000000"/>
          <w:spacing w:val="0"/>
          <w:w w:val="100"/>
          <w:position w:val="0"/>
        </w:rPr>
        <w:t>、</w:t>
        <w:tab/>
        <w:t>违规对外担保情况</w:t>
      </w:r>
      <w:bookmarkEnd w:id="457"/>
      <w:bookmarkEnd w:id="458"/>
      <w:bookmarkEnd w:id="460"/>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四</w:t>
      </w:r>
      <w:bookmarkEnd w:id="46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61"/>
      <w:bookmarkEnd w:id="462"/>
      <w:bookmarkEnd w:id="464"/>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五</w:t>
      </w:r>
      <w:bookmarkEnd w:id="46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5"/>
      <w:bookmarkEnd w:id="466"/>
      <w:bookmarkEnd w:id="468"/>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20" w:line="315" w:lineRule="exact"/>
        <w:ind w:left="0" w:right="0" w:firstLine="480"/>
        <w:jc w:val="left"/>
      </w:pPr>
      <w:bookmarkStart w:id="469" w:name="bookmark469"/>
      <w:r>
        <w:rPr>
          <w:b/>
          <w:bCs/>
          <w:color w:val="000000"/>
          <w:spacing w:val="0"/>
          <w:w w:val="100"/>
          <w:position w:val="0"/>
        </w:rPr>
        <w:t>（</w:t>
      </w:r>
      <w:bookmarkEnd w:id="469"/>
      <w:r>
        <w:rPr>
          <w:b/>
          <w:bCs/>
          <w:color w:val="000000"/>
          <w:spacing w:val="0"/>
          <w:w w:val="100"/>
          <w:position w:val="0"/>
        </w:rPr>
        <w:t>一）董事会关于非标准审计意见涉及事项专项说明</w:t>
      </w:r>
    </w:p>
    <w:p>
      <w:pPr>
        <w:pStyle w:val="Style18"/>
        <w:keepNext w:val="0"/>
        <w:keepLines w:val="0"/>
        <w:widowControl w:val="0"/>
        <w:shd w:val="clear" w:color="auto" w:fill="auto"/>
        <w:tabs>
          <w:tab w:pos="819" w:val="left"/>
        </w:tabs>
        <w:bidi w:val="0"/>
        <w:spacing w:before="0" w:after="80" w:line="315" w:lineRule="exact"/>
        <w:ind w:left="0" w:right="0" w:firstLine="480"/>
        <w:jc w:val="left"/>
      </w:pPr>
      <w:bookmarkStart w:id="470" w:name="bookmark470"/>
      <w:r>
        <w:rPr>
          <w:rFonts w:ascii="Times New Roman" w:eastAsia="Times New Roman" w:hAnsi="Times New Roman" w:cs="Times New Roman"/>
          <w:b/>
          <w:bCs/>
          <w:color w:val="000000"/>
          <w:spacing w:val="0"/>
          <w:w w:val="100"/>
          <w:position w:val="0"/>
          <w:sz w:val="18"/>
          <w:szCs w:val="18"/>
        </w:rPr>
        <w:t>1</w:t>
      </w:r>
      <w:bookmarkEnd w:id="470"/>
      <w:r>
        <w:rPr>
          <w:b/>
          <w:bCs/>
          <w:color w:val="000000"/>
          <w:spacing w:val="0"/>
          <w:w w:val="100"/>
          <w:position w:val="0"/>
        </w:rPr>
        <w:t>、</w:t>
        <w:tab/>
        <w:t>公司董事会对非标准审计意见涉及事项的意见</w:t>
      </w:r>
    </w:p>
    <w:p>
      <w:pPr>
        <w:pStyle w:val="Style18"/>
        <w:keepNext w:val="0"/>
        <w:keepLines w:val="0"/>
        <w:widowControl w:val="0"/>
        <w:shd w:val="clear" w:color="auto" w:fill="auto"/>
        <w:bidi w:val="0"/>
        <w:spacing w:before="0" w:after="0" w:line="317" w:lineRule="exact"/>
        <w:ind w:left="0" w:right="0" w:firstLine="480"/>
        <w:jc w:val="left"/>
      </w:pPr>
      <w:r>
        <w:rPr>
          <w:color w:val="000000"/>
          <w:spacing w:val="0"/>
          <w:w w:val="100"/>
          <w:position w:val="0"/>
        </w:rPr>
        <w:t>鉴于疫情影响等客观环境因素，中喜会计师事务所对公司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年度财务报表出具了无法表示意见的审计报告，审计报 告中无法表示意见涉及事项的说明未能全面、客观反映公司的实际情况，一定程度上夸大了公司面临的风险。公司将努力克 服困难，积极采取相应有效的措施，争取尽早消除无法表示意见中涉及的事项，积极维护广大投资者和公司的利益。</w:t>
      </w:r>
    </w:p>
    <w:p>
      <w:pPr>
        <w:pStyle w:val="Style18"/>
        <w:keepNext w:val="0"/>
        <w:keepLines w:val="0"/>
        <w:widowControl w:val="0"/>
        <w:shd w:val="clear" w:color="auto" w:fill="auto"/>
        <w:tabs>
          <w:tab w:pos="834" w:val="left"/>
        </w:tabs>
        <w:bidi w:val="0"/>
        <w:spacing w:before="0" w:after="0" w:line="315" w:lineRule="exact"/>
        <w:ind w:left="0" w:right="0" w:firstLine="480"/>
        <w:jc w:val="left"/>
      </w:pPr>
      <w:bookmarkStart w:id="471" w:name="bookmark471"/>
      <w:r>
        <w:rPr>
          <w:rFonts w:ascii="Times New Roman" w:eastAsia="Times New Roman" w:hAnsi="Times New Roman" w:cs="Times New Roman"/>
          <w:b/>
          <w:bCs/>
          <w:color w:val="000000"/>
          <w:spacing w:val="0"/>
          <w:w w:val="100"/>
          <w:position w:val="0"/>
          <w:sz w:val="18"/>
          <w:szCs w:val="18"/>
        </w:rPr>
        <w:t>2</w:t>
      </w:r>
      <w:bookmarkEnd w:id="471"/>
      <w:r>
        <w:rPr>
          <w:b/>
          <w:bCs/>
          <w:color w:val="000000"/>
          <w:spacing w:val="0"/>
          <w:w w:val="100"/>
          <w:position w:val="0"/>
        </w:rPr>
        <w:t>、</w:t>
        <w:tab/>
        <w:t>消除相关事项及其影响的措施及安排</w:t>
      </w:r>
    </w:p>
    <w:p>
      <w:pPr>
        <w:pStyle w:val="Style18"/>
        <w:keepNext w:val="0"/>
        <w:keepLines w:val="0"/>
        <w:widowControl w:val="0"/>
        <w:shd w:val="clear" w:color="auto" w:fill="auto"/>
        <w:tabs>
          <w:tab w:pos="925" w:val="left"/>
        </w:tabs>
        <w:bidi w:val="0"/>
        <w:spacing w:before="0" w:after="0" w:line="315" w:lineRule="exact"/>
        <w:ind w:left="0" w:right="0" w:firstLine="480"/>
        <w:jc w:val="left"/>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针对函证受限问题的相关措施</w:t>
      </w:r>
    </w:p>
    <w:p>
      <w:pPr>
        <w:pStyle w:val="Style18"/>
        <w:keepNext w:val="0"/>
        <w:keepLines w:val="0"/>
        <w:widowControl w:val="0"/>
        <w:shd w:val="clear" w:color="auto" w:fill="auto"/>
        <w:bidi w:val="0"/>
        <w:spacing w:before="0" w:after="0" w:line="314" w:lineRule="exact"/>
        <w:ind w:left="0" w:right="0" w:firstLine="480"/>
        <w:jc w:val="left"/>
      </w:pPr>
      <w:r>
        <w:rPr>
          <w:color w:val="000000"/>
          <w:spacing w:val="0"/>
          <w:w w:val="100"/>
          <w:position w:val="0"/>
        </w:rPr>
        <w:t>目前开店宝科技回函率偏低，随着后续上海地区逐步复工复产，针对银行函证，公司计划每日通过电话向银行跟催回函， 并统计回函进度，视情况将派专人现场跟踪函证进展；针对往来函证，公司已下达任务给市场部，由其协调服务商及项目组 配合回函，定期汇报回函进度；通过采取上述措施将最大限度地保证回函。专网及其他公司相关函证，后续继续加大跟催力 度，做到应回尽回。</w:t>
      </w:r>
    </w:p>
    <w:p>
      <w:pPr>
        <w:pStyle w:val="Style18"/>
        <w:keepNext w:val="0"/>
        <w:keepLines w:val="0"/>
        <w:widowControl w:val="0"/>
        <w:shd w:val="clear" w:color="auto" w:fill="auto"/>
        <w:tabs>
          <w:tab w:pos="925" w:val="left"/>
        </w:tabs>
        <w:bidi w:val="0"/>
        <w:spacing w:before="0" w:after="260" w:line="315" w:lineRule="exact"/>
        <w:ind w:left="0" w:right="0" w:firstLine="480"/>
        <w:jc w:val="left"/>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针对子公司毛利率异常问题的相关措施</w:t>
      </w:r>
    </w:p>
    <w:p>
      <w:pPr>
        <w:pStyle w:val="Style18"/>
        <w:keepNext w:val="0"/>
        <w:keepLines w:val="0"/>
        <w:widowControl w:val="0"/>
        <w:numPr>
          <w:ilvl w:val="0"/>
          <w:numId w:val="7"/>
        </w:numPr>
        <w:shd w:val="clear" w:color="auto" w:fill="auto"/>
        <w:tabs>
          <w:tab w:pos="753" w:val="left"/>
        </w:tabs>
        <w:bidi w:val="0"/>
        <w:spacing w:before="0" w:after="0" w:line="317" w:lineRule="exact"/>
        <w:ind w:left="0" w:right="0"/>
        <w:jc w:val="both"/>
      </w:pPr>
      <w:bookmarkStart w:id="474" w:name="bookmark474"/>
      <w:bookmarkEnd w:id="474"/>
      <w:r>
        <w:rPr>
          <w:color w:val="000000"/>
          <w:spacing w:val="0"/>
          <w:w w:val="100"/>
          <w:position w:val="0"/>
        </w:rPr>
        <w:t>强化成本核算、加强预算分析和财务核算的沟通</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公司将进一步深化成本费用管理，重视成本费用指标的分解、及时对比实际业绩和计划目标、控制成本费用差异、考核 成本费用指标的完成情况，进一步完善奖惩制度，努力降低成本费用，提高经济效益。</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建立月度产品毛利率分析机制，账务处理前需落实当月细分产品的毛利率情况，对比同期数据，确保月度毛利率波动处 于合理水平。</w:t>
      </w:r>
    </w:p>
    <w:p>
      <w:pPr>
        <w:pStyle w:val="Style18"/>
        <w:keepNext w:val="0"/>
        <w:keepLines w:val="0"/>
        <w:widowControl w:val="0"/>
        <w:numPr>
          <w:ilvl w:val="0"/>
          <w:numId w:val="7"/>
        </w:numPr>
        <w:shd w:val="clear" w:color="auto" w:fill="auto"/>
        <w:tabs>
          <w:tab w:pos="753" w:val="left"/>
        </w:tabs>
        <w:bidi w:val="0"/>
        <w:spacing w:before="0" w:after="0" w:line="322" w:lineRule="exact"/>
        <w:ind w:left="0" w:right="0"/>
        <w:jc w:val="both"/>
      </w:pPr>
      <w:bookmarkStart w:id="475" w:name="bookmark475"/>
      <w:bookmarkEnd w:id="475"/>
      <w:r>
        <w:rPr>
          <w:color w:val="000000"/>
          <w:spacing w:val="0"/>
          <w:w w:val="100"/>
          <w:position w:val="0"/>
        </w:rPr>
        <w:t>提高结算单出具的效率</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部分调节事项未及时在对应的月份进行账务处理导致月度毛利率波动较大，需提高结算单出具效率，加强公司和项目组 及服务商的沟通，保证结算单出具的进度及账务处理的及时、准确性。</w:t>
      </w:r>
    </w:p>
    <w:p>
      <w:pPr>
        <w:pStyle w:val="Style18"/>
        <w:keepNext w:val="0"/>
        <w:keepLines w:val="0"/>
        <w:widowControl w:val="0"/>
        <w:numPr>
          <w:ilvl w:val="0"/>
          <w:numId w:val="7"/>
        </w:numPr>
        <w:shd w:val="clear" w:color="auto" w:fill="auto"/>
        <w:tabs>
          <w:tab w:pos="753" w:val="left"/>
        </w:tabs>
        <w:bidi w:val="0"/>
        <w:spacing w:before="0" w:after="0" w:line="317" w:lineRule="exact"/>
        <w:ind w:left="0" w:right="0"/>
        <w:jc w:val="both"/>
      </w:pPr>
      <w:bookmarkStart w:id="476" w:name="bookmark476"/>
      <w:bookmarkEnd w:id="476"/>
      <w:r>
        <w:rPr>
          <w:color w:val="000000"/>
          <w:spacing w:val="0"/>
          <w:w w:val="100"/>
          <w:position w:val="0"/>
        </w:rPr>
        <w:t>组织财务人员培训</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公司财务部将加强财务核算等方面培训，不断提高相关财务人员的专业能力、业务水平。财务部还将加强与业务部门之 间的沟通，就公司的业务信息及财务信息流转进行梳理，提高部门信息传递效率，增强财务工作人员对所负责财务模块的理 解并完整获取账务循环各个节点所需的支撑凭证，增强财务会计核算工作的准确、及时及完整性。</w:t>
      </w:r>
    </w:p>
    <w:p>
      <w:pPr>
        <w:pStyle w:val="Style18"/>
        <w:keepNext w:val="0"/>
        <w:keepLines w:val="0"/>
        <w:widowControl w:val="0"/>
        <w:shd w:val="clear" w:color="auto" w:fill="auto"/>
        <w:bidi w:val="0"/>
        <w:spacing w:before="0" w:after="0" w:line="317" w:lineRule="exact"/>
        <w:ind w:left="0" w:right="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）预计消除影响的可能性及时间</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公司计划聘请会计师以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年半年度报告为基准日进行专项审计，重新发函并出具专项审计报告；并对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 报表涉及的成本及采购、分润对应的往来项目列报的准确性进一步确认，确保收入成本的匹配性，消除上述非标意见的影响。</w:t>
      </w:r>
    </w:p>
    <w:p>
      <w:pPr>
        <w:pStyle w:val="Style18"/>
        <w:keepNext w:val="0"/>
        <w:keepLines w:val="0"/>
        <w:widowControl w:val="0"/>
        <w:shd w:val="clear" w:color="auto" w:fill="auto"/>
        <w:tabs>
          <w:tab w:pos="926" w:val="left"/>
        </w:tabs>
        <w:bidi w:val="0"/>
        <w:spacing w:before="0" w:after="0" w:line="326" w:lineRule="exact"/>
        <w:ind w:left="0" w:right="0"/>
        <w:jc w:val="both"/>
      </w:pPr>
      <w:bookmarkStart w:id="478" w:name="bookmark478"/>
      <w:r>
        <w:rPr>
          <w:b/>
          <w:bCs/>
          <w:color w:val="000000"/>
          <w:spacing w:val="0"/>
          <w:w w:val="100"/>
          <w:position w:val="0"/>
        </w:rPr>
        <w:t>（</w:t>
      </w:r>
      <w:bookmarkEnd w:id="478"/>
      <w:r>
        <w:rPr>
          <w:b/>
          <w:bCs/>
          <w:color w:val="000000"/>
          <w:spacing w:val="0"/>
          <w:w w:val="100"/>
          <w:position w:val="0"/>
        </w:rPr>
        <w:t>二）</w:t>
        <w:tab/>
        <w:t>监事会对《董事会关于非标准审计意见涉及事项的专项说明》的意见</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我们对公司董事会编制的《董事会关于非标准审计意见涉及事项专项说明》表示认可，董事会已对审计报告中无法表示 意见涉及的事项提出有效消除措施及安排，该专项说明符合中国证监会、深圳证券交易所颁布的有关规范性文件和条例的规 定，我们将全力支持并督促公司董事会和管理层落实有效措施并完全消除相关事项的影响，督促公司规范运作，提升治理水 平，提升公司持续经营能力，切实维护公司及全体股东的合法权益。</w:t>
      </w:r>
    </w:p>
    <w:p>
      <w:pPr>
        <w:pStyle w:val="Style18"/>
        <w:keepNext w:val="0"/>
        <w:keepLines w:val="0"/>
        <w:widowControl w:val="0"/>
        <w:shd w:val="clear" w:color="auto" w:fill="auto"/>
        <w:tabs>
          <w:tab w:pos="926" w:val="left"/>
        </w:tabs>
        <w:bidi w:val="0"/>
        <w:spacing w:before="0" w:after="0" w:line="317" w:lineRule="exact"/>
        <w:ind w:left="0" w:right="0"/>
        <w:jc w:val="both"/>
      </w:pPr>
      <w:bookmarkStart w:id="479" w:name="bookmark479"/>
      <w:r>
        <w:rPr>
          <w:b/>
          <w:bCs/>
          <w:color w:val="000000"/>
          <w:spacing w:val="0"/>
          <w:w w:val="100"/>
          <w:position w:val="0"/>
        </w:rPr>
        <w:t>（</w:t>
      </w:r>
      <w:bookmarkEnd w:id="479"/>
      <w:r>
        <w:rPr>
          <w:b/>
          <w:bCs/>
          <w:color w:val="000000"/>
          <w:spacing w:val="0"/>
          <w:w w:val="100"/>
          <w:position w:val="0"/>
        </w:rPr>
        <w:t>三）</w:t>
        <w:tab/>
        <w:t>独立董事对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年度财务报告非标准审计意见涉及事项的独立意见</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中喜会计师事务所依据相关情况，对公司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年度财务报表出具无法表示意见的审计报告，我们对审计报告无异议。 作为公司独立董事，我们同意董事会的专项说明，并将持续关注和监督公司董事会和管理层采取相应的措施，并努力消除相 关事项对公司的影响，切实维护公司及全体股东的利益。</w:t>
      </w:r>
    </w:p>
    <w:p>
      <w:pPr>
        <w:pStyle w:val="Style23"/>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六</w:t>
      </w:r>
      <w:bookmarkEnd w:id="482"/>
      <w:r>
        <w:rPr>
          <w:color w:val="000000"/>
          <w:spacing w:val="0"/>
          <w:w w:val="100"/>
          <w:position w:val="0"/>
        </w:rPr>
        <w:t>、与上年度财务报告相比，会计政策、会计估计变更或重大会计差错更正的情况说明</w:t>
      </w:r>
      <w:bookmarkEnd w:id="480"/>
      <w:bookmarkEnd w:id="481"/>
      <w:bookmarkEnd w:id="483"/>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、会计政策变更</w:t>
      </w:r>
    </w:p>
    <w:tbl>
      <w:tblPr>
        <w:tblOverlap w:val="never"/>
        <w:jc w:val="center"/>
        <w:tblLayout w:type="fixed"/>
      </w:tblPr>
      <w:tblGrid>
        <w:gridCol w:w="8088"/>
        <w:gridCol w:w="1286"/>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r>
      <w:tr>
        <w:trPr>
          <w:trHeight w:val="129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），要求除境内外同时上市的企业以及在境外上市并采用国际财务报告 准则或企业会计准则编制财务报告的企业之外的其他执行企业会计准则的企业自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新租赁准则。由于上述新租赁准则的修订，公司需对原采用的相关会计政策进行相应调整。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公司第五届董 事会第三十次 会议审议通过</w:t>
            </w:r>
          </w:p>
        </w:tc>
      </w:tr>
    </w:tbl>
    <w:p>
      <w:pPr>
        <w:pStyle w:val="Style25"/>
        <w:keepNext w:val="0"/>
        <w:keepLines w:val="0"/>
        <w:widowControl w:val="0"/>
        <w:shd w:val="clear" w:color="auto" w:fill="auto"/>
        <w:bidi w:val="0"/>
        <w:spacing w:before="0" w:after="100" w:line="240" w:lineRule="auto"/>
        <w:ind w:left="46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、重要会计估计变更</w:t>
      </w:r>
    </w:p>
    <w:p>
      <w:pPr>
        <w:pStyle w:val="Style25"/>
        <w:keepNext w:val="0"/>
        <w:keepLines w:val="0"/>
        <w:widowControl w:val="0"/>
        <w:shd w:val="clear" w:color="auto" w:fill="auto"/>
        <w:bidi w:val="0"/>
        <w:spacing w:before="0" w:after="0" w:line="240" w:lineRule="auto"/>
        <w:ind w:left="461"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日召开的第五届董事会第三十七次会议审议通过了《关于会计估计变更的议案》，相关变更情况</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如下：</w:t>
      </w:r>
    </w:p>
    <w:p>
      <w:pPr>
        <w:pStyle w:val="Style18"/>
        <w:keepNext w:val="0"/>
        <w:keepLines w:val="0"/>
        <w:widowControl w:val="0"/>
        <w:shd w:val="clear" w:color="auto" w:fill="auto"/>
        <w:tabs>
          <w:tab w:pos="945" w:val="left"/>
        </w:tabs>
        <w:bidi w:val="0"/>
        <w:spacing w:before="0" w:after="0" w:line="307" w:lineRule="exact"/>
        <w:ind w:left="0" w:right="0" w:firstLine="500"/>
        <w:jc w:val="left"/>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会计估计变更原因</w:t>
      </w:r>
    </w:p>
    <w:p>
      <w:pPr>
        <w:pStyle w:val="Style1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为了更加客观公正地反映公司的财务状况和经营成果，提高公司会计信息的质量，增强公司第三方支付业务与同行业 的可比性，公司将对第三方支付业务应收账款及其他应收款的会计估计进行变更。</w:t>
      </w:r>
    </w:p>
    <w:p>
      <w:pPr>
        <w:pStyle w:val="Style18"/>
        <w:keepNext w:val="0"/>
        <w:keepLines w:val="0"/>
        <w:widowControl w:val="0"/>
        <w:shd w:val="clear" w:color="auto" w:fill="auto"/>
        <w:tabs>
          <w:tab w:pos="945" w:val="left"/>
        </w:tabs>
        <w:bidi w:val="0"/>
        <w:spacing w:before="0" w:after="0" w:line="307" w:lineRule="exact"/>
        <w:ind w:left="0" w:right="0" w:firstLine="50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会计估计变更日期</w:t>
      </w:r>
    </w:p>
    <w:p>
      <w:pPr>
        <w:pStyle w:val="Style1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自公司董事会审议通过本次会计变更之日起。</w:t>
      </w:r>
      <w:r>
        <w:br w:type="page"/>
      </w:r>
    </w:p>
    <w:p>
      <w:pPr>
        <w:pStyle w:val="Style18"/>
        <w:keepNext w:val="0"/>
        <w:keepLines w:val="0"/>
        <w:widowControl w:val="0"/>
        <w:shd w:val="clear" w:color="auto" w:fill="auto"/>
        <w:bidi w:val="0"/>
        <w:spacing w:before="0" w:after="0" w:line="312" w:lineRule="exact"/>
        <w:ind w:left="0" w:right="0" w:firstLine="48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）变更前公司采用的会计估计</w:t>
      </w:r>
    </w:p>
    <w:p>
      <w:pPr>
        <w:pStyle w:val="Style18"/>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）应收账款的会计估计</w:t>
      </w:r>
    </w:p>
    <w:p>
      <w:pPr>
        <w:pStyle w:val="Style18"/>
        <w:keepNext w:val="0"/>
        <w:keepLines w:val="0"/>
        <w:widowControl w:val="0"/>
        <w:shd w:val="clear" w:color="auto" w:fill="auto"/>
        <w:bidi w:val="0"/>
        <w:spacing w:before="0" w:after="80" w:line="312" w:lineRule="exact"/>
        <w:ind w:left="0" w:right="0" w:firstLine="480"/>
        <w:jc w:val="both"/>
      </w:pPr>
      <w:r>
        <w:rPr>
          <w:color w:val="000000"/>
          <w:spacing w:val="0"/>
          <w:w w:val="100"/>
          <w:position w:val="0"/>
        </w:rPr>
        <w:t>应收账款，无论是否包含重大融资成分，公司始终按照相当于整个存续期内预期信用损失的金额计量其损失准备，由 此形成的损失准备的增加或转回金额，作为减值损失或利得计入当期损益。公司将应收账款按类似信用风险特征（账龄）进 行组合，并基于所有合理且有依据的信息，包括参考历史信用损失经验，结合当前状况并考虑前瞻性信息，以账龄组合作为 信息风险特征，并在此基础上估计应收款项预期信息损失。</w:t>
      </w:r>
    </w:p>
    <w:p>
      <w:pPr>
        <w:pStyle w:val="Style25"/>
        <w:keepNext w:val="0"/>
        <w:keepLines w:val="0"/>
        <w:widowControl w:val="0"/>
        <w:shd w:val="clear" w:color="auto" w:fill="auto"/>
        <w:bidi w:val="0"/>
        <w:spacing w:before="0" w:after="0" w:line="240" w:lineRule="auto"/>
        <w:ind w:left="336" w:right="0" w:firstLine="0"/>
        <w:jc w:val="left"/>
      </w:pPr>
      <w:r>
        <w:rPr>
          <w:color w:val="000000"/>
          <w:spacing w:val="0"/>
          <w:w w:val="100"/>
          <w:position w:val="0"/>
        </w:rPr>
        <w:t>公司按信用风险特征确定的组合及坏账准备计提方法如下:</w:t>
      </w:r>
    </w:p>
    <w:tbl>
      <w:tblPr>
        <w:tblOverlap w:val="never"/>
        <w:jc w:val="center"/>
        <w:tblLayout w:type="fixed"/>
      </w:tblPr>
      <w:tblGrid>
        <w:gridCol w:w="5117"/>
        <w:gridCol w:w="4262"/>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合并范围外的账龄组合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w:t>
            </w:r>
          </w:p>
        </w:tc>
      </w:tr>
    </w:tbl>
    <w:p>
      <w:pPr>
        <w:pStyle w:val="Style25"/>
        <w:keepNext w:val="0"/>
        <w:keepLines w:val="0"/>
        <w:widowControl w:val="0"/>
        <w:shd w:val="clear" w:color="auto" w:fill="auto"/>
        <w:bidi w:val="0"/>
        <w:spacing w:before="0" w:after="0" w:line="240" w:lineRule="auto"/>
        <w:ind w:left="331" w:right="0" w:firstLine="0"/>
        <w:jc w:val="left"/>
      </w:pPr>
      <w:r>
        <w:rPr>
          <w:color w:val="000000"/>
          <w:spacing w:val="0"/>
          <w:w w:val="100"/>
          <w:position w:val="0"/>
        </w:rPr>
        <w:t>公司应收账款按信用风险特征组合的账龄与整个存续期预期信用损失率对照表如下:</w:t>
      </w:r>
    </w:p>
    <w:tbl>
      <w:tblPr>
        <w:tblOverlap w:val="never"/>
        <w:jc w:val="center"/>
        <w:tblLayout w:type="fixed"/>
      </w:tblPr>
      <w:tblGrid>
        <w:gridCol w:w="5112"/>
        <w:gridCol w:w="4262"/>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5"/>
        <w:keepNext w:val="0"/>
        <w:keepLines w:val="0"/>
        <w:widowControl w:val="0"/>
        <w:shd w:val="clear" w:color="auto" w:fill="auto"/>
        <w:bidi w:val="0"/>
        <w:spacing w:before="0" w:after="100" w:line="240" w:lineRule="auto"/>
        <w:ind w:left="288" w:right="0" w:firstLine="0"/>
        <w:jc w:val="left"/>
      </w:pPr>
      <w:r>
        <w:rPr>
          <w:color w:val="000000"/>
          <w:spacing w:val="0"/>
          <w:w w:val="100"/>
          <w:position w:val="0"/>
        </w:rPr>
        <w:t>①其他应收款的会计估计</w:t>
      </w:r>
    </w:p>
    <w:p>
      <w:pPr>
        <w:pStyle w:val="Style25"/>
        <w:keepNext w:val="0"/>
        <w:keepLines w:val="0"/>
        <w:widowControl w:val="0"/>
        <w:shd w:val="clear" w:color="auto" w:fill="auto"/>
        <w:bidi w:val="0"/>
        <w:spacing w:before="0" w:after="0" w:line="240" w:lineRule="auto"/>
        <w:ind w:left="288" w:right="0" w:firstLine="0"/>
        <w:jc w:val="left"/>
      </w:pPr>
      <w:r>
        <w:rPr>
          <w:color w:val="000000"/>
          <w:spacing w:val="0"/>
          <w:w w:val="100"/>
          <w:position w:val="0"/>
        </w:rPr>
        <w:t>公司的其他应收款按组合评估预期信用风险和计量预期信用损失。</w:t>
      </w:r>
    </w:p>
    <w:tbl>
      <w:tblPr>
        <w:tblOverlap w:val="never"/>
        <w:jc w:val="center"/>
        <w:tblLayout w:type="fixed"/>
      </w:tblPr>
      <w:tblGrid>
        <w:gridCol w:w="2242"/>
        <w:gridCol w:w="1454"/>
        <w:gridCol w:w="5606"/>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计量预期信用损失方法</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合并报表范围 内关联方、保证金及员工借 款组合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不计提。</w:t>
            </w:r>
          </w:p>
        </w:tc>
      </w:tr>
      <w:tr>
        <w:trPr>
          <w:trHeight w:val="98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其他应收的暂 付款组合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参考历史信用损失经验，结合当前状况以及对未来经济状况的预测，通 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 期信用损失。</w:t>
            </w:r>
          </w:p>
        </w:tc>
      </w:tr>
    </w:tbl>
    <w:p>
      <w:pPr>
        <w:pStyle w:val="Style25"/>
        <w:keepNext w:val="0"/>
        <w:keepLines w:val="0"/>
        <w:widowControl w:val="0"/>
        <w:shd w:val="clear" w:color="auto" w:fill="auto"/>
        <w:bidi w:val="0"/>
        <w:spacing w:before="0" w:after="0" w:line="240" w:lineRule="auto"/>
        <w:ind w:left="302" w:right="0" w:firstLine="0"/>
        <w:jc w:val="left"/>
      </w:pPr>
      <w:r>
        <w:rPr>
          <w:color w:val="000000"/>
          <w:spacing w:val="0"/>
          <w:w w:val="100"/>
          <w:position w:val="0"/>
        </w:rPr>
        <w:t>公司其他应收款按信用风险特征组合的账龄与整个存续期预期信用损失率对照表如下:</w:t>
      </w:r>
    </w:p>
    <w:tbl>
      <w:tblPr>
        <w:tblOverlap w:val="never"/>
        <w:jc w:val="center"/>
        <w:tblLayout w:type="fixed"/>
      </w:tblPr>
      <w:tblGrid>
        <w:gridCol w:w="4939"/>
        <w:gridCol w:w="4368"/>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spacing w:lineRule="exact" w:line="1"/>
        <w:rPr>
          <w:sz w:val="2"/>
          <w:szCs w:val="2"/>
        </w:rPr>
      </w:pPr>
      <w:r>
        <w:br w:type="page"/>
      </w:r>
    </w:p>
    <w:tbl>
      <w:tblPr>
        <w:tblOverlap w:val="never"/>
        <w:jc w:val="center"/>
        <w:tblLayout w:type="fixed"/>
      </w:tblPr>
      <w:tblGrid>
        <w:gridCol w:w="4939"/>
        <w:gridCol w:w="4368"/>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5"/>
        <w:keepNext w:val="0"/>
        <w:keepLines w:val="0"/>
        <w:widowControl w:val="0"/>
        <w:shd w:val="clear" w:color="auto" w:fill="auto"/>
        <w:bidi w:val="0"/>
        <w:spacing w:before="0" w:after="100" w:line="240" w:lineRule="auto"/>
        <w:ind w:left="30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）变更后公司采用的会计估计</w:t>
      </w:r>
    </w:p>
    <w:p>
      <w:pPr>
        <w:pStyle w:val="Style25"/>
        <w:keepNext w:val="0"/>
        <w:keepLines w:val="0"/>
        <w:widowControl w:val="0"/>
        <w:shd w:val="clear" w:color="auto" w:fill="auto"/>
        <w:bidi w:val="0"/>
        <w:spacing w:before="0" w:after="0" w:line="240" w:lineRule="auto"/>
        <w:ind w:left="307"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）应收账款的会计估计</w:t>
      </w:r>
    </w:p>
    <w:p>
      <w:pPr>
        <w:pStyle w:val="Style18"/>
        <w:keepNext w:val="0"/>
        <w:keepLines w:val="0"/>
        <w:widowControl w:val="0"/>
        <w:shd w:val="clear" w:color="auto" w:fill="auto"/>
        <w:bidi w:val="0"/>
        <w:spacing w:before="0" w:after="80" w:line="312" w:lineRule="exact"/>
        <w:ind w:left="0" w:right="0" w:firstLine="480"/>
        <w:jc w:val="both"/>
      </w:pPr>
      <w:r>
        <w:rPr>
          <w:color w:val="000000"/>
          <w:spacing w:val="0"/>
          <w:w w:val="100"/>
          <w:position w:val="0"/>
        </w:rPr>
        <w:t>应收账款，无论是否包含重大融资成分，公司始终按照相当于整个存续期内预期信用损失的金额计量其损失准备，由 此形成的损失准备的增加或转回金额，作为减值损失或利得计入当期损益。公司将应收账款按类似信用风险特征（账龄）进 行组合，并基于所有合理且有依据的信息，包括参考历史信用损失经验，结合当前状况并考虑前瞻性信息，以账龄组合作为 信息风险特征，并在此基础上估计应收款项预期信息损失。</w:t>
      </w:r>
    </w:p>
    <w:p>
      <w:pPr>
        <w:pStyle w:val="Style25"/>
        <w:keepNext w:val="0"/>
        <w:keepLines w:val="0"/>
        <w:widowControl w:val="0"/>
        <w:shd w:val="clear" w:color="auto" w:fill="auto"/>
        <w:bidi w:val="0"/>
        <w:spacing w:before="0" w:after="0" w:line="240" w:lineRule="auto"/>
        <w:ind w:left="264" w:right="0" w:firstLine="0"/>
        <w:jc w:val="left"/>
      </w:pPr>
      <w:r>
        <w:rPr>
          <w:color w:val="000000"/>
          <w:spacing w:val="0"/>
          <w:w w:val="100"/>
          <w:position w:val="0"/>
        </w:rPr>
        <w:t>公司按信用风险特征确定的组合及坏账准备计提方法如下:</w:t>
      </w:r>
    </w:p>
    <w:tbl>
      <w:tblPr>
        <w:tblOverlap w:val="never"/>
        <w:jc w:val="center"/>
        <w:tblLayout w:type="fixed"/>
      </w:tblPr>
      <w:tblGrid>
        <w:gridCol w:w="4973"/>
        <w:gridCol w:w="4262"/>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合并范围外的账龄组合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w:t>
            </w:r>
          </w:p>
        </w:tc>
      </w:tr>
    </w:tbl>
    <w:p>
      <w:pPr>
        <w:widowControl w:val="0"/>
        <w:spacing w:after="39" w:line="1" w:lineRule="exact"/>
      </w:pPr>
    </w:p>
    <w:p>
      <w:pPr>
        <w:pStyle w:val="Style25"/>
        <w:keepNext w:val="0"/>
        <w:keepLines w:val="0"/>
        <w:widowControl w:val="0"/>
        <w:shd w:val="clear" w:color="auto" w:fill="auto"/>
        <w:bidi w:val="0"/>
        <w:spacing w:before="0" w:after="0" w:line="240" w:lineRule="auto"/>
        <w:ind w:left="264" w:right="0" w:firstLine="0"/>
        <w:jc w:val="left"/>
      </w:pPr>
      <w:r>
        <w:rPr>
          <w:color w:val="000000"/>
          <w:spacing w:val="0"/>
          <w:w w:val="100"/>
          <w:position w:val="0"/>
        </w:rPr>
        <w:t>公司应收账款按信用风险特征组合的账龄与整个存续期预期信用损失率对照表如下:</w:t>
      </w:r>
    </w:p>
    <w:tbl>
      <w:tblPr>
        <w:tblOverlap w:val="never"/>
        <w:jc w:val="center"/>
        <w:tblLayout w:type="fixed"/>
      </w:tblPr>
      <w:tblGrid>
        <w:gridCol w:w="4973"/>
        <w:gridCol w:w="4262"/>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9" w:line="1" w:lineRule="exact"/>
      </w:pPr>
    </w:p>
    <w:p>
      <w:pPr>
        <w:pStyle w:val="Style25"/>
        <w:keepNext w:val="0"/>
        <w:keepLines w:val="0"/>
        <w:widowControl w:val="0"/>
        <w:shd w:val="clear" w:color="auto" w:fill="auto"/>
        <w:bidi w:val="0"/>
        <w:spacing w:before="0" w:after="100" w:line="240" w:lineRule="auto"/>
        <w:ind w:left="25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其他应收款的会计估计</w:t>
      </w:r>
    </w:p>
    <w:p>
      <w:pPr>
        <w:pStyle w:val="Style25"/>
        <w:keepNext w:val="0"/>
        <w:keepLines w:val="0"/>
        <w:widowControl w:val="0"/>
        <w:shd w:val="clear" w:color="auto" w:fill="auto"/>
        <w:bidi w:val="0"/>
        <w:spacing w:before="0" w:after="0" w:line="240" w:lineRule="auto"/>
        <w:ind w:left="250" w:right="0" w:firstLine="0"/>
        <w:jc w:val="left"/>
      </w:pPr>
      <w:r>
        <w:rPr>
          <w:color w:val="000000"/>
          <w:spacing w:val="0"/>
          <w:w w:val="100"/>
          <w:position w:val="0"/>
        </w:rPr>
        <w:t>公司的其他应收款按组合评估预期信用风险和计量预期信用损失。</w:t>
      </w:r>
    </w:p>
    <w:tbl>
      <w:tblPr>
        <w:tblOverlap w:val="never"/>
        <w:jc w:val="center"/>
        <w:tblLayout w:type="fixed"/>
      </w:tblPr>
      <w:tblGrid>
        <w:gridCol w:w="2563"/>
        <w:gridCol w:w="1555"/>
        <w:gridCol w:w="5117"/>
      </w:tblGrid>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计量预期信用损失方法</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合并报表范围内关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联方、保证金及员工借款组合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不计提。</w:t>
            </w:r>
          </w:p>
        </w:tc>
      </w:tr>
      <w:tr>
        <w:trPr>
          <w:trHeight w:val="97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其他应收的暂付款 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 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 失率，计算预期信用损失。</w:t>
            </w:r>
          </w:p>
        </w:tc>
      </w:tr>
    </w:tbl>
    <w:p>
      <w:pPr>
        <w:pStyle w:val="Style25"/>
        <w:keepNext w:val="0"/>
        <w:keepLines w:val="0"/>
        <w:widowControl w:val="0"/>
        <w:shd w:val="clear" w:color="auto" w:fill="auto"/>
        <w:bidi w:val="0"/>
        <w:spacing w:before="0" w:after="0" w:line="240" w:lineRule="auto"/>
        <w:ind w:left="264" w:right="0" w:firstLine="0"/>
        <w:jc w:val="left"/>
      </w:pPr>
      <w:r>
        <w:rPr>
          <w:color w:val="000000"/>
          <w:spacing w:val="0"/>
          <w:w w:val="100"/>
          <w:position w:val="0"/>
        </w:rPr>
        <w:t>公司其他应收款按信用风险特征组合的账龄与整个存续期预期信用损失率对照表如下:</w:t>
      </w:r>
      <w:r>
        <w:br w:type="page"/>
      </w:r>
    </w:p>
    <w:tbl>
      <w:tblPr>
        <w:tblOverlap w:val="never"/>
        <w:jc w:val="center"/>
        <w:tblLayout w:type="fixed"/>
      </w:tblPr>
      <w:tblGrid>
        <w:gridCol w:w="4906"/>
        <w:gridCol w:w="4339"/>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5"/>
        <w:keepNext w:val="0"/>
        <w:keepLines w:val="0"/>
        <w:widowControl w:val="0"/>
        <w:shd w:val="clear" w:color="auto" w:fill="auto"/>
        <w:bidi w:val="0"/>
        <w:spacing w:before="0" w:after="100" w:line="240" w:lineRule="auto"/>
        <w:ind w:left="26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）本次会计估计变更对公司的影响</w:t>
      </w:r>
    </w:p>
    <w:p>
      <w:pPr>
        <w:pStyle w:val="Style25"/>
        <w:keepNext w:val="0"/>
        <w:keepLines w:val="0"/>
        <w:widowControl w:val="0"/>
        <w:shd w:val="clear" w:color="auto" w:fill="auto"/>
        <w:bidi w:val="0"/>
        <w:spacing w:before="0" w:after="0" w:line="240" w:lineRule="auto"/>
        <w:ind w:left="264" w:right="0" w:firstLine="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一</w:t>
      </w:r>
      <w:r>
        <w:rPr>
          <w:color w:val="000000"/>
          <w:spacing w:val="0"/>
          <w:w w:val="100"/>
          <w:position w:val="0"/>
        </w:rPr>
        <w:t>会计政策、会计估计变更和差错更正》的相关规定，本次会计估计变更采用未来适用法</w:t>
      </w:r>
    </w:p>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处理，不会对公司已披露的财务报表产生影响，无需对已披露的财务报告进行追溯调整，对公司以往各期财务状况和经营成</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果不会产生影响。</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年起首次执行新租赁准则调整首次执行当年年初财务报表相关项目情况</w:t>
      </w:r>
    </w:p>
    <w:p>
      <w:pPr>
        <w:pStyle w:val="Style25"/>
        <w:keepNext w:val="0"/>
        <w:keepLines w:val="0"/>
        <w:widowControl w:val="0"/>
        <w:shd w:val="clear" w:color="auto" w:fill="auto"/>
        <w:bidi w:val="0"/>
        <w:spacing w:before="0" w:after="100" w:line="240" w:lineRule="auto"/>
        <w:ind w:left="0" w:right="0" w:firstLine="0"/>
        <w:jc w:val="distribute"/>
      </w:pPr>
      <w:r>
        <w:rPr>
          <w:color w:val="000000"/>
          <w:spacing w:val="0"/>
          <w:w w:val="100"/>
          <w:position w:val="0"/>
        </w:rPr>
        <w:t>①合并资产负债表</w:t>
      </w:r>
    </w:p>
    <w:tbl>
      <w:tblPr>
        <w:tblOverlap w:val="never"/>
        <w:jc w:val="center"/>
        <w:tblLayout w:type="fixed"/>
      </w:tblPr>
      <w:tblGrid>
        <w:gridCol w:w="2558"/>
        <w:gridCol w:w="2222"/>
        <w:gridCol w:w="2222"/>
        <w:gridCol w:w="2232"/>
      </w:tblGrid>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49,130,094.48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49,130,094.48</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10,971,315.45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10,971,315.45</w:t>
            </w:r>
          </w:p>
        </w:tc>
      </w:tr>
    </w:tbl>
    <w:p>
      <w:pPr>
        <w:pStyle w:val="Style25"/>
        <w:keepNext w:val="0"/>
        <w:keepLines w:val="0"/>
        <w:widowControl w:val="0"/>
        <w:shd w:val="clear" w:color="auto" w:fill="auto"/>
        <w:bidi w:val="0"/>
        <w:spacing w:before="0" w:after="0" w:line="240" w:lineRule="auto"/>
        <w:ind w:left="278" w:right="0" w:firstLine="0"/>
        <w:jc w:val="left"/>
      </w:pPr>
      <w:r>
        <w:rPr>
          <w:color w:val="000000"/>
          <w:spacing w:val="0"/>
          <w:w w:val="100"/>
          <w:position w:val="0"/>
        </w:rPr>
        <w:t>（续）</w:t>
      </w:r>
    </w:p>
    <w:p>
      <w:pPr>
        <w:widowControl w:val="0"/>
        <w:spacing w:after="79" w:line="1" w:lineRule="exact"/>
      </w:pPr>
    </w:p>
    <w:p>
      <w:pPr>
        <w:pStyle w:val="Style25"/>
        <w:keepNext w:val="0"/>
        <w:keepLines w:val="0"/>
        <w:widowControl w:val="0"/>
        <w:shd w:val="clear" w:color="auto" w:fill="auto"/>
        <w:bidi w:val="0"/>
        <w:spacing w:before="0" w:after="0" w:line="240" w:lineRule="auto"/>
        <w:ind w:left="254" w:right="0" w:firstLine="0"/>
        <w:jc w:val="left"/>
      </w:pPr>
      <w:r>
        <w:rPr>
          <w:color w:val="000000"/>
          <w:spacing w:val="0"/>
          <w:w w:val="100"/>
          <w:position w:val="0"/>
        </w:rPr>
        <w:t>②母公司资产负债表</w:t>
      </w:r>
    </w:p>
    <w:tbl>
      <w:tblPr>
        <w:tblOverlap w:val="never"/>
        <w:jc w:val="center"/>
        <w:tblLayout w:type="fixed"/>
      </w:tblPr>
      <w:tblGrid>
        <w:gridCol w:w="2558"/>
        <w:gridCol w:w="2222"/>
        <w:gridCol w:w="2218"/>
        <w:gridCol w:w="2237"/>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5,638,012.71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5,638,012.71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3,194,443.61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3,194,443.61</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2,443,569.10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2,443,569.10</w:t>
            </w:r>
          </w:p>
        </w:tc>
      </w:tr>
    </w:tbl>
    <w:p>
      <w:pPr>
        <w:widowControl w:val="0"/>
        <w:spacing w:after="319" w:line="1" w:lineRule="exact"/>
      </w:pPr>
    </w:p>
    <w:p>
      <w:pPr>
        <w:pStyle w:val="Style23"/>
        <w:keepNext/>
        <w:keepLines/>
        <w:widowControl w:val="0"/>
        <w:shd w:val="clear" w:color="auto" w:fill="auto"/>
        <w:tabs>
          <w:tab w:pos="522"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七</w:t>
      </w:r>
      <w:bookmarkEnd w:id="489"/>
      <w:r>
        <w:rPr>
          <w:color w:val="000000"/>
          <w:spacing w:val="0"/>
          <w:w w:val="100"/>
          <w:position w:val="0"/>
        </w:rPr>
        <w:t>、</w:t>
        <w:tab/>
        <w:t>与上年度财务报告相比，合并报表范围发生变化的情况说明</w:t>
      </w:r>
      <w:bookmarkEnd w:id="487"/>
      <w:bookmarkEnd w:id="488"/>
      <w:bookmarkEnd w:id="490"/>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22"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家，较上年减少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家（本年丧失控制权不再纳入合并范围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家，转让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家，合 并分立后转让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家，分立新增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八</w:t>
      </w:r>
      <w:bookmarkEnd w:id="493"/>
      <w:r>
        <w:rPr>
          <w:color w:val="000000"/>
          <w:spacing w:val="0"/>
          <w:w w:val="100"/>
          <w:position w:val="0"/>
        </w:rPr>
        <w:t>、</w:t>
        <w:tab/>
        <w:t>聘任、解聘会计师事务所情况</w:t>
      </w:r>
      <w:bookmarkEnd w:id="491"/>
      <w:bookmarkEnd w:id="492"/>
      <w:bookmarkEnd w:id="49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现聘任的会计师事务所</w:t>
      </w: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饶世旗、周香萍</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95" w:name="bookmark495"/>
      <w:bookmarkStart w:id="496" w:name="bookmark496"/>
      <w:bookmarkStart w:id="497" w:name="bookmark497"/>
      <w:bookmarkStart w:id="498" w:name="bookmark498"/>
      <w:r>
        <w:rPr>
          <w:color w:val="000000"/>
          <w:spacing w:val="0"/>
          <w:w w:val="100"/>
          <w:position w:val="0"/>
        </w:rPr>
        <w:t>九</w:t>
      </w:r>
      <w:bookmarkEnd w:id="497"/>
      <w:r>
        <w:rPr>
          <w:color w:val="000000"/>
          <w:spacing w:val="0"/>
          <w:w w:val="100"/>
          <w:position w:val="0"/>
        </w:rPr>
        <w:t>、年度报告披露后面临退市情况</w:t>
      </w:r>
      <w:bookmarkEnd w:id="495"/>
      <w:bookmarkEnd w:id="496"/>
      <w:bookmarkEnd w:id="49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99" w:name="bookmark499"/>
      <w:bookmarkStart w:id="500" w:name="bookmark500"/>
      <w:bookmarkStart w:id="501" w:name="bookmark501"/>
      <w:r>
        <w:rPr>
          <w:color w:val="000000"/>
          <w:spacing w:val="0"/>
          <w:w w:val="100"/>
          <w:position w:val="0"/>
        </w:rPr>
        <w:t>十、破产重整相关事项</w:t>
      </w:r>
      <w:bookmarkEnd w:id="499"/>
      <w:bookmarkEnd w:id="500"/>
      <w:bookmarkEnd w:id="50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both"/>
      </w:pPr>
      <w:bookmarkStart w:id="502" w:name="bookmark502"/>
      <w:bookmarkStart w:id="503" w:name="bookmark503"/>
      <w:bookmarkStart w:id="504" w:name="bookmark504"/>
      <w:r>
        <w:rPr>
          <w:color w:val="000000"/>
          <w:spacing w:val="0"/>
          <w:w w:val="100"/>
          <w:position w:val="0"/>
        </w:rPr>
        <w:t>十一、重大诉讼、仲裁事项</w:t>
      </w:r>
      <w:bookmarkEnd w:id="502"/>
      <w:bookmarkEnd w:id="503"/>
      <w:bookmarkEnd w:id="504"/>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850"/>
        <w:gridCol w:w="850"/>
        <w:gridCol w:w="994"/>
        <w:gridCol w:w="1699"/>
        <w:gridCol w:w="1843"/>
        <w:gridCol w:w="571"/>
        <w:gridCol w:w="121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 及影响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判决执行情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共青城正融投资管 理合伙企业（有限 合伙）与郝某某股 权回购纠纷案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日作出生 效裁决。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裁决支持仲裁请求：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、被申请人支付本金 和回报收益款；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 申请人支付资金利息 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、被申请人赔 偿申请人律师费、承 担仲裁费。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日强制执 行申请受理。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月执行回款人民币</w:t>
            </w:r>
          </w:p>
          <w:p>
            <w:pPr>
              <w:pStyle w:val="Style20"/>
              <w:keepNext w:val="0"/>
              <w:keepLines w:val="0"/>
              <w:widowControl w:val="0"/>
              <w:numPr>
                <w:ilvl w:val="0"/>
                <w:numId w:val="9"/>
              </w:numPr>
              <w:shd w:val="clear" w:color="auto" w:fill="auto"/>
              <w:tabs>
                <w:tab w:pos="869" w:val="left"/>
              </w:tabs>
              <w:bidi w:val="0"/>
              <w:spacing w:before="0" w:after="100" w:line="317"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月执行回款人民币 </w:t>
            </w:r>
            <w:r>
              <w:rPr>
                <w:rFonts w:ascii="Times New Roman" w:eastAsia="Times New Roman" w:hAnsi="Times New Roman" w:cs="Times New Roman"/>
                <w:color w:val="000000"/>
                <w:spacing w:val="0"/>
                <w:w w:val="100"/>
                <w:position w:val="0"/>
                <w:sz w:val="18"/>
                <w:szCs w:val="18"/>
              </w:rPr>
              <w:t>157,700</w:t>
            </w:r>
            <w:r>
              <w:rPr>
                <w:color w:val="000000"/>
                <w:spacing w:val="0"/>
                <w:w w:val="100"/>
                <w:position w:val="0"/>
              </w:rPr>
              <w:t>元。暂计执行 回款人民币</w:t>
            </w:r>
          </w:p>
          <w:p>
            <w:pPr>
              <w:pStyle w:val="Style20"/>
              <w:keepNext w:val="0"/>
              <w:keepLines w:val="0"/>
              <w:widowControl w:val="0"/>
              <w:numPr>
                <w:ilvl w:val="0"/>
                <w:numId w:val="11"/>
              </w:numPr>
              <w:shd w:val="clear" w:color="auto" w:fill="auto"/>
              <w:tabs>
                <w:tab w:pos="984" w:val="left"/>
              </w:tabs>
              <w:bidi w:val="0"/>
              <w:spacing w:before="0" w:after="0" w:line="36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 《中国证券</w:t>
            </w:r>
          </w:p>
          <w:p>
            <w:pPr>
              <w:pStyle w:val="Style2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报》、《上海证 券报》、《证券 日报》和巨潮 资讯网（网址 为：</w:t>
            </w:r>
          </w:p>
          <w:p>
            <w:pPr>
              <w:pStyle w:val="Style20"/>
              <w:keepNext w:val="0"/>
              <w:keepLines w:val="0"/>
              <w:widowControl w:val="0"/>
              <w:shd w:val="clear" w:color="auto" w:fill="auto"/>
              <w:bidi w:val="0"/>
              <w:spacing w:before="0" w:after="0" w:line="360" w:lineRule="auto"/>
              <w:ind w:left="0" w:right="0" w:firstLine="0"/>
              <w:jc w:val="both"/>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w:t>
            </w:r>
          </w:p>
        </w:tc>
      </w:tr>
      <w:tr>
        <w:trPr>
          <w:trHeight w:val="255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深圳亚联发展科技 股份有限公司与贾 某某、</w:t>
            </w:r>
            <w:r>
              <w:rPr>
                <w:rFonts w:ascii="Times New Roman" w:eastAsia="Times New Roman" w:hAnsi="Times New Roman" w:cs="Times New Roman"/>
                <w:color w:val="000000"/>
                <w:spacing w:val="0"/>
                <w:w w:val="100"/>
                <w:position w:val="0"/>
                <w:sz w:val="18"/>
                <w:szCs w:val="18"/>
              </w:rPr>
              <w:t>LIEU, VINH THUAN</w:t>
            </w:r>
            <w:r>
              <w:rPr>
                <w:color w:val="000000"/>
                <w:spacing w:val="0"/>
                <w:w w:val="100"/>
                <w:position w:val="0"/>
              </w:rPr>
              <w:t>房屋买卖 合同纠纷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日特别程 序立案，同 日出具民事 裁定书。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裁定调解协议有效， 被申请人应按约履行 义务，向申请人支付 房款及利息，未依约 申请人有权就利息和 违约金申请强制执 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月强制执行申 请受理。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月执 行回款人民币</w:t>
            </w:r>
          </w:p>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17,278.24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月查扣车辆并拍卖，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月收到拍卖 款人民币</w:t>
            </w:r>
            <w:r>
              <w:rPr>
                <w:rFonts w:ascii="Times New Roman" w:eastAsia="Times New Roman" w:hAnsi="Times New Roman" w:cs="Times New Roman"/>
                <w:color w:val="000000"/>
                <w:spacing w:val="0"/>
                <w:w w:val="100"/>
                <w:position w:val="0"/>
                <w:sz w:val="18"/>
                <w:szCs w:val="18"/>
              </w:rPr>
              <w:t>39,212.20</w:t>
            </w:r>
            <w:r>
              <w:rPr>
                <w:color w:val="000000"/>
                <w:spacing w:val="0"/>
                <w:w w:val="100"/>
                <w:position w:val="0"/>
              </w:rPr>
              <w:t>元。 因无其他可供执行财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 《中国证券</w:t>
            </w:r>
          </w:p>
          <w:p>
            <w:pPr>
              <w:pStyle w:val="Style2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报》、《上海证 券报》、《证券 日报》和巨潮 资讯网（网址 为：</w:t>
            </w:r>
          </w:p>
          <w:p>
            <w:pPr>
              <w:pStyle w:val="Style20"/>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tc>
      </w:tr>
    </w:tbl>
    <w:p>
      <w:pPr>
        <w:spacing w:lineRule="exact" w:line="1"/>
        <w:rPr>
          <w:sz w:val="2"/>
          <w:szCs w:val="2"/>
        </w:rPr>
      </w:pPr>
      <w:r>
        <w:br w:type="page"/>
      </w:r>
    </w:p>
    <w:tbl>
      <w:tblPr>
        <w:tblOverlap w:val="never"/>
        <w:jc w:val="center"/>
        <w:tblLayout w:type="fixed"/>
      </w:tblPr>
      <w:tblGrid>
        <w:gridCol w:w="1565"/>
        <w:gridCol w:w="850"/>
        <w:gridCol w:w="850"/>
        <w:gridCol w:w="994"/>
        <w:gridCol w:w="1699"/>
        <w:gridCol w:w="1843"/>
        <w:gridCol w:w="571"/>
        <w:gridCol w:w="121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月裁定 终结本次执行程序。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nfb.com.cn</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郑某某申请撤销涉 外仲裁裁决案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日收到应 诉通知，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日开庭，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日作出生 效裁定。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裁定驳回郑某某的申 请，已审结。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无执行内容。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深圳键桥华能通讯 技术有限公司与深 圳市立中投资咨询 有限公司、深圳广 大信息技术有限公 司案外人执行异议 之诉案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日提起诉 讼，</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 到一审判 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日原 告提交上诉 状。</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月收到二 审判决书。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已审结。二审判决：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撤销一审判决；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、深 圳键桥华能通讯技术 有限公司对涉案 </w:t>
            </w:r>
            <w:r>
              <w:rPr>
                <w:rFonts w:ascii="Times New Roman" w:eastAsia="Times New Roman" w:hAnsi="Times New Roman" w:cs="Times New Roman"/>
                <w:color w:val="000000"/>
                <w:spacing w:val="0"/>
                <w:w w:val="100"/>
                <w:position w:val="0"/>
                <w:sz w:val="18"/>
                <w:szCs w:val="18"/>
              </w:rPr>
              <w:t>10,096,251</w:t>
            </w:r>
            <w:r>
              <w:rPr>
                <w:color w:val="000000"/>
                <w:spacing w:val="0"/>
                <w:w w:val="100"/>
                <w:position w:val="0"/>
              </w:rPr>
              <w:t>元款项享 有所有权，一审法院 不得对该款项强制执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已申请退还执行标的。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执行法院退回中。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开店宝支付服务有 限公司与陈某某劳 动纠纷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收到仲裁裁 决书。</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作出一审判 决。陈某某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日提 起上诉，二 审审理中。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江苏即富金服数据 处理有限公司与浙 江即富金融数据处 理有限公司服务合 同纠纷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日作出民 事判决书。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判令浙江即富金融数 据处理有限公司向江 苏即富金服数据处理 有限公司支付</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565,101.56 </w:t>
            </w:r>
            <w:r>
              <w:rPr>
                <w:color w:val="000000"/>
                <w:spacing w:val="0"/>
                <w:w w:val="100"/>
                <w:position w:val="0"/>
              </w:rPr>
              <w:t>元；驳回 其余诉讼请求。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判决已执行。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开店宝支付服务有 限公司与陈某某租 赁合同纠纷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开店宝支付服务有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劳动仲裁委员会对李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调解结案，开店宝支付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565"/>
        <w:gridCol w:w="850"/>
        <w:gridCol w:w="850"/>
        <w:gridCol w:w="994"/>
        <w:gridCol w:w="1699"/>
        <w:gridCol w:w="1843"/>
        <w:gridCol w:w="571"/>
        <w:gridCol w:w="1210"/>
      </w:tblGrid>
      <w:tr>
        <w:trPr>
          <w:trHeight w:val="192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限公司与李某某劳 动合同纠纷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日作出劳 动仲裁裁 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日作 出民事调解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某某请求不予支持。</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上海市第一中级人民 法院作出调解，开店 宝支付服务有限公司 支付李某某经济补偿 </w:t>
            </w:r>
            <w:r>
              <w:rPr>
                <w:rFonts w:ascii="Times New Roman" w:eastAsia="Times New Roman" w:hAnsi="Times New Roman" w:cs="Times New Roman"/>
                <w:color w:val="000000"/>
                <w:spacing w:val="0"/>
                <w:w w:val="100"/>
                <w:position w:val="0"/>
                <w:sz w:val="18"/>
                <w:szCs w:val="18"/>
              </w:rPr>
              <w:t xml:space="preserve">84,000 </w:t>
            </w:r>
            <w:r>
              <w:rPr>
                <w:color w:val="000000"/>
                <w:spacing w:val="0"/>
                <w:w w:val="100"/>
                <w:position w:val="0"/>
              </w:rPr>
              <w:t>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日前 支付调解金额，已执行 完毕。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平安银行股份有限 公司信用卡中心与 开店宝支付服务有 限公司财产损害赔 偿纠纷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原告撤诉。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撤诉结案，无重大影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无执行内容。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赣榆区海头镇成就 家用电器经营部与 开店宝支付服务有 限公司服务合同纠 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原告撤诉。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撤诉结案，无重大影 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无执行内容。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济南齐鲁软件园发 展中心有限公司与 山东浚嘉移通信息 技术有限公司房屋 租赁合同纠纷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日作出判 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判令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、解除原被告 之间的房屋租赁合 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、被告向原告支 付房屋占用费 </w:t>
            </w:r>
            <w:r>
              <w:rPr>
                <w:rFonts w:ascii="Times New Roman" w:eastAsia="Times New Roman" w:hAnsi="Times New Roman" w:cs="Times New Roman"/>
                <w:color w:val="000000"/>
                <w:spacing w:val="0"/>
                <w:w w:val="100"/>
                <w:position w:val="0"/>
                <w:sz w:val="18"/>
                <w:szCs w:val="18"/>
              </w:rPr>
              <w:t xml:space="preserve">93,096.81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、被 告向原告支付律师费 </w:t>
            </w:r>
            <w:r>
              <w:rPr>
                <w:rFonts w:ascii="Times New Roman" w:eastAsia="Times New Roman" w:hAnsi="Times New Roman" w:cs="Times New Roman"/>
                <w:color w:val="000000"/>
                <w:spacing w:val="0"/>
                <w:w w:val="100"/>
                <w:position w:val="0"/>
                <w:sz w:val="18"/>
                <w:szCs w:val="18"/>
              </w:rPr>
              <w:t>5,611.29</w:t>
            </w:r>
            <w:r>
              <w:rPr>
                <w:color w:val="000000"/>
                <w:spacing w:val="0"/>
                <w:w w:val="100"/>
                <w:position w:val="0"/>
              </w:rPr>
              <w:t>元；驳回原 告其他诉讼请求。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判决已执行。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3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济南市市中区汉华 小额贷款有限公司 与于某、山东浚嘉 移通信息技术有限 公司企业借贷纠纷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日作出一 审判决。</w:t>
            </w:r>
          </w:p>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作出二审判 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已审结。二审判决：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维持一审判决第一、 二、四项；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、撤销一 审判决第三项；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 告被告浚嘉公司对一 审判决第一项、第二 项确定的于冰给付义 务不能清偿的部分承 担二分之一连带赔偿 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、驳回一审原 告其他诉讼请求。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判决执行中。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《证券时报》、 《中国证券</w:t>
            </w:r>
          </w:p>
          <w:p>
            <w:pPr>
              <w:pStyle w:val="Style20"/>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报》、《上海证 券报》、《证券 日报》和巨潮 资讯网（网址 为：</w:t>
            </w:r>
          </w:p>
          <w:p>
            <w:pPr>
              <w:pStyle w:val="Style20"/>
              <w:keepNext w:val="0"/>
              <w:keepLines w:val="0"/>
              <w:widowControl w:val="0"/>
              <w:shd w:val="clear" w:color="auto" w:fill="auto"/>
              <w:bidi w:val="0"/>
              <w:spacing w:before="0" w:after="0" w:line="360" w:lineRule="auto"/>
              <w:ind w:left="0" w:right="0" w:firstLine="0"/>
              <w:jc w:val="both"/>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福建省朝阳通信技 术有限公司与深圳 键桥华能通讯技术 有限公司建筑工程 施工合同纠纷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日开庭。</w:t>
            </w:r>
          </w:p>
          <w:p>
            <w:pPr>
              <w:pStyle w:val="Style2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日收到民 事调解书。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调解方案为原告提供 足额增值税发票后支 付</w:t>
            </w:r>
            <w:r>
              <w:rPr>
                <w:rFonts w:ascii="Times New Roman" w:eastAsia="Times New Roman" w:hAnsi="Times New Roman" w:cs="Times New Roman"/>
                <w:color w:val="000000"/>
                <w:spacing w:val="0"/>
                <w:w w:val="100"/>
                <w:position w:val="0"/>
                <w:sz w:val="18"/>
                <w:szCs w:val="18"/>
              </w:rPr>
              <w:t>14.23</w:t>
            </w:r>
            <w:r>
              <w:rPr>
                <w:color w:val="000000"/>
                <w:spacing w:val="0"/>
                <w:w w:val="100"/>
                <w:position w:val="0"/>
              </w:rPr>
              <w:t>万元货款。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待原告履行后支付货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易事特集团股份有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限公司与深圳亚联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日收到应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调解方案为亚联发展 分三期支付合同款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调解方案执行完毕，已 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（网址为：</w:t>
            </w:r>
          </w:p>
        </w:tc>
      </w:tr>
    </w:tbl>
    <w:p>
      <w:pPr>
        <w:spacing w:lineRule="exact" w:line="1"/>
        <w:rPr>
          <w:sz w:val="2"/>
          <w:szCs w:val="2"/>
        </w:rPr>
      </w:pPr>
      <w:r>
        <w:br w:type="page"/>
      </w:r>
    </w:p>
    <w:tbl>
      <w:tblPr>
        <w:tblOverlap w:val="never"/>
        <w:jc w:val="center"/>
        <w:tblLayout w:type="fixed"/>
      </w:tblPr>
      <w:tblGrid>
        <w:gridCol w:w="1565"/>
        <w:gridCol w:w="850"/>
        <w:gridCol w:w="850"/>
        <w:gridCol w:w="994"/>
        <w:gridCol w:w="1699"/>
        <w:gridCol w:w="1843"/>
        <w:gridCol w:w="571"/>
        <w:gridCol w:w="1210"/>
      </w:tblGrid>
      <w:tr>
        <w:trPr>
          <w:trHeight w:val="254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发展科技股份有限 公司合同纠纷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诉通知。</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日庭前调 解，分阶段 支付。</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收到民事调 解书。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60" w:lineRule="auto"/>
              <w:ind w:left="0" w:right="0" w:firstLine="0"/>
              <w:jc w:val="both"/>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深圳键桥华能通讯 技术有限公司与杭 州英绥思科技有限 公司合同纠纷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日一审判 决驳回原告 诉讼请求，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日原告上 诉，二审审 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一审驳回原告诉讼请 求。二审审理中。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上海宇昂通讯技术 有限公司与深圳前 海国讯科技有限公 司、深圳市中兴系 统集成技术有限公 司合同纠纷（亚联 发展为第三人）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日收到一 审判决，原 告上诉。</w:t>
            </w:r>
          </w:p>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日收到上 诉状。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（网址为：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常某某与孙某某相 邻权纠纷（亚联发 展为第三人）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日收到一 审判决，被 告上诉。</w:t>
            </w:r>
          </w:p>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日收上诉 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月收到二 审判决。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已审结。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无可执行内容。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《证券时报》、 《中国证券</w:t>
            </w:r>
          </w:p>
          <w:p>
            <w:pPr>
              <w:pStyle w:val="Style20"/>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报》、《上海证 券报》、《证券 日报》和巨潮 资讯网（网址 为：</w:t>
            </w:r>
          </w:p>
          <w:p>
            <w:pPr>
              <w:pStyle w:val="Style20"/>
              <w:keepNext w:val="0"/>
              <w:keepLines w:val="0"/>
              <w:widowControl w:val="0"/>
              <w:shd w:val="clear" w:color="auto" w:fill="auto"/>
              <w:bidi w:val="0"/>
              <w:spacing w:before="0" w:after="0" w:line="360" w:lineRule="auto"/>
              <w:ind w:left="0" w:right="0" w:firstLine="0"/>
              <w:jc w:val="both"/>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nfb.com.cn</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其他未结案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其他已结案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已审结。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其中，无可执行内容的 金额为</w:t>
            </w:r>
            <w:r>
              <w:rPr>
                <w:rFonts w:ascii="Times New Roman" w:eastAsia="Times New Roman" w:hAnsi="Times New Roman" w:cs="Times New Roman"/>
                <w:color w:val="000000"/>
                <w:spacing w:val="0"/>
                <w:w w:val="100"/>
                <w:position w:val="0"/>
                <w:sz w:val="18"/>
                <w:szCs w:val="18"/>
              </w:rPr>
              <w:t>42.64</w:t>
            </w:r>
            <w:r>
              <w:rPr>
                <w:color w:val="000000"/>
                <w:spacing w:val="0"/>
                <w:w w:val="100"/>
                <w:position w:val="0"/>
              </w:rPr>
              <w:t>万元，撤 诉金额为</w:t>
            </w:r>
            <w:r>
              <w:rPr>
                <w:rFonts w:ascii="Times New Roman" w:eastAsia="Times New Roman" w:hAnsi="Times New Roman" w:cs="Times New Roman"/>
                <w:color w:val="000000"/>
                <w:spacing w:val="0"/>
                <w:w w:val="100"/>
                <w:position w:val="0"/>
                <w:sz w:val="18"/>
                <w:szCs w:val="18"/>
              </w:rPr>
              <w:t>1,435.11</w:t>
            </w:r>
            <w:r>
              <w:rPr>
                <w:color w:val="000000"/>
                <w:spacing w:val="0"/>
                <w:w w:val="100"/>
                <w:position w:val="0"/>
              </w:rPr>
              <w:t xml:space="preserve">万 元，执行完结金额为 </w:t>
            </w:r>
            <w:r>
              <w:rPr>
                <w:rFonts w:ascii="Times New Roman" w:eastAsia="Times New Roman" w:hAnsi="Times New Roman" w:cs="Times New Roman"/>
                <w:color w:val="000000"/>
                <w:spacing w:val="0"/>
                <w:w w:val="100"/>
                <w:position w:val="0"/>
                <w:sz w:val="18"/>
                <w:szCs w:val="18"/>
              </w:rPr>
              <w:t>636.98</w:t>
            </w:r>
            <w:r>
              <w:rPr>
                <w:color w:val="000000"/>
                <w:spacing w:val="0"/>
                <w:w w:val="100"/>
                <w:position w:val="0"/>
              </w:rPr>
              <w:t>万元，执行中的 金额约为</w:t>
            </w:r>
            <w:r>
              <w:rPr>
                <w:rFonts w:ascii="Times New Roman" w:eastAsia="Times New Roman" w:hAnsi="Times New Roman" w:cs="Times New Roman"/>
                <w:color w:val="000000"/>
                <w:spacing w:val="0"/>
                <w:w w:val="100"/>
                <w:position w:val="0"/>
                <w:sz w:val="18"/>
                <w:szCs w:val="18"/>
              </w:rPr>
              <w:t>104.54</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r>
        <w:rPr>
          <w:color w:val="000000"/>
          <w:spacing w:val="0"/>
          <w:w w:val="100"/>
          <w:position w:val="0"/>
        </w:rPr>
        <w:t>十二、处罚及整改情况</w:t>
      </w:r>
      <w:bookmarkEnd w:id="505"/>
      <w:bookmarkEnd w:id="506"/>
      <w:bookmarkEnd w:id="507"/>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left"/>
      </w:pPr>
      <w:bookmarkStart w:id="508" w:name="bookmark508"/>
      <w:bookmarkStart w:id="509" w:name="bookmark509"/>
      <w:bookmarkStart w:id="510" w:name="bookmark510"/>
      <w:r>
        <w:rPr>
          <w:color w:val="000000"/>
          <w:spacing w:val="0"/>
          <w:w w:val="100"/>
          <w:position w:val="0"/>
        </w:rPr>
        <w:t>十三、公司及其控股股东、实际控制人的诚信状况</w:t>
      </w:r>
      <w:bookmarkEnd w:id="508"/>
      <w:bookmarkEnd w:id="509"/>
      <w:bookmarkEnd w:id="51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23"/>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r>
        <w:rPr>
          <w:color w:val="000000"/>
          <w:spacing w:val="0"/>
          <w:w w:val="100"/>
          <w:position w:val="0"/>
        </w:rPr>
        <w:t>十四、重大关联交易</w:t>
      </w:r>
      <w:bookmarkEnd w:id="511"/>
      <w:bookmarkEnd w:id="512"/>
      <w:bookmarkEnd w:id="513"/>
    </w:p>
    <w:p>
      <w:pPr>
        <w:pStyle w:val="Style29"/>
        <w:keepNext/>
        <w:keepLines/>
        <w:widowControl w:val="0"/>
        <w:shd w:val="clear" w:color="auto" w:fill="auto"/>
        <w:tabs>
          <w:tab w:pos="36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w:t>
        <w:tab/>
        <w:t>与日常经营相关的关联交易</w:t>
      </w:r>
      <w:bookmarkEnd w:id="514"/>
      <w:bookmarkEnd w:id="515"/>
      <w:bookmarkEnd w:id="51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w:t>
        <w:tab/>
        <w:t>资产或股权收购、出售发生的关联交易</w:t>
      </w:r>
      <w:bookmarkEnd w:id="518"/>
      <w:bookmarkEnd w:id="519"/>
      <w:bookmarkEnd w:id="52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w:t>
        <w:tab/>
        <w:t>共同对外投资的关联交易</w:t>
      </w:r>
      <w:bookmarkEnd w:id="522"/>
      <w:bookmarkEnd w:id="523"/>
      <w:bookmarkEnd w:id="52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关联债权债务往来</w:t>
      </w:r>
      <w:bookmarkEnd w:id="526"/>
      <w:bookmarkEnd w:id="527"/>
      <w:bookmarkEnd w:id="52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210"/>
        <w:gridCol w:w="878"/>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本期利息</w:t>
            </w:r>
          </w:p>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良运集团有限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大连永利商务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1,892.72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大连永利商务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14,880.58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大连永利商务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910.09</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大连永利商务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6,065.57</w:t>
            </w:r>
          </w:p>
        </w:tc>
      </w:tr>
    </w:tbl>
    <w:tbl>
      <w:tblPr>
        <w:tblOverlap w:val="never"/>
        <w:jc w:val="center"/>
        <w:tblLayout w:type="fixed"/>
      </w:tblPr>
      <w:tblGrid>
        <w:gridCol w:w="2222"/>
        <w:gridCol w:w="747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有利于提高经营效率，对公司的发展产生积极影响。</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5</w:t>
      </w:r>
      <w:bookmarkEnd w:id="532"/>
      <w:r>
        <w:rPr>
          <w:color w:val="000000"/>
          <w:spacing w:val="0"/>
          <w:w w:val="100"/>
          <w:position w:val="0"/>
        </w:rPr>
        <w:t>、与存在关联关系的财务公司的往来情况</w:t>
      </w:r>
      <w:bookmarkEnd w:id="530"/>
      <w:bookmarkEnd w:id="531"/>
      <w:bookmarkEnd w:id="533"/>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6</w:t>
      </w:r>
      <w:bookmarkEnd w:id="536"/>
      <w:r>
        <w:rPr>
          <w:color w:val="000000"/>
          <w:spacing w:val="0"/>
          <w:w w:val="100"/>
          <w:position w:val="0"/>
        </w:rPr>
        <w:t>、</w:t>
        <w:tab/>
        <w:t>公司控股的财务公司与关联方的往来情况</w:t>
      </w:r>
      <w:bookmarkEnd w:id="534"/>
      <w:bookmarkEnd w:id="535"/>
      <w:bookmarkEnd w:id="537"/>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7</w:t>
      </w:r>
      <w:bookmarkEnd w:id="540"/>
      <w:r>
        <w:rPr>
          <w:color w:val="000000"/>
          <w:spacing w:val="0"/>
          <w:w w:val="100"/>
          <w:position w:val="0"/>
        </w:rPr>
        <w:t>、</w:t>
        <w:tab/>
        <w:t>其他重大关联交易</w:t>
      </w:r>
      <w:bookmarkEnd w:id="538"/>
      <w:bookmarkEnd w:id="539"/>
      <w:bookmarkEnd w:id="541"/>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r>
        <w:rPr>
          <w:color w:val="000000"/>
          <w:spacing w:val="0"/>
          <w:w w:val="100"/>
          <w:position w:val="0"/>
        </w:rPr>
        <w:t>十五、重大合同及其履行情况</w:t>
      </w:r>
      <w:bookmarkEnd w:id="542"/>
      <w:bookmarkEnd w:id="543"/>
      <w:bookmarkEnd w:id="544"/>
    </w:p>
    <w:p>
      <w:pPr>
        <w:pStyle w:val="Style29"/>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、托管、承包、租赁事项情况</w:t>
      </w:r>
      <w:bookmarkEnd w:id="545"/>
      <w:bookmarkEnd w:id="546"/>
      <w:bookmarkEnd w:id="548"/>
    </w:p>
    <w:p>
      <w:pPr>
        <w:pStyle w:val="Style32"/>
        <w:keepNext/>
        <w:keepLines/>
        <w:widowControl w:val="0"/>
        <w:shd w:val="clear" w:color="auto" w:fill="auto"/>
        <w:tabs>
          <w:tab w:pos="493" w:val="left"/>
        </w:tabs>
        <w:bidi w:val="0"/>
        <w:spacing w:before="0" w:after="2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9"/>
      <w:bookmarkEnd w:id="550"/>
      <w:bookmarkEnd w:id="552"/>
    </w:p>
    <w:p>
      <w:pPr>
        <w:pStyle w:val="Style18"/>
        <w:keepNext w:val="0"/>
        <w:keepLines w:val="0"/>
        <w:widowControl w:val="0"/>
        <w:numPr>
          <w:ilvl w:val="0"/>
          <w:numId w:val="13"/>
        </w:numPr>
        <w:shd w:val="clear" w:color="auto" w:fill="auto"/>
        <w:tabs>
          <w:tab w:pos="309" w:val="left"/>
        </w:tabs>
        <w:bidi w:val="0"/>
        <w:spacing w:before="0" w:after="0" w:line="312" w:lineRule="exact"/>
        <w:ind w:left="0" w:right="0" w:firstLine="0"/>
        <w:jc w:val="left"/>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28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4"/>
      <w:bookmarkEnd w:id="555"/>
      <w:bookmarkEnd w:id="557"/>
    </w:p>
    <w:p>
      <w:pPr>
        <w:pStyle w:val="Style18"/>
        <w:keepNext w:val="0"/>
        <w:keepLines w:val="0"/>
        <w:widowControl w:val="0"/>
        <w:numPr>
          <w:ilvl w:val="0"/>
          <w:numId w:val="13"/>
        </w:numPr>
        <w:shd w:val="clear" w:color="auto" w:fill="auto"/>
        <w:tabs>
          <w:tab w:pos="309" w:val="left"/>
        </w:tabs>
        <w:bidi w:val="0"/>
        <w:spacing w:before="0" w:after="0" w:line="312" w:lineRule="exact"/>
        <w:ind w:left="0" w:right="0" w:firstLine="0"/>
        <w:jc w:val="left"/>
      </w:pPr>
      <w:bookmarkStart w:id="558" w:name="bookmark558"/>
      <w:bookmarkEnd w:id="5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after="2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9"/>
      <w:bookmarkEnd w:id="560"/>
      <w:bookmarkEnd w:id="562"/>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报告期内，公司发生的租赁事项主要为对外出租闲置办公用房，取得租赁收益合计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,027,732.27</w:t>
      </w:r>
      <w:r>
        <w:rPr>
          <w:color w:val="000000"/>
          <w:spacing w:val="0"/>
          <w:w w:val="100"/>
          <w:position w:val="0"/>
        </w:rPr>
        <w:t>元；以及公司、子公司 及分支机构租赁办公用房、设备和库房，发生租赁租金支出总额为</w:t>
      </w:r>
      <w:r>
        <w:rPr>
          <w:rFonts w:ascii="Times New Roman" w:eastAsia="Times New Roman" w:hAnsi="Times New Roman" w:cs="Times New Roman"/>
          <w:color w:val="000000"/>
          <w:spacing w:val="0"/>
          <w:w w:val="100"/>
          <w:position w:val="0"/>
          <w:sz w:val="18"/>
          <w:szCs w:val="18"/>
        </w:rPr>
        <w:t>19,400,054.8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8"/>
        <w:keepNext w:val="0"/>
        <w:keepLines w:val="0"/>
        <w:widowControl w:val="0"/>
        <w:numPr>
          <w:ilvl w:val="0"/>
          <w:numId w:val="13"/>
        </w:numPr>
        <w:shd w:val="clear" w:color="auto" w:fill="auto"/>
        <w:tabs>
          <w:tab w:pos="309" w:val="left"/>
        </w:tabs>
        <w:bidi w:val="0"/>
        <w:spacing w:before="0" w:after="0" w:line="312" w:lineRule="exact"/>
        <w:ind w:left="0" w:right="0" w:firstLine="0"/>
        <w:jc w:val="left"/>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29"/>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、重大担保</w:t>
      </w:r>
      <w:bookmarkEnd w:id="564"/>
      <w:bookmarkEnd w:id="565"/>
      <w:bookmarkEnd w:id="567"/>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331"/>
        <w:gridCol w:w="552"/>
        <w:gridCol w:w="715"/>
        <w:gridCol w:w="802"/>
      </w:tblGrid>
      <w:tr>
        <w:trPr>
          <w:trHeight w:val="40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0"/>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反担保情况</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键桥轨道 以其对公 司的应收 款作为担 保物</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键桥轨道法 定代表人孟 令章以其自 身及家庭财 产无条件、</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不可撤销地 提供反担保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大连爱源电 子工程技术 有限公司</w:t>
            </w:r>
          </w:p>
          <w:p>
            <w:pPr>
              <w:pStyle w:val="Style20"/>
              <w:keepNext w:val="0"/>
              <w:keepLines w:val="0"/>
              <w:widowControl w:val="0"/>
              <w:shd w:val="clear" w:color="auto" w:fill="auto"/>
              <w:bidi w:val="0"/>
              <w:spacing w:before="0" w:after="100" w:line="313" w:lineRule="exact"/>
              <w:ind w:left="0" w:right="0" w:firstLine="0"/>
              <w:jc w:val="both"/>
            </w:pPr>
            <w:r>
              <w:rPr>
                <w:color w:val="000000"/>
                <w:spacing w:val="0"/>
                <w:w w:val="100"/>
                <w:position w:val="0"/>
              </w:rPr>
              <w:t>（以下简称</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爱源电子</w:t>
            </w:r>
          </w:p>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按照其对 南京凌云的 持股比例为 对应的债务 金额提供反 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爱源电子按 照其对南京 凌云的持股 比例为对应 的债务金额 提供反担保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26"/>
        <w:gridCol w:w="576"/>
        <w:gridCol w:w="360"/>
        <w:gridCol w:w="926"/>
        <w:gridCol w:w="931"/>
        <w:gridCol w:w="931"/>
        <w:gridCol w:w="931"/>
        <w:gridCol w:w="994"/>
        <w:gridCol w:w="566"/>
        <w:gridCol w:w="701"/>
        <w:gridCol w:w="802"/>
      </w:tblGrid>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爱源电子按 照其对南京 凌云的持股 比例为对应 的债务金额 提供反担保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3,449.96</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2,258.36</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反担保情况</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开店宝支 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7,587.84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7,587.84</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11,099.96</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9,846.2</w:t>
            </w:r>
          </w:p>
        </w:tc>
      </w:tr>
      <w:tr>
        <w:trPr>
          <w:trHeight w:val="715"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为股东、实际控制人及其关联方提供担保的余</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280" w:right="0" w:firstLine="0"/>
              <w:jc w:val="left"/>
              <w:rPr>
                <w:sz w:val="18"/>
                <w:szCs w:val="18"/>
              </w:rPr>
            </w:pPr>
            <w:r>
              <w:rPr>
                <w:rFonts w:ascii="Times New Roman" w:eastAsia="Times New Roman" w:hAnsi="Times New Roman" w:cs="Times New Roman"/>
                <w:color w:val="000000"/>
                <w:spacing w:val="0"/>
                <w:w w:val="100"/>
                <w:position w:val="0"/>
                <w:sz w:val="18"/>
                <w:szCs w:val="18"/>
              </w:rPr>
              <w:t>9,846.2</w:t>
            </w:r>
          </w:p>
        </w:tc>
      </w:tr>
      <w:tr>
        <w:trPr>
          <w:trHeight w:val="403"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280" w:right="0" w:firstLine="0"/>
              <w:jc w:val="left"/>
              <w:rPr>
                <w:sz w:val="18"/>
                <w:szCs w:val="18"/>
              </w:rPr>
            </w:pPr>
            <w:r>
              <w:rPr>
                <w:rFonts w:ascii="Times New Roman" w:eastAsia="Times New Roman" w:hAnsi="Times New Roman" w:cs="Times New Roman"/>
                <w:color w:val="000000"/>
                <w:spacing w:val="0"/>
                <w:w w:val="100"/>
                <w:position w:val="0"/>
                <w:sz w:val="18"/>
                <w:szCs w:val="18"/>
              </w:rPr>
              <w:t>9,846.2</w:t>
            </w:r>
          </w:p>
        </w:tc>
      </w:tr>
      <w:tr>
        <w:trPr>
          <w:trHeight w:val="1037" w:hRule="exact"/>
        </w:trPr>
        <w:tc>
          <w:tcPr>
            <w:gridSpan w:val="5"/>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3730"/>
        <w:gridCol w:w="5856"/>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采用复合方式担保的具体情况说明</w:t>
      </w:r>
    </w:p>
    <w:p>
      <w:pPr>
        <w:pStyle w:val="Style18"/>
        <w:keepNext w:val="0"/>
        <w:keepLines w:val="0"/>
        <w:widowControl w:val="0"/>
        <w:shd w:val="clear" w:color="auto" w:fill="auto"/>
        <w:bidi w:val="0"/>
        <w:spacing w:before="0" w:after="420" w:line="313"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w:t>
        <w:tab/>
        <w:t>委托他人进行现金资产管理情况</w:t>
      </w:r>
      <w:bookmarkEnd w:id="568"/>
      <w:bookmarkEnd w:id="569"/>
      <w:bookmarkEnd w:id="571"/>
    </w:p>
    <w:p>
      <w:pPr>
        <w:pStyle w:val="Style32"/>
        <w:keepNext/>
        <w:keepLines/>
        <w:widowControl w:val="0"/>
        <w:shd w:val="clear" w:color="auto" w:fill="auto"/>
        <w:tabs>
          <w:tab w:pos="493" w:val="left"/>
        </w:tabs>
        <w:bidi w:val="0"/>
        <w:spacing w:before="0" w:after="38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72"/>
      <w:bookmarkEnd w:id="573"/>
      <w:bookmarkEnd w:id="575"/>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公司报告期不存在委托理财。</w:t>
      </w:r>
    </w:p>
    <w:p>
      <w:pPr>
        <w:pStyle w:val="Style32"/>
        <w:keepNext/>
        <w:keepLines/>
        <w:widowControl w:val="0"/>
        <w:shd w:val="clear" w:color="auto" w:fill="auto"/>
        <w:tabs>
          <w:tab w:pos="493" w:val="left"/>
        </w:tabs>
        <w:bidi w:val="0"/>
        <w:spacing w:before="0" w:after="38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6"/>
      <w:bookmarkEnd w:id="577"/>
      <w:bookmarkEnd w:id="579"/>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4</w:t>
      </w:r>
      <w:bookmarkEnd w:id="582"/>
      <w:r>
        <w:rPr>
          <w:color w:val="000000"/>
          <w:spacing w:val="0"/>
          <w:w w:val="100"/>
          <w:position w:val="0"/>
        </w:rPr>
        <w:t>、</w:t>
        <w:tab/>
        <w:t>其他重大合同</w:t>
      </w:r>
      <w:bookmarkEnd w:id="580"/>
      <w:bookmarkEnd w:id="581"/>
      <w:bookmarkEnd w:id="583"/>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584" w:name="bookmark584"/>
      <w:bookmarkStart w:id="585" w:name="bookmark585"/>
      <w:bookmarkStart w:id="586" w:name="bookmark586"/>
      <w:r>
        <w:rPr>
          <w:color w:val="000000"/>
          <w:spacing w:val="0"/>
          <w:w w:val="100"/>
          <w:position w:val="0"/>
        </w:rPr>
        <w:t>十六、其他重大事项的说明</w:t>
      </w:r>
      <w:bookmarkEnd w:id="584"/>
      <w:bookmarkEnd w:id="585"/>
      <w:bookmarkEnd w:id="586"/>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719" w:val="left"/>
        </w:tabs>
        <w:bidi w:val="0"/>
        <w:spacing w:before="0" w:after="0" w:line="313" w:lineRule="exact"/>
        <w:ind w:left="0" w:right="0"/>
        <w:jc w:val="left"/>
      </w:pPr>
      <w:bookmarkStart w:id="587" w:name="bookmark587"/>
      <w:r>
        <w:rPr>
          <w:rFonts w:ascii="Times New Roman" w:eastAsia="Times New Roman" w:hAnsi="Times New Roman" w:cs="Times New Roman"/>
          <w:b/>
          <w:bCs/>
          <w:color w:val="000000"/>
          <w:spacing w:val="0"/>
          <w:w w:val="100"/>
          <w:position w:val="0"/>
          <w:sz w:val="18"/>
          <w:szCs w:val="18"/>
        </w:rPr>
        <w:t>1</w:t>
      </w:r>
      <w:bookmarkEnd w:id="587"/>
      <w:r>
        <w:rPr>
          <w:b/>
          <w:bCs/>
          <w:color w:val="000000"/>
          <w:spacing w:val="0"/>
          <w:w w:val="100"/>
          <w:position w:val="0"/>
        </w:rPr>
        <w:t>、</w:t>
        <w:tab/>
        <w:t>关于公司控股股东和实际控制人变更事项</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日在指定信息披露媒 体《证券时报》、《中国证券报》、《上海证券报》、《证券日报》和巨潮资讯网（网址为：</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（下</w:t>
      </w:r>
      <w:r>
        <w:rPr>
          <w:color w:val="000000"/>
          <w:spacing w:val="0"/>
          <w:w w:val="100"/>
          <w:position w:val="0"/>
        </w:rPr>
        <w:t xml:space="preserve"> 文简称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指定信息披露媒体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）刊登的《关于控股股东及其一致行动人诉讼事项的公告》（公告编号：</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w:t>
      </w:r>
      <w:r>
        <w:rPr>
          <w:color w:val="000000"/>
          <w:spacing w:val="0"/>
          <w:w w:val="100"/>
          <w:position w:val="0"/>
        </w:rPr>
        <w:t>、《关于控 股股东及其一致行动人诉讼进展的公告》（公告编号：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）、《关于控股股东及其一致行动人收到执行裁定书的公告》 （公告编号：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r>
        <w:rPr>
          <w:color w:val="000000"/>
          <w:spacing w:val="0"/>
          <w:w w:val="100"/>
          <w:position w:val="0"/>
        </w:rPr>
        <w:t>、《关于控股股东部分股份将被司法拍卖的提示性公告》（公告编号：</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）、《关于控股股 东部分股份被司法拍卖进展的公告》（公告编号：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r>
        <w:rPr>
          <w:color w:val="000000"/>
          <w:spacing w:val="0"/>
          <w:w w:val="100"/>
          <w:position w:val="0"/>
        </w:rPr>
        <w:t>、《简式权益变动报告书》、《详式权益变动报告书》、《关 于股东权益变动暨公司控股股东和实际控制人变更的提示性公告》（公告编号：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r>
        <w:rPr>
          <w:color w:val="000000"/>
          <w:spacing w:val="0"/>
          <w:w w:val="100"/>
          <w:position w:val="0"/>
        </w:rPr>
        <w:t>、《关于股东司法拍卖股份完成 过户登记的公告》（公告编号：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p>
      <w:pPr>
        <w:pStyle w:val="Style18"/>
        <w:keepNext w:val="0"/>
        <w:keepLines w:val="0"/>
        <w:widowControl w:val="0"/>
        <w:shd w:val="clear" w:color="auto" w:fill="auto"/>
        <w:tabs>
          <w:tab w:pos="734" w:val="left"/>
        </w:tabs>
        <w:bidi w:val="0"/>
        <w:spacing w:before="0" w:after="0" w:line="360" w:lineRule="auto"/>
        <w:ind w:left="0" w:right="0"/>
        <w:jc w:val="both"/>
      </w:pPr>
      <w:bookmarkStart w:id="588" w:name="bookmark588"/>
      <w:r>
        <w:rPr>
          <w:rFonts w:ascii="Times New Roman" w:eastAsia="Times New Roman" w:hAnsi="Times New Roman" w:cs="Times New Roman"/>
          <w:b/>
          <w:bCs/>
          <w:color w:val="000000"/>
          <w:spacing w:val="0"/>
          <w:w w:val="100"/>
          <w:position w:val="0"/>
          <w:sz w:val="18"/>
          <w:szCs w:val="18"/>
        </w:rPr>
        <w:t>2</w:t>
      </w:r>
      <w:bookmarkEnd w:id="588"/>
      <w:r>
        <w:rPr>
          <w:b/>
          <w:bCs/>
          <w:color w:val="000000"/>
          <w:spacing w:val="0"/>
          <w:w w:val="100"/>
          <w:position w:val="0"/>
        </w:rPr>
        <w:t>、</w:t>
        <w:tab/>
        <w:t>关于公司出售房产的事项</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日在指定信息披露媒体刊登的《关于出售资 产的公告》（公告编号：</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r>
        <w:rPr>
          <w:color w:val="000000"/>
          <w:spacing w:val="0"/>
          <w:w w:val="100"/>
          <w:position w:val="0"/>
        </w:rPr>
        <w:t>、《关于出售资产进展的公告》（公告编号：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r>
        <w:rPr>
          <w:color w:val="000000"/>
          <w:spacing w:val="0"/>
          <w:w w:val="100"/>
          <w:position w:val="0"/>
        </w:rPr>
        <w:t>、《关于公司诉讼事项暨出售 资产进展的公告》（公告编号：</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r>
      <w:r>
        <w:rPr>
          <w:color w:val="000000"/>
          <w:spacing w:val="0"/>
          <w:w w:val="100"/>
          <w:position w:val="0"/>
        </w:rPr>
        <w:t>、《关于诉讼进展的公告》（公告编号：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r>
        <w:rPr>
          <w:color w:val="000000"/>
          <w:spacing w:val="0"/>
          <w:w w:val="100"/>
          <w:position w:val="0"/>
        </w:rPr>
        <w:t>、《关于诉讼进展暨终止出 售资产的公告》（公告编号：</w:t>
      </w:r>
      <w:r>
        <w:rPr>
          <w:rFonts w:ascii="Times New Roman" w:eastAsia="Times New Roman" w:hAnsi="Times New Roman" w:cs="Times New Roman"/>
          <w:color w:val="000000"/>
          <w:spacing w:val="0"/>
          <w:w w:val="100"/>
          <w:position w:val="0"/>
          <w:sz w:val="18"/>
          <w:szCs w:val="18"/>
        </w:rPr>
        <w:t>2021-088</w:t>
      </w:r>
      <w:r>
        <w:rPr>
          <w:color w:val="000000"/>
          <w:spacing w:val="0"/>
          <w:w w:val="100"/>
          <w:position w:val="0"/>
        </w:rPr>
        <w:t>）。</w:t>
      </w:r>
    </w:p>
    <w:p>
      <w:pPr>
        <w:pStyle w:val="Style18"/>
        <w:keepNext w:val="0"/>
        <w:keepLines w:val="0"/>
        <w:widowControl w:val="0"/>
        <w:shd w:val="clear" w:color="auto" w:fill="auto"/>
        <w:tabs>
          <w:tab w:pos="734" w:val="left"/>
        </w:tabs>
        <w:bidi w:val="0"/>
        <w:spacing w:before="0" w:after="0" w:line="313" w:lineRule="exact"/>
        <w:ind w:left="0" w:right="0"/>
        <w:jc w:val="both"/>
      </w:pPr>
      <w:bookmarkStart w:id="589" w:name="bookmark589"/>
      <w:r>
        <w:rPr>
          <w:rFonts w:ascii="Times New Roman" w:eastAsia="Times New Roman" w:hAnsi="Times New Roman" w:cs="Times New Roman"/>
          <w:b/>
          <w:bCs/>
          <w:color w:val="000000"/>
          <w:spacing w:val="0"/>
          <w:w w:val="100"/>
          <w:position w:val="0"/>
          <w:sz w:val="18"/>
          <w:szCs w:val="18"/>
        </w:rPr>
        <w:t>3</w:t>
      </w:r>
      <w:bookmarkEnd w:id="589"/>
      <w:r>
        <w:rPr>
          <w:b/>
          <w:bCs/>
          <w:color w:val="000000"/>
          <w:spacing w:val="0"/>
          <w:w w:val="100"/>
          <w:position w:val="0"/>
        </w:rPr>
        <w:t>、</w:t>
        <w:tab/>
        <w:t>关于公司向控股股东借款暨关联交易的事项</w:t>
      </w:r>
    </w:p>
    <w:p>
      <w:pPr>
        <w:pStyle w:val="Style18"/>
        <w:keepNext w:val="0"/>
        <w:keepLines w:val="0"/>
        <w:widowControl w:val="0"/>
        <w:shd w:val="clear" w:color="auto" w:fill="auto"/>
        <w:bidi w:val="0"/>
        <w:spacing w:before="0" w:after="380" w:line="313" w:lineRule="exact"/>
        <w:ind w:left="0" w:right="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日在指定信息披露媒体刊登的《第五届董事会第三十一次会议决议的公告》 （公告编号：</w:t>
      </w: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r>
        <w:rPr>
          <w:color w:val="000000"/>
          <w:spacing w:val="0"/>
          <w:w w:val="100"/>
          <w:position w:val="0"/>
        </w:rPr>
        <w:t>、《第五届监事会第十六次会议决议的公告》（公告编号：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r>
        <w:rPr>
          <w:color w:val="000000"/>
          <w:spacing w:val="0"/>
          <w:w w:val="100"/>
          <w:position w:val="0"/>
        </w:rPr>
        <w:t>、《关于向控股股东借款暨 关联交易的公告》（公告编号：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年第三次临时股东大会决议公告》（公告编号：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both"/>
      </w:pPr>
      <w:bookmarkStart w:id="590" w:name="bookmark590"/>
      <w:bookmarkStart w:id="591" w:name="bookmark591"/>
      <w:bookmarkStart w:id="592" w:name="bookmark592"/>
      <w:r>
        <w:rPr>
          <w:color w:val="000000"/>
          <w:spacing w:val="0"/>
          <w:w w:val="100"/>
          <w:position w:val="0"/>
        </w:rPr>
        <w:t>十七、公司子公司重大事项</w:t>
      </w:r>
      <w:bookmarkEnd w:id="590"/>
      <w:bookmarkEnd w:id="591"/>
      <w:bookmarkEnd w:id="592"/>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699" w:val="left"/>
        </w:tabs>
        <w:bidi w:val="0"/>
        <w:spacing w:before="0" w:after="0" w:line="314" w:lineRule="exact"/>
        <w:ind w:left="0" w:right="0" w:firstLine="360"/>
        <w:jc w:val="both"/>
      </w:pPr>
      <w:bookmarkStart w:id="593" w:name="bookmark593"/>
      <w:r>
        <w:rPr>
          <w:rFonts w:ascii="Times New Roman" w:eastAsia="Times New Roman" w:hAnsi="Times New Roman" w:cs="Times New Roman"/>
          <w:b/>
          <w:bCs/>
          <w:color w:val="000000"/>
          <w:spacing w:val="0"/>
          <w:w w:val="100"/>
          <w:position w:val="0"/>
          <w:sz w:val="18"/>
          <w:szCs w:val="18"/>
        </w:rPr>
        <w:t>1</w:t>
      </w:r>
      <w:bookmarkEnd w:id="593"/>
      <w:r>
        <w:rPr>
          <w:b/>
          <w:bCs/>
          <w:color w:val="000000"/>
          <w:spacing w:val="0"/>
          <w:w w:val="100"/>
          <w:position w:val="0"/>
        </w:rPr>
        <w:t>、</w:t>
        <w:tab/>
        <w:t>关于控股企业的仲裁事项</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日在指定信息披露媒体刊登的《关于控股企业仲裁事项的 公告》（公告编号：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w:t>
      </w:r>
      <w:r>
        <w:rPr>
          <w:color w:val="000000"/>
          <w:spacing w:val="0"/>
          <w:w w:val="100"/>
          <w:position w:val="0"/>
        </w:rPr>
        <w:t>、《关于控股企业仲裁事项进展的公告》（公告编号：</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w:t>
      </w:r>
      <w:r>
        <w:rPr>
          <w:color w:val="000000"/>
          <w:spacing w:val="0"/>
          <w:w w:val="100"/>
          <w:position w:val="0"/>
        </w:rPr>
        <w:t>、《关于控股企业仲裁事 项进展的公告》（公告编号：</w:t>
      </w:r>
      <w:r>
        <w:rPr>
          <w:rFonts w:ascii="Times New Roman" w:eastAsia="Times New Roman" w:hAnsi="Times New Roman" w:cs="Times New Roman"/>
          <w:color w:val="000000"/>
          <w:spacing w:val="0"/>
          <w:w w:val="100"/>
          <w:position w:val="0"/>
          <w:sz w:val="18"/>
          <w:szCs w:val="18"/>
        </w:rPr>
        <w:t>2021-089</w:t>
      </w:r>
      <w:r>
        <w:rPr>
          <w:color w:val="000000"/>
          <w:spacing w:val="0"/>
          <w:w w:val="100"/>
          <w:position w:val="0"/>
        </w:rPr>
        <w:t>）。</w:t>
      </w:r>
    </w:p>
    <w:p>
      <w:pPr>
        <w:pStyle w:val="Style18"/>
        <w:keepNext w:val="0"/>
        <w:keepLines w:val="0"/>
        <w:widowControl w:val="0"/>
        <w:shd w:val="clear" w:color="auto" w:fill="auto"/>
        <w:tabs>
          <w:tab w:pos="714" w:val="left"/>
        </w:tabs>
        <w:bidi w:val="0"/>
        <w:spacing w:before="0" w:after="0" w:line="314" w:lineRule="exact"/>
        <w:ind w:left="0" w:right="0" w:firstLine="360"/>
        <w:jc w:val="both"/>
      </w:pPr>
      <w:bookmarkStart w:id="594" w:name="bookmark594"/>
      <w:r>
        <w:rPr>
          <w:rFonts w:ascii="Times New Roman" w:eastAsia="Times New Roman" w:hAnsi="Times New Roman" w:cs="Times New Roman"/>
          <w:b/>
          <w:bCs/>
          <w:color w:val="000000"/>
          <w:spacing w:val="0"/>
          <w:w w:val="100"/>
          <w:position w:val="0"/>
          <w:sz w:val="18"/>
          <w:szCs w:val="18"/>
        </w:rPr>
        <w:t>2</w:t>
      </w:r>
      <w:bookmarkEnd w:id="594"/>
      <w:r>
        <w:rPr>
          <w:b/>
          <w:bCs/>
          <w:color w:val="000000"/>
          <w:spacing w:val="0"/>
          <w:w w:val="100"/>
          <w:position w:val="0"/>
        </w:rPr>
        <w:t>、</w:t>
        <w:tab/>
        <w:t>关于控股子公司向公司控股股东借款暨关联交易的事项</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日在指定信息披露媒体刊登的《董事会决议公告》（公告编号：</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 《监事会决议公告》（公告编号：</w:t>
      </w:r>
      <w:r>
        <w:rPr>
          <w:rFonts w:ascii="Times New Roman" w:eastAsia="Times New Roman" w:hAnsi="Times New Roman" w:cs="Times New Roman"/>
          <w:color w:val="000000"/>
          <w:spacing w:val="0"/>
          <w:w w:val="100"/>
          <w:position w:val="0"/>
          <w:sz w:val="18"/>
          <w:szCs w:val="18"/>
        </w:rPr>
        <w:t>2021-078</w:t>
      </w:r>
      <w:r>
        <w:rPr>
          <w:color w:val="000000"/>
          <w:spacing w:val="0"/>
          <w:w w:val="100"/>
          <w:position w:val="0"/>
        </w:rPr>
        <w:t>）、《关于控股子公司向公司控股股东借款暨关联交易的公告》（公告编号：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年第四次临时股东大会决议公告》（公告编号：</w:t>
      </w:r>
      <w:r>
        <w:rPr>
          <w:rFonts w:ascii="Times New Roman" w:eastAsia="Times New Roman" w:hAnsi="Times New Roman" w:cs="Times New Roman"/>
          <w:color w:val="000000"/>
          <w:spacing w:val="0"/>
          <w:w w:val="100"/>
          <w:position w:val="0"/>
          <w:sz w:val="18"/>
          <w:szCs w:val="18"/>
        </w:rPr>
        <w:t>2021-086</w:t>
      </w:r>
      <w:r>
        <w:rPr>
          <w:color w:val="000000"/>
          <w:spacing w:val="0"/>
          <w:w w:val="100"/>
          <w:position w:val="0"/>
        </w:rPr>
        <w:t>）。</w:t>
      </w:r>
    </w:p>
    <w:p>
      <w:pPr>
        <w:pStyle w:val="Style18"/>
        <w:keepNext w:val="0"/>
        <w:keepLines w:val="0"/>
        <w:widowControl w:val="0"/>
        <w:shd w:val="clear" w:color="auto" w:fill="auto"/>
        <w:tabs>
          <w:tab w:pos="714" w:val="left"/>
        </w:tabs>
        <w:bidi w:val="0"/>
        <w:spacing w:before="0" w:after="0" w:line="314" w:lineRule="exact"/>
        <w:ind w:left="0" w:right="0" w:firstLine="360"/>
        <w:jc w:val="both"/>
      </w:pPr>
      <w:bookmarkStart w:id="595" w:name="bookmark595"/>
      <w:r>
        <w:rPr>
          <w:rFonts w:ascii="Times New Roman" w:eastAsia="Times New Roman" w:hAnsi="Times New Roman" w:cs="Times New Roman"/>
          <w:b/>
          <w:bCs/>
          <w:color w:val="000000"/>
          <w:spacing w:val="0"/>
          <w:w w:val="100"/>
          <w:position w:val="0"/>
          <w:sz w:val="18"/>
          <w:szCs w:val="18"/>
        </w:rPr>
        <w:t>3</w:t>
      </w:r>
      <w:bookmarkEnd w:id="595"/>
      <w:r>
        <w:rPr>
          <w:b/>
          <w:bCs/>
          <w:color w:val="000000"/>
          <w:spacing w:val="0"/>
          <w:w w:val="100"/>
          <w:position w:val="0"/>
        </w:rPr>
        <w:t>、</w:t>
        <w:tab/>
        <w:t>关于开店宝支付服务有限公司《支付业务许可证》获得续展的事项</w:t>
      </w:r>
    </w:p>
    <w:p>
      <w:pPr>
        <w:pStyle w:val="Style18"/>
        <w:keepNext w:val="0"/>
        <w:keepLines w:val="0"/>
        <w:widowControl w:val="0"/>
        <w:shd w:val="clear" w:color="auto" w:fill="auto"/>
        <w:bidi w:val="0"/>
        <w:spacing w:before="0" w:after="200" w:line="314" w:lineRule="exact"/>
        <w:ind w:left="0" w:right="0" w:firstLine="360"/>
        <w:jc w:val="both"/>
        <w:sectPr>
          <w:footnotePr>
            <w:pos w:val="pageBottom"/>
            <w:numFmt w:val="decimal"/>
            <w:numRestart w:val="continuous"/>
          </w:footnotePr>
          <w:pgSz w:w="11900" w:h="16840"/>
          <w:pgMar w:top="1143" w:right="1067" w:bottom="1427" w:left="1051" w:header="0" w:footer="3" w:gutter="0"/>
          <w:cols w:space="720"/>
          <w:noEndnote/>
          <w:rtlGutter w:val="0"/>
          <w:docGrid w:linePitch="360"/>
        </w:sectPr>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日在指定信息披露媒体刊登的《关于开店宝支付服务有限公司</w:t>
      </w:r>
      <w:r>
        <w:rPr>
          <w:color w:val="000000"/>
          <w:spacing w:val="0"/>
          <w:w w:val="100"/>
          <w:position w:val="0"/>
          <w:sz w:val="18"/>
          <w:szCs w:val="18"/>
        </w:rPr>
        <w:t>〈</w:t>
      </w:r>
      <w:r>
        <w:rPr>
          <w:color w:val="000000"/>
          <w:spacing w:val="0"/>
          <w:w w:val="100"/>
          <w:position w:val="0"/>
        </w:rPr>
        <w:t>支付业务许可证</w:t>
      </w:r>
      <w:r>
        <w:rPr>
          <w:color w:val="000000"/>
          <w:spacing w:val="0"/>
          <w:w w:val="100"/>
          <w:position w:val="0"/>
          <w:sz w:val="18"/>
          <w:szCs w:val="18"/>
        </w:rPr>
        <w:t>〉</w:t>
      </w:r>
      <w:r>
        <w:rPr>
          <w:color w:val="000000"/>
          <w:spacing w:val="0"/>
          <w:w w:val="100"/>
          <w:position w:val="0"/>
        </w:rPr>
        <w:t>获 得续展的公告》（公告编号：</w:t>
      </w:r>
      <w:r>
        <w:rPr>
          <w:rFonts w:ascii="Times New Roman" w:eastAsia="Times New Roman" w:hAnsi="Times New Roman" w:cs="Times New Roman"/>
          <w:color w:val="000000"/>
          <w:spacing w:val="0"/>
          <w:w w:val="100"/>
          <w:position w:val="0"/>
          <w:sz w:val="18"/>
          <w:szCs w:val="18"/>
        </w:rPr>
        <w:t>2021-094</w:t>
      </w:r>
      <w:r>
        <w:rPr>
          <w:color w:val="000000"/>
          <w:spacing w:val="0"/>
          <w:w w:val="100"/>
          <w:position w:val="0"/>
        </w:rPr>
        <w:t>）。</w:t>
      </w:r>
    </w:p>
    <w:p>
      <w:pPr>
        <w:pStyle w:val="Style10"/>
        <w:keepNext/>
        <w:keepLines/>
        <w:widowControl w:val="0"/>
        <w:shd w:val="clear" w:color="auto" w:fill="auto"/>
        <w:bidi w:val="0"/>
        <w:spacing w:before="520" w:after="540" w:line="240" w:lineRule="auto"/>
        <w:ind w:left="0" w:right="0" w:firstLine="0"/>
        <w:jc w:val="center"/>
      </w:pPr>
      <w:bookmarkStart w:id="596" w:name="bookmark596"/>
      <w:bookmarkStart w:id="597" w:name="bookmark597"/>
      <w:bookmarkStart w:id="598" w:name="bookmark598"/>
      <w:r>
        <w:rPr>
          <w:color w:val="000000"/>
          <w:spacing w:val="0"/>
          <w:w w:val="100"/>
          <w:position w:val="0"/>
        </w:rPr>
        <w:t>第七节股份变动及股东情况</w:t>
      </w:r>
      <w:bookmarkEnd w:id="596"/>
      <w:bookmarkEnd w:id="597"/>
      <w:bookmarkEnd w:id="598"/>
    </w:p>
    <w:p>
      <w:pPr>
        <w:pStyle w:val="Style23"/>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bookmarkStart w:id="603" w:name="bookmark603"/>
      <w:r>
        <w:rPr>
          <w:color w:val="000000"/>
          <w:spacing w:val="0"/>
          <w:w w:val="100"/>
          <w:position w:val="0"/>
        </w:rPr>
        <w:t>一</w:t>
      </w:r>
      <w:bookmarkEnd w:id="602"/>
      <w:r>
        <w:rPr>
          <w:color w:val="000000"/>
          <w:spacing w:val="0"/>
          <w:w w:val="100"/>
          <w:position w:val="0"/>
        </w:rPr>
        <w:t>、股份变动情况</w:t>
      </w:r>
      <w:bookmarkEnd w:id="600"/>
      <w:bookmarkEnd w:id="601"/>
      <w:bookmarkEnd w:id="603"/>
      <w:bookmarkEnd w:id="599"/>
    </w:p>
    <w:p>
      <w:pPr>
        <w:pStyle w:val="Style29"/>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、股份变动情况</w:t>
      </w:r>
      <w:bookmarkEnd w:id="604"/>
      <w:bookmarkEnd w:id="605"/>
      <w:bookmarkEnd w:id="60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176"/>
        <w:gridCol w:w="850"/>
        <w:gridCol w:w="850"/>
        <w:gridCol w:w="566"/>
        <w:gridCol w:w="994"/>
        <w:gridCol w:w="499"/>
        <w:gridCol w:w="63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99,706,357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99,706,357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99,706,357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99,706,357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21,706,357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293,413,643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293,413,643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293,413,643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293,413,643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393,120,000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393,120,000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、限售股份变动情况</w:t>
      </w:r>
      <w:bookmarkEnd w:id="608"/>
      <w:bookmarkEnd w:id="609"/>
      <w:bookmarkEnd w:id="61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二</w:t>
      </w:r>
      <w:bookmarkEnd w:id="614"/>
      <w:r>
        <w:rPr>
          <w:color w:val="000000"/>
          <w:spacing w:val="0"/>
          <w:w w:val="100"/>
          <w:position w:val="0"/>
        </w:rPr>
        <w:t>、</w:t>
        <w:tab/>
        <w:t>证券发行与上市情况</w:t>
      </w:r>
      <w:bookmarkEnd w:id="612"/>
      <w:bookmarkEnd w:id="613"/>
      <w:bookmarkEnd w:id="615"/>
    </w:p>
    <w:p>
      <w:pPr>
        <w:pStyle w:val="Style29"/>
        <w:keepNext/>
        <w:keepLines/>
        <w:widowControl w:val="0"/>
        <w:shd w:val="clear" w:color="auto" w:fill="auto"/>
        <w:tabs>
          <w:tab w:pos="368"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w:t>
        <w:tab/>
        <w:t>报告期内证券发行（不含优先股）情况</w:t>
      </w:r>
      <w:bookmarkEnd w:id="616"/>
      <w:bookmarkEnd w:id="617"/>
      <w:bookmarkEnd w:id="61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w:t>
        <w:tab/>
        <w:t>公司股份总数及股东结构的变动、公司资产和负债结构的变动情况说明</w:t>
      </w:r>
      <w:bookmarkEnd w:id="620"/>
      <w:bookmarkEnd w:id="621"/>
      <w:bookmarkEnd w:id="62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w:t>
        <w:tab/>
        <w:t>现存的内部职工股情况</w:t>
      </w:r>
      <w:bookmarkEnd w:id="624"/>
      <w:bookmarkEnd w:id="625"/>
      <w:bookmarkEnd w:id="62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三</w:t>
      </w:r>
      <w:bookmarkEnd w:id="630"/>
      <w:r>
        <w:rPr>
          <w:color w:val="000000"/>
          <w:spacing w:val="0"/>
          <w:w w:val="100"/>
          <w:position w:val="0"/>
        </w:rPr>
        <w:t>、</w:t>
        <w:tab/>
        <w:t>股东和实际控制人情况</w:t>
      </w:r>
      <w:bookmarkEnd w:id="628"/>
      <w:bookmarkEnd w:id="629"/>
      <w:bookmarkEnd w:id="631"/>
    </w:p>
    <w:p>
      <w:pPr>
        <w:pStyle w:val="Style29"/>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、公司股东数量及持股情况</w:t>
      </w:r>
      <w:bookmarkEnd w:id="632"/>
      <w:bookmarkEnd w:id="633"/>
      <w:bookmarkEnd w:id="6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02"/>
        <w:gridCol w:w="1027"/>
        <w:gridCol w:w="960"/>
        <w:gridCol w:w="581"/>
        <w:gridCol w:w="413"/>
        <w:gridCol w:w="653"/>
        <w:gridCol w:w="341"/>
        <w:gridCol w:w="850"/>
        <w:gridCol w:w="134"/>
        <w:gridCol w:w="936"/>
      </w:tblGrid>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37,213</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w:t>
            </w:r>
          </w:p>
        </w:tc>
        <w:tc>
          <w:tcPr>
            <w:gridSpan w:val="2"/>
            <w:tcBorders>
              <w:top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恢复的优先股股</w:t>
            </w:r>
          </w:p>
          <w:p>
            <w:pPr>
              <w:pStyle w:val="Style20"/>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0"/>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大连永利商务发 展有限公司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52,260,000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52,260,000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嘉兴乾德精一投 资合伙企业（有限 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25,740,000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-52,260,000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25,740,000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键桥通讯技术有 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23,990,806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23,192,910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-5,499,200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21,519,082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1,673,828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7,747,116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-391,300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7,747,116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王雁铭</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7,073,324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-9,211,300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7,073,324</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1013"/>
        <w:gridCol w:w="989"/>
        <w:gridCol w:w="994"/>
        <w:gridCol w:w="206"/>
        <w:gridCol w:w="787"/>
        <w:gridCol w:w="562"/>
        <w:gridCol w:w="288"/>
        <w:gridCol w:w="107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叶春华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6,560,495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6,560,495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4,271,871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4,271,871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3,631,521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3,631,521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3,594,256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3,594,256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王永彬为永利发展的控股股东、实际控制人，为香港键桥的实际控制人，永利发展与 香港键桥构成一致行动人。刘伟为乾德精一实际控制人刘辉女士的姐姐，乾德精一与 刘伟构成一致行动人。本公司未知其他股东之间是否存在关联关系，也未知其他股东 之间是否属于《上市公司股东持股变动信息披露管理办法》中规定的一致行动人。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键桥通讯技术有限公司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刘伟</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7,747,116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7,747,116</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王雁铭</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7,073,324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7,073,324</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叶春华</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6,560,495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6,560,495</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胡兰</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4,271,871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4,271,871</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李春辉</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3,631,521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3,631,521</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陈南京</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3,594,256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3,594,256</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封艳</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3,546,000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屠爱容</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3,273,575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3,273,575</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郑志娟</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3,005,600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3,005,600</w:t>
            </w:r>
          </w:p>
        </w:tc>
      </w:tr>
      <w:tr>
        <w:trPr>
          <w:trHeight w:val="133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王永彬为永利发展的控股股东、实际控制人，为香港键桥的实际控制人，永利发展与 香港键桥构成一致行动人。刘伟为乾德精一实际控制人刘辉女士的姐姐，乾德精一与 刘伟构成一致行动人。本公司未知其他股东之间是否存在关联关系，也未知其他股东 之间是否属于《上市公司股东持股变动信息披露管理办法》中规定的一致行动人。</w:t>
            </w:r>
          </w:p>
        </w:tc>
      </w:tr>
      <w:tr>
        <w:trPr>
          <w:trHeight w:val="1934"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报告期末，公司股东刘伟除通过普通证券账户持有公司股份</w:t>
            </w:r>
            <w:r>
              <w:rPr>
                <w:rFonts w:ascii="Times New Roman" w:eastAsia="Times New Roman" w:hAnsi="Times New Roman" w:cs="Times New Roman"/>
                <w:color w:val="000000"/>
                <w:spacing w:val="0"/>
                <w:w w:val="100"/>
                <w:position w:val="0"/>
                <w:sz w:val="18"/>
                <w:szCs w:val="18"/>
              </w:rPr>
              <w:t>142,000</w:t>
            </w:r>
            <w:r>
              <w:rPr>
                <w:color w:val="000000"/>
                <w:spacing w:val="0"/>
                <w:w w:val="100"/>
                <w:position w:val="0"/>
              </w:rPr>
              <w:t>股外，还通过招 商证券股份有限公司客户信用交易担保证券账户持有公司股份</w:t>
            </w:r>
            <w:r>
              <w:rPr>
                <w:rFonts w:ascii="Times New Roman" w:eastAsia="Times New Roman" w:hAnsi="Times New Roman" w:cs="Times New Roman"/>
                <w:color w:val="000000"/>
                <w:spacing w:val="0"/>
                <w:w w:val="100"/>
                <w:position w:val="0"/>
                <w:sz w:val="18"/>
                <w:szCs w:val="18"/>
              </w:rPr>
              <w:t>7,605,116</w:t>
            </w:r>
            <w:r>
              <w:rPr>
                <w:color w:val="000000"/>
                <w:spacing w:val="0"/>
                <w:w w:val="100"/>
                <w:position w:val="0"/>
              </w:rPr>
              <w:t>股，实际合 计持有</w:t>
            </w:r>
            <w:r>
              <w:rPr>
                <w:rFonts w:ascii="Times New Roman" w:eastAsia="Times New Roman" w:hAnsi="Times New Roman" w:cs="Times New Roman"/>
                <w:color w:val="000000"/>
                <w:spacing w:val="0"/>
                <w:w w:val="100"/>
                <w:position w:val="0"/>
                <w:sz w:val="18"/>
                <w:szCs w:val="18"/>
              </w:rPr>
              <w:t>7,747,116</w:t>
            </w:r>
            <w:r>
              <w:rPr>
                <w:color w:val="000000"/>
                <w:spacing w:val="0"/>
                <w:w w:val="100"/>
                <w:position w:val="0"/>
              </w:rPr>
              <w:t>股。公司股东胡兰除通过普通证券账户持有公司股份</w:t>
            </w:r>
            <w:r>
              <w:rPr>
                <w:rFonts w:ascii="Times New Roman" w:eastAsia="Times New Roman" w:hAnsi="Times New Roman" w:cs="Times New Roman"/>
                <w:color w:val="000000"/>
                <w:spacing w:val="0"/>
                <w:w w:val="100"/>
                <w:position w:val="0"/>
                <w:sz w:val="18"/>
                <w:szCs w:val="18"/>
              </w:rPr>
              <w:t>139,200</w:t>
            </w:r>
            <w:r>
              <w:rPr>
                <w:color w:val="000000"/>
                <w:spacing w:val="0"/>
                <w:w w:val="100"/>
                <w:position w:val="0"/>
              </w:rPr>
              <w:t>股外， 还通过招商证券股份有限公司客户信用交易担保证券账户持有公司股份</w:t>
            </w:r>
            <w:r>
              <w:rPr>
                <w:rFonts w:ascii="Times New Roman" w:eastAsia="Times New Roman" w:hAnsi="Times New Roman" w:cs="Times New Roman"/>
                <w:color w:val="000000"/>
                <w:spacing w:val="0"/>
                <w:w w:val="100"/>
                <w:position w:val="0"/>
                <w:sz w:val="18"/>
                <w:szCs w:val="18"/>
              </w:rPr>
              <w:t>4,132,671</w:t>
            </w:r>
            <w:r>
              <w:rPr>
                <w:color w:val="000000"/>
                <w:spacing w:val="0"/>
                <w:w w:val="100"/>
                <w:position w:val="0"/>
              </w:rPr>
              <w:t>股， 实际合计持有</w:t>
            </w:r>
            <w:r>
              <w:rPr>
                <w:rFonts w:ascii="Times New Roman" w:eastAsia="Times New Roman" w:hAnsi="Times New Roman" w:cs="Times New Roman"/>
                <w:color w:val="000000"/>
                <w:spacing w:val="0"/>
                <w:w w:val="100"/>
                <w:position w:val="0"/>
                <w:sz w:val="18"/>
                <w:szCs w:val="18"/>
              </w:rPr>
              <w:t>4,271,871</w:t>
            </w:r>
            <w:r>
              <w:rPr>
                <w:color w:val="000000"/>
                <w:spacing w:val="0"/>
                <w:w w:val="100"/>
                <w:position w:val="0"/>
              </w:rPr>
              <w:t>股。公司股东郑志娟未通过普通证券账户持有公司股份，通 过国信证券股份有限公司客户信用交易担保证券账户持有公司股份</w:t>
            </w:r>
            <w:r>
              <w:rPr>
                <w:rFonts w:ascii="Times New Roman" w:eastAsia="Times New Roman" w:hAnsi="Times New Roman" w:cs="Times New Roman"/>
                <w:color w:val="000000"/>
                <w:spacing w:val="0"/>
                <w:w w:val="100"/>
                <w:position w:val="0"/>
                <w:sz w:val="18"/>
                <w:szCs w:val="18"/>
              </w:rPr>
              <w:t>3,005,600</w:t>
            </w:r>
            <w:r>
              <w:rPr>
                <w:color w:val="000000"/>
                <w:spacing w:val="0"/>
                <w:w w:val="100"/>
                <w:position w:val="0"/>
              </w:rPr>
              <w:t>股，实</w:t>
            </w:r>
          </w:p>
        </w:tc>
      </w:tr>
    </w:tbl>
    <w:p>
      <w:pPr>
        <w:spacing w:lineRule="exact" w:line="1"/>
        <w:rPr>
          <w:sz w:val="2"/>
          <w:szCs w:val="2"/>
        </w:rPr>
      </w:pPr>
      <w:r>
        <w:br w:type="page"/>
      </w:r>
    </w:p>
    <w:tbl>
      <w:tblPr>
        <w:tblOverlap w:val="never"/>
        <w:jc w:val="center"/>
        <w:tblLayout w:type="fixed"/>
      </w:tblPr>
      <w:tblGrid>
        <w:gridCol w:w="2885"/>
        <w:gridCol w:w="669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际合计持有</w:t>
            </w:r>
            <w:r>
              <w:rPr>
                <w:rFonts w:ascii="Times New Roman" w:eastAsia="Times New Roman" w:hAnsi="Times New Roman" w:cs="Times New Roman"/>
                <w:color w:val="000000"/>
                <w:spacing w:val="0"/>
                <w:w w:val="100"/>
                <w:position w:val="0"/>
                <w:sz w:val="18"/>
                <w:szCs w:val="18"/>
              </w:rPr>
              <w:t>3,005,600</w:t>
            </w:r>
            <w:r>
              <w:rPr>
                <w:color w:val="000000"/>
                <w:spacing w:val="0"/>
                <w:w w:val="100"/>
                <w:position w:val="0"/>
              </w:rPr>
              <w:t>股。</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40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、公司控股股东情况</w:t>
      </w:r>
      <w:bookmarkEnd w:id="636"/>
      <w:bookmarkEnd w:id="637"/>
      <w:bookmarkEnd w:id="63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698"/>
        <w:gridCol w:w="1186"/>
        <w:gridCol w:w="1656"/>
        <w:gridCol w:w="1949"/>
        <w:gridCol w:w="20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91210204MA103N6H5U</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企业管理服务；企业管理 咨询（依法须经批准的项 目，经相关部门批准后方 可开展经营活动。）</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控股股东报告期内控股和参股的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其他境内外上市公司的股权情况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35"/>
        <w:gridCol w:w="574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大连永利商务发展有限公司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日巨潮资讯网（网址为：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w:t>
            </w:r>
            <w:r>
              <w:rPr>
                <w:color w:val="000000"/>
                <w:spacing w:val="0"/>
                <w:w w:val="100"/>
                <w:position w:val="0"/>
              </w:rPr>
              <w:t xml:space="preserve"> 露的《详式权益变动报告书》、《关于股东权益变动暨公司控股股东和实际 控制人变更的提示性公告》（公告编号：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、公司实际控制人及其一致行动人</w:t>
      </w:r>
      <w:bookmarkEnd w:id="640"/>
      <w:bookmarkEnd w:id="641"/>
      <w:bookmarkEnd w:id="64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王永彬先生现任良运集团有限公司担任董事长、经理，大连永利商务发展有限公司执行 董事，开店宝科技集团有限公司、深圳亚联大数据科技发展有限公司、大连富良投资有 限公司董事长，键桥通讯技术有限公司、大连农村商业银行股份有限公司、中国华粮物 流集团北良有限公司、大连国运房地产开发有限公司董事等。王永彬先生于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月加入本公司，现担任本公司董事长，为本公司实际控制人。</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35"/>
        <w:gridCol w:w="574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日巨潮资讯网（网址为：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w:t>
            </w:r>
            <w:r>
              <w:rPr>
                <w:color w:val="000000"/>
                <w:spacing w:val="0"/>
                <w:w w:val="100"/>
                <w:position w:val="0"/>
              </w:rPr>
              <w:t xml:space="preserve"> 露的《详式权益变动报告书》、《关于股东权益变动暨公司控股股东和实际 控制人变更的提示性公告》（公告编号：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239" w:line="1" w:lineRule="exact"/>
      </w:pPr>
    </w:p>
    <w:p>
      <w:pPr>
        <w:widowControl w:val="0"/>
        <w:jc w:val="center"/>
        <w:rPr>
          <w:sz w:val="2"/>
          <w:szCs w:val="2"/>
        </w:rPr>
      </w:pPr>
      <w:r>
        <w:drawing>
          <wp:inline>
            <wp:extent cx="5175250" cy="27368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175250" cy="2736850"/>
                    </a:xfrm>
                    <a:prstGeom prst="rect"/>
                  </pic:spPr>
                </pic:pic>
              </a:graphicData>
            </a:graphic>
          </wp:inline>
        </w:drawing>
      </w:r>
    </w:p>
    <w:p>
      <w:pPr>
        <w:widowControl w:val="0"/>
        <w:spacing w:after="2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4"/>
      <w:bookmarkEnd w:id="645"/>
      <w:bookmarkEnd w:id="64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5</w:t>
      </w:r>
      <w:bookmarkEnd w:id="65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8"/>
      <w:bookmarkEnd w:id="649"/>
      <w:bookmarkEnd w:id="651"/>
    </w:p>
    <w:p>
      <w:pPr>
        <w:pStyle w:val="Style18"/>
        <w:keepNext w:val="0"/>
        <w:keepLines w:val="0"/>
        <w:widowControl w:val="0"/>
        <w:numPr>
          <w:ilvl w:val="0"/>
          <w:numId w:val="13"/>
        </w:numPr>
        <w:shd w:val="clear" w:color="auto" w:fill="auto"/>
        <w:tabs>
          <w:tab w:pos="282" w:val="left"/>
        </w:tabs>
        <w:bidi w:val="0"/>
        <w:spacing w:before="0" w:after="380" w:line="240" w:lineRule="auto"/>
        <w:ind w:left="0" w:right="0" w:firstLine="0"/>
        <w:jc w:val="left"/>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w:t>
        <w:tab/>
        <w:t>控股股东、实际控制人、重组方及其他承诺主体股份限制减持情况</w:t>
      </w:r>
      <w:bookmarkEnd w:id="653"/>
      <w:bookmarkEnd w:id="654"/>
      <w:bookmarkEnd w:id="656"/>
    </w:p>
    <w:p>
      <w:pPr>
        <w:pStyle w:val="Style18"/>
        <w:keepNext w:val="0"/>
        <w:keepLines w:val="0"/>
        <w:widowControl w:val="0"/>
        <w:numPr>
          <w:ilvl w:val="0"/>
          <w:numId w:val="13"/>
        </w:numPr>
        <w:shd w:val="clear" w:color="auto" w:fill="auto"/>
        <w:tabs>
          <w:tab w:pos="282" w:val="left"/>
        </w:tabs>
        <w:bidi w:val="0"/>
        <w:spacing w:before="0" w:after="380" w:line="240" w:lineRule="auto"/>
        <w:ind w:left="0" w:right="0" w:firstLine="0"/>
        <w:jc w:val="left"/>
      </w:pPr>
      <w:bookmarkStart w:id="657" w:name="bookmark657"/>
      <w:bookmarkEnd w:id="65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四</w:t>
      </w:r>
      <w:bookmarkEnd w:id="660"/>
      <w:r>
        <w:rPr>
          <w:color w:val="000000"/>
          <w:spacing w:val="0"/>
          <w:w w:val="100"/>
          <w:position w:val="0"/>
        </w:rPr>
        <w:t>、股份回购在报告期的具体实施情况</w:t>
      </w:r>
      <w:bookmarkEnd w:id="658"/>
      <w:bookmarkEnd w:id="659"/>
      <w:bookmarkEnd w:id="66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41" w:right="1191" w:bottom="1470"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62" w:name="bookmark662"/>
      <w:bookmarkStart w:id="663" w:name="bookmark663"/>
      <w:bookmarkStart w:id="664" w:name="bookmark664"/>
      <w:r>
        <w:rPr>
          <w:color w:val="000000"/>
          <w:spacing w:val="0"/>
          <w:w w:val="100"/>
          <w:position w:val="0"/>
        </w:rPr>
        <w:t>第八节优先股相关情况</w:t>
      </w:r>
      <w:bookmarkEnd w:id="662"/>
      <w:bookmarkEnd w:id="663"/>
      <w:bookmarkEnd w:id="664"/>
    </w:p>
    <w:p>
      <w:pPr>
        <w:pStyle w:val="Style18"/>
        <w:keepNext w:val="0"/>
        <w:keepLines w:val="0"/>
        <w:widowControl w:val="0"/>
        <w:shd w:val="clear" w:color="auto" w:fill="auto"/>
        <w:bidi w:val="0"/>
        <w:spacing w:before="0" w:after="140" w:line="240" w:lineRule="auto"/>
        <w:ind w:left="0" w:right="0" w:firstLine="0"/>
        <w:jc w:val="left"/>
      </w:pPr>
      <w:bookmarkStart w:id="665" w:name="bookmark66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5"/>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66" w:name="bookmark666"/>
      <w:bookmarkStart w:id="667" w:name="bookmark667"/>
      <w:bookmarkStart w:id="668" w:name="bookmark668"/>
      <w:r>
        <w:rPr>
          <w:color w:val="000000"/>
          <w:spacing w:val="0"/>
          <w:w w:val="100"/>
          <w:position w:val="0"/>
        </w:rPr>
        <w:t>第九节债券相关情况</w:t>
      </w:r>
      <w:bookmarkEnd w:id="666"/>
      <w:bookmarkEnd w:id="667"/>
      <w:bookmarkEnd w:id="668"/>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69" w:name="bookmark66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69"/>
    </w:p>
    <w:p>
      <w:pPr>
        <w:pStyle w:val="Style10"/>
        <w:keepNext/>
        <w:keepLines/>
        <w:widowControl w:val="0"/>
        <w:shd w:val="clear" w:color="auto" w:fill="auto"/>
        <w:bidi w:val="0"/>
        <w:spacing w:before="560" w:after="520" w:line="240" w:lineRule="auto"/>
        <w:ind w:left="0" w:right="0" w:firstLine="0"/>
        <w:jc w:val="center"/>
      </w:pPr>
      <w:bookmarkStart w:id="670" w:name="bookmark670"/>
      <w:bookmarkStart w:id="671" w:name="bookmark671"/>
      <w:bookmarkStart w:id="672" w:name="bookmark672"/>
      <w:r>
        <w:rPr>
          <w:color w:val="000000"/>
          <w:spacing w:val="0"/>
          <w:w w:val="100"/>
          <w:position w:val="0"/>
        </w:rPr>
        <w:t>第十节财务报告</w:t>
      </w:r>
      <w:bookmarkEnd w:id="670"/>
      <w:bookmarkEnd w:id="671"/>
      <w:bookmarkEnd w:id="672"/>
    </w:p>
    <w:p>
      <w:pPr>
        <w:pStyle w:val="Style23"/>
        <w:keepNext/>
        <w:keepLines/>
        <w:widowControl w:val="0"/>
        <w:shd w:val="clear" w:color="auto" w:fill="auto"/>
        <w:bidi w:val="0"/>
        <w:spacing w:before="0" w:after="340" w:line="240" w:lineRule="auto"/>
        <w:ind w:left="0" w:right="0" w:firstLine="0"/>
        <w:jc w:val="left"/>
      </w:pPr>
      <w:bookmarkStart w:id="673" w:name="bookmark673"/>
      <w:bookmarkStart w:id="674" w:name="bookmark674"/>
      <w:bookmarkStart w:id="675" w:name="bookmark675"/>
      <w:bookmarkStart w:id="676" w:name="bookmark676"/>
      <w:bookmarkStart w:id="677" w:name="bookmark677"/>
      <w:r>
        <w:rPr>
          <w:color w:val="000000"/>
          <w:spacing w:val="0"/>
          <w:w w:val="100"/>
          <w:position w:val="0"/>
        </w:rPr>
        <w:t>一</w:t>
      </w:r>
      <w:bookmarkEnd w:id="676"/>
      <w:r>
        <w:rPr>
          <w:color w:val="000000"/>
          <w:spacing w:val="0"/>
          <w:w w:val="100"/>
          <w:position w:val="0"/>
        </w:rPr>
        <w:t>、审计报告</w:t>
      </w:r>
      <w:bookmarkEnd w:id="674"/>
      <w:bookmarkEnd w:id="675"/>
      <w:bookmarkEnd w:id="677"/>
      <w:bookmarkEnd w:id="67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无法表示意见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中喜财审</w:t>
            </w:r>
            <w:r>
              <w:rPr>
                <w:rFonts w:ascii="Times New Roman" w:eastAsia="Times New Roman" w:hAnsi="Times New Roman" w:cs="Times New Roman"/>
                <w:color w:val="000000"/>
                <w:spacing w:val="0"/>
                <w:w w:val="100"/>
                <w:position w:val="0"/>
                <w:sz w:val="18"/>
                <w:szCs w:val="18"/>
              </w:rPr>
              <w:t>2022S01070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饶世旗、周香萍</w:t>
            </w:r>
          </w:p>
        </w:tc>
      </w:tr>
    </w:tbl>
    <w:p>
      <w:pPr>
        <w:pStyle w:val="Style2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39" w:line="1" w:lineRule="exact"/>
      </w:pPr>
    </w:p>
    <w:p>
      <w:pPr>
        <w:pStyle w:val="Style20"/>
        <w:keepNext w:val="0"/>
        <w:keepLines w:val="0"/>
        <w:widowControl w:val="0"/>
        <w:shd w:val="clear" w:color="auto" w:fill="auto"/>
        <w:bidi w:val="0"/>
        <w:spacing w:before="0" w:after="720" w:line="240" w:lineRule="auto"/>
        <w:ind w:left="0" w:right="0" w:firstLine="0"/>
        <w:jc w:val="center"/>
        <w:rPr>
          <w:sz w:val="46"/>
          <w:szCs w:val="46"/>
        </w:rPr>
      </w:pPr>
      <w:r>
        <w:rPr>
          <w:b/>
          <w:bCs/>
          <w:color w:val="000000"/>
          <w:spacing w:val="0"/>
          <w:w w:val="100"/>
          <w:position w:val="0"/>
          <w:sz w:val="46"/>
          <w:szCs w:val="46"/>
        </w:rPr>
        <w:t>审计报告</w:t>
      </w:r>
    </w:p>
    <w:p>
      <w:pPr>
        <w:pStyle w:val="Style18"/>
        <w:keepNext w:val="0"/>
        <w:keepLines w:val="0"/>
        <w:widowControl w:val="0"/>
        <w:shd w:val="clear" w:color="auto" w:fill="auto"/>
        <w:bidi w:val="0"/>
        <w:spacing w:before="0" w:after="400" w:line="270" w:lineRule="exact"/>
        <w:ind w:left="0" w:right="0" w:firstLine="0"/>
        <w:jc w:val="left"/>
      </w:pPr>
      <w:r>
        <w:rPr>
          <w:b/>
          <w:bCs/>
          <w:color w:val="000000"/>
          <w:spacing w:val="0"/>
          <w:w w:val="100"/>
          <w:position w:val="0"/>
        </w:rPr>
        <w:t>深圳亚联发展科技股份有限公司全体股东：</w:t>
      </w:r>
    </w:p>
    <w:p>
      <w:pPr>
        <w:pStyle w:val="Style18"/>
        <w:keepNext w:val="0"/>
        <w:keepLines w:val="0"/>
        <w:widowControl w:val="0"/>
        <w:shd w:val="clear" w:color="auto" w:fill="auto"/>
        <w:tabs>
          <w:tab w:pos="818" w:val="left"/>
        </w:tabs>
        <w:bidi w:val="0"/>
        <w:spacing w:before="0" w:after="0" w:line="270" w:lineRule="exact"/>
        <w:ind w:left="0" w:right="0"/>
        <w:jc w:val="both"/>
      </w:pPr>
      <w:bookmarkStart w:id="678" w:name="bookmark678"/>
      <w:r>
        <w:rPr>
          <w:b/>
          <w:bCs/>
          <w:color w:val="000000"/>
          <w:spacing w:val="0"/>
          <w:w w:val="100"/>
          <w:position w:val="0"/>
        </w:rPr>
        <w:t>一</w:t>
      </w:r>
      <w:bookmarkEnd w:id="678"/>
      <w:r>
        <w:rPr>
          <w:b/>
          <w:bCs/>
          <w:color w:val="000000"/>
          <w:spacing w:val="0"/>
          <w:w w:val="100"/>
          <w:position w:val="0"/>
        </w:rPr>
        <w:t>、</w:t>
        <w:tab/>
        <w:t>无法表示意见</w:t>
      </w:r>
    </w:p>
    <w:p>
      <w:pPr>
        <w:pStyle w:val="Style18"/>
        <w:keepNext w:val="0"/>
        <w:keepLines w:val="0"/>
        <w:widowControl w:val="0"/>
        <w:shd w:val="clear" w:color="auto" w:fill="auto"/>
        <w:bidi w:val="0"/>
        <w:spacing w:before="0" w:after="0" w:line="274" w:lineRule="exact"/>
        <w:ind w:left="0" w:right="0"/>
        <w:jc w:val="both"/>
      </w:pPr>
      <w:r>
        <w:rPr>
          <w:color w:val="000000"/>
          <w:spacing w:val="0"/>
          <w:w w:val="100"/>
          <w:position w:val="0"/>
        </w:rPr>
        <w:t>我们审计了后附的深圳亚联发展科技股份有限公司（以下简称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亚联发展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 表以及相关财务报表附注。</w:t>
      </w:r>
    </w:p>
    <w:p>
      <w:pPr>
        <w:pStyle w:val="Style18"/>
        <w:keepNext w:val="0"/>
        <w:keepLines w:val="0"/>
        <w:widowControl w:val="0"/>
        <w:shd w:val="clear" w:color="auto" w:fill="auto"/>
        <w:bidi w:val="0"/>
        <w:spacing w:before="0" w:after="0" w:line="269" w:lineRule="exact"/>
        <w:ind w:left="0" w:right="0"/>
        <w:jc w:val="both"/>
      </w:pPr>
      <w:r>
        <w:rPr>
          <w:color w:val="000000"/>
          <w:spacing w:val="0"/>
          <w:w w:val="100"/>
          <w:position w:val="0"/>
        </w:rPr>
        <w:t>我们不对后附的亚联发展合并及母公司的财务报表（以下统称“财务报表”）发表审计意见。由于“形成无法表示意 见的基础”部分所述事项的重要性，我们无法获取充分、适当的审计证据以作为对财务报表发表审计意见的基础。</w:t>
      </w:r>
    </w:p>
    <w:p>
      <w:pPr>
        <w:pStyle w:val="Style18"/>
        <w:keepNext w:val="0"/>
        <w:keepLines w:val="0"/>
        <w:widowControl w:val="0"/>
        <w:shd w:val="clear" w:color="auto" w:fill="auto"/>
        <w:tabs>
          <w:tab w:pos="818" w:val="left"/>
        </w:tabs>
        <w:bidi w:val="0"/>
        <w:spacing w:before="0" w:after="0" w:line="270" w:lineRule="exact"/>
        <w:ind w:left="0" w:right="0"/>
        <w:jc w:val="both"/>
      </w:pPr>
      <w:bookmarkStart w:id="679" w:name="bookmark679"/>
      <w:r>
        <w:rPr>
          <w:b/>
          <w:bCs/>
          <w:color w:val="000000"/>
          <w:spacing w:val="0"/>
          <w:w w:val="100"/>
          <w:position w:val="0"/>
        </w:rPr>
        <w:t>二</w:t>
      </w:r>
      <w:bookmarkEnd w:id="679"/>
      <w:r>
        <w:rPr>
          <w:b/>
          <w:bCs/>
          <w:color w:val="000000"/>
          <w:spacing w:val="0"/>
          <w:w w:val="100"/>
          <w:position w:val="0"/>
        </w:rPr>
        <w:t>、</w:t>
        <w:tab/>
        <w:t>形成无法表示意见的基础</w:t>
      </w:r>
    </w:p>
    <w:p>
      <w:pPr>
        <w:pStyle w:val="Style18"/>
        <w:keepNext w:val="0"/>
        <w:keepLines w:val="0"/>
        <w:widowControl w:val="0"/>
        <w:shd w:val="clear" w:color="auto" w:fill="auto"/>
        <w:tabs>
          <w:tab w:pos="924" w:val="left"/>
        </w:tabs>
        <w:bidi w:val="0"/>
        <w:spacing w:before="0" w:after="0" w:line="270" w:lineRule="exact"/>
        <w:ind w:left="0" w:right="0"/>
        <w:jc w:val="both"/>
      </w:pPr>
      <w:bookmarkStart w:id="680" w:name="bookmark680"/>
      <w:r>
        <w:rPr>
          <w:b/>
          <w:bCs/>
          <w:color w:val="000000"/>
          <w:spacing w:val="0"/>
          <w:w w:val="100"/>
          <w:position w:val="0"/>
        </w:rPr>
        <w:t>（</w:t>
      </w:r>
      <w:bookmarkEnd w:id="680"/>
      <w:r>
        <w:rPr>
          <w:b/>
          <w:bCs/>
          <w:color w:val="000000"/>
          <w:spacing w:val="0"/>
          <w:w w:val="100"/>
          <w:position w:val="0"/>
        </w:rPr>
        <w:t>一）</w:t>
        <w:tab/>
        <w:t>函证受限</w:t>
      </w:r>
    </w:p>
    <w:p>
      <w:pPr>
        <w:pStyle w:val="Style18"/>
        <w:keepNext w:val="0"/>
        <w:keepLines w:val="0"/>
        <w:widowControl w:val="0"/>
        <w:shd w:val="clear" w:color="auto" w:fill="auto"/>
        <w:bidi w:val="0"/>
        <w:spacing w:before="0" w:after="0" w:line="270" w:lineRule="exact"/>
        <w:ind w:left="0" w:right="0"/>
        <w:jc w:val="both"/>
      </w:pPr>
      <w:r>
        <w:rPr>
          <w:color w:val="000000"/>
          <w:spacing w:val="0"/>
          <w:w w:val="100"/>
          <w:position w:val="0"/>
        </w:rPr>
        <w:t>按照审计准则的要求，针对公司的具体情况，我们设计并执行了函证程序。由于公司未能提供确切的函证地址与联系 人或被退回、疫情等原因，导致个别往来（包含采购及销售）等函证程序无法执行。截至审计报告日，应发未发银行函证</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份金额</w:t>
      </w:r>
      <w:r>
        <w:rPr>
          <w:rFonts w:ascii="Times New Roman" w:eastAsia="Times New Roman" w:hAnsi="Times New Roman" w:cs="Times New Roman"/>
          <w:color w:val="000000"/>
          <w:spacing w:val="0"/>
          <w:w w:val="100"/>
          <w:position w:val="0"/>
          <w:sz w:val="18"/>
          <w:szCs w:val="18"/>
        </w:rPr>
        <w:t>1,338.53</w:t>
      </w:r>
      <w:r>
        <w:rPr>
          <w:color w:val="000000"/>
          <w:spacing w:val="0"/>
          <w:w w:val="100"/>
          <w:position w:val="0"/>
        </w:rPr>
        <w:t>元；应收（包含销售）函证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份金额</w:t>
      </w:r>
      <w:r>
        <w:rPr>
          <w:rFonts w:ascii="Times New Roman" w:eastAsia="Times New Roman" w:hAnsi="Times New Roman" w:cs="Times New Roman"/>
          <w:color w:val="000000"/>
          <w:spacing w:val="0"/>
          <w:w w:val="100"/>
          <w:position w:val="0"/>
          <w:sz w:val="18"/>
          <w:szCs w:val="18"/>
        </w:rPr>
        <w:t>9,816,738.20</w:t>
      </w:r>
      <w:r>
        <w:rPr>
          <w:color w:val="000000"/>
          <w:spacing w:val="0"/>
          <w:w w:val="100"/>
          <w:position w:val="0"/>
        </w:rPr>
        <w:t>元、应付（包含采购）函证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份金额</w:t>
      </w:r>
      <w:r>
        <w:rPr>
          <w:rFonts w:ascii="Times New Roman" w:eastAsia="Times New Roman" w:hAnsi="Times New Roman" w:cs="Times New Roman"/>
          <w:color w:val="000000"/>
          <w:spacing w:val="0"/>
          <w:w w:val="100"/>
          <w:position w:val="0"/>
          <w:sz w:val="18"/>
          <w:szCs w:val="18"/>
        </w:rPr>
        <w:t>6,377,474.23</w:t>
      </w:r>
      <w:r>
        <w:rPr>
          <w:color w:val="000000"/>
          <w:spacing w:val="0"/>
          <w:w w:val="100"/>
          <w:position w:val="0"/>
        </w:rPr>
        <w:t>元、其 他类函证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份金额</w:t>
      </w:r>
      <w:r>
        <w:rPr>
          <w:rFonts w:ascii="Times New Roman" w:eastAsia="Times New Roman" w:hAnsi="Times New Roman" w:cs="Times New Roman"/>
          <w:color w:val="000000"/>
          <w:spacing w:val="0"/>
          <w:w w:val="100"/>
          <w:position w:val="0"/>
          <w:sz w:val="18"/>
          <w:szCs w:val="18"/>
        </w:rPr>
        <w:t>47,552,358.41</w:t>
      </w:r>
      <w:r>
        <w:rPr>
          <w:color w:val="000000"/>
          <w:spacing w:val="0"/>
          <w:w w:val="100"/>
          <w:position w:val="0"/>
        </w:rPr>
        <w:t>元。由于未及时在我们所发询证函上盖章，导致重要子公司函证发出时间晚。尚有</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份银 行金额</w:t>
      </w:r>
      <w:r>
        <w:rPr>
          <w:rFonts w:ascii="Times New Roman" w:eastAsia="Times New Roman" w:hAnsi="Times New Roman" w:cs="Times New Roman"/>
          <w:color w:val="000000"/>
          <w:spacing w:val="0"/>
          <w:w w:val="100"/>
          <w:position w:val="0"/>
          <w:sz w:val="18"/>
          <w:szCs w:val="18"/>
        </w:rPr>
        <w:t>129,290,232.68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份应收、合同资产及预收（包含销售）金额</w:t>
      </w:r>
      <w:r>
        <w:rPr>
          <w:rFonts w:ascii="Times New Roman" w:eastAsia="Times New Roman" w:hAnsi="Times New Roman" w:cs="Times New Roman"/>
          <w:color w:val="000000"/>
          <w:spacing w:val="0"/>
          <w:w w:val="100"/>
          <w:position w:val="0"/>
          <w:sz w:val="18"/>
          <w:szCs w:val="18"/>
        </w:rPr>
        <w:t>333,421,262.41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份应付及预付（包含采购） 金额</w:t>
      </w:r>
      <w:r>
        <w:rPr>
          <w:rFonts w:ascii="Times New Roman" w:eastAsia="Times New Roman" w:hAnsi="Times New Roman" w:cs="Times New Roman"/>
          <w:color w:val="000000"/>
          <w:spacing w:val="0"/>
          <w:w w:val="100"/>
          <w:position w:val="0"/>
          <w:sz w:val="18"/>
          <w:szCs w:val="18"/>
        </w:rPr>
        <w:t>588,803,925.50</w:t>
      </w:r>
      <w:r>
        <w:rPr>
          <w:color w:val="000000"/>
          <w:spacing w:val="0"/>
          <w:w w:val="100"/>
          <w:position w:val="0"/>
        </w:rPr>
        <w:t>元，其他类</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份金额</w:t>
      </w:r>
      <w:r>
        <w:rPr>
          <w:rFonts w:ascii="Times New Roman" w:eastAsia="Times New Roman" w:hAnsi="Times New Roman" w:cs="Times New Roman"/>
          <w:color w:val="000000"/>
          <w:spacing w:val="0"/>
          <w:w w:val="100"/>
          <w:position w:val="0"/>
          <w:sz w:val="18"/>
          <w:szCs w:val="18"/>
        </w:rPr>
        <w:t>669,352,630.94</w:t>
      </w:r>
      <w:r>
        <w:rPr>
          <w:color w:val="000000"/>
          <w:spacing w:val="0"/>
          <w:w w:val="100"/>
          <w:position w:val="0"/>
        </w:rPr>
        <w:t>元函证未收回。我们执行的替代程序仍然不能为发表审计意见提 供充分、适当的审计证据，因此我们无法确认公司财务报表与上述函证相关报表项目列报的准确性。</w:t>
      </w:r>
    </w:p>
    <w:p>
      <w:pPr>
        <w:pStyle w:val="Style18"/>
        <w:keepNext w:val="0"/>
        <w:keepLines w:val="0"/>
        <w:widowControl w:val="0"/>
        <w:shd w:val="clear" w:color="auto" w:fill="auto"/>
        <w:tabs>
          <w:tab w:pos="924" w:val="left"/>
        </w:tabs>
        <w:bidi w:val="0"/>
        <w:spacing w:before="0" w:after="0" w:line="270" w:lineRule="exact"/>
        <w:ind w:left="0" w:right="0"/>
        <w:jc w:val="both"/>
      </w:pPr>
      <w:bookmarkStart w:id="681" w:name="bookmark681"/>
      <w:r>
        <w:rPr>
          <w:b/>
          <w:bCs/>
          <w:color w:val="000000"/>
          <w:spacing w:val="0"/>
          <w:w w:val="100"/>
          <w:position w:val="0"/>
        </w:rPr>
        <w:t>（</w:t>
      </w:r>
      <w:bookmarkEnd w:id="681"/>
      <w:r>
        <w:rPr>
          <w:b/>
          <w:bCs/>
          <w:color w:val="000000"/>
          <w:spacing w:val="0"/>
          <w:w w:val="100"/>
          <w:position w:val="0"/>
        </w:rPr>
        <w:t>二）</w:t>
        <w:tab/>
        <w:t>子公司毛利率异常</w:t>
      </w:r>
    </w:p>
    <w:p>
      <w:pPr>
        <w:pStyle w:val="Style18"/>
        <w:keepNext w:val="0"/>
        <w:keepLines w:val="0"/>
        <w:widowControl w:val="0"/>
        <w:shd w:val="clear" w:color="auto" w:fill="auto"/>
        <w:bidi w:val="0"/>
        <w:spacing w:before="0" w:after="0" w:line="267" w:lineRule="exact"/>
        <w:ind w:left="0" w:right="0"/>
        <w:jc w:val="both"/>
      </w:pPr>
      <w:r>
        <w:rPr>
          <w:color w:val="000000"/>
          <w:spacing w:val="0"/>
          <w:w w:val="100"/>
          <w:position w:val="0"/>
        </w:rPr>
        <w:t>公司重要子公司开店宝科技集团有限公司及其子公司（以下统称“开店宝集团”）营业毛利率异常，我们执行了询问、 分析、检查、函证、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审计等审计程序，公司未对毛利率异常给出合理解释，并且成本涉及的采购、分润对应的预付账款、 应付账款、其他应收款未能收到足够数量的有效回函，我们执行了替代测试，仍不能为发表审计意见提供充分、适当的审 计证据，因此我们无法确定开店宝集团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年度财务报表涉及的成本及采购、分润对应的往来项目列报的准确性。</w:t>
      </w:r>
    </w:p>
    <w:p>
      <w:pPr>
        <w:pStyle w:val="Style18"/>
        <w:keepNext w:val="0"/>
        <w:keepLines w:val="0"/>
        <w:widowControl w:val="0"/>
        <w:shd w:val="clear" w:color="auto" w:fill="auto"/>
        <w:tabs>
          <w:tab w:pos="823" w:val="left"/>
        </w:tabs>
        <w:bidi w:val="0"/>
        <w:spacing w:before="0" w:after="0" w:line="270" w:lineRule="exact"/>
        <w:ind w:left="0" w:right="0"/>
        <w:jc w:val="both"/>
      </w:pPr>
      <w:bookmarkStart w:id="682" w:name="bookmark682"/>
      <w:r>
        <w:rPr>
          <w:b/>
          <w:bCs/>
          <w:color w:val="000000"/>
          <w:spacing w:val="0"/>
          <w:w w:val="100"/>
          <w:position w:val="0"/>
        </w:rPr>
        <w:t>三</w:t>
      </w:r>
      <w:bookmarkEnd w:id="682"/>
      <w:r>
        <w:rPr>
          <w:b/>
          <w:bCs/>
          <w:color w:val="000000"/>
          <w:spacing w:val="0"/>
          <w:w w:val="100"/>
          <w:position w:val="0"/>
        </w:rPr>
        <w:t>、</w:t>
        <w:tab/>
        <w:t>与持续经营相关的重大不确定性</w:t>
      </w:r>
    </w:p>
    <w:p>
      <w:pPr>
        <w:pStyle w:val="Style18"/>
        <w:keepNext w:val="0"/>
        <w:keepLines w:val="0"/>
        <w:widowControl w:val="0"/>
        <w:shd w:val="clear" w:color="auto" w:fill="auto"/>
        <w:bidi w:val="0"/>
        <w:spacing w:before="0" w:after="0" w:line="272" w:lineRule="exact"/>
        <w:ind w:left="0" w:right="0"/>
        <w:jc w:val="both"/>
      </w:pPr>
      <w:r>
        <w:rPr>
          <w:color w:val="000000"/>
          <w:spacing w:val="0"/>
          <w:w w:val="100"/>
          <w:position w:val="0"/>
        </w:rPr>
        <w:t>我们提醒财务报表使用者关注，如财务报表附注二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所述，亚联发展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年度持续亏损，并 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日归属于母公司的净资产为</w:t>
      </w: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亿元，同时，存在一年到期的银行借款</w:t>
      </w:r>
      <w:r>
        <w:rPr>
          <w:rFonts w:ascii="Times New Roman" w:eastAsia="Times New Roman" w:hAnsi="Times New Roman" w:cs="Times New Roman"/>
          <w:color w:val="000000"/>
          <w:spacing w:val="0"/>
          <w:w w:val="100"/>
          <w:position w:val="0"/>
          <w:sz w:val="18"/>
          <w:szCs w:val="18"/>
        </w:rPr>
        <w:t>3.42</w:t>
      </w:r>
      <w:r>
        <w:rPr>
          <w:color w:val="000000"/>
          <w:spacing w:val="0"/>
          <w:w w:val="100"/>
          <w:position w:val="0"/>
        </w:rPr>
        <w:t>亿元及拆借款</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亿元。 亚联发展披露了拟处置资产、以及股东及债权人对借款到期继续提供资金支持的承诺等改善措施，但可能导致对持续经营 能力产生重大疑虑的事项或情况仍存在重大不确定性。该事项不影响已发表的审计意见。</w:t>
      </w:r>
    </w:p>
    <w:p>
      <w:pPr>
        <w:pStyle w:val="Style10"/>
        <w:keepNext/>
        <w:keepLines/>
        <w:widowControl w:val="0"/>
        <w:shd w:val="clear" w:color="auto" w:fill="auto"/>
        <w:tabs>
          <w:tab w:pos="823" w:val="left"/>
        </w:tabs>
        <w:bidi w:val="0"/>
        <w:spacing w:before="0" w:after="0" w:line="270" w:lineRule="exact"/>
        <w:ind w:left="0" w:right="0" w:firstLine="380"/>
        <w:jc w:val="both"/>
        <w:rPr>
          <w:sz w:val="17"/>
          <w:szCs w:val="17"/>
        </w:rPr>
      </w:pPr>
      <w:bookmarkStart w:id="683" w:name="bookmark683"/>
      <w:bookmarkStart w:id="684" w:name="bookmark684"/>
      <w:bookmarkStart w:id="685" w:name="bookmark685"/>
      <w:bookmarkStart w:id="686" w:name="bookmark686"/>
      <w:r>
        <w:rPr>
          <w:color w:val="000000"/>
          <w:spacing w:val="0"/>
          <w:w w:val="100"/>
          <w:position w:val="0"/>
          <w:sz w:val="17"/>
          <w:szCs w:val="17"/>
        </w:rPr>
        <w:t>四</w:t>
      </w:r>
      <w:bookmarkEnd w:id="685"/>
      <w:r>
        <w:rPr>
          <w:color w:val="000000"/>
          <w:spacing w:val="0"/>
          <w:w w:val="100"/>
          <w:position w:val="0"/>
          <w:sz w:val="17"/>
          <w:szCs w:val="17"/>
        </w:rPr>
        <w:t>、</w:t>
        <w:tab/>
        <w:t>管理层和治理层对财务报表的责任</w:t>
      </w:r>
      <w:bookmarkEnd w:id="683"/>
      <w:bookmarkEnd w:id="684"/>
      <w:bookmarkEnd w:id="686"/>
    </w:p>
    <w:p>
      <w:pPr>
        <w:pStyle w:val="Style18"/>
        <w:keepNext w:val="0"/>
        <w:keepLines w:val="0"/>
        <w:widowControl w:val="0"/>
        <w:shd w:val="clear" w:color="auto" w:fill="auto"/>
        <w:bidi w:val="0"/>
        <w:spacing w:before="0" w:after="0" w:line="274"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18"/>
        <w:keepNext w:val="0"/>
        <w:keepLines w:val="0"/>
        <w:widowControl w:val="0"/>
        <w:shd w:val="clear" w:color="auto" w:fill="auto"/>
        <w:bidi w:val="0"/>
        <w:spacing w:before="0" w:after="0" w:line="274" w:lineRule="exact"/>
        <w:ind w:left="0" w:right="0" w:firstLine="360"/>
        <w:jc w:val="both"/>
      </w:pPr>
      <w:r>
        <w:rPr>
          <w:color w:val="000000"/>
          <w:spacing w:val="0"/>
          <w:w w:val="100"/>
          <w:position w:val="0"/>
        </w:rPr>
        <w:t>在编制财务报表时，管理层负责评估亚联发展的持续经营能力，披露与持续经营相关的事项（如适用），并运用持续 经营假设，除非管理层计划清算亚联发展、终止运营或别无其他现实的选择。</w:t>
      </w:r>
    </w:p>
    <w:p>
      <w:pPr>
        <w:pStyle w:val="Style18"/>
        <w:keepNext w:val="0"/>
        <w:keepLines w:val="0"/>
        <w:widowControl w:val="0"/>
        <w:shd w:val="clear" w:color="auto" w:fill="auto"/>
        <w:bidi w:val="0"/>
        <w:spacing w:before="0" w:after="420" w:line="274" w:lineRule="exact"/>
        <w:ind w:left="0" w:right="0" w:firstLine="360"/>
        <w:jc w:val="both"/>
      </w:pPr>
      <w:r>
        <w:rPr>
          <w:color w:val="000000"/>
          <w:spacing w:val="0"/>
          <w:w w:val="100"/>
          <w:position w:val="0"/>
        </w:rPr>
        <w:t>治理层负责监督亚联发展的财务报告过程。</w:t>
      </w:r>
    </w:p>
    <w:p>
      <w:pPr>
        <w:pStyle w:val="Style10"/>
        <w:keepNext/>
        <w:keepLines/>
        <w:widowControl w:val="0"/>
        <w:shd w:val="clear" w:color="auto" w:fill="auto"/>
        <w:bidi w:val="0"/>
        <w:spacing w:before="0" w:after="0" w:line="274" w:lineRule="exact"/>
        <w:ind w:left="0" w:right="0" w:firstLine="360"/>
        <w:jc w:val="both"/>
        <w:rPr>
          <w:sz w:val="17"/>
          <w:szCs w:val="17"/>
        </w:rPr>
      </w:pPr>
      <w:bookmarkStart w:id="687" w:name="bookmark687"/>
      <w:bookmarkStart w:id="688" w:name="bookmark688"/>
      <w:bookmarkStart w:id="689" w:name="bookmark689"/>
      <w:bookmarkStart w:id="690" w:name="bookmark690"/>
      <w:r>
        <w:rPr>
          <w:color w:val="000000"/>
          <w:spacing w:val="0"/>
          <w:w w:val="100"/>
          <w:position w:val="0"/>
          <w:sz w:val="17"/>
          <w:szCs w:val="17"/>
        </w:rPr>
        <w:t>五</w:t>
      </w:r>
      <w:bookmarkEnd w:id="689"/>
      <w:r>
        <w:rPr>
          <w:color w:val="000000"/>
          <w:spacing w:val="0"/>
          <w:w w:val="100"/>
          <w:position w:val="0"/>
          <w:sz w:val="17"/>
          <w:szCs w:val="17"/>
        </w:rPr>
        <w:t>、注册会计师对财务报表审计的责任</w:t>
      </w:r>
      <w:bookmarkEnd w:id="687"/>
      <w:bookmarkEnd w:id="688"/>
      <w:bookmarkEnd w:id="690"/>
    </w:p>
    <w:p>
      <w:pPr>
        <w:pStyle w:val="Style10"/>
        <w:keepNext/>
        <w:keepLines/>
        <w:widowControl w:val="0"/>
        <w:shd w:val="clear" w:color="auto" w:fill="auto"/>
        <w:bidi w:val="0"/>
        <w:spacing w:before="0" w:after="0" w:line="274" w:lineRule="exact"/>
        <w:ind w:left="0" w:right="0" w:firstLine="360"/>
        <w:jc w:val="both"/>
        <w:rPr>
          <w:sz w:val="17"/>
          <w:szCs w:val="17"/>
        </w:rPr>
      </w:pPr>
      <w:bookmarkStart w:id="691" w:name="bookmark691"/>
      <w:bookmarkStart w:id="692" w:name="bookmark692"/>
      <w:bookmarkStart w:id="693" w:name="bookmark693"/>
      <w:r>
        <w:rPr>
          <w:b w:val="0"/>
          <w:bCs w:val="0"/>
          <w:color w:val="000000"/>
          <w:spacing w:val="0"/>
          <w:w w:val="100"/>
          <w:position w:val="0"/>
          <w:sz w:val="17"/>
          <w:szCs w:val="17"/>
        </w:rPr>
        <w:t>我们的责任是按照中国注册会计师审计准则的规定，对亚联发展的财务报表执行审计工作，以出具审计报告。但由于</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形 成无法表示意见的基础</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部分所述的事项，我们无法获取充分、适当的审计证据以作为对财务报表发表审计意见的基础。</w:t>
      </w:r>
      <w:bookmarkEnd w:id="691"/>
      <w:bookmarkEnd w:id="692"/>
      <w:bookmarkEnd w:id="693"/>
    </w:p>
    <w:p>
      <w:pPr>
        <w:pStyle w:val="Style10"/>
        <w:keepNext/>
        <w:keepLines/>
        <w:widowControl w:val="0"/>
        <w:shd w:val="clear" w:color="auto" w:fill="auto"/>
        <w:bidi w:val="0"/>
        <w:spacing w:before="0" w:after="1320" w:line="274" w:lineRule="exact"/>
        <w:ind w:left="0" w:right="0" w:firstLine="360"/>
        <w:jc w:val="both"/>
        <w:rPr>
          <w:sz w:val="17"/>
          <w:szCs w:val="17"/>
        </w:rPr>
      </w:pPr>
      <w:bookmarkStart w:id="694" w:name="bookmark694"/>
      <w:bookmarkStart w:id="695" w:name="bookmark695"/>
      <w:bookmarkStart w:id="696" w:name="bookmark696"/>
      <w:r>
        <w:rPr>
          <w:b w:val="0"/>
          <w:bCs w:val="0"/>
          <w:color w:val="000000"/>
          <w:spacing w:val="0"/>
          <w:w w:val="100"/>
          <w:position w:val="0"/>
          <w:sz w:val="17"/>
          <w:szCs w:val="17"/>
        </w:rPr>
        <w:t>按照中国注册会计师职业道德守则，我们独立于亚联发展，并履行了职业道德方面的其他责任。</w:t>
      </w:r>
      <w:bookmarkEnd w:id="694"/>
      <w:bookmarkEnd w:id="695"/>
      <w:bookmarkEnd w:id="696"/>
    </w:p>
    <w:p>
      <w:pPr>
        <w:pStyle w:val="Style18"/>
        <w:keepNext w:val="0"/>
        <w:keepLines w:val="0"/>
        <w:widowControl w:val="0"/>
        <w:shd w:val="clear" w:color="auto" w:fill="auto"/>
        <w:bidi w:val="0"/>
        <w:spacing w:before="0" w:after="240" w:line="240" w:lineRule="auto"/>
        <w:ind w:left="1420" w:right="0" w:firstLine="0"/>
        <w:jc w:val="both"/>
      </w:pPr>
      <w:r>
        <mc:AlternateContent>
          <mc:Choice Requires="wps">
            <w:drawing>
              <wp:anchor distT="0" distB="0" distL="114300" distR="114300" simplePos="0" relativeHeight="125829378" behindDoc="0" locked="0" layoutInCell="1" allowOverlap="1">
                <wp:simplePos x="0" y="0"/>
                <wp:positionH relativeFrom="page">
                  <wp:posOffset>973455</wp:posOffset>
                </wp:positionH>
                <wp:positionV relativeFrom="paragraph">
                  <wp:posOffset>12700</wp:posOffset>
                </wp:positionV>
                <wp:extent cx="1847215" cy="149225"/>
                <wp:wrapSquare wrapText="right"/>
                <wp:docPr id="2" name="Shape 2"/>
                <a:graphic xmlns:a="http://schemas.openxmlformats.org/drawingml/2006/main">
                  <a:graphicData uri="http://schemas.microsoft.com/office/word/2010/wordprocessingShape">
                    <wps:wsp>
                      <wps:cNvSpPr txBox="1"/>
                      <wps:spPr>
                        <a:xfrm>
                          <a:ext cx="184721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6.650000000000006pt;margin-top:1.pt;width:145.45000000000002pt;height:11.75pt;z-index:-125829375;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xbxContent>
                </v:textbox>
                <w10:wrap type="square" side="right" anchorx="page"/>
              </v:shape>
            </w:pict>
          </mc:Fallback>
        </mc:AlternateContent>
      </w:r>
      <w:r>
        <w:rPr>
          <w:color w:val="000000"/>
          <w:spacing w:val="0"/>
          <w:w w:val="100"/>
          <w:position w:val="0"/>
        </w:rPr>
        <w:t>中国注册会计师：</w:t>
      </w:r>
    </w:p>
    <w:p>
      <w:pPr>
        <w:pStyle w:val="Style18"/>
        <w:keepNext w:val="0"/>
        <w:keepLines w:val="0"/>
        <w:widowControl w:val="0"/>
        <w:shd w:val="clear" w:color="auto" w:fill="auto"/>
        <w:tabs>
          <w:tab w:leader="underscore" w:pos="2693" w:val="left"/>
        </w:tabs>
        <w:bidi w:val="0"/>
        <w:spacing w:before="0" w:after="160" w:line="240" w:lineRule="auto"/>
        <w:ind w:left="0" w:right="1700" w:firstLine="0"/>
        <w:jc w:val="right"/>
      </w:pPr>
      <w:r>
        <w:rPr>
          <w:color w:val="000000"/>
          <w:spacing w:val="0"/>
          <w:w w:val="100"/>
          <w:position w:val="0"/>
        </w:rPr>
        <w:t>（项目合伙人）</w:t>
        <w:tab/>
      </w:r>
    </w:p>
    <w:p>
      <w:pPr>
        <w:pStyle w:val="Style18"/>
        <w:keepNext w:val="0"/>
        <w:keepLines w:val="0"/>
        <w:widowControl w:val="0"/>
        <w:shd w:val="clear" w:color="auto" w:fill="auto"/>
        <w:bidi w:val="0"/>
        <w:spacing w:before="0" w:after="1560" w:line="240" w:lineRule="auto"/>
        <w:ind w:left="7400" w:right="0" w:firstLine="0"/>
        <w:jc w:val="both"/>
      </w:pPr>
      <w:r>
        <w:rPr>
          <w:color w:val="000000"/>
          <w:spacing w:val="0"/>
          <w:w w:val="100"/>
          <w:position w:val="0"/>
        </w:rPr>
        <w:t>饶世旗</w:t>
      </w:r>
    </w:p>
    <w:p>
      <w:pPr>
        <w:pStyle w:val="Style18"/>
        <w:keepNext w:val="0"/>
        <w:keepLines w:val="0"/>
        <w:widowControl w:val="0"/>
        <w:shd w:val="clear" w:color="auto" w:fill="auto"/>
        <w:tabs>
          <w:tab w:leader="underscore" w:pos="7936" w:val="left"/>
        </w:tabs>
        <w:bidi w:val="0"/>
        <w:spacing w:before="0" w:after="160" w:line="240" w:lineRule="auto"/>
        <w:ind w:left="5080" w:right="0" w:firstLine="0"/>
        <w:jc w:val="both"/>
      </w:pPr>
      <w:r>
        <w:rPr>
          <w:color w:val="000000"/>
          <w:spacing w:val="0"/>
          <w:w w:val="100"/>
          <w:position w:val="0"/>
        </w:rPr>
        <w:t>中国注册会计师：</w:t>
        <w:tab/>
      </w:r>
    </w:p>
    <w:p>
      <w:pPr>
        <w:pStyle w:val="Style18"/>
        <w:keepNext w:val="0"/>
        <w:keepLines w:val="0"/>
        <w:widowControl w:val="0"/>
        <w:shd w:val="clear" w:color="auto" w:fill="auto"/>
        <w:bidi w:val="0"/>
        <w:spacing w:before="0" w:after="660" w:line="240" w:lineRule="auto"/>
        <w:ind w:left="7400" w:right="0" w:firstLine="0"/>
        <w:jc w:val="both"/>
      </w:pPr>
      <w:r>
        <w:rPr>
          <w:color w:val="000000"/>
          <w:spacing w:val="0"/>
          <w:w w:val="100"/>
          <w:position w:val="0"/>
        </w:rPr>
        <w:t>周香萍</w:t>
      </w:r>
    </w:p>
    <w:p>
      <w:pPr>
        <w:pStyle w:val="Style18"/>
        <w:keepNext w:val="0"/>
        <w:keepLines w:val="0"/>
        <w:widowControl w:val="0"/>
        <w:shd w:val="clear" w:color="auto" w:fill="auto"/>
        <w:tabs>
          <w:tab w:pos="4531" w:val="left"/>
        </w:tabs>
        <w:bidi w:val="0"/>
        <w:spacing w:before="0" w:after="1020" w:line="240" w:lineRule="auto"/>
        <w:ind w:left="0" w:right="0" w:firstLine="0"/>
        <w:jc w:val="center"/>
      </w:pPr>
      <w:r>
        <w:rPr>
          <w:color w:val="000000"/>
          <w:spacing w:val="0"/>
          <w:w w:val="100"/>
          <w:position w:val="0"/>
        </w:rPr>
        <w:t>中国•北京</w:t>
        <w:tab/>
        <w:t>二</w:t>
      </w:r>
      <w:r>
        <w:rPr>
          <w:color w:val="000000"/>
          <w:spacing w:val="0"/>
          <w:w w:val="100"/>
          <w:position w:val="0"/>
          <w:sz w:val="17"/>
          <w:szCs w:val="17"/>
        </w:rPr>
        <w:t>O</w:t>
      </w:r>
      <w:r>
        <w:rPr>
          <w:color w:val="000000"/>
          <w:spacing w:val="0"/>
          <w:w w:val="100"/>
          <w:position w:val="0"/>
        </w:rPr>
        <w:t>二二年四月二十九日</w:t>
      </w:r>
    </w:p>
    <w:p>
      <w:pPr>
        <w:pStyle w:val="Style23"/>
        <w:keepNext/>
        <w:keepLines/>
        <w:widowControl w:val="0"/>
        <w:shd w:val="clear" w:color="auto" w:fill="auto"/>
        <w:bidi w:val="0"/>
        <w:spacing w:before="0" w:after="38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二</w:t>
      </w:r>
      <w:bookmarkEnd w:id="699"/>
      <w:r>
        <w:rPr>
          <w:color w:val="000000"/>
          <w:spacing w:val="0"/>
          <w:w w:val="100"/>
          <w:position w:val="0"/>
        </w:rPr>
        <w:t>、财务报表</w:t>
      </w:r>
      <w:bookmarkEnd w:id="697"/>
      <w:bookmarkEnd w:id="698"/>
      <w:bookmarkEnd w:id="700"/>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、合并资产负债表</w:t>
      </w:r>
      <w:bookmarkEnd w:id="701"/>
      <w:bookmarkEnd w:id="702"/>
      <w:bookmarkEnd w:id="704"/>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编制单位：深圳亚联发展科技股份有限公司</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285,466,340.33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398,907,354.77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288,320,359.24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325,299,546.15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7,867,960.72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10,283,846.40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380,105,782.90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185,023,347.28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139,731,304.73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167,935,892.21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143,452,654.73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160,919,696.73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44,738,380.05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63,166,262.13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25,481,042.44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37,448,315.88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1,315,163,825.14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1,348,984,261.55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54,313,050.41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96,975,482.22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123,681,571.76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107,672,719.17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242,078,536.70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47,223,878.58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39,507,796.84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34,079,419.43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297,238,525.77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562,262,598.94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8,472,080.63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11,282,624.27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31,781,679.70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32,207,680.05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57,213,182.94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63,103,924.08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767,104,485.80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1,140,490,265.69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2,082,268,310.94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2,489,474,527.24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16,589,152.09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106,629,884.00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771,835,458.47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948,204,659.02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177,679,713.09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131,976,191.03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12,132,485.80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43,858,979.01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14,190,489.93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44,529,412.22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477,597,901.50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514,040,520.54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1,285,148.48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2,117,021.11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341,385,923.06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20,978,523.96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12,249,053.24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1,832,389,647.90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1,802,432,169.06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168,618,595.54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339,437,500.00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33,244,171.42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3,640,963.70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4,666,619.30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1,961,311.74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2,454,878.83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208,949,069.96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348,043,025.69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2,041,338,717.86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2,150,475,194.75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192,363,459.60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192,363,459.60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-8,181,500.17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-1,014,458.19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-661,189,536.51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-387,302,517.35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-43,714,193.67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237,339,867.47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84,643,786.75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101,659,465.02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40,929,593.08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338,999,332.49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2,082,268,310.94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2,489,474,527.24</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700405</wp:posOffset>
                </wp:positionH>
                <wp:positionV relativeFrom="margin">
                  <wp:posOffset>7924800</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30" type="#_x0000_t202" style="position:absolute;margin-left:55.149999999999999pt;margin-top:624.pt;width:83.049999999999997pt;height:11.75pt;z-index:-125829373;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2876550</wp:posOffset>
                </wp:positionH>
                <wp:positionV relativeFrom="margin">
                  <wp:posOffset>7924800</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32" type="#_x0000_t202" style="position:absolute;margin-left:226.5pt;margin-top:624.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5501005</wp:posOffset>
                </wp:positionH>
                <wp:positionV relativeFrom="margin">
                  <wp:posOffset>7924800</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34" type="#_x0000_t202" style="position:absolute;margin-left:433.15000000000003pt;margin-top:624.pt;width:101.3pt;height:11.75pt;z-index:-125829369;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、母公司资产负债表</w:t>
      </w:r>
      <w:bookmarkEnd w:id="705"/>
      <w:bookmarkEnd w:id="706"/>
      <w:bookmarkEnd w:id="70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92,861,720.12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76,638,028.21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153,397,822.35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182,282,075.73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614,513.43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108,259,784.83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11,056,106.72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205,804,099.55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206,171,517.29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47,518,137.65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25,227,025.35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26,642,244.82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37,595,068.82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1,558,706.68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636,549,231.12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541,028,528.80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560,591,248.76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972,029,436.76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10,652,500.00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38,892,727.55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42,108,149.42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3,005,272.71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624,743.55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332,782.98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998,348.10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11,100,361.19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11,004,042.59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3,255,000.00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627,926,349.25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1,045,319,720.42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1,264,475,580.37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1,586,348,249.22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262,033,454.96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263,778,868.67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114,670,089.56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47,950,817.33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1,282,607.58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1,312,252.19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595,486.57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430,254.89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693,421,927.33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660,166,219.63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1,056,869.92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17,229,277.74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328,174,127.81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13,363,162.24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6,022,113.47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1,413,540,856.05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1,055,860,526.18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520,315.80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520,315.80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1,414,061,171.85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1,381,360,526.18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247,684,612.92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-830,196,087.81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-480,270,273.29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-149,585,591.48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204,987,723.04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1,264,475,580.37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1,586,348,249.22</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6" behindDoc="0" locked="0" layoutInCell="1" allowOverlap="1">
                <wp:simplePos x="0" y="0"/>
                <wp:positionH relativeFrom="page">
                  <wp:posOffset>700405</wp:posOffset>
                </wp:positionH>
                <wp:positionV relativeFrom="margin">
                  <wp:posOffset>4093210</wp:posOffset>
                </wp:positionV>
                <wp:extent cx="1054735" cy="149225"/>
                <wp:wrapTopAndBottom/>
                <wp:docPr id="10" name="Shape 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36" type="#_x0000_t202" style="position:absolute;margin-left:55.149999999999999pt;margin-top:322.30000000000001pt;width:83.049999999999997pt;height:11.75pt;z-index:-125829367;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2876550</wp:posOffset>
                </wp:positionH>
                <wp:positionV relativeFrom="margin">
                  <wp:posOffset>4093210</wp:posOffset>
                </wp:positionV>
                <wp:extent cx="1508760" cy="146050"/>
                <wp:wrapTopAndBottom/>
                <wp:docPr id="12" name="Shape 1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38" type="#_x0000_t202" style="position:absolute;margin-left:226.5pt;margin-top:322.30000000000001pt;width:118.8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5501005</wp:posOffset>
                </wp:positionH>
                <wp:positionV relativeFrom="margin">
                  <wp:posOffset>4093210</wp:posOffset>
                </wp:positionV>
                <wp:extent cx="1286510" cy="149225"/>
                <wp:wrapTopAndBottom/>
                <wp:docPr id="14" name="Shape 1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40" type="#_x0000_t202" style="position:absolute;margin-left:433.15000000000003pt;margin-top:322.30000000000001pt;width:101.3pt;height:11.75pt;z-index:-125829363;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、合并利润表</w:t>
      </w:r>
      <w:bookmarkEnd w:id="709"/>
      <w:bookmarkEnd w:id="710"/>
      <w:bookmarkEnd w:id="712"/>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1,933,242,996.83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3,279,219,307.74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1,933,242,996.83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3,279,219,307.74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2,007,441,118.92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3,510,907,386.03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1,523,056,168.70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2,790,671,977.49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3,801,612.64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8,908,884.04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128,184,750.32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239,866,116.29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218,332,214.41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340,127,076.49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76,216,805.82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86,259,455.95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57,849,567.03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45,073,875.77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52,672,713.68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35,618,632.93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1,830,757.52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4,261,881.52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16,482,528.92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36,035,715.64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59,299,723.65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-34,335,912.25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-17,719,324.11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-38,681,941.91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-6,966,324.93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-18,913,095.16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-261,654,766.69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-303,062,334.21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1,998,125.77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-266,824,700.65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-549,965,578.50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766,608.14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10,138,595.18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4,087,432.07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4,578,151.32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-270,145,524.58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-544,405,134.64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4,880,566.91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29,263,203.09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-275,026,091.49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-573,668,337.73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-275,026,091.49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-573,668,337.73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-273,887,019.16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-485,718,546.80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-1,139,072.33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-87,949,790.93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-6,103,442.53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3,399,573.79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-7,167,041.98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1,227,893.27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-3,827,418.45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3,479,000.00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-3,827,418.45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3,479,000.00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-3,339,623.53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-2,251,106.73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-3,339,623.53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-2,251,106.73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1,063,599.45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2,171,680.52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-281,129,534.02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-570,268,763.94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-281,054,061.14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-484,490,653.53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-75,472.88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-85,778,110.41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法定代表人：王永彬</w:t>
        <w:tab/>
        <w:t>主管会计工作负责人：陈道军</w:t>
        <w:tab/>
        <w:t>会计机构负责人：司红娟</w:t>
      </w:r>
    </w:p>
    <w:p>
      <w:pPr>
        <w:pStyle w:val="Style29"/>
        <w:keepNext/>
        <w:keepLines/>
        <w:widowControl w:val="0"/>
        <w:shd w:val="clear" w:color="auto" w:fill="auto"/>
        <w:bidi w:val="0"/>
        <w:spacing w:before="0" w:after="40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、母公司利润表</w:t>
      </w:r>
      <w:bookmarkEnd w:id="713"/>
      <w:bookmarkEnd w:id="714"/>
      <w:bookmarkEnd w:id="7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220,192,671.88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334,781,222.56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210,931,991.46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354,452,178.70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836,383.29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1,177,581.79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3,034,969.47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4,854,308.27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23,164,691.98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23,909,603.07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7,238,782.16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10,438,377.70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39,464,705.58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46,925,407.31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35,979,340.75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42,170,209.06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296,105.48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1,709,836.26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842,842.08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2,216,068.49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-68,054,113.83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-28,144,148.35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-12,918,475.38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-28,144,149.35</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-315,616.08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-40,622.67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-265,350,581.18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-300,858,879.91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1,751,708.23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-397,356,321.07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-432,052,108.49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47,564,553.52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204,729.63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220,421.25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195,965.97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-350,012,188.80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-432,043,344.83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-39,644.51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-349,925,814.52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-432,003,700.32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-349,925,814.52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-432,003,700.32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-4,647,500.00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-4,647,500.00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-4,647,500.00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-354,573,314.52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-427,603,700.32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2" behindDoc="0" locked="0" layoutInCell="1" allowOverlap="1">
                <wp:simplePos x="0" y="0"/>
                <wp:positionH relativeFrom="page">
                  <wp:posOffset>700405</wp:posOffset>
                </wp:positionH>
                <wp:positionV relativeFrom="margin">
                  <wp:posOffset>1027430</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42" type="#_x0000_t202" style="position:absolute;margin-left:55.149999999999999pt;margin-top:80.900000000000006pt;width:83.049999999999997pt;height:11.75pt;z-index:-125829361;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94" behindDoc="0" locked="0" layoutInCell="1" allowOverlap="1">
                <wp:simplePos x="0" y="0"/>
                <wp:positionH relativeFrom="page">
                  <wp:posOffset>2876550</wp:posOffset>
                </wp:positionH>
                <wp:positionV relativeFrom="margin">
                  <wp:posOffset>1027430</wp:posOffset>
                </wp:positionV>
                <wp:extent cx="1508760" cy="146050"/>
                <wp:wrapTopAndBottom/>
                <wp:docPr id="18" name="Shape 1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44" type="#_x0000_t202" style="position:absolute;margin-left:226.5pt;margin-top:80.900000000000006pt;width:118.8pt;height:11.5pt;z-index:-125829359;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396" behindDoc="0" locked="0" layoutInCell="1" allowOverlap="1">
                <wp:simplePos x="0" y="0"/>
                <wp:positionH relativeFrom="page">
                  <wp:posOffset>5501005</wp:posOffset>
                </wp:positionH>
                <wp:positionV relativeFrom="margin">
                  <wp:posOffset>1027430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46" type="#_x0000_t202" style="position:absolute;margin-left:433.15000000000003pt;margin-top:80.900000000000006pt;width:101.3pt;height:11.75pt;z-index:-125829357;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5</w:t>
      </w:r>
      <w:bookmarkEnd w:id="719"/>
      <w:r>
        <w:rPr>
          <w:color w:val="000000"/>
          <w:spacing w:val="0"/>
          <w:w w:val="100"/>
          <w:position w:val="0"/>
        </w:rPr>
        <w:t>、合并现金流量表</w:t>
      </w:r>
      <w:bookmarkEnd w:id="717"/>
      <w:bookmarkEnd w:id="718"/>
      <w:bookmarkEnd w:id="72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2,109,420,478.84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3,422,150,677.90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153,621,957.68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187,863,785.45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2,263,042,436.52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3,610,014,463.35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1,888,507,606.10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2,695,180,009.68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227,272,807.22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299,596,260.36</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43,323,456.35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107,259,025.50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218,736,337.49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379,964,743.70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2,377,840,207.16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3,482,000,039.24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-114,797,770.64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128,014,424.11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17,165,353.65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321,600.00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6,822,506.29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53,194,641.70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2,502,936.98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53,516,241.70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26,490,796.92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63,647,338.61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54,501,631.31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30,197,690.72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79,717,037.94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22,133,002.12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3,272,444.55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115,978,031.45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137,491,113.80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-62,461,789.75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-111,000,316.88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jc w:val="both"/>
            </w:pPr>
            <w:r>
              <w:rPr>
                <w:color w:val="000000"/>
                <w:spacing w:val="0"/>
                <w:w w:val="100"/>
                <w:position w:val="0"/>
              </w:rPr>
              <w:t>其中：子公司吸收少数股东投资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56,435,984.00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503,867,804.42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621,332,701.21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531,567,804.42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677,768,685.21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115,162,804.00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181,272,500.00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38,261,813.66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33,501,698.54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253,889.80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213,837,141.21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463,741,646.80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367,261,758.87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678,515,845.34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164,306,045.55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-747,160.13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-187,875.08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-12,967,979.43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16,079,072.02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179,481,129.68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163,402,057.66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166,513,150.25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179,481,129.68</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8" behindDoc="0" locked="0" layoutInCell="1" allowOverlap="1">
                <wp:simplePos x="0" y="0"/>
                <wp:positionH relativeFrom="page">
                  <wp:posOffset>700405</wp:posOffset>
                </wp:positionH>
                <wp:positionV relativeFrom="margin">
                  <wp:posOffset>1993265</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48" type="#_x0000_t202" style="position:absolute;margin-left:55.149999999999999pt;margin-top:156.95000000000002pt;width:83.049999999999997pt;height:11.75pt;z-index:-125829355;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400" behindDoc="0" locked="0" layoutInCell="1" allowOverlap="1">
                <wp:simplePos x="0" y="0"/>
                <wp:positionH relativeFrom="page">
                  <wp:posOffset>2876550</wp:posOffset>
                </wp:positionH>
                <wp:positionV relativeFrom="margin">
                  <wp:posOffset>1993265</wp:posOffset>
                </wp:positionV>
                <wp:extent cx="1508760" cy="146050"/>
                <wp:wrapTopAndBottom/>
                <wp:docPr id="24" name="Shape 2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50" type="#_x0000_t202" style="position:absolute;margin-left:226.5pt;margin-top:156.95000000000002pt;width:118.8pt;height:11.5pt;z-index:-125829353;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402" behindDoc="0" locked="0" layoutInCell="1" allowOverlap="1">
                <wp:simplePos x="0" y="0"/>
                <wp:positionH relativeFrom="page">
                  <wp:posOffset>5501005</wp:posOffset>
                </wp:positionH>
                <wp:positionV relativeFrom="margin">
                  <wp:posOffset>1993265</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52" type="#_x0000_t202" style="position:absolute;margin-left:433.15000000000003pt;margin-top:156.95000000000002pt;width:101.3pt;height:11.75pt;z-index:-125829351;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6</w:t>
      </w:r>
      <w:bookmarkEnd w:id="723"/>
      <w:r>
        <w:rPr>
          <w:color w:val="000000"/>
          <w:spacing w:val="0"/>
          <w:w w:val="100"/>
          <w:position w:val="0"/>
        </w:rPr>
        <w:t>、母公司现金流量表</w:t>
      </w:r>
      <w:bookmarkEnd w:id="721"/>
      <w:bookmarkEnd w:id="722"/>
      <w:bookmarkEnd w:id="7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336,246,725.31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340,608,674.08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81,580,860.39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163,172,990.84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417,827,585.70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503,781,664.92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316,454,731.74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295,815,933.45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16,859,234.25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16,791,707.68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2,316,335.32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2,611,737.43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71,489,620.51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183,707,751.66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407,119,921.82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498,927,130.22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10,707,663.88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4,854,534.70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53,200,002.00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6,809,770.00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53,560,002.00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6,809,770.00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53,560,001.00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-3,190,230.00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262,202,213.20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544,494,413.38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262,202,213.20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574,494,413.38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124,705,000.00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33,862,536.49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29,996,164.67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169,072,995.14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402,520,000.00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279,135,531.63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557,221,164.67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-16,933,318.43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17,273,248.71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47,334,346.45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18,937,553.41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40,941,765.00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22,004,211.59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88,276,111.45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40,941,765.00</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04" behindDoc="0" locked="0" layoutInCell="1" allowOverlap="1">
                <wp:simplePos x="0" y="0"/>
                <wp:positionH relativeFrom="page">
                  <wp:posOffset>699135</wp:posOffset>
                </wp:positionH>
                <wp:positionV relativeFrom="margin">
                  <wp:posOffset>5708650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54" type="#_x0000_t202" style="position:absolute;margin-left:55.050000000000004pt;margin-top:449.5pt;width:83.049999999999997pt;height:11.75pt;z-index:-125829349;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406" behindDoc="0" locked="0" layoutInCell="1" allowOverlap="1">
                <wp:simplePos x="0" y="0"/>
                <wp:positionH relativeFrom="page">
                  <wp:posOffset>2875280</wp:posOffset>
                </wp:positionH>
                <wp:positionV relativeFrom="margin">
                  <wp:posOffset>5708650</wp:posOffset>
                </wp:positionV>
                <wp:extent cx="1508760" cy="146050"/>
                <wp:wrapTopAndBottom/>
                <wp:docPr id="30" name="Shape 3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56" type="#_x0000_t202" style="position:absolute;margin-left:226.40000000000001pt;margin-top:449.5pt;width:118.8pt;height:11.5pt;z-index:-125829347;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408" behindDoc="0" locked="0" layoutInCell="1" allowOverlap="1">
                <wp:simplePos x="0" y="0"/>
                <wp:positionH relativeFrom="page">
                  <wp:posOffset>5499735</wp:posOffset>
                </wp:positionH>
                <wp:positionV relativeFrom="margin">
                  <wp:posOffset>5708650</wp:posOffset>
                </wp:positionV>
                <wp:extent cx="1286510" cy="149225"/>
                <wp:wrapTopAndBottom/>
                <wp:docPr id="32" name="Shape 3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58" type="#_x0000_t202" style="position:absolute;margin-left:433.05000000000001pt;margin-top:449.5pt;width:101.3pt;height:11.75pt;z-index:-125829345;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7</w:t>
      </w:r>
      <w:bookmarkEnd w:id="727"/>
      <w:r>
        <w:rPr>
          <w:color w:val="000000"/>
          <w:spacing w:val="0"/>
          <w:w w:val="100"/>
          <w:position w:val="0"/>
        </w:rPr>
        <w:t>、合并所有者权益变动表</w:t>
      </w:r>
      <w:bookmarkEnd w:id="725"/>
      <w:bookmarkEnd w:id="726"/>
      <w:bookmarkEnd w:id="72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02,517</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02,517</w:t>
            </w:r>
          </w:p>
          <w:p>
            <w:pPr>
              <w:pStyle w:val="Style20"/>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9,465.</w:t>
            </w:r>
          </w:p>
          <w:p>
            <w:pPr>
              <w:pStyle w:val="Style20"/>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87,019</w:t>
            </w:r>
          </w:p>
          <w:p>
            <w:pPr>
              <w:pStyle w:val="Style20"/>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54,061</w:t>
            </w:r>
          </w:p>
          <w:p>
            <w:pPr>
              <w:pStyle w:val="Style20"/>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w:t>
            </w:r>
          </w:p>
          <w:p>
            <w:pPr>
              <w:pStyle w:val="Style20"/>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87,019</w:t>
            </w:r>
          </w:p>
          <w:p>
            <w:pPr>
              <w:pStyle w:val="Style20"/>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54,061</w:t>
            </w:r>
          </w:p>
          <w:p>
            <w:pPr>
              <w:pStyle w:val="Style20"/>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-75,47</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w:t>
            </w:r>
          </w:p>
          <w:p>
            <w:pPr>
              <w:pStyle w:val="Style20"/>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w:t>
            </w:r>
          </w:p>
          <w:p>
            <w:pPr>
              <w:pStyle w:val="Style20"/>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253,88</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253,88</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84,643 </w:t>
            </w:r>
            <w:r>
              <w:rPr>
                <w:rFonts w:ascii="Times New Roman" w:eastAsia="Times New Roman" w:hAnsi="Times New Roman" w:cs="Times New Roman"/>
                <w:color w:val="000000"/>
                <w:spacing w:val="0"/>
                <w:w w:val="100"/>
                <w:position w:val="0"/>
                <w:sz w:val="18"/>
                <w:szCs w:val="18"/>
              </w:rPr>
              <w:t xml:space="preserve">,786.7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40,929 ,593.0 8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-2,242, 351.46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98,416 </w:t>
            </w:r>
            <w:r>
              <w:rPr>
                <w:rFonts w:ascii="Times New Roman" w:eastAsia="Times New Roman" w:hAnsi="Times New Roman" w:cs="Times New Roman"/>
                <w:color w:val="000000"/>
                <w:spacing w:val="0"/>
                <w:w w:val="100"/>
                <w:position w:val="0"/>
                <w:sz w:val="18"/>
                <w:szCs w:val="18"/>
              </w:rPr>
              <w:t xml:space="preserve">,029.4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168,631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-2,242, 351.46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98,416 </w:t>
            </w:r>
            <w:r>
              <w:rPr>
                <w:rFonts w:ascii="Times New Roman" w:eastAsia="Times New Roman" w:hAnsi="Times New Roman" w:cs="Times New Roman"/>
                <w:color w:val="000000"/>
                <w:spacing w:val="0"/>
                <w:w w:val="100"/>
                <w:position w:val="0"/>
                <w:sz w:val="18"/>
                <w:szCs w:val="18"/>
              </w:rPr>
              <w:t xml:space="preserve">,029.4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720,60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61,653</w:t>
            </w:r>
          </w:p>
          <w:p>
            <w:pPr>
              <w:pStyle w:val="Style20"/>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-66,971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90,653</w:t>
            </w:r>
          </w:p>
          <w:p>
            <w:pPr>
              <w:pStyle w:val="Style20"/>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-85,778</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02,517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10" behindDoc="0" locked="0" layoutInCell="1" allowOverlap="1">
                <wp:simplePos x="0" y="0"/>
                <wp:positionH relativeFrom="page">
                  <wp:posOffset>700405</wp:posOffset>
                </wp:positionH>
                <wp:positionV relativeFrom="margin">
                  <wp:posOffset>5681345</wp:posOffset>
                </wp:positionV>
                <wp:extent cx="1054735" cy="149225"/>
                <wp:wrapTopAndBottom/>
                <wp:docPr id="34" name="Shape 3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60" type="#_x0000_t202" style="position:absolute;margin-left:55.149999999999999pt;margin-top:447.35000000000002pt;width:83.049999999999997pt;height:11.75pt;z-index:-125829343;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412" behindDoc="0" locked="0" layoutInCell="1" allowOverlap="1">
                <wp:simplePos x="0" y="0"/>
                <wp:positionH relativeFrom="page">
                  <wp:posOffset>2876550</wp:posOffset>
                </wp:positionH>
                <wp:positionV relativeFrom="margin">
                  <wp:posOffset>5681345</wp:posOffset>
                </wp:positionV>
                <wp:extent cx="1508760" cy="146050"/>
                <wp:wrapTopAndBottom/>
                <wp:docPr id="36" name="Shape 3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62" type="#_x0000_t202" style="position:absolute;margin-left:226.5pt;margin-top:447.35000000000002pt;width:118.8pt;height:11.5pt;z-index:-125829341;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414" behindDoc="0" locked="0" layoutInCell="1" allowOverlap="1">
                <wp:simplePos x="0" y="0"/>
                <wp:positionH relativeFrom="page">
                  <wp:posOffset>5501005</wp:posOffset>
                </wp:positionH>
                <wp:positionV relativeFrom="margin">
                  <wp:posOffset>5681345</wp:posOffset>
                </wp:positionV>
                <wp:extent cx="1286510" cy="149225"/>
                <wp:wrapTopAndBottom/>
                <wp:docPr id="38" name="Shape 3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64" type="#_x0000_t202" style="position:absolute;margin-left:433.15000000000003pt;margin-top:447.35000000000002pt;width:101.3pt;height:11.75pt;z-index:-125829339;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、母公司所有者权益变动表</w:t>
      </w:r>
      <w:bookmarkEnd w:id="729"/>
      <w:bookmarkEnd w:id="730"/>
      <w:bookmarkEnd w:id="73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0"/>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247,684,</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-480,27 0,273.2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-480,27 0,273.2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-349,92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5,814.5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-349,92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5,814.5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-830,19</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6,087.8</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247,684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632,591,42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247,684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632,591,42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-427,603,70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-427,603,70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204,987,72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tabs>
          <w:tab w:pos="3398" w:val="left"/>
          <w:tab w:pos="7541" w:val="left"/>
        </w:tabs>
        <w:bidi w:val="0"/>
        <w:spacing w:before="0" w:after="360" w:line="315" w:lineRule="exact"/>
        <w:ind w:left="0" w:right="0" w:firstLine="0"/>
        <w:jc w:val="left"/>
      </w:pPr>
      <w:r>
        <w:rPr>
          <w:color w:val="000000"/>
          <w:spacing w:val="0"/>
          <w:w w:val="100"/>
          <w:position w:val="0"/>
        </w:rPr>
        <w:t>法定代表人：王永彬</w:t>
        <w:tab/>
        <w:t>主管会计工作负责人：陈道军</w:t>
        <w:tab/>
        <w:t>会计机构负责人：司红娟</w:t>
      </w:r>
    </w:p>
    <w:p>
      <w:pPr>
        <w:pStyle w:val="Style23"/>
        <w:keepNext/>
        <w:keepLines/>
        <w:widowControl w:val="0"/>
        <w:shd w:val="clear" w:color="auto" w:fill="auto"/>
        <w:bidi w:val="0"/>
        <w:spacing w:before="0" w:after="24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三</w:t>
      </w:r>
      <w:bookmarkEnd w:id="735"/>
      <w:r>
        <w:rPr>
          <w:color w:val="000000"/>
          <w:spacing w:val="0"/>
          <w:w w:val="100"/>
          <w:position w:val="0"/>
        </w:rPr>
        <w:t>、公司基本情况</w:t>
      </w:r>
      <w:bookmarkEnd w:id="733"/>
      <w:bookmarkEnd w:id="734"/>
      <w:bookmarkEnd w:id="736"/>
    </w:p>
    <w:p>
      <w:pPr>
        <w:pStyle w:val="Style18"/>
        <w:keepNext w:val="0"/>
        <w:keepLines w:val="0"/>
        <w:widowControl w:val="0"/>
        <w:shd w:val="clear" w:color="auto" w:fill="auto"/>
        <w:tabs>
          <w:tab w:pos="885" w:val="left"/>
        </w:tabs>
        <w:bidi w:val="0"/>
        <w:spacing w:before="0" w:after="0" w:line="315" w:lineRule="exact"/>
        <w:ind w:left="0" w:right="0"/>
        <w:jc w:val="left"/>
      </w:pPr>
      <w:bookmarkStart w:id="737" w:name="bookmark737"/>
      <w:r>
        <w:rPr>
          <w:color w:val="000000"/>
          <w:spacing w:val="0"/>
          <w:w w:val="100"/>
          <w:position w:val="0"/>
        </w:rPr>
        <w:t>（</w:t>
      </w:r>
      <w:bookmarkEnd w:id="737"/>
      <w:r>
        <w:rPr>
          <w:color w:val="000000"/>
          <w:spacing w:val="0"/>
          <w:w w:val="100"/>
          <w:position w:val="0"/>
        </w:rPr>
        <w:t>一）</w:t>
        <w:tab/>
        <w:t>公司概况</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公司名称：深圳亚联发展科技股份有限公司</w:t>
      </w:r>
    </w:p>
    <w:p>
      <w:pPr>
        <w:pStyle w:val="Style18"/>
        <w:keepNext w:val="0"/>
        <w:keepLines w:val="0"/>
        <w:widowControl w:val="0"/>
        <w:shd w:val="clear" w:color="auto" w:fill="auto"/>
        <w:bidi w:val="0"/>
        <w:spacing w:before="0" w:after="0" w:line="315" w:lineRule="exact"/>
        <w:ind w:left="0" w:right="0"/>
        <w:jc w:val="left"/>
        <w:rPr>
          <w:sz w:val="18"/>
          <w:szCs w:val="18"/>
        </w:rPr>
      </w:pPr>
      <w:r>
        <w:rPr>
          <w:color w:val="000000"/>
          <w:spacing w:val="0"/>
          <w:w w:val="100"/>
          <w:position w:val="0"/>
          <w:sz w:val="17"/>
          <w:szCs w:val="17"/>
        </w:rPr>
        <w:t>注册地址：广东省深圳市南山区粤海街道高新区社区科技南一路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号达实大厦</w:t>
      </w:r>
      <w:r>
        <w:rPr>
          <w:rFonts w:ascii="Times New Roman" w:eastAsia="Times New Roman" w:hAnsi="Times New Roman" w:cs="Times New Roman"/>
          <w:color w:val="000000"/>
          <w:spacing w:val="0"/>
          <w:w w:val="100"/>
          <w:position w:val="0"/>
          <w:sz w:val="18"/>
          <w:szCs w:val="18"/>
        </w:rPr>
        <w:t>1902</w:t>
      </w:r>
    </w:p>
    <w:p>
      <w:pPr>
        <w:pStyle w:val="Style18"/>
        <w:keepNext w:val="0"/>
        <w:keepLines w:val="0"/>
        <w:widowControl w:val="0"/>
        <w:shd w:val="clear" w:color="auto" w:fill="auto"/>
        <w:bidi w:val="0"/>
        <w:spacing w:before="0" w:after="0" w:line="315" w:lineRule="exact"/>
        <w:ind w:left="0" w:right="0"/>
        <w:jc w:val="left"/>
        <w:rPr>
          <w:sz w:val="18"/>
          <w:szCs w:val="18"/>
        </w:rPr>
      </w:pPr>
      <w:r>
        <w:rPr>
          <w:color w:val="000000"/>
          <w:spacing w:val="0"/>
          <w:w w:val="100"/>
          <w:position w:val="0"/>
          <w:sz w:val="17"/>
          <w:szCs w:val="17"/>
        </w:rPr>
        <w:t>办公地址：广东省深圳市南山区粤海街道高新区社区科技南一路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号达实大厦</w:t>
      </w:r>
      <w:r>
        <w:rPr>
          <w:rFonts w:ascii="Times New Roman" w:eastAsia="Times New Roman" w:hAnsi="Times New Roman" w:cs="Times New Roman"/>
          <w:color w:val="000000"/>
          <w:spacing w:val="0"/>
          <w:w w:val="100"/>
          <w:position w:val="0"/>
          <w:sz w:val="18"/>
          <w:szCs w:val="18"/>
        </w:rPr>
        <w:t>1902</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sz w:val="18"/>
          <w:szCs w:val="18"/>
        </w:rPr>
        <w:t>39,312</w:t>
      </w:r>
      <w:r>
        <w:rPr>
          <w:color w:val="000000"/>
          <w:spacing w:val="0"/>
          <w:w w:val="100"/>
          <w:position w:val="0"/>
        </w:rPr>
        <w:t>万元</w:t>
      </w:r>
    </w:p>
    <w:p>
      <w:pPr>
        <w:pStyle w:val="Style20"/>
        <w:keepNext w:val="0"/>
        <w:keepLines w:val="0"/>
        <w:widowControl w:val="0"/>
        <w:shd w:val="clear" w:color="auto" w:fill="auto"/>
        <w:bidi w:val="0"/>
        <w:spacing w:before="0" w:after="0" w:line="315" w:lineRule="exact"/>
        <w:ind w:left="0" w:right="0"/>
        <w:jc w:val="left"/>
        <w:rPr>
          <w:sz w:val="18"/>
          <w:szCs w:val="18"/>
        </w:rPr>
      </w:pPr>
      <w:r>
        <w:rPr>
          <w:color w:val="000000"/>
          <w:spacing w:val="0"/>
          <w:w w:val="100"/>
          <w:position w:val="0"/>
          <w:sz w:val="17"/>
          <w:szCs w:val="17"/>
        </w:rPr>
        <w:t>社会统一信用代码：</w:t>
      </w:r>
      <w:r>
        <w:rPr>
          <w:rFonts w:ascii="Times New Roman" w:eastAsia="Times New Roman" w:hAnsi="Times New Roman" w:cs="Times New Roman"/>
          <w:color w:val="000000"/>
          <w:spacing w:val="0"/>
          <w:w w:val="100"/>
          <w:position w:val="0"/>
          <w:sz w:val="18"/>
          <w:szCs w:val="18"/>
        </w:rPr>
        <w:t>91440300708474420M</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法定代表人：王永彬</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经营期限：永续经营</w:t>
      </w:r>
    </w:p>
    <w:p>
      <w:pPr>
        <w:pStyle w:val="Style18"/>
        <w:keepNext w:val="0"/>
        <w:keepLines w:val="0"/>
        <w:widowControl w:val="0"/>
        <w:shd w:val="clear" w:color="auto" w:fill="auto"/>
        <w:tabs>
          <w:tab w:pos="885" w:val="left"/>
        </w:tabs>
        <w:bidi w:val="0"/>
        <w:spacing w:before="0" w:after="0" w:line="315" w:lineRule="exact"/>
        <w:ind w:left="0" w:right="0"/>
        <w:jc w:val="left"/>
      </w:pPr>
      <w:bookmarkStart w:id="738" w:name="bookmark738"/>
      <w:r>
        <w:rPr>
          <w:color w:val="000000"/>
          <w:spacing w:val="0"/>
          <w:w w:val="100"/>
          <w:position w:val="0"/>
        </w:rPr>
        <w:t>（</w:t>
      </w:r>
      <w:bookmarkEnd w:id="738"/>
      <w:r>
        <w:rPr>
          <w:color w:val="000000"/>
          <w:spacing w:val="0"/>
          <w:w w:val="100"/>
          <w:position w:val="0"/>
        </w:rPr>
        <w:t>二）</w:t>
        <w:tab/>
        <w:t>经营范围及主营业务</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经营范围：生产经营光通信设备、无线通信多媒体系统设备及终端、接入网通信系统设备、交通信息设备、机电设备、 矿用通讯设备、射频识别系统及配套产品，通信设备的（传输网产品、数据通信产品）开发、销售、技术服务，从事信息和 通信系统网络技术研究开发，计算机应用软件开发，货物及技术进出口（不含进口分销及国家专营专控商品），自有物业租 赁，通信智能信号灯杆、通信智能信号塔的钢结构工程施工（获得相关部门许可及相应资质方可经营）。（以上项目不涉及 外商投资准入特别管理措施）。</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主营业务：公司智慧经营领域主要从事第三方支付业务及商户经营服务业务；智慧专网领域主要为电力、交通等行业提 供信息通信技术解决方案。</w:t>
      </w:r>
    </w:p>
    <w:p>
      <w:pPr>
        <w:pStyle w:val="Style18"/>
        <w:keepNext w:val="0"/>
        <w:keepLines w:val="0"/>
        <w:widowControl w:val="0"/>
        <w:shd w:val="clear" w:color="auto" w:fill="auto"/>
        <w:tabs>
          <w:tab w:pos="885" w:val="left"/>
        </w:tabs>
        <w:bidi w:val="0"/>
        <w:spacing w:before="0" w:after="0" w:line="315" w:lineRule="exact"/>
        <w:ind w:left="0" w:right="0"/>
        <w:jc w:val="left"/>
      </w:pPr>
      <w:bookmarkStart w:id="739" w:name="bookmark739"/>
      <w:r>
        <w:rPr>
          <w:color w:val="000000"/>
          <w:spacing w:val="0"/>
          <w:w w:val="100"/>
          <w:position w:val="0"/>
        </w:rPr>
        <w:t>（</w:t>
      </w:r>
      <w:bookmarkEnd w:id="739"/>
      <w:r>
        <w:rPr>
          <w:color w:val="000000"/>
          <w:spacing w:val="0"/>
          <w:w w:val="100"/>
          <w:position w:val="0"/>
        </w:rPr>
        <w:t>三）</w:t>
        <w:tab/>
        <w:t>公司历史沿革及设立情况</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公司原名为键桥通讯技术（深圳）有限公司（以下简称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），经深圳市人民政府外经贸粤深外资证字 </w:t>
      </w:r>
      <w:r>
        <w:rPr>
          <w:rFonts w:ascii="Times New Roman" w:eastAsia="Times New Roman" w:hAnsi="Times New Roman" w:cs="Times New Roman"/>
          <w:color w:val="000000"/>
          <w:spacing w:val="0"/>
          <w:w w:val="100"/>
          <w:position w:val="0"/>
          <w:sz w:val="18"/>
          <w:szCs w:val="18"/>
        </w:rPr>
        <w:t>[1999]0020</w:t>
      </w:r>
      <w:r>
        <w:rPr>
          <w:color w:val="000000"/>
          <w:spacing w:val="0"/>
          <w:w w:val="100"/>
          <w:position w:val="0"/>
        </w:rPr>
        <w:t>号中华人民共和国台港澳侨投资企业批准证书及深圳市外商投资局深外资复</w:t>
      </w:r>
      <w:r>
        <w:rPr>
          <w:rFonts w:ascii="Times New Roman" w:eastAsia="Times New Roman" w:hAnsi="Times New Roman" w:cs="Times New Roman"/>
          <w:color w:val="000000"/>
          <w:spacing w:val="0"/>
          <w:w w:val="100"/>
          <w:position w:val="0"/>
          <w:sz w:val="18"/>
          <w:szCs w:val="18"/>
        </w:rPr>
        <w:t>[1999]0034</w:t>
      </w:r>
      <w:r>
        <w:rPr>
          <w:color w:val="000000"/>
          <w:spacing w:val="0"/>
          <w:w w:val="100"/>
          <w:position w:val="0"/>
        </w:rPr>
        <w:t>号文件批准成立。由键桥 通讯技术有限公司出资组建，初始投资现金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万美元，于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日取得深圳市工商行政管理局企独粤深总第</w:t>
      </w:r>
      <w:r>
        <w:rPr>
          <w:rFonts w:ascii="Times New Roman" w:eastAsia="Times New Roman" w:hAnsi="Times New Roman" w:cs="Times New Roman"/>
          <w:color w:val="000000"/>
          <w:spacing w:val="0"/>
          <w:w w:val="100"/>
          <w:position w:val="0"/>
          <w:sz w:val="18"/>
          <w:szCs w:val="18"/>
        </w:rPr>
        <w:t>306270</w:t>
      </w:r>
      <w:r>
        <w:rPr>
          <w:color w:val="000000"/>
          <w:spacing w:val="0"/>
          <w:w w:val="100"/>
          <w:position w:val="0"/>
        </w:rPr>
        <w:t>号企 业法人营业执照。</w:t>
      </w:r>
    </w:p>
    <w:p>
      <w:pPr>
        <w:pStyle w:val="Style1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月公司名称变更为深圳键桥通讯技术有限公司，其后经过多次增资和股权转让。</w:t>
      </w:r>
    </w:p>
    <w:p>
      <w:pPr>
        <w:pStyle w:val="Style1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日，根据公司章程、中华人民共和国商务部商资批</w:t>
      </w:r>
      <w:r>
        <w:rPr>
          <w:rFonts w:ascii="Times New Roman" w:eastAsia="Times New Roman" w:hAnsi="Times New Roman" w:cs="Times New Roman"/>
          <w:color w:val="000000"/>
          <w:spacing w:val="0"/>
          <w:w w:val="100"/>
          <w:position w:val="0"/>
          <w:sz w:val="18"/>
          <w:szCs w:val="18"/>
        </w:rPr>
        <w:t>[2006]2476</w:t>
      </w:r>
      <w:r>
        <w:rPr>
          <w:color w:val="000000"/>
          <w:spacing w:val="0"/>
          <w:w w:val="100"/>
          <w:position w:val="0"/>
        </w:rPr>
        <w:t>号及深圳市贸易工业局深贸工资复</w:t>
      </w:r>
      <w:r>
        <w:rPr>
          <w:rFonts w:ascii="Times New Roman" w:eastAsia="Times New Roman" w:hAnsi="Times New Roman" w:cs="Times New Roman"/>
          <w:color w:val="000000"/>
          <w:spacing w:val="0"/>
          <w:w w:val="100"/>
          <w:position w:val="0"/>
          <w:sz w:val="18"/>
          <w:szCs w:val="18"/>
        </w:rPr>
        <w:t xml:space="preserve">[2006]2766 </w:t>
      </w:r>
      <w:r>
        <w:rPr>
          <w:color w:val="000000"/>
          <w:spacing w:val="0"/>
          <w:w w:val="100"/>
          <w:position w:val="0"/>
        </w:rPr>
        <w:t>号批复的规定，公司以变更设立的方式由原深圳键桥通讯技术有限公司变更为深圳键桥通讯技术股份有限公司，申请登记的 注册资本为人民币</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元，以净资产出资</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元，并已于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日完成相关股本验证和工商信息变 更手续。</w:t>
      </w:r>
    </w:p>
    <w:p>
      <w:pPr>
        <w:pStyle w:val="Style1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日，公司企业法人营业执照注册号变更为</w:t>
      </w:r>
      <w:r>
        <w:rPr>
          <w:rFonts w:ascii="Times New Roman" w:eastAsia="Times New Roman" w:hAnsi="Times New Roman" w:cs="Times New Roman"/>
          <w:color w:val="000000"/>
          <w:spacing w:val="0"/>
          <w:w w:val="100"/>
          <w:position w:val="0"/>
          <w:sz w:val="18"/>
          <w:szCs w:val="18"/>
        </w:rPr>
        <w:t>440301501122077</w:t>
      </w:r>
      <w:r>
        <w:rPr>
          <w:color w:val="000000"/>
          <w:spacing w:val="0"/>
          <w:w w:val="100"/>
          <w:position w:val="0"/>
        </w:rPr>
        <w:t>,并已取得变更后的企业法人营业执照。</w:t>
      </w:r>
    </w:p>
    <w:p>
      <w:pPr>
        <w:pStyle w:val="Style1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sz w:val="18"/>
          <w:szCs w:val="18"/>
        </w:rPr>
        <w:t>[2009]1176</w:t>
      </w:r>
      <w:r>
        <w:rPr>
          <w:color w:val="000000"/>
          <w:spacing w:val="0"/>
          <w:w w:val="100"/>
          <w:position w:val="0"/>
        </w:rPr>
        <w:t>号文《关于核准深圳键桥通讯技术股份有限公司首次 公开发行股票的批复》核准公司向社会公开发行人民币普通股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在深圳证券交易所定价发行，</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日挂牌交易，新股发行成功后公司股本为</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元，此次增资公司于</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[2009]1157</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日办理工商信 息变更手续。</w:t>
      </w:r>
    </w:p>
    <w:p>
      <w:pPr>
        <w:pStyle w:val="Style1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日，根据公司股东大会通过的《关于公司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年度利润分配方案》以及修改后的章程规定，公司增加注册 资本人民币</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 xml:space="preserve">股，每股面值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156,000,000.00</w:t>
      </w:r>
      <w:r>
        <w:rPr>
          <w:color w:val="000000"/>
          <w:spacing w:val="0"/>
          <w:w w:val="100"/>
          <w:position w:val="0"/>
        </w:rPr>
        <w:t>元，此次增资 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[2010]2172</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日办 理工商信息变更手续。</w:t>
      </w:r>
    </w:p>
    <w:p>
      <w:pPr>
        <w:pStyle w:val="Style18"/>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年度利润分配及资本公积转增股本预案》以及修改后的章程规定， </w:t>
      </w:r>
      <w:r>
        <w:rPr>
          <w:color w:val="000000"/>
          <w:spacing w:val="0"/>
          <w:w w:val="100"/>
          <w:position w:val="0"/>
        </w:rPr>
        <w:t>公司增加注册资本人民币</w:t>
      </w:r>
      <w:r>
        <w:rPr>
          <w:rFonts w:ascii="Times New Roman" w:eastAsia="Times New Roman" w:hAnsi="Times New Roman" w:cs="Times New Roman"/>
          <w:color w:val="000000"/>
          <w:spacing w:val="0"/>
          <w:w w:val="100"/>
          <w:position w:val="0"/>
          <w:sz w:val="18"/>
          <w:szCs w:val="18"/>
        </w:rPr>
        <w:t>62,400,000.00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18"/>
          <w:szCs w:val="18"/>
        </w:rPr>
        <w:t xml:space="preserve">62,400,000.00 </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62,400,000.00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 xml:space="preserve">218,400,000.00 </w:t>
      </w:r>
      <w:r>
        <w:rPr>
          <w:color w:val="000000"/>
          <w:spacing w:val="0"/>
          <w:w w:val="100"/>
          <w:position w:val="0"/>
        </w:rPr>
        <w:t>元，此次增资公司于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[2011]1493</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日办理工商信息变更手续。</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年度利润分配及资本公积金转增股本预案》以及修改后的章程规 定，公司增加注册资本人民币</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股的比例，以资本公积向全体股东转增股份总额 </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日，变更后注册资本为人民 币</w:t>
      </w:r>
      <w:r>
        <w:rPr>
          <w:rFonts w:ascii="Times New Roman" w:eastAsia="Times New Roman" w:hAnsi="Times New Roman" w:cs="Times New Roman"/>
          <w:color w:val="000000"/>
          <w:spacing w:val="0"/>
          <w:w w:val="100"/>
          <w:position w:val="0"/>
          <w:sz w:val="18"/>
          <w:szCs w:val="18"/>
        </w:rPr>
        <w:t>327,600,000.00</w:t>
      </w:r>
      <w:r>
        <w:rPr>
          <w:color w:val="000000"/>
          <w:spacing w:val="0"/>
          <w:w w:val="100"/>
          <w:position w:val="0"/>
        </w:rPr>
        <w:t>元，此次增资于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日取得深圳市经济贸易和信息化委员会深经贸信息资质</w:t>
      </w:r>
      <w:r>
        <w:rPr>
          <w:rFonts w:ascii="Times New Roman" w:eastAsia="Times New Roman" w:hAnsi="Times New Roman" w:cs="Times New Roman"/>
          <w:color w:val="000000"/>
          <w:spacing w:val="0"/>
          <w:w w:val="100"/>
          <w:position w:val="0"/>
          <w:sz w:val="18"/>
          <w:szCs w:val="18"/>
        </w:rPr>
        <w:t>[2012]I900</w:t>
      </w:r>
      <w:r>
        <w:rPr>
          <w:color w:val="000000"/>
          <w:spacing w:val="0"/>
          <w:w w:val="100"/>
          <w:position w:val="0"/>
        </w:rPr>
        <w:t>号文件批 准，并已于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日办理工商信息变更手续。</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年度利润分配及资本公积金转增股本预案》以及修改后的章程规 定，公司增加注册资本人民币</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股的比例，以资本公积向全体股东转增股份总额 </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日，变更后注册资本为人民币 </w:t>
      </w:r>
      <w:r>
        <w:rPr>
          <w:rFonts w:ascii="Times New Roman" w:eastAsia="Times New Roman" w:hAnsi="Times New Roman" w:cs="Times New Roman"/>
          <w:color w:val="000000"/>
          <w:spacing w:val="0"/>
          <w:w w:val="100"/>
          <w:position w:val="0"/>
          <w:sz w:val="18"/>
          <w:szCs w:val="18"/>
        </w:rPr>
        <w:t>393,120,000.00</w:t>
      </w:r>
      <w:r>
        <w:rPr>
          <w:color w:val="000000"/>
          <w:spacing w:val="0"/>
          <w:w w:val="100"/>
          <w:position w:val="0"/>
        </w:rPr>
        <w:t>元，此次增资于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日取得深圳市经济贸易和信息化委员会深经贸信息资质</w:t>
      </w:r>
      <w:r>
        <w:rPr>
          <w:rFonts w:ascii="Times New Roman" w:eastAsia="Times New Roman" w:hAnsi="Times New Roman" w:cs="Times New Roman"/>
          <w:color w:val="000000"/>
          <w:spacing w:val="0"/>
          <w:w w:val="100"/>
          <w:position w:val="0"/>
          <w:sz w:val="18"/>
          <w:szCs w:val="18"/>
        </w:rPr>
        <w:t>[2013]1108</w:t>
      </w:r>
      <w:r>
        <w:rPr>
          <w:color w:val="000000"/>
          <w:spacing w:val="0"/>
          <w:w w:val="100"/>
          <w:position w:val="0"/>
        </w:rPr>
        <w:t>号文件批准， 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日办理工商信息变更手续。</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日键桥通讯技术有限公司持有公司</w:t>
      </w:r>
      <w:r>
        <w:rPr>
          <w:rFonts w:ascii="Times New Roman" w:eastAsia="Times New Roman" w:hAnsi="Times New Roman" w:cs="Times New Roman"/>
          <w:color w:val="000000"/>
          <w:spacing w:val="0"/>
          <w:w w:val="100"/>
          <w:position w:val="0"/>
          <w:sz w:val="18"/>
          <w:szCs w:val="18"/>
        </w:rPr>
        <w:t>15033.89</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sz w:val="18"/>
          <w:szCs w:val="18"/>
        </w:rPr>
        <w:t>38.2425%</w:t>
      </w:r>
      <w:r>
        <w:rPr>
          <w:color w:val="000000"/>
          <w:spacing w:val="0"/>
          <w:w w:val="100"/>
          <w:position w:val="0"/>
        </w:rPr>
        <w:t>，叶琼、</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 冰）和</w:t>
      </w:r>
      <w:r>
        <w:rPr>
          <w:rFonts w:ascii="Times New Roman" w:eastAsia="Times New Roman" w:hAnsi="Times New Roman" w:cs="Times New Roman"/>
          <w:color w:val="000000"/>
          <w:spacing w:val="0"/>
          <w:w w:val="100"/>
          <w:position w:val="0"/>
          <w:sz w:val="18"/>
          <w:szCs w:val="18"/>
        </w:rPr>
        <w:t xml:space="preserve">David Xun Ge </w:t>
      </w:r>
      <w:r>
        <w:rPr>
          <w:color w:val="000000"/>
          <w:spacing w:val="0"/>
          <w:w w:val="100"/>
          <w:position w:val="0"/>
        </w:rPr>
        <w:t>（葛迅）是键桥通讯技术有限公司实际控制人，因此叶琼、</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（叶冰）和</w:t>
      </w:r>
      <w:r>
        <w:rPr>
          <w:rFonts w:ascii="Times New Roman" w:eastAsia="Times New Roman" w:hAnsi="Times New Roman" w:cs="Times New Roman"/>
          <w:color w:val="000000"/>
          <w:spacing w:val="0"/>
          <w:w w:val="100"/>
          <w:position w:val="0"/>
          <w:sz w:val="18"/>
          <w:szCs w:val="18"/>
        </w:rPr>
        <w:t xml:space="preserve">David Xun Ge </w:t>
      </w:r>
      <w:r>
        <w:rPr>
          <w:color w:val="000000"/>
          <w:spacing w:val="0"/>
          <w:w w:val="100"/>
          <w:position w:val="0"/>
        </w:rPr>
        <w:t>（葛迅） 为公司的实际控制人。</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日，键桥通讯技术有限公司（以下简称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香港键桥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）与嘉兴乾德精一投资合伙企业（有限合伙）（以下简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乾德精一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）签署了《股份转让协议》，乾德精一协议受让香港键桥持有的公司无限售流通股</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中国证券登记结算有限责任公司深圳分公司出具了《过户登记确认书》，本次股份转让已完成过户登记手续。本次股份过户 登记手续完成后，乾德精一持有公司</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万股，占公司总数的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，成为公司第一大股东；香港键桥持有公司股份</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 xml:space="preserve">,233.89 </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sz w:val="18"/>
          <w:szCs w:val="18"/>
        </w:rPr>
        <w:t>18.40%</w:t>
      </w:r>
      <w:r>
        <w:rPr>
          <w:color w:val="000000"/>
          <w:spacing w:val="0"/>
          <w:w w:val="100"/>
          <w:position w:val="0"/>
        </w:rPr>
        <w:t>，为公司第二大股东。</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日接到香港键桥的通知，香港键桥与黄喜胜于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日签署了《股份转让框架协议》，拟协议 转让其持有的公司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股股份；香港键桥与王雁铭于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日签署了《股份转让框架协议》，拟协议转让其持有 的公司</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股股份。香港键桥分别与黄喜胜、王雁铭签署了《键桥通讯技术有限公司与黄喜胜关于深圳键桥通讯技术 股份有限公司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 xml:space="preserve">股股份之股份转让协议》、《键桥通讯技术有限公司与王雁铭关于深圳键桥通讯技术股份有限公司 </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股股份之股份转让协议》，并向中华人民共和国广东省深圳市福田公证处（以下简称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福田公证处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）申请办理了 股份转让协议公证，于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日收到福田公证处出具的（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）深福证字第</w:t>
      </w:r>
      <w:r>
        <w:rPr>
          <w:rFonts w:ascii="Times New Roman" w:eastAsia="Times New Roman" w:hAnsi="Times New Roman" w:cs="Times New Roman"/>
          <w:color w:val="000000"/>
          <w:spacing w:val="0"/>
          <w:w w:val="100"/>
          <w:position w:val="0"/>
          <w:sz w:val="18"/>
          <w:szCs w:val="18"/>
        </w:rPr>
        <w:t>50511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）深福证字第</w:t>
      </w:r>
      <w:r>
        <w:rPr>
          <w:rFonts w:ascii="Times New Roman" w:eastAsia="Times New Roman" w:hAnsi="Times New Roman" w:cs="Times New Roman"/>
          <w:color w:val="000000"/>
          <w:spacing w:val="0"/>
          <w:w w:val="100"/>
          <w:position w:val="0"/>
          <w:sz w:val="18"/>
          <w:szCs w:val="18"/>
        </w:rPr>
        <w:t>50512</w:t>
      </w:r>
      <w:r>
        <w:rPr>
          <w:color w:val="000000"/>
          <w:spacing w:val="0"/>
          <w:w w:val="100"/>
          <w:position w:val="0"/>
        </w:rPr>
        <w:t>号《公 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日，中国证券登记结算有限责任公司出具了《证券过户登记确认书》，本次股份转让已完成过户登记 手续的办理，本次股份过户登记手续完成后，香港键桥持有公司</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 xml:space="preserve">6.10% </w:t>
      </w:r>
      <w:r>
        <w:rPr>
          <w:color w:val="000000"/>
          <w:spacing w:val="0"/>
          <w:w w:val="100"/>
          <w:position w:val="0"/>
        </w:rPr>
        <w:t>；黄喜胜持有 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7.30%</w:t>
      </w:r>
      <w:r>
        <w:rPr>
          <w:color w:val="000000"/>
          <w:spacing w:val="0"/>
          <w:w w:val="100"/>
          <w:position w:val="0"/>
        </w:rPr>
        <w:t>；王雁铭持有公司</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年度股东大会审议通过了《关于拟变更公司名称、证券简称的议案》，公司名称由深圳键桥 通讯技术股份有限公司变更为深圳亚联发展科技股份有限公司（以下简称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亚联发展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），并办理工商变更手续。</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日接到公司董事长、总经理王永彬先生的通知，王永彬先生与许华强先生、李天水先生于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日分别签署了《许华强与王永彬之关于百锦有限公司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BAIJIN LIMITED</w:t>
      </w:r>
      <w:r>
        <w:rPr>
          <w:color w:val="000000"/>
          <w:spacing w:val="0"/>
          <w:w w:val="100"/>
          <w:position w:val="0"/>
        </w:rPr>
        <w:t>）</w:t>
      </w:r>
      <w:r>
        <w:rPr>
          <w:color w:val="000000"/>
          <w:spacing w:val="0"/>
          <w:w w:val="100"/>
          <w:position w:val="0"/>
        </w:rPr>
        <w:t>的股份转让及购买协议》、《李天水与王永彬 之关于俊贤有限公司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WITSAGE LIMITED</w:t>
      </w:r>
      <w:r>
        <w:rPr>
          <w:color w:val="000000"/>
          <w:spacing w:val="0"/>
          <w:w w:val="100"/>
          <w:position w:val="0"/>
        </w:rPr>
        <w:t>）</w:t>
      </w:r>
      <w:r>
        <w:rPr>
          <w:color w:val="000000"/>
          <w:spacing w:val="0"/>
          <w:w w:val="100"/>
          <w:position w:val="0"/>
        </w:rPr>
        <w:t>的股份转让及购买协议》，王永彬先生分别受让许华强、李天水持有的百锦公 司及俊贤公司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股份。相关股份转让登记手续已于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日办理完毕。键桥通讯技术有限公司（以下简称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香港键 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）持有亚联发展</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股股份，占亚联发展总股本的</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 xml:space="preserve">，为公司第三大股东。本次权益变动前，许华强先生通过 </w:t>
      </w:r>
      <w:r>
        <w:rPr>
          <w:rFonts w:ascii="Times New Roman" w:eastAsia="Times New Roman" w:hAnsi="Times New Roman" w:cs="Times New Roman"/>
          <w:color w:val="000000"/>
          <w:spacing w:val="0"/>
          <w:w w:val="100"/>
          <w:position w:val="0"/>
          <w:sz w:val="18"/>
          <w:szCs w:val="18"/>
        </w:rPr>
        <w:t xml:space="preserve">BAIJIN LIMITED </w:t>
      </w:r>
      <w:r>
        <w:rPr>
          <w:color w:val="000000"/>
          <w:spacing w:val="0"/>
          <w:w w:val="100"/>
          <w:position w:val="0"/>
        </w:rPr>
        <w:t>（百锦有限公司，以下简称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百锦公司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CELESTIAL TYCOON LIMITED </w:t>
      </w:r>
      <w:r>
        <w:rPr>
          <w:color w:val="000000"/>
          <w:spacing w:val="0"/>
          <w:w w:val="100"/>
          <w:position w:val="0"/>
        </w:rPr>
        <w:t>（天亨有限公司，以下简称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 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）间接持有香港键桥</w:t>
      </w:r>
      <w:r>
        <w:rPr>
          <w:rFonts w:ascii="Times New Roman" w:eastAsia="Times New Roman" w:hAnsi="Times New Roman" w:cs="Times New Roman"/>
          <w:color w:val="000000"/>
          <w:spacing w:val="0"/>
          <w:w w:val="100"/>
          <w:position w:val="0"/>
          <w:sz w:val="18"/>
          <w:szCs w:val="18"/>
        </w:rPr>
        <w:t>74.06%</w:t>
      </w:r>
      <w:r>
        <w:rPr>
          <w:color w:val="000000"/>
          <w:spacing w:val="0"/>
          <w:w w:val="100"/>
          <w:position w:val="0"/>
        </w:rPr>
        <w:t>股份，间接持有亚联发展</w:t>
      </w:r>
      <w:r>
        <w:rPr>
          <w:rFonts w:ascii="Times New Roman" w:eastAsia="Times New Roman" w:hAnsi="Times New Roman" w:cs="Times New Roman"/>
          <w:color w:val="000000"/>
          <w:spacing w:val="0"/>
          <w:w w:val="100"/>
          <w:position w:val="0"/>
          <w:sz w:val="18"/>
          <w:szCs w:val="18"/>
        </w:rPr>
        <w:t>4.52%</w:t>
      </w:r>
      <w:r>
        <w:rPr>
          <w:color w:val="000000"/>
          <w:spacing w:val="0"/>
          <w:w w:val="100"/>
          <w:position w:val="0"/>
        </w:rPr>
        <w:t>股份，李天水先生通过</w:t>
      </w:r>
      <w:r>
        <w:rPr>
          <w:rFonts w:ascii="Times New Roman" w:eastAsia="Times New Roman" w:hAnsi="Times New Roman" w:cs="Times New Roman"/>
          <w:color w:val="000000"/>
          <w:spacing w:val="0"/>
          <w:w w:val="100"/>
          <w:position w:val="0"/>
          <w:sz w:val="18"/>
          <w:szCs w:val="18"/>
        </w:rPr>
        <w:t xml:space="preserve">WITSAGE LIMITED </w:t>
      </w:r>
      <w:r>
        <w:rPr>
          <w:color w:val="000000"/>
          <w:spacing w:val="0"/>
          <w:w w:val="100"/>
          <w:position w:val="0"/>
        </w:rPr>
        <w:t>（俊贤有限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俊贤公司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）及天亨公司间接持有香港键桥</w:t>
      </w:r>
      <w:r>
        <w:rPr>
          <w:rFonts w:ascii="Times New Roman" w:eastAsia="Times New Roman" w:hAnsi="Times New Roman" w:cs="Times New Roman"/>
          <w:color w:val="000000"/>
          <w:spacing w:val="0"/>
          <w:w w:val="100"/>
          <w:position w:val="0"/>
          <w:sz w:val="18"/>
          <w:szCs w:val="18"/>
        </w:rPr>
        <w:t>25.94%</w:t>
      </w:r>
      <w:r>
        <w:rPr>
          <w:color w:val="000000"/>
          <w:spacing w:val="0"/>
          <w:w w:val="100"/>
          <w:position w:val="0"/>
        </w:rPr>
        <w:t>股份，间接持有亚联发展</w:t>
      </w: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股份。本次权益变动完成 后，王永彬先生通过百锦公司、俊贤公司及天亨公司间接持有香港键桥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股份，间接持有亚联发展</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股份。</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日接到公司股东乾德精一的通知，乾德精一的普通合伙人、执行事务合伙人由深圳精一投资管理有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深圳精一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）变更为深圳精一及深圳亿铭投资管理有限公司（以下简称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深圳亿铭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）。本次乾德精一的合 </w:t>
      </w:r>
      <w:r>
        <w:rPr>
          <w:color w:val="000000"/>
          <w:spacing w:val="0"/>
          <w:w w:val="100"/>
          <w:position w:val="0"/>
        </w:rPr>
        <w:t>伙人及其认缴出资比例变更后，深圳精一及深圳亿铭为乾德精一的普通合伙人、执行事务合伙人，刘辉女士分别持有深圳精 一及深圳亿铭</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股权，为深圳精一及深圳亿铭的控股股东、乾德精一的实际控制人。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公司股东乾德精一持有的亚联发展</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日在西安市中级人民法院京东网司法 拍卖网络平台上进行公开拍卖活动永利发展以最高应价竞得乾德精一持有的亚联发展</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 xml:space="preserve">万股股票，拍卖成交价为人民币 </w:t>
      </w:r>
      <w:r>
        <w:rPr>
          <w:rFonts w:ascii="Times New Roman" w:eastAsia="Times New Roman" w:hAnsi="Times New Roman" w:cs="Times New Roman"/>
          <w:color w:val="000000"/>
          <w:spacing w:val="0"/>
          <w:w w:val="100"/>
          <w:position w:val="0"/>
          <w:sz w:val="18"/>
          <w:szCs w:val="18"/>
        </w:rPr>
        <w:t>405,157,200.00</w:t>
      </w:r>
      <w:r>
        <w:rPr>
          <w:color w:val="000000"/>
          <w:spacing w:val="0"/>
          <w:w w:val="100"/>
          <w:position w:val="0"/>
        </w:rPr>
        <w:t>元（肆亿零伍佰壹拾伍万柒仟贰佰圆整）。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日，永利发展收到法院出具的《执行裁定书》。本次 权益变动后，乾德精一及其一致行动人合计持有公司</w:t>
      </w:r>
      <w:r>
        <w:rPr>
          <w:rFonts w:ascii="Times New Roman" w:eastAsia="Times New Roman" w:hAnsi="Times New Roman" w:cs="Times New Roman"/>
          <w:color w:val="000000"/>
          <w:spacing w:val="0"/>
          <w:w w:val="100"/>
          <w:position w:val="0"/>
          <w:sz w:val="18"/>
          <w:szCs w:val="18"/>
        </w:rPr>
        <w:t>3,518.1077</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8.9492%</w:t>
      </w:r>
      <w:r>
        <w:rPr>
          <w:color w:val="000000"/>
          <w:spacing w:val="0"/>
          <w:w w:val="100"/>
          <w:position w:val="0"/>
        </w:rPr>
        <w:t>。王永彬先生控制的永 利发展及其一致行动人香港键桥合计持有公司</w:t>
      </w:r>
      <w:r>
        <w:rPr>
          <w:rFonts w:ascii="Times New Roman" w:eastAsia="Times New Roman" w:hAnsi="Times New Roman" w:cs="Times New Roman"/>
          <w:color w:val="000000"/>
          <w:spacing w:val="0"/>
          <w:w w:val="100"/>
          <w:position w:val="0"/>
          <w:sz w:val="18"/>
          <w:szCs w:val="18"/>
        </w:rPr>
        <w:t>7,625.0806</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19.3963%</w:t>
      </w:r>
      <w:r>
        <w:rPr>
          <w:color w:val="000000"/>
          <w:spacing w:val="0"/>
          <w:w w:val="100"/>
          <w:position w:val="0"/>
        </w:rPr>
        <w:t>，其中永利发展持有公司</w:t>
      </w:r>
      <w:r>
        <w:rPr>
          <w:rFonts w:ascii="Times New Roman" w:eastAsia="Times New Roman" w:hAnsi="Times New Roman" w:cs="Times New Roman"/>
          <w:color w:val="000000"/>
          <w:spacing w:val="0"/>
          <w:w w:val="100"/>
          <w:position w:val="0"/>
          <w:sz w:val="18"/>
          <w:szCs w:val="18"/>
        </w:rPr>
        <w:t xml:space="preserve">5,226 </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13.2937%</w:t>
      </w:r>
      <w:r>
        <w:rPr>
          <w:color w:val="000000"/>
          <w:spacing w:val="0"/>
          <w:w w:val="100"/>
          <w:position w:val="0"/>
        </w:rPr>
        <w:t>，其一致行动人香港键桥持有公司</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6.1027%</w:t>
      </w:r>
      <w:r>
        <w:rPr>
          <w:color w:val="000000"/>
          <w:spacing w:val="0"/>
          <w:w w:val="100"/>
          <w:position w:val="0"/>
        </w:rPr>
        <w:t>。永 利发展成为公司控股股东，王永彬先生成为公司实际控制人。</w:t>
      </w:r>
    </w:p>
    <w:p>
      <w:pPr>
        <w:pStyle w:val="Style18"/>
        <w:keepNext w:val="0"/>
        <w:keepLines w:val="0"/>
        <w:widowControl w:val="0"/>
        <w:shd w:val="clear" w:color="auto" w:fill="auto"/>
        <w:tabs>
          <w:tab w:pos="872" w:val="left"/>
        </w:tabs>
        <w:bidi w:val="0"/>
        <w:spacing w:before="0" w:after="0" w:line="313" w:lineRule="exact"/>
        <w:ind w:left="0" w:right="0"/>
        <w:jc w:val="both"/>
      </w:pPr>
      <w:bookmarkStart w:id="740" w:name="bookmark740"/>
      <w:r>
        <w:rPr>
          <w:color w:val="000000"/>
          <w:spacing w:val="0"/>
          <w:w w:val="100"/>
          <w:position w:val="0"/>
        </w:rPr>
        <w:t>（</w:t>
      </w:r>
      <w:bookmarkEnd w:id="740"/>
      <w:r>
        <w:rPr>
          <w:color w:val="000000"/>
          <w:spacing w:val="0"/>
          <w:w w:val="100"/>
          <w:position w:val="0"/>
        </w:rPr>
        <w:t>四）</w:t>
        <w:tab/>
        <w:t>公司的基本组织架构</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本公司依法建立了股东大会、董事会、监事会，制定了《股东大会议事规则》、《董事会议事规则》、《监事会议事规 则》、《总经理工作细则》和《独立董事工作制度》等。公司董事会聘任了总经理、副总经理、财务总监及董事会秘书，并 根据生产经营需要分别设置了研发中心、资质管理部、市场部、运营管理部、财务部、人力资源部、总裁办、董事会秘书处、 内部审计部等职能管理部门中心。</w:t>
      </w:r>
    </w:p>
    <w:p>
      <w:pPr>
        <w:pStyle w:val="Style18"/>
        <w:keepNext w:val="0"/>
        <w:keepLines w:val="0"/>
        <w:widowControl w:val="0"/>
        <w:shd w:val="clear" w:color="auto" w:fill="auto"/>
        <w:tabs>
          <w:tab w:pos="872" w:val="left"/>
        </w:tabs>
        <w:bidi w:val="0"/>
        <w:spacing w:before="0" w:after="0" w:line="313" w:lineRule="exact"/>
        <w:ind w:left="0" w:right="0"/>
        <w:jc w:val="both"/>
      </w:pPr>
      <w:bookmarkStart w:id="741" w:name="bookmark741"/>
      <w:r>
        <w:rPr>
          <w:color w:val="000000"/>
          <w:spacing w:val="0"/>
          <w:w w:val="100"/>
          <w:position w:val="0"/>
        </w:rPr>
        <w:t>（</w:t>
      </w:r>
      <w:bookmarkEnd w:id="741"/>
      <w:r>
        <w:rPr>
          <w:color w:val="000000"/>
          <w:spacing w:val="0"/>
          <w:w w:val="100"/>
          <w:position w:val="0"/>
        </w:rPr>
        <w:t>五）</w:t>
        <w:tab/>
        <w:t>公司的实际控制人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大连永利商务发展有限公司持有公司</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13.2937%</w:t>
      </w:r>
      <w:r>
        <w:rPr>
          <w:color w:val="000000"/>
          <w:spacing w:val="0"/>
          <w:w w:val="100"/>
          <w:position w:val="0"/>
        </w:rPr>
        <w:t>，永利发展为公司控股股东。王永彬持 有永利发展</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股权，为永利发展的控股股东和实际控制人。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日，王永彬先生控制的永利发展及其一致行动人香港键桥合计持有公司</w:t>
      </w:r>
      <w:r>
        <w:rPr>
          <w:rFonts w:ascii="Times New Roman" w:eastAsia="Times New Roman" w:hAnsi="Times New Roman" w:cs="Times New Roman"/>
          <w:color w:val="000000"/>
          <w:spacing w:val="0"/>
          <w:w w:val="100"/>
          <w:position w:val="0"/>
          <w:sz w:val="18"/>
          <w:szCs w:val="18"/>
        </w:rPr>
        <w:t>7,625.0806</w:t>
      </w:r>
      <w:r>
        <w:rPr>
          <w:color w:val="000000"/>
          <w:spacing w:val="0"/>
          <w:w w:val="100"/>
          <w:position w:val="0"/>
        </w:rPr>
        <w:t>万股股份，占公司 总股本的</w:t>
      </w:r>
      <w:r>
        <w:rPr>
          <w:rFonts w:ascii="Times New Roman" w:eastAsia="Times New Roman" w:hAnsi="Times New Roman" w:cs="Times New Roman"/>
          <w:color w:val="000000"/>
          <w:spacing w:val="0"/>
          <w:w w:val="100"/>
          <w:position w:val="0"/>
          <w:sz w:val="18"/>
          <w:szCs w:val="18"/>
        </w:rPr>
        <w:t>19.3963%</w:t>
      </w:r>
      <w:r>
        <w:rPr>
          <w:color w:val="000000"/>
          <w:spacing w:val="0"/>
          <w:w w:val="100"/>
          <w:position w:val="0"/>
        </w:rPr>
        <w:t>，其中永利发展持有公司</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13.29%</w:t>
      </w:r>
      <w:r>
        <w:rPr>
          <w:color w:val="000000"/>
          <w:spacing w:val="0"/>
          <w:w w:val="100"/>
          <w:position w:val="0"/>
        </w:rPr>
        <w:t xml:space="preserve">，其一致行动人香港键桥持有公司 </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。永利发展为公司控股股东，王永彬先生为公司实际控制人。</w:t>
      </w:r>
    </w:p>
    <w:p>
      <w:pPr>
        <w:pStyle w:val="Style18"/>
        <w:keepNext w:val="0"/>
        <w:keepLines w:val="0"/>
        <w:widowControl w:val="0"/>
        <w:shd w:val="clear" w:color="auto" w:fill="auto"/>
        <w:tabs>
          <w:tab w:pos="872" w:val="left"/>
        </w:tabs>
        <w:bidi w:val="0"/>
        <w:spacing w:before="0" w:after="0" w:line="313" w:lineRule="exact"/>
        <w:ind w:left="0" w:right="0"/>
        <w:jc w:val="both"/>
      </w:pPr>
      <w:bookmarkStart w:id="742" w:name="bookmark742"/>
      <w:r>
        <w:rPr>
          <w:color w:val="000000"/>
          <w:spacing w:val="0"/>
          <w:w w:val="100"/>
          <w:position w:val="0"/>
        </w:rPr>
        <w:t>（</w:t>
      </w:r>
      <w:bookmarkEnd w:id="742"/>
      <w:r>
        <w:rPr>
          <w:color w:val="000000"/>
          <w:spacing w:val="0"/>
          <w:w w:val="100"/>
          <w:position w:val="0"/>
        </w:rPr>
        <w:t>六）</w:t>
        <w:tab/>
        <w:t>本财务报表业经本公司董事会于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日决议批准报出。</w:t>
      </w:r>
    </w:p>
    <w:p>
      <w:pPr>
        <w:pStyle w:val="Style18"/>
        <w:keepNext w:val="0"/>
        <w:keepLines w:val="0"/>
        <w:widowControl w:val="0"/>
        <w:shd w:val="clear" w:color="auto" w:fill="auto"/>
        <w:tabs>
          <w:tab w:pos="872" w:val="left"/>
        </w:tabs>
        <w:bidi w:val="0"/>
        <w:spacing w:before="0" w:after="380" w:line="313" w:lineRule="exact"/>
        <w:ind w:left="0" w:right="0"/>
        <w:jc w:val="both"/>
      </w:pPr>
      <w:bookmarkStart w:id="743" w:name="bookmark743"/>
      <w:r>
        <w:rPr>
          <w:color w:val="000000"/>
          <w:spacing w:val="0"/>
          <w:w w:val="100"/>
          <w:position w:val="0"/>
        </w:rPr>
        <w:t>（</w:t>
      </w:r>
      <w:bookmarkEnd w:id="743"/>
      <w:r>
        <w:rPr>
          <w:color w:val="000000"/>
          <w:spacing w:val="0"/>
          <w:w w:val="100"/>
          <w:position w:val="0"/>
        </w:rPr>
        <w:t>七）</w:t>
        <w:tab/>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四</w:t>
      </w:r>
      <w:bookmarkEnd w:id="746"/>
      <w:r>
        <w:rPr>
          <w:color w:val="000000"/>
          <w:spacing w:val="0"/>
          <w:w w:val="100"/>
          <w:position w:val="0"/>
        </w:rPr>
        <w:t>、财务报表的编制基础</w:t>
      </w:r>
      <w:bookmarkEnd w:id="744"/>
      <w:bookmarkEnd w:id="745"/>
      <w:bookmarkEnd w:id="747"/>
    </w:p>
    <w:p>
      <w:pPr>
        <w:pStyle w:val="Style29"/>
        <w:keepNext/>
        <w:keepLines/>
        <w:widowControl w:val="0"/>
        <w:shd w:val="clear" w:color="auto" w:fill="auto"/>
        <w:tabs>
          <w:tab w:pos="329"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编制基础</w:t>
      </w:r>
      <w:bookmarkEnd w:id="748"/>
      <w:bookmarkEnd w:id="749"/>
      <w:bookmarkEnd w:id="751"/>
    </w:p>
    <w:p>
      <w:pPr>
        <w:pStyle w:val="Style18"/>
        <w:keepNext w:val="0"/>
        <w:keepLines w:val="0"/>
        <w:widowControl w:val="0"/>
        <w:shd w:val="clear" w:color="auto" w:fill="auto"/>
        <w:bidi w:val="0"/>
        <w:spacing w:before="0" w:after="380" w:line="305" w:lineRule="exact"/>
        <w:ind w:left="0" w:right="0"/>
        <w:jc w:val="left"/>
      </w:pPr>
      <w:r>
        <w:rPr>
          <w:color w:val="000000"/>
          <w:spacing w:val="0"/>
          <w:w w:val="100"/>
          <w:position w:val="0"/>
        </w:rPr>
        <w:t>本公司财务报表以持续经营假设为基础，根据实际发生的交易和事项，按照财政部发布的企业会计准则及其应用指南、 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9"/>
        <w:keepNext/>
        <w:keepLines/>
        <w:widowControl w:val="0"/>
        <w:shd w:val="clear" w:color="auto" w:fill="auto"/>
        <w:tabs>
          <w:tab w:pos="339"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持续经营</w:t>
      </w:r>
      <w:bookmarkEnd w:id="752"/>
      <w:bookmarkEnd w:id="753"/>
      <w:bookmarkEnd w:id="755"/>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年度持续亏损，并且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日归属于母公司的净资产为负数，同时，存在一年 到期的银行借款</w:t>
      </w:r>
      <w:r>
        <w:rPr>
          <w:rFonts w:ascii="Times New Roman" w:eastAsia="Times New Roman" w:hAnsi="Times New Roman" w:cs="Times New Roman"/>
          <w:color w:val="000000"/>
          <w:spacing w:val="0"/>
          <w:w w:val="100"/>
          <w:position w:val="0"/>
          <w:sz w:val="18"/>
          <w:szCs w:val="18"/>
        </w:rPr>
        <w:t>3.42</w:t>
      </w:r>
      <w:r>
        <w:rPr>
          <w:color w:val="000000"/>
          <w:spacing w:val="0"/>
          <w:w w:val="100"/>
          <w:position w:val="0"/>
        </w:rPr>
        <w:t>亿元及拆借款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亿元。表明存在可能导致对亚联发展持续经营能力产生重大疑虑的重大不确定性。</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公司为保证持续经营能力，采取以下措施：</w:t>
      </w:r>
    </w:p>
    <w:p>
      <w:pPr>
        <w:pStyle w:val="Style18"/>
        <w:keepNext w:val="0"/>
        <w:keepLines w:val="0"/>
        <w:widowControl w:val="0"/>
        <w:shd w:val="clear" w:color="auto" w:fill="auto"/>
        <w:tabs>
          <w:tab w:pos="809" w:val="left"/>
        </w:tabs>
        <w:bidi w:val="0"/>
        <w:spacing w:before="0" w:after="0" w:line="316" w:lineRule="exact"/>
        <w:ind w:left="0" w:right="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内外并举共措资金，确保公司日常经营活动的正常：加大应收账款的回款力度，维持公司日常经营活动开展。</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对将于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月底到期的</w:t>
      </w:r>
      <w:r>
        <w:rPr>
          <w:rFonts w:ascii="Times New Roman" w:eastAsia="Times New Roman" w:hAnsi="Times New Roman" w:cs="Times New Roman"/>
          <w:color w:val="000000"/>
          <w:spacing w:val="0"/>
          <w:w w:val="100"/>
          <w:position w:val="0"/>
          <w:sz w:val="18"/>
          <w:szCs w:val="18"/>
        </w:rPr>
        <w:t>3.25</w:t>
      </w:r>
      <w:r>
        <w:rPr>
          <w:color w:val="000000"/>
          <w:spacing w:val="0"/>
          <w:w w:val="100"/>
          <w:position w:val="0"/>
        </w:rPr>
        <w:t>亿元并购贷：公司在处置大连亚联</w:t>
      </w:r>
      <w:r>
        <w:rPr>
          <w:rFonts w:ascii="Times New Roman" w:eastAsia="Times New Roman" w:hAnsi="Times New Roman" w:cs="Times New Roman"/>
          <w:color w:val="000000"/>
          <w:spacing w:val="0"/>
          <w:w w:val="100"/>
          <w:position w:val="0"/>
          <w:sz w:val="18"/>
          <w:szCs w:val="18"/>
        </w:rPr>
        <w:t>7,600</w:t>
      </w:r>
      <w:r>
        <w:rPr>
          <w:color w:val="000000"/>
          <w:spacing w:val="0"/>
          <w:w w:val="100"/>
          <w:position w:val="0"/>
        </w:rPr>
        <w:t>万元资金基础上，再通过处置持有的东莞房产及 南京凌云公司股权，预计可回收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亿元资金进一步归还并购贷；剩余</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亿元贷款转入公司经营性贷款；以化解将于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月底到 期的并购贷款风险。</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开店宝从股东借入的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亿元经营借款也由股东出具承诺到期提供资金支持；另亚联发展从兰德利借入的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万元经营 借款也已出具承诺到期提供资金支持；剩余</w:t>
      </w:r>
      <w:r>
        <w:rPr>
          <w:color w:val="000000"/>
          <w:spacing w:val="0"/>
          <w:w w:val="100"/>
          <w:position w:val="0"/>
          <w:sz w:val="17"/>
          <w:szCs w:val="17"/>
        </w:rPr>
        <w:t>1,867</w:t>
      </w:r>
      <w:r>
        <w:rPr>
          <w:color w:val="000000"/>
          <w:spacing w:val="0"/>
          <w:w w:val="100"/>
          <w:position w:val="0"/>
        </w:rPr>
        <w:t>万元经营借款经评估到期后能够通过经营调配解决。</w:t>
      </w:r>
    </w:p>
    <w:p>
      <w:pPr>
        <w:pStyle w:val="Style18"/>
        <w:keepNext w:val="0"/>
        <w:keepLines w:val="0"/>
        <w:widowControl w:val="0"/>
        <w:shd w:val="clear" w:color="auto" w:fill="auto"/>
        <w:tabs>
          <w:tab w:pos="862" w:val="left"/>
        </w:tabs>
        <w:bidi w:val="0"/>
        <w:spacing w:before="0" w:after="0" w:line="316" w:lineRule="exact"/>
        <w:ind w:left="0" w:right="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在稳定专网业务的基础上，积极优化和提升经营计划，进一步提升第三方支付业务份额；同时通过调整经营策略， 拓展支付业务自营业务模式，渠道逐步向国内三四线城市下沉，通过不断提升品牌的知名度和认知度来促进直营业务收入增 长，培育新的利润增长点；优化公司业务模式，提升业务的市场地位、提升市场占有率和品牌美誉度，进一步提升经营效益； </w:t>
      </w:r>
      <w:r>
        <w:rPr>
          <w:color w:val="000000"/>
          <w:spacing w:val="0"/>
          <w:w w:val="100"/>
          <w:position w:val="0"/>
        </w:rPr>
        <w:t>提升业务运营能力和水平，通过优化结算体系、商户中心和运营平台等措施进一步降低运营成本。</w:t>
      </w:r>
    </w:p>
    <w:p>
      <w:pPr>
        <w:pStyle w:val="Style18"/>
        <w:keepNext w:val="0"/>
        <w:keepLines w:val="0"/>
        <w:widowControl w:val="0"/>
        <w:shd w:val="clear" w:color="auto" w:fill="auto"/>
        <w:bidi w:val="0"/>
        <w:spacing w:before="0" w:after="400" w:line="322"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）加强精细化管理：在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年降本增效较为明显的前提下，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年将继续通过优化组织架构和岗位结构，提高工作 效率，控制成本费用等方式提升盈利能力。加强激励措施，提高员工积极性和凝聚力。</w:t>
      </w:r>
    </w:p>
    <w:p>
      <w:pPr>
        <w:pStyle w:val="Style23"/>
        <w:keepNext/>
        <w:keepLines/>
        <w:widowControl w:val="0"/>
        <w:shd w:val="clear" w:color="auto" w:fill="auto"/>
        <w:bidi w:val="0"/>
        <w:spacing w:before="0" w:after="26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五</w:t>
      </w:r>
      <w:bookmarkEnd w:id="761"/>
      <w:r>
        <w:rPr>
          <w:color w:val="000000"/>
          <w:spacing w:val="0"/>
          <w:w w:val="100"/>
          <w:position w:val="0"/>
        </w:rPr>
        <w:t>、重要会计政策及会计估计</w:t>
      </w:r>
      <w:bookmarkEnd w:id="759"/>
      <w:bookmarkEnd w:id="760"/>
      <w:bookmarkEnd w:id="76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400" w:line="317" w:lineRule="exact"/>
        <w:ind w:left="0" w:right="0"/>
        <w:jc w:val="both"/>
      </w:pPr>
      <w:r>
        <w:rPr>
          <w:color w:val="000000"/>
          <w:spacing w:val="0"/>
          <w:w w:val="100"/>
          <w:position w:val="0"/>
        </w:rPr>
        <w:t>本公司根据实际生产经营特点，针对金融工具减值、固定资产折旧、无形资产摊销、收入确认等交易或事项制定了具体 会计政策和会计估计。</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color w:val="000000"/>
          <w:spacing w:val="0"/>
          <w:w w:val="100"/>
          <w:position w:val="0"/>
        </w:rPr>
        <w:t>、</w:t>
        <w:tab/>
        <w:t>遵循企业会计准则的声明</w:t>
      </w:r>
      <w:bookmarkEnd w:id="763"/>
      <w:bookmarkEnd w:id="764"/>
      <w:bookmarkEnd w:id="766"/>
    </w:p>
    <w:p>
      <w:pPr>
        <w:pStyle w:val="Style18"/>
        <w:keepNext w:val="0"/>
        <w:keepLines w:val="0"/>
        <w:widowControl w:val="0"/>
        <w:shd w:val="clear" w:color="auto" w:fill="auto"/>
        <w:bidi w:val="0"/>
        <w:spacing w:before="0" w:after="400" w:line="312" w:lineRule="exact"/>
        <w:ind w:left="0" w:right="0"/>
        <w:jc w:val="both"/>
      </w:pPr>
      <w:r>
        <w:rPr>
          <w:color w:val="000000"/>
          <w:spacing w:val="0"/>
          <w:w w:val="100"/>
          <w:position w:val="0"/>
        </w:rPr>
        <w:t>本公司所编制的财务报表符合企业会计准则的要求，真实、完整地反映了公司的财务状况、经营成果和现金流量等有关 信息。</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2</w:t>
      </w:r>
      <w:bookmarkEnd w:id="769"/>
      <w:r>
        <w:rPr>
          <w:color w:val="000000"/>
          <w:spacing w:val="0"/>
          <w:w w:val="100"/>
          <w:position w:val="0"/>
        </w:rPr>
        <w:t>、</w:t>
        <w:tab/>
        <w:t>会计期间</w:t>
      </w:r>
      <w:bookmarkEnd w:id="767"/>
      <w:bookmarkEnd w:id="768"/>
      <w:bookmarkEnd w:id="770"/>
    </w:p>
    <w:p>
      <w:pPr>
        <w:pStyle w:val="Style18"/>
        <w:keepNext w:val="0"/>
        <w:keepLines w:val="0"/>
        <w:widowControl w:val="0"/>
        <w:shd w:val="clear" w:color="auto" w:fill="auto"/>
        <w:bidi w:val="0"/>
        <w:spacing w:before="0" w:after="400" w:line="302" w:lineRule="exact"/>
        <w:ind w:left="0" w:right="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3</w:t>
      </w:r>
      <w:bookmarkEnd w:id="773"/>
      <w:r>
        <w:rPr>
          <w:color w:val="000000"/>
          <w:spacing w:val="0"/>
          <w:w w:val="100"/>
          <w:position w:val="0"/>
        </w:rPr>
        <w:t>、</w:t>
        <w:tab/>
        <w:t>营业周期</w:t>
      </w:r>
      <w:bookmarkEnd w:id="771"/>
      <w:bookmarkEnd w:id="772"/>
      <w:bookmarkEnd w:id="774"/>
    </w:p>
    <w:p>
      <w:pPr>
        <w:pStyle w:val="Style18"/>
        <w:keepNext w:val="0"/>
        <w:keepLines w:val="0"/>
        <w:widowControl w:val="0"/>
        <w:shd w:val="clear" w:color="auto" w:fill="auto"/>
        <w:bidi w:val="0"/>
        <w:spacing w:before="0" w:after="400" w:line="322" w:lineRule="exact"/>
        <w:ind w:left="0" w:right="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4</w:t>
      </w:r>
      <w:bookmarkEnd w:id="777"/>
      <w:r>
        <w:rPr>
          <w:color w:val="000000"/>
          <w:spacing w:val="0"/>
          <w:w w:val="100"/>
          <w:position w:val="0"/>
        </w:rPr>
        <w:t>、</w:t>
        <w:tab/>
        <w:t>记账本位币</w:t>
      </w:r>
      <w:bookmarkEnd w:id="775"/>
      <w:bookmarkEnd w:id="776"/>
      <w:bookmarkEnd w:id="778"/>
    </w:p>
    <w:p>
      <w:pPr>
        <w:pStyle w:val="Style18"/>
        <w:keepNext w:val="0"/>
        <w:keepLines w:val="0"/>
        <w:widowControl w:val="0"/>
        <w:shd w:val="clear" w:color="auto" w:fill="auto"/>
        <w:bidi w:val="0"/>
        <w:spacing w:before="0" w:after="40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之境外子公司根据其经营所处的主要经济环境中的货币确定港币为其记账本位币。本公司编制本财务报表时所采用的货币为 人民币。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5</w:t>
      </w:r>
      <w:bookmarkEnd w:id="781"/>
      <w:r>
        <w:rPr>
          <w:color w:val="000000"/>
          <w:spacing w:val="0"/>
          <w:w w:val="100"/>
          <w:position w:val="0"/>
        </w:rPr>
        <w:t>、</w:t>
        <w:tab/>
        <w:t>同一控制下和非同一控制下企业合并的会计处理方法</w:t>
      </w:r>
      <w:bookmarkEnd w:id="779"/>
      <w:bookmarkEnd w:id="780"/>
      <w:bookmarkEnd w:id="782"/>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8"/>
        <w:keepNext w:val="0"/>
        <w:keepLines w:val="0"/>
        <w:widowControl w:val="0"/>
        <w:shd w:val="clear" w:color="auto" w:fill="auto"/>
        <w:tabs>
          <w:tab w:pos="825" w:val="left"/>
        </w:tabs>
        <w:bidi w:val="0"/>
        <w:spacing w:before="0" w:after="0" w:line="312" w:lineRule="exact"/>
        <w:ind w:left="0" w:right="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合并方为进行企业合并发生的各项直接费用，于发生时计入当期损益。</w:t>
      </w:r>
    </w:p>
    <w:p>
      <w:pPr>
        <w:pStyle w:val="Style18"/>
        <w:keepNext w:val="0"/>
        <w:keepLines w:val="0"/>
        <w:widowControl w:val="0"/>
        <w:shd w:val="clear" w:color="auto" w:fill="auto"/>
        <w:tabs>
          <w:tab w:pos="825" w:val="left"/>
        </w:tabs>
        <w:bidi w:val="0"/>
        <w:spacing w:before="0" w:after="0" w:line="312" w:lineRule="exact"/>
        <w:ind w:left="0" w:right="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w:t>
      </w:r>
      <w:r>
        <w:rPr>
          <w:color w:val="000000"/>
          <w:spacing w:val="0"/>
          <w:w w:val="100"/>
          <w:position w:val="0"/>
        </w:rPr>
        <w:t>际取得对被购买方控制权的日期。</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号一一合并财务报表》第五十一条关于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8"/>
        <w:keepNext w:val="0"/>
        <w:keepLines w:val="0"/>
        <w:widowControl w:val="0"/>
        <w:shd w:val="clear" w:color="auto" w:fill="auto"/>
        <w:bidi w:val="0"/>
        <w:spacing w:before="0" w:after="40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9"/>
        <w:keepNext/>
        <w:keepLines/>
        <w:widowControl w:val="0"/>
        <w:shd w:val="clear" w:color="auto" w:fill="auto"/>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6</w:t>
      </w:r>
      <w:bookmarkEnd w:id="787"/>
      <w:r>
        <w:rPr>
          <w:color w:val="000000"/>
          <w:spacing w:val="0"/>
          <w:w w:val="100"/>
          <w:position w:val="0"/>
        </w:rPr>
        <w:t>、合并财务报表的编制方法</w:t>
      </w:r>
      <w:bookmarkEnd w:id="785"/>
      <w:bookmarkEnd w:id="786"/>
      <w:bookmarkEnd w:id="788"/>
    </w:p>
    <w:p>
      <w:pPr>
        <w:pStyle w:val="Style18"/>
        <w:keepNext w:val="0"/>
        <w:keepLines w:val="0"/>
        <w:widowControl w:val="0"/>
        <w:shd w:val="clear" w:color="auto" w:fill="auto"/>
        <w:tabs>
          <w:tab w:pos="765" w:val="left"/>
        </w:tabs>
        <w:bidi w:val="0"/>
        <w:spacing w:before="0" w:after="0" w:line="312" w:lineRule="exact"/>
        <w:ind w:left="0" w:right="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18"/>
        <w:keepNext w:val="0"/>
        <w:keepLines w:val="0"/>
        <w:widowControl w:val="0"/>
        <w:shd w:val="clear" w:color="auto" w:fill="auto"/>
        <w:tabs>
          <w:tab w:pos="765" w:val="left"/>
        </w:tabs>
        <w:bidi w:val="0"/>
        <w:spacing w:before="0" w:after="0" w:line="312" w:lineRule="exact"/>
        <w:ind w:left="0" w:right="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当期处置的子公司，不调整合并资产负债表的年初数。非同一控制下企业合并增加的子公司，其购买日后的经营成果及现金 流量已经适当地包括在合并利润表和合并现金流量表中，且不调整合并财务报表的年初数和对比数。同一控制下企业合并增 加的子公司，其自合并当期年初至合并日的经营成果和现金流量已经适当地包括在合并利润表和合并现金流量表中，并且同 时调整合并财务报表的对比数。</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公司内所有重大往来余额、交易及未实现利润在合并财务报表编制时予以抵销。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项目列示。少数股东分担的子公司的亏损超过了少数股东在该子公司年初股东权益中所享有的份额，仍冲减少数 股东权益。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号一一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号一一金融工具确认和计量》等相关规定进行后续计量，详见本附注五、</w:t>
      </w:r>
      <w:r>
        <w:rPr>
          <w:rFonts w:ascii="Times New Roman" w:eastAsia="Times New Roman" w:hAnsi="Times New Roman" w:cs="Times New Roman"/>
          <w:color w:val="000000"/>
          <w:spacing w:val="0"/>
          <w:w w:val="100"/>
          <w:position w:val="0"/>
          <w:sz w:val="18"/>
          <w:szCs w:val="18"/>
        </w:rPr>
        <w:t>20 “</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40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29"/>
        <w:keepNext/>
        <w:keepLines/>
        <w:widowControl w:val="0"/>
        <w:shd w:val="clear" w:color="auto" w:fill="auto"/>
        <w:tabs>
          <w:tab w:pos="317"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7</w:t>
      </w:r>
      <w:bookmarkEnd w:id="793"/>
      <w:r>
        <w:rPr>
          <w:color w:val="000000"/>
          <w:spacing w:val="0"/>
          <w:w w:val="100"/>
          <w:position w:val="0"/>
        </w:rPr>
        <w:t>、</w:t>
        <w:tab/>
        <w:t>合营安排分类及共同经营会计处理方法</w:t>
      </w:r>
      <w:bookmarkEnd w:id="791"/>
      <w:bookmarkEnd w:id="792"/>
      <w:bookmarkEnd w:id="794"/>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8"/>
        <w:keepNext w:val="0"/>
        <w:keepLines w:val="0"/>
        <w:widowControl w:val="0"/>
        <w:shd w:val="clear" w:color="auto" w:fill="auto"/>
        <w:bidi w:val="0"/>
        <w:spacing w:before="0" w:after="0" w:line="320" w:lineRule="exact"/>
        <w:ind w:left="0" w:right="0"/>
        <w:jc w:val="both"/>
      </w:pPr>
      <w:r>
        <w:rPr>
          <w:color w:val="000000"/>
          <w:spacing w:val="0"/>
          <w:w w:val="100"/>
          <w:position w:val="0"/>
        </w:rPr>
        <w:t>本公司对合营企业的投资采用权益法核算，按照本附注三、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18"/>
        <w:keepNext w:val="0"/>
        <w:keepLines w:val="0"/>
        <w:widowControl w:val="0"/>
        <w:shd w:val="clear" w:color="auto" w:fill="auto"/>
        <w:bidi w:val="0"/>
        <w:spacing w:before="0" w:after="0" w:line="320"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8"/>
        <w:keepNext w:val="0"/>
        <w:keepLines w:val="0"/>
        <w:widowControl w:val="0"/>
        <w:shd w:val="clear" w:color="auto" w:fill="auto"/>
        <w:bidi w:val="0"/>
        <w:spacing w:before="0" w:after="400" w:line="320"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29"/>
        <w:keepNext/>
        <w:keepLines/>
        <w:widowControl w:val="0"/>
        <w:shd w:val="clear" w:color="auto" w:fill="auto"/>
        <w:tabs>
          <w:tab w:pos="318"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8</w:t>
      </w:r>
      <w:bookmarkEnd w:id="797"/>
      <w:r>
        <w:rPr>
          <w:color w:val="000000"/>
          <w:spacing w:val="0"/>
          <w:w w:val="100"/>
          <w:position w:val="0"/>
        </w:rPr>
        <w:t>、</w:t>
        <w:tab/>
        <w:t>现金及现金等价物的确定标准</w:t>
      </w:r>
      <w:bookmarkEnd w:id="795"/>
      <w:bookmarkEnd w:id="796"/>
      <w:bookmarkEnd w:id="798"/>
    </w:p>
    <w:p>
      <w:pPr>
        <w:pStyle w:val="Style18"/>
        <w:keepNext w:val="0"/>
        <w:keepLines w:val="0"/>
        <w:widowControl w:val="0"/>
        <w:shd w:val="clear" w:color="auto" w:fill="auto"/>
        <w:bidi w:val="0"/>
        <w:spacing w:before="0" w:after="340" w:line="312" w:lineRule="exact"/>
        <w:ind w:left="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29"/>
        <w:keepNext/>
        <w:keepLines/>
        <w:widowControl w:val="0"/>
        <w:shd w:val="clear" w:color="auto" w:fill="auto"/>
        <w:tabs>
          <w:tab w:pos="370" w:val="left"/>
        </w:tabs>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9</w:t>
      </w:r>
      <w:bookmarkEnd w:id="801"/>
      <w:r>
        <w:rPr>
          <w:color w:val="000000"/>
          <w:spacing w:val="0"/>
          <w:w w:val="100"/>
          <w:position w:val="0"/>
        </w:rPr>
        <w:t>、</w:t>
        <w:tab/>
        <w:t>外币业务和外币报表折算</w:t>
      </w:r>
      <w:bookmarkEnd w:id="799"/>
      <w:bookmarkEnd w:id="800"/>
      <w:bookmarkEnd w:id="802"/>
    </w:p>
    <w:p>
      <w:pPr>
        <w:pStyle w:val="Style18"/>
        <w:keepNext w:val="0"/>
        <w:keepLines w:val="0"/>
        <w:widowControl w:val="0"/>
        <w:shd w:val="clear" w:color="auto" w:fill="auto"/>
        <w:tabs>
          <w:tab w:pos="790" w:val="left"/>
        </w:tabs>
        <w:bidi w:val="0"/>
        <w:spacing w:before="0" w:after="0" w:line="312" w:lineRule="exact"/>
        <w:ind w:left="0" w:right="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本公司发生的外币交易在初始确认时，按交易日的即期汇率（通常指中国人民银行公布的当日外汇牌价的中间价）折算 为记账本位币金额，但公司发生的外币兑换业务或涉及外币兑换的交易事项，按照实际采用的汇率折算为记账本位币金额。</w:t>
      </w:r>
    </w:p>
    <w:p>
      <w:pPr>
        <w:pStyle w:val="Style18"/>
        <w:keepNext w:val="0"/>
        <w:keepLines w:val="0"/>
        <w:widowControl w:val="0"/>
        <w:shd w:val="clear" w:color="auto" w:fill="auto"/>
        <w:tabs>
          <w:tab w:pos="790" w:val="left"/>
        </w:tabs>
        <w:bidi w:val="0"/>
        <w:spacing w:before="0" w:after="0" w:line="312" w:lineRule="exact"/>
        <w:ind w:left="0" w:right="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18"/>
        <w:keepNext w:val="0"/>
        <w:keepLines w:val="0"/>
        <w:widowControl w:val="0"/>
        <w:shd w:val="clear" w:color="auto" w:fill="auto"/>
        <w:tabs>
          <w:tab w:pos="790" w:val="left"/>
        </w:tabs>
        <w:bidi w:val="0"/>
        <w:spacing w:before="0" w:after="0" w:line="312"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目计算列示；折算后资产类项目与负债类项目和所有者权益类项目合计数的差额，作为外币报表折算差额，确认为其他综合 收益。处置境外经营并丧失控制权时，将资产负债表中所有者权益项目下列示的、与该境外经营相关的外币报表折算差额， 全部或按处置该境外经营的比例转入处置当期损益。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年初数和上年实际数按照上年财务报表折算后的数额列示。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表中所有者权益项目下列示的、与该境外经营相关的归属于母公司所有者权益的外币报表折算差额，全部转入处置当期损益。</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9"/>
        <w:keepNext/>
        <w:keepLines/>
        <w:widowControl w:val="0"/>
        <w:shd w:val="clear" w:color="auto" w:fill="auto"/>
        <w:tabs>
          <w:tab w:pos="439" w:val="left"/>
        </w:tabs>
        <w:bidi w:val="0"/>
        <w:spacing w:before="0" w:after="28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6"/>
      <w:bookmarkEnd w:id="807"/>
      <w:bookmarkEnd w:id="809"/>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）金融工具的分类及重分类</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金融工具，是指形成一方的金融资产并形成其他方的金融负债或权益工具的合同。本公司的金融工具包括货币资金、除 长期股权投资以外的股权投资、应收款项、应付款项、借款及股本等。</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本公司将同时符合下列条件的金融资产分类为以摊余成本计量的金融资产:①本公司管理金融资产的业务模式是以收取 合同现金流量为目标；②该金融资产的合同条款规定，在特定日期产生的现金流量仅为对本金和以未偿付本金金额为基础的 利息的支付。</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本公司将同时符合下列条件的金融资产分类为以公允价值计量且其变动计入其他综合收益的金融资产:①本公司管理金 融资产的业务模式既以收取合同现金流量又以出售该金融资产为目标；②该金融资产的合同条款规定，在特定日期产生的现 </w:t>
      </w:r>
      <w:r>
        <w:rPr>
          <w:color w:val="000000"/>
          <w:spacing w:val="0"/>
          <w:w w:val="100"/>
          <w:position w:val="0"/>
        </w:rPr>
        <w:t>金流量，仅为对本金和以未偿付本金金额为基础的利息的支付。对于非交易性权益工具投资，本公司可在初始确认时将其不 可撤销地指定为以公允价值计量且其变动计入其他综合收益的金融资产。该指定在单项投资的基础上作出，且相关投资从发 行者的角度符合权益工具的定义。</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除分类为以摊余成本计量的金融资产和以公允价值计量且其变动计入其他综合收益的金融资产之外的金融资产，本公司 将其分类为以公允价值计量且其变动计入当期损益的金融资产。在初始确认时，如果能消除或减少会计错配，本公司可以将 金融资产不可撤销地指定为以公允价值计量且其变动计入当期损益的金融资产。</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本公司改变管理金融资产的业务模式时，将对所有受影响的相关金融资产在业务模式发生变更后的首个报告期间的首日 进行重分类，且自重分类日起采用未来适用法进行相关会计处理，不对以前已经确认的利得、损失（包括减值损失或利得） 或利息进行追溯调整。</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金融负债于初始确认时分类为：以公允价值计量且其变动计入当期损益的金融负债；金融资产转移不符合终止确认条件 或继续涉入被转移金融资产所形成的金融负债；以摊余成本计量的金融负债。所有的金融负债不进行重分类。</w:t>
      </w:r>
    </w:p>
    <w:p>
      <w:pPr>
        <w:pStyle w:val="Style18"/>
        <w:keepNext w:val="0"/>
        <w:keepLines w:val="0"/>
        <w:widowControl w:val="0"/>
        <w:shd w:val="clear" w:color="auto" w:fill="auto"/>
        <w:tabs>
          <w:tab w:pos="785" w:val="left"/>
        </w:tabs>
        <w:bidi w:val="0"/>
        <w:spacing w:before="0" w:after="0" w:line="311" w:lineRule="exact"/>
        <w:ind w:left="0" w:right="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金融工具的计量</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本公司金融工具初始确认按照公允价值计量。对于以公允价值计量且其变动计入当期损益的金融资产和金融负债，相关 交易费用直接计入当期损益；对于其他类别的金融资产或金融负债，相关交易费用计入初始确认金额。因销售产品或提供劳 务而产生的、未包含或不考虑重大融资成分的应收账款或应收票据，本公司按照预期有权收取的对价金额作为初始确认金额。 金融工具的后续计量取决于其分类。</w:t>
      </w:r>
    </w:p>
    <w:p>
      <w:pPr>
        <w:pStyle w:val="Style18"/>
        <w:keepNext w:val="0"/>
        <w:keepLines w:val="0"/>
        <w:widowControl w:val="0"/>
        <w:shd w:val="clear" w:color="auto" w:fill="auto"/>
        <w:tabs>
          <w:tab w:pos="689" w:val="left"/>
        </w:tabs>
        <w:bidi w:val="0"/>
        <w:spacing w:before="0" w:after="0" w:line="360" w:lineRule="auto"/>
        <w:ind w:left="0" w:right="0"/>
        <w:jc w:val="both"/>
      </w:pPr>
      <w:bookmarkStart w:id="811" w:name="bookmark811"/>
      <w:r>
        <w:rPr>
          <w:rFonts w:ascii="Times New Roman" w:eastAsia="Times New Roman" w:hAnsi="Times New Roman" w:cs="Times New Roman"/>
          <w:color w:val="000000"/>
          <w:spacing w:val="0"/>
          <w:w w:val="100"/>
          <w:position w:val="0"/>
          <w:sz w:val="18"/>
          <w:szCs w:val="18"/>
        </w:rPr>
        <w:t>1</w:t>
      </w:r>
      <w:bookmarkEnd w:id="811"/>
      <w:r>
        <w:rPr>
          <w:color w:val="000000"/>
          <w:spacing w:val="0"/>
          <w:w w:val="100"/>
          <w:position w:val="0"/>
        </w:rPr>
        <w:t>）</w:t>
        <w:tab/>
        <w:t>金融资产</w:t>
      </w:r>
    </w:p>
    <w:p>
      <w:pPr>
        <w:pStyle w:val="Style18"/>
        <w:keepNext w:val="0"/>
        <w:keepLines w:val="0"/>
        <w:widowControl w:val="0"/>
        <w:numPr>
          <w:ilvl w:val="0"/>
          <w:numId w:val="15"/>
        </w:numPr>
        <w:shd w:val="clear" w:color="auto" w:fill="auto"/>
        <w:tabs>
          <w:tab w:pos="713" w:val="left"/>
        </w:tabs>
        <w:bidi w:val="0"/>
        <w:spacing w:before="0" w:after="0" w:line="311" w:lineRule="exact"/>
        <w:ind w:left="0" w:right="0"/>
        <w:jc w:val="both"/>
      </w:pPr>
      <w:bookmarkStart w:id="812" w:name="bookmark812"/>
      <w:bookmarkEnd w:id="812"/>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初始确认后，对于该类金融资产采用实际利率法以摊余成本计量。以摊余成本计量且不属于任何套期关系的金融资产所 产生的利得或损失，在终止确认、重分类、按照实际利率法摊销或确认减值时，计入当期损益。</w:t>
      </w:r>
    </w:p>
    <w:p>
      <w:pPr>
        <w:pStyle w:val="Style18"/>
        <w:keepNext w:val="0"/>
        <w:keepLines w:val="0"/>
        <w:widowControl w:val="0"/>
        <w:numPr>
          <w:ilvl w:val="0"/>
          <w:numId w:val="15"/>
        </w:numPr>
        <w:shd w:val="clear" w:color="auto" w:fill="auto"/>
        <w:tabs>
          <w:tab w:pos="713" w:val="left"/>
        </w:tabs>
        <w:bidi w:val="0"/>
        <w:spacing w:before="0" w:after="0" w:line="311" w:lineRule="exact"/>
        <w:ind w:left="0" w:right="0"/>
        <w:jc w:val="both"/>
      </w:pPr>
      <w:bookmarkStart w:id="813" w:name="bookmark813"/>
      <w:bookmarkEnd w:id="813"/>
      <w:r>
        <w:rPr>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其累计利得或损失转入当期损益。但是采用实际利率法计算的该金融资产的相关利息收入计入当期损益。本公司不可撤销地 选择将部分非交易性权益工具投资指定为以公允价值计量且其变动计入其他综合收益的金融资产，仅将相关股利收入计入当 期损益，公允价值变动作为其他综合收益确认，直到该金融资产终止确认时，其累计利得或损失转入留存收益。</w:t>
      </w:r>
    </w:p>
    <w:p>
      <w:pPr>
        <w:pStyle w:val="Style18"/>
        <w:keepNext w:val="0"/>
        <w:keepLines w:val="0"/>
        <w:widowControl w:val="0"/>
        <w:numPr>
          <w:ilvl w:val="0"/>
          <w:numId w:val="15"/>
        </w:numPr>
        <w:shd w:val="clear" w:color="auto" w:fill="auto"/>
        <w:tabs>
          <w:tab w:pos="713" w:val="left"/>
        </w:tabs>
        <w:bidi w:val="0"/>
        <w:spacing w:before="0" w:after="0" w:line="311" w:lineRule="exact"/>
        <w:ind w:left="0" w:right="0"/>
        <w:jc w:val="both"/>
      </w:pPr>
      <w:bookmarkStart w:id="814" w:name="bookmark814"/>
      <w:bookmarkEnd w:id="814"/>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18"/>
        <w:keepNext w:val="0"/>
        <w:keepLines w:val="0"/>
        <w:widowControl w:val="0"/>
        <w:shd w:val="clear" w:color="auto" w:fill="auto"/>
        <w:tabs>
          <w:tab w:pos="709" w:val="left"/>
        </w:tabs>
        <w:bidi w:val="0"/>
        <w:spacing w:before="0" w:after="0" w:line="360" w:lineRule="auto"/>
        <w:ind w:left="0" w:right="0"/>
        <w:jc w:val="both"/>
      </w:pPr>
      <w:bookmarkStart w:id="815" w:name="bookmark815"/>
      <w:r>
        <w:rPr>
          <w:rFonts w:ascii="Times New Roman" w:eastAsia="Times New Roman" w:hAnsi="Times New Roman" w:cs="Times New Roman"/>
          <w:color w:val="000000"/>
          <w:spacing w:val="0"/>
          <w:w w:val="100"/>
          <w:position w:val="0"/>
          <w:sz w:val="18"/>
          <w:szCs w:val="18"/>
        </w:rPr>
        <w:t>2</w:t>
      </w:r>
      <w:bookmarkEnd w:id="815"/>
      <w:r>
        <w:rPr>
          <w:color w:val="000000"/>
          <w:spacing w:val="0"/>
          <w:w w:val="100"/>
          <w:position w:val="0"/>
        </w:rPr>
        <w:t>）</w:t>
        <w:tab/>
        <w:t>金融负债</w:t>
      </w:r>
    </w:p>
    <w:p>
      <w:pPr>
        <w:pStyle w:val="Style18"/>
        <w:keepNext w:val="0"/>
        <w:keepLines w:val="0"/>
        <w:widowControl w:val="0"/>
        <w:numPr>
          <w:ilvl w:val="0"/>
          <w:numId w:val="17"/>
        </w:numPr>
        <w:shd w:val="clear" w:color="auto" w:fill="auto"/>
        <w:tabs>
          <w:tab w:pos="713" w:val="left"/>
        </w:tabs>
        <w:bidi w:val="0"/>
        <w:spacing w:before="0" w:after="0" w:line="311" w:lineRule="exact"/>
        <w:ind w:left="0" w:right="0"/>
        <w:jc w:val="both"/>
      </w:pPr>
      <w:bookmarkStart w:id="816" w:name="bookmark816"/>
      <w:bookmarkEnd w:id="816"/>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该类金融负债包括交易性金融负债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color w:val="000000"/>
          <w:spacing w:val="0"/>
          <w:w w:val="100"/>
          <w:position w:val="0"/>
          <w:sz w:val="18"/>
          <w:szCs w:val="18"/>
        </w:rPr>
        <w:t>）</w:t>
      </w:r>
      <w:r>
        <w:rPr>
          <w:color w:val="000000"/>
          <w:spacing w:val="0"/>
          <w:w w:val="100"/>
          <w:position w:val="0"/>
        </w:rPr>
        <w:t>和指定为以公允价值计量且其变动计入当期损益的金 融负债。初始确认后，对于该类金融负债以公允价值进行后续计量，除与套期会计有关外，交易性金融负债公允价值变动形 成的利得或损失（包括利息费用）计入当期损益。</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指定为以公允价值计量且其变动计入当期损益的金融负债的，由企业自身信用风险变动引起的该金融负债公允价值的变 动金额，计入其他综合收益，其他公允价值变动计入当期损益。如果对该金融负债的自身信用风险变动的影响计入其他综合 收益会造成或扩大损益中的会计错配的，本公司将该金融负债的全部利得或损失计入当期损益。</w:t>
      </w:r>
    </w:p>
    <w:p>
      <w:pPr>
        <w:pStyle w:val="Style18"/>
        <w:keepNext w:val="0"/>
        <w:keepLines w:val="0"/>
        <w:widowControl w:val="0"/>
        <w:numPr>
          <w:ilvl w:val="0"/>
          <w:numId w:val="17"/>
        </w:numPr>
        <w:shd w:val="clear" w:color="auto" w:fill="auto"/>
        <w:tabs>
          <w:tab w:pos="713" w:val="left"/>
        </w:tabs>
        <w:bidi w:val="0"/>
        <w:spacing w:before="0" w:after="0" w:line="311" w:lineRule="exact"/>
        <w:ind w:left="0" w:right="0"/>
        <w:jc w:val="both"/>
      </w:pPr>
      <w:bookmarkStart w:id="817" w:name="bookmark817"/>
      <w:bookmarkEnd w:id="817"/>
      <w:r>
        <w:rPr>
          <w:color w:val="000000"/>
          <w:spacing w:val="0"/>
          <w:w w:val="100"/>
          <w:position w:val="0"/>
        </w:rPr>
        <w:t>以摊余成本计量的金融负债初始确认后，对此类金融负债采用实际利率法以摊余成本计量。</w:t>
      </w:r>
    </w:p>
    <w:p>
      <w:pPr>
        <w:pStyle w:val="Style18"/>
        <w:keepNext w:val="0"/>
        <w:keepLines w:val="0"/>
        <w:widowControl w:val="0"/>
        <w:shd w:val="clear" w:color="auto" w:fill="auto"/>
        <w:tabs>
          <w:tab w:pos="785" w:val="left"/>
        </w:tabs>
        <w:bidi w:val="0"/>
        <w:spacing w:before="0" w:after="0" w:line="311" w:lineRule="exact"/>
        <w:ind w:left="0" w:right="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本公司对金融工具的公允价值的确认方法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如存在活跃市场的金融工具，以活跃市场中的报价确定其公允价值；如不存在活跃市场的金融工具，采用估值技术确定 </w:t>
      </w:r>
      <w:r>
        <w:rPr>
          <w:color w:val="000000"/>
          <w:spacing w:val="0"/>
          <w:w w:val="100"/>
          <w:position w:val="0"/>
        </w:rPr>
        <w:t>其公允价值。估值技术主要包括市场法、收益法和成本法。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在有限情况下，如果用以确定公允价值的近期信息不足，或者公允价值的可能估计金额分布范围很广，而成本代表了该 范围内对公允价值的最佳估计的，该成本可代表其在该分布范围内对公允价值的恰当估计。本公司利用初始确认日后可获得 的关于被投资方业绩和经营的所有信息，判断成本能否代表公允价值。</w:t>
      </w:r>
    </w:p>
    <w:p>
      <w:pPr>
        <w:pStyle w:val="Style18"/>
        <w:keepNext w:val="0"/>
        <w:keepLines w:val="0"/>
        <w:widowControl w:val="0"/>
        <w:shd w:val="clear" w:color="auto" w:fill="auto"/>
        <w:tabs>
          <w:tab w:pos="786" w:val="left"/>
        </w:tabs>
        <w:bidi w:val="0"/>
        <w:spacing w:before="0" w:after="120" w:line="311" w:lineRule="exact"/>
        <w:ind w:left="0" w:right="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金融资产和金融负债转移的确认依据和计量方法</w:t>
      </w:r>
    </w:p>
    <w:p>
      <w:pPr>
        <w:pStyle w:val="Style18"/>
        <w:keepNext w:val="0"/>
        <w:keepLines w:val="0"/>
        <w:widowControl w:val="0"/>
        <w:shd w:val="clear" w:color="auto" w:fill="auto"/>
        <w:tabs>
          <w:tab w:pos="694" w:val="left"/>
        </w:tabs>
        <w:bidi w:val="0"/>
        <w:spacing w:before="0" w:after="0" w:line="360" w:lineRule="auto"/>
        <w:ind w:left="0" w:right="0"/>
        <w:jc w:val="both"/>
      </w:pPr>
      <w:bookmarkStart w:id="820" w:name="bookmark820"/>
      <w:r>
        <w:rPr>
          <w:rFonts w:ascii="Times New Roman" w:eastAsia="Times New Roman" w:hAnsi="Times New Roman" w:cs="Times New Roman"/>
          <w:color w:val="000000"/>
          <w:spacing w:val="0"/>
          <w:w w:val="100"/>
          <w:position w:val="0"/>
          <w:sz w:val="18"/>
          <w:szCs w:val="18"/>
        </w:rPr>
        <w:t>1</w:t>
      </w:r>
      <w:bookmarkEnd w:id="820"/>
      <w:r>
        <w:rPr>
          <w:color w:val="000000"/>
          <w:spacing w:val="0"/>
          <w:w w:val="100"/>
          <w:position w:val="0"/>
        </w:rPr>
        <w:t>）</w:t>
        <w:tab/>
        <w:t>金融资产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本公司金融资产满足下列条件之一的，予以终止确认：①收取该金融资产现金流量的合同权利终止；②该金融资产已转 移，且本公司转移了金融资产所有权上几乎所有的风险和报酬；③该金融资产已转移，虽然本公司既没有转移也没有保留金 融资产所有权上几乎所有报酬的，但未保留对该金融资产的控制。</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本公司既没有转移也没有保留金融资产所有权上几乎所有报酬的，且未保留了对该金融资产控制的，按照继续涉入被转 移金融资产的程度确认有关金融资产，并相应确认相关负债。</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金融资产转移整体满足终止确认条件的，将以下两项金额的差额计入当期损益：①被转移金融资产在终止确认日的账面 价值；②因转移金融资产而收到的对价，与原直接计入其他综合收益的公允价值变动累计额中对应终止确认部分的金额（涉 及转移的金融资产为分类为以公允价值计量且其变动计入其他综合收益的金融资产）之和。</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金融资产部分转移满足终止确认条件的，将所转移金融资产整体的账面价值，在终止确认部分和未终止确认部分之间， 先按照转移日各自的相对公允价值进行分摊，然后将以下两项金额的差额计入当期损益：</w:t>
      </w:r>
    </w:p>
    <w:p>
      <w:pPr>
        <w:pStyle w:val="Style18"/>
        <w:keepNext w:val="0"/>
        <w:keepLines w:val="0"/>
        <w:widowControl w:val="0"/>
        <w:numPr>
          <w:ilvl w:val="0"/>
          <w:numId w:val="19"/>
        </w:numPr>
        <w:shd w:val="clear" w:color="auto" w:fill="auto"/>
        <w:bidi w:val="0"/>
        <w:spacing w:before="0" w:after="120" w:line="311" w:lineRule="exact"/>
        <w:ind w:left="0" w:right="0"/>
        <w:jc w:val="both"/>
      </w:pPr>
      <w:bookmarkStart w:id="821" w:name="bookmark821"/>
      <w:bookmarkEnd w:id="821"/>
      <w:r>
        <w:rPr>
          <w:color w:val="000000"/>
          <w:spacing w:val="0"/>
          <w:w w:val="100"/>
          <w:position w:val="0"/>
        </w:rPr>
        <w:t>终止确认部分在终止确认日的账面价值；②终止确认部分收到的对价，与原计入其他综合收益的公允价值变动累计额 中对应终止确认部分的金额（涉及转移的金融资产为分类为以公允价值计量且其变动计入其他综合收益的金融资产）之和。</w:t>
      </w:r>
    </w:p>
    <w:p>
      <w:pPr>
        <w:pStyle w:val="Style18"/>
        <w:keepNext w:val="0"/>
        <w:keepLines w:val="0"/>
        <w:widowControl w:val="0"/>
        <w:shd w:val="clear" w:color="auto" w:fill="auto"/>
        <w:tabs>
          <w:tab w:pos="709" w:val="left"/>
        </w:tabs>
        <w:bidi w:val="0"/>
        <w:spacing w:before="0" w:after="0" w:line="360" w:lineRule="auto"/>
        <w:ind w:left="0" w:right="0"/>
        <w:jc w:val="both"/>
      </w:pPr>
      <w:bookmarkStart w:id="822" w:name="bookmark822"/>
      <w:r>
        <w:rPr>
          <w:rFonts w:ascii="Times New Roman" w:eastAsia="Times New Roman" w:hAnsi="Times New Roman" w:cs="Times New Roman"/>
          <w:color w:val="000000"/>
          <w:spacing w:val="0"/>
          <w:w w:val="100"/>
          <w:position w:val="0"/>
          <w:sz w:val="18"/>
          <w:szCs w:val="18"/>
        </w:rPr>
        <w:t>2</w:t>
      </w:r>
      <w:bookmarkEnd w:id="822"/>
      <w:r>
        <w:rPr>
          <w:color w:val="000000"/>
          <w:spacing w:val="0"/>
          <w:w w:val="100"/>
          <w:position w:val="0"/>
        </w:rPr>
        <w:t>）</w:t>
        <w:tab/>
        <w:t>金融负债</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金融负债（或其一部分）的现时义务已经解除的，本公司终止确认该金融负债（或该部分金融负债）。金融负债（或其 一部分）终止确认的，本公司将其账面价值与支付的对价（包括转出的非现金资产或承担的负债）之间的差额，计入当期损 益。</w:t>
      </w:r>
    </w:p>
    <w:p>
      <w:pPr>
        <w:pStyle w:val="Style18"/>
        <w:keepNext w:val="0"/>
        <w:keepLines w:val="0"/>
        <w:widowControl w:val="0"/>
        <w:shd w:val="clear" w:color="auto" w:fill="auto"/>
        <w:tabs>
          <w:tab w:pos="786" w:val="left"/>
        </w:tabs>
        <w:bidi w:val="0"/>
        <w:spacing w:before="0" w:after="120" w:line="311" w:lineRule="exact"/>
        <w:ind w:left="0" w:right="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金融资产减值</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）预期信用损失的确定方法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本公司以预期信用损失为基础，对以摊余成本计量的金融资产（不含应收款项及应收票据）、分类为以公允价值计量且 其变动计入其他综合收益的债权投资（含应收款项融资）、租赁应收款进行减值会计处理并确认损失准备。</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本公司基于单项和组合评估金融工具的预期信用损失，当单项金融资产无法以合理成本评估预期信用损失的信息时，本 公司依据信用风险特征在划分组合的基础上计算预期信用损失；在评估预期信用损失时，本公司考虑有关过去事项、当前状 况以及对未来经济状况的预测等合理且有依据的信息，以发生违约的风险为权重，计算合同应收的现金流量与预期能收到的 现金流量之间差额的现值的概率加权金额，确认预期信用损失。</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本公司在每个资产负债表日评估相关金融工具的信用风险自初始确认后是否显著增加，将金融工具发生信用减值的过程 分为三个阶段，对于不同阶段的金融工具减值有不同的会计处理方法：①第一阶段，金融工具的信用风险自初始确认后未显 著增加的，本公司按照该金融工具未来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个月的预期信用损失计量损失准备，并按照其账面余额（即未扣除减值准备）和实 际利率计算利息收入；②第二阶段，金融工具的信用风险自初始确认后已显著增加但未发生信用减值的，本公司按照该金融 工具整个存续期的预期信用损失计量损失准备，并按照其账面余额和实际利率计算利息收入；③第三阶段，初始确认后发生 信用减值的，本公司按照该金融工具整个存续期的预期信用损失计量损失准备，并按照其摊余成本（账面余额减已计提减值 准备）和实际利率计算利息收入。</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较低信用风险的金融工具计量损失准备的方法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对于在资产负债表日具有较低信用风险的金融工具，本公司可以不用与其初始确认时的信用风险进行比较，而直接做出 该工具的信用风险自初始确认后未显著增加的假定。</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本公司在计量金融工具发生信用减值时，评估信用风险是否显著增加考虑了以下因素：</w:t>
      </w:r>
    </w:p>
    <w:p>
      <w:pPr>
        <w:pStyle w:val="Style18"/>
        <w:keepNext w:val="0"/>
        <w:keepLines w:val="0"/>
        <w:widowControl w:val="0"/>
        <w:numPr>
          <w:ilvl w:val="0"/>
          <w:numId w:val="21"/>
        </w:numPr>
        <w:shd w:val="clear" w:color="auto" w:fill="auto"/>
        <w:bidi w:val="0"/>
        <w:spacing w:before="0" w:after="120" w:line="311" w:lineRule="exact"/>
        <w:ind w:left="0" w:right="0"/>
        <w:jc w:val="both"/>
      </w:pPr>
      <w:bookmarkStart w:id="824" w:name="bookmark824"/>
      <w:bookmarkEnd w:id="824"/>
      <w:r>
        <w:rPr>
          <w:color w:val="000000"/>
          <w:spacing w:val="0"/>
          <w:w w:val="100"/>
          <w:position w:val="0"/>
        </w:rPr>
        <w:t>发行方或债务人发生重大财务困难；</w:t>
      </w:r>
    </w:p>
    <w:p>
      <w:pPr>
        <w:pStyle w:val="Style18"/>
        <w:keepNext w:val="0"/>
        <w:keepLines w:val="0"/>
        <w:widowControl w:val="0"/>
        <w:numPr>
          <w:ilvl w:val="0"/>
          <w:numId w:val="21"/>
        </w:numPr>
        <w:shd w:val="clear" w:color="auto" w:fill="auto"/>
        <w:tabs>
          <w:tab w:pos="697" w:val="left"/>
        </w:tabs>
        <w:bidi w:val="0"/>
        <w:spacing w:before="0" w:after="0" w:line="314" w:lineRule="exact"/>
        <w:ind w:left="0" w:right="0" w:firstLine="360"/>
        <w:jc w:val="left"/>
      </w:pPr>
      <w:bookmarkStart w:id="825" w:name="bookmark825"/>
      <w:bookmarkEnd w:id="825"/>
      <w:r>
        <w:rPr>
          <w:color w:val="000000"/>
          <w:spacing w:val="0"/>
          <w:w w:val="100"/>
          <w:position w:val="0"/>
        </w:rPr>
        <w:t>债务人违反合同，如本金或偿付利息违约或逾期等；</w:t>
      </w:r>
    </w:p>
    <w:p>
      <w:pPr>
        <w:pStyle w:val="Style18"/>
        <w:keepNext w:val="0"/>
        <w:keepLines w:val="0"/>
        <w:widowControl w:val="0"/>
        <w:numPr>
          <w:ilvl w:val="0"/>
          <w:numId w:val="21"/>
        </w:numPr>
        <w:shd w:val="clear" w:color="auto" w:fill="auto"/>
        <w:tabs>
          <w:tab w:pos="697" w:val="left"/>
        </w:tabs>
        <w:bidi w:val="0"/>
        <w:spacing w:before="0" w:after="0" w:line="314" w:lineRule="exact"/>
        <w:ind w:left="0" w:right="0" w:firstLine="360"/>
        <w:jc w:val="left"/>
      </w:pPr>
      <w:bookmarkStart w:id="826" w:name="bookmark826"/>
      <w:bookmarkEnd w:id="826"/>
      <w:r>
        <w:rPr>
          <w:color w:val="000000"/>
          <w:spacing w:val="0"/>
          <w:w w:val="100"/>
          <w:position w:val="0"/>
        </w:rPr>
        <w:t>债务人很可能破产或进行其他财务重组；</w:t>
      </w:r>
    </w:p>
    <w:p>
      <w:pPr>
        <w:pStyle w:val="Style18"/>
        <w:keepNext w:val="0"/>
        <w:keepLines w:val="0"/>
        <w:widowControl w:val="0"/>
        <w:numPr>
          <w:ilvl w:val="0"/>
          <w:numId w:val="21"/>
        </w:numPr>
        <w:shd w:val="clear" w:color="auto" w:fill="auto"/>
        <w:tabs>
          <w:tab w:pos="697" w:val="left"/>
        </w:tabs>
        <w:bidi w:val="0"/>
        <w:spacing w:before="0" w:after="100" w:line="314" w:lineRule="exact"/>
        <w:ind w:left="0" w:right="0" w:firstLine="360"/>
        <w:jc w:val="left"/>
      </w:pPr>
      <w:bookmarkStart w:id="827" w:name="bookmark827"/>
      <w:bookmarkEnd w:id="827"/>
      <w:r>
        <w:rPr>
          <w:color w:val="000000"/>
          <w:spacing w:val="0"/>
          <w:w w:val="100"/>
          <w:position w:val="0"/>
        </w:rPr>
        <w:t>发行人或债务人财务困难导致该金融资产的活跃市场消失。</w:t>
      </w:r>
    </w:p>
    <w:p>
      <w:pPr>
        <w:pStyle w:val="Style18"/>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）预期信用损失的会计处理方法</w:t>
      </w:r>
    </w:p>
    <w:p>
      <w:pPr>
        <w:pStyle w:val="Style18"/>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准备的增加或转回金额，应当作为减值损失或利得计入当期损益，并根据金融工具的种类，抵减该金融资产在资产负债表中 列示的账面价值或计入预计负债（贷款承诺或财务担保合同）或计入其他综合收益（以公允价值计量且其变动计入其他综合 收益的债权投资）。</w:t>
      </w:r>
    </w:p>
    <w:p>
      <w:pPr>
        <w:pStyle w:val="Style25"/>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）按组合评估预期信用风险和计量预期信用损失的金融工具（包括其他应收款、长期应收款等）</w:t>
      </w:r>
    </w:p>
    <w:tbl>
      <w:tblPr>
        <w:tblOverlap w:val="never"/>
        <w:jc w:val="center"/>
        <w:tblLayout w:type="fixed"/>
      </w:tblPr>
      <w:tblGrid>
        <w:gridCol w:w="3058"/>
        <w:gridCol w:w="1632"/>
        <w:gridCol w:w="4829"/>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计量预期信用损失方法</w:t>
            </w:r>
          </w:p>
        </w:tc>
      </w:tr>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合并报表范围内关联 方、保证金及员工借款组合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不计提。</w:t>
            </w:r>
          </w:p>
        </w:tc>
      </w:tr>
      <w:tr>
        <w:trPr>
          <w:trHeight w:val="9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其他应收的暂付款组合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 用损失率，计算预期信用损失。</w:t>
            </w:r>
          </w:p>
        </w:tc>
      </w:tr>
    </w:tbl>
    <w:p>
      <w:pPr>
        <w:pStyle w:val="Style25"/>
        <w:keepNext w:val="0"/>
        <w:keepLines w:val="0"/>
        <w:widowControl w:val="0"/>
        <w:shd w:val="clear" w:color="auto" w:fill="auto"/>
        <w:bidi w:val="0"/>
        <w:spacing w:before="0" w:after="0" w:line="240" w:lineRule="auto"/>
        <w:ind w:left="3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）金融资产和金融负债的抵销</w:t>
      </w:r>
    </w:p>
    <w:p>
      <w:pPr>
        <w:pStyle w:val="Style18"/>
        <w:keepNext w:val="0"/>
        <w:keepLines w:val="0"/>
        <w:widowControl w:val="0"/>
        <w:shd w:val="clear" w:color="auto" w:fill="auto"/>
        <w:bidi w:val="0"/>
        <w:spacing w:before="0" w:after="400" w:line="314" w:lineRule="exact"/>
        <w:ind w:left="0" w:right="0" w:firstLine="360"/>
        <w:jc w:val="left"/>
      </w:pPr>
      <w:r>
        <w:rPr>
          <w:color w:val="000000"/>
          <w:spacing w:val="0"/>
          <w:w w:val="100"/>
          <w:position w:val="0"/>
        </w:rPr>
        <w:t>金融资产和金融负债在资产负债表内分别列示，不相互抵销。但同时满足下列条件的，公司以相互抵销后的净额在资产 负债表内列示：①公司具有抵销已确认金额的法定权利，且该种法定权利是当前可执行的；②公司计划以净额结算，或同时 变现该金融资产和清偿该金融负债。不满足终止确认条件的金融资产转移，公司不对已转移的金融资产和相关负债进行抵销。</w:t>
      </w:r>
    </w:p>
    <w:p>
      <w:pPr>
        <w:pStyle w:val="Style29"/>
        <w:keepNext/>
        <w:keepLines/>
        <w:widowControl w:val="0"/>
        <w:shd w:val="clear" w:color="auto" w:fill="auto"/>
        <w:tabs>
          <w:tab w:pos="493" w:val="left"/>
        </w:tabs>
        <w:bidi w:val="0"/>
        <w:spacing w:before="0" w:after="2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8"/>
      <w:bookmarkEnd w:id="829"/>
      <w:bookmarkEnd w:id="831"/>
    </w:p>
    <w:p>
      <w:pPr>
        <w:pStyle w:val="Style18"/>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由于应收票据期限较短、违约风险较低，在短期内履行其支付合同现金流量义务的能力很强，因此将应收票据视为具有 较低的信用风险的金融工具，对应收票据组合，坏账准备计提方法如下：结合承兑人、背书人、出票人以及其他债务人的信 用风险，银行承兑汇票不计提坏账准备；商业承兑汇票参考历史信用损失经验，结合当前状况以及对未来经济状况的预期计 量坏账准备。</w:t>
      </w:r>
    </w:p>
    <w:p>
      <w:pPr>
        <w:pStyle w:val="Style29"/>
        <w:keepNext/>
        <w:keepLines/>
        <w:widowControl w:val="0"/>
        <w:shd w:val="clear" w:color="auto" w:fill="auto"/>
        <w:tabs>
          <w:tab w:pos="493" w:val="left"/>
        </w:tabs>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2"/>
      <w:bookmarkEnd w:id="833"/>
      <w:bookmarkEnd w:id="835"/>
    </w:p>
    <w:p>
      <w:pPr>
        <w:pStyle w:val="Style1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对于应收账款，无论是否包含重大融资成分，本公司始终按照相当于整个存续期内预期信用损失的金额计量其损失准备， 由此形成的损失准备的增加或转回金额，作为减值损失或利得计入当期损益。本公司将应收账款按类似信用风险特征（账龄） 进行组合，并基于所有合理且有依据的信息，包括参考历史信用损失经验，结合当前状况并考虑前瞻性信息，以账龄组合作 为信息风险特征，并在此基础上估计应收款项预期信息损失。</w:t>
      </w:r>
    </w:p>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公司按信用风险特征确定的组合及坏账准备计提方法如下：</w:t>
      </w:r>
    </w:p>
    <w:tbl>
      <w:tblPr>
        <w:tblOverlap w:val="never"/>
        <w:jc w:val="center"/>
        <w:tblLayout w:type="fixed"/>
      </w:tblPr>
      <w:tblGrid>
        <w:gridCol w:w="4882"/>
        <w:gridCol w:w="4445"/>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合并范围外的账龄组合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w:t>
            </w:r>
          </w:p>
        </w:tc>
      </w:tr>
    </w:tbl>
    <w:p>
      <w:pPr>
        <w:widowControl w:val="0"/>
        <w:spacing w:after="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公司应收账款按信用风险特征组合的账龄与整个存续期预期信用损失率对照表如下:</w:t>
      </w:r>
    </w:p>
    <w:tbl>
      <w:tblPr>
        <w:tblOverlap w:val="never"/>
        <w:jc w:val="center"/>
        <w:tblLayout w:type="fixed"/>
      </w:tblPr>
      <w:tblGrid>
        <w:gridCol w:w="4882"/>
        <w:gridCol w:w="4354"/>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第三方支付业务以外的应收款项</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line="1" w:lineRule="exact"/>
      </w:pPr>
    </w:p>
    <w:tbl>
      <w:tblPr>
        <w:tblOverlap w:val="never"/>
        <w:jc w:val="center"/>
        <w:tblLayout w:type="fixed"/>
      </w:tblPr>
      <w:tblGrid>
        <w:gridCol w:w="4882"/>
        <w:gridCol w:w="435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第三方支付业务的应收款项</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29"/>
        <w:keepNext/>
        <w:keepLines/>
        <w:widowControl w:val="0"/>
        <w:shd w:val="clear" w:color="auto" w:fill="auto"/>
        <w:tabs>
          <w:tab w:pos="474"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6"/>
      <w:bookmarkEnd w:id="837"/>
      <w:bookmarkEnd w:id="839"/>
    </w:p>
    <w:p>
      <w:pPr>
        <w:pStyle w:val="Style18"/>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本公司应收款项融资是反映资产负债表日以公允价值计量且其变动计入其他综合收益的应收票据和应收账款等。当本公 司管理该类应收票据和应收账款的业务模式为既以收取合同现金流量为目标又以出售该金融资产为目标时，本公司将其列入 应收款项融资进行列报。</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0"/>
      <w:bookmarkEnd w:id="841"/>
      <w:bookmarkEnd w:id="843"/>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380" w:line="307" w:lineRule="exact"/>
        <w:ind w:left="0" w:right="0" w:firstLine="360"/>
        <w:jc w:val="left"/>
      </w:pPr>
      <w:r>
        <w:rPr>
          <w:color w:val="000000"/>
          <w:spacing w:val="0"/>
          <w:w w:val="100"/>
          <w:position w:val="0"/>
        </w:rPr>
        <w:t>对于除应收账款及应收票据以外其他的应收款项（包括其他应收款、长期应收款等）的减值损失计量，比照本附注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五、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所述的金融资产减值方法进行处理。</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4"/>
      <w:bookmarkEnd w:id="845"/>
      <w:bookmarkEnd w:id="847"/>
    </w:p>
    <w:p>
      <w:pPr>
        <w:pStyle w:val="Style18"/>
        <w:keepNext w:val="0"/>
        <w:keepLines w:val="0"/>
        <w:widowControl w:val="0"/>
        <w:shd w:val="clear" w:color="auto" w:fill="auto"/>
        <w:tabs>
          <w:tab w:pos="805" w:val="left"/>
        </w:tabs>
        <w:bidi w:val="0"/>
        <w:spacing w:before="0" w:after="0" w:line="312" w:lineRule="exact"/>
        <w:ind w:left="0" w:right="0" w:firstLine="360"/>
        <w:jc w:val="left"/>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存货主要包括库存商品、原材料、委托加工商品、合同履约成本、发出商品、低值易耗品等。</w:t>
      </w:r>
    </w:p>
    <w:p>
      <w:pPr>
        <w:pStyle w:val="Style18"/>
        <w:keepNext w:val="0"/>
        <w:keepLines w:val="0"/>
        <w:widowControl w:val="0"/>
        <w:shd w:val="clear" w:color="auto" w:fill="auto"/>
        <w:tabs>
          <w:tab w:pos="805" w:val="left"/>
        </w:tabs>
        <w:bidi w:val="0"/>
        <w:spacing w:before="0" w:after="0" w:line="312" w:lineRule="exact"/>
        <w:ind w:left="0" w:right="0" w:firstLine="36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存货在取得时按实际成本计价，存货成本包括采购成本、加工成本和其他成本。领用和发出时按加权平均法计价</w:t>
      </w:r>
    </w:p>
    <w:p>
      <w:pPr>
        <w:pStyle w:val="Style18"/>
        <w:keepNext w:val="0"/>
        <w:keepLines w:val="0"/>
        <w:widowControl w:val="0"/>
        <w:shd w:val="clear" w:color="auto" w:fill="auto"/>
        <w:tabs>
          <w:tab w:pos="805" w:val="left"/>
        </w:tabs>
        <w:bidi w:val="0"/>
        <w:spacing w:before="0" w:after="0" w:line="312" w:lineRule="exact"/>
        <w:ind w:left="0" w:right="0" w:firstLine="36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tabs>
          <w:tab w:pos="805" w:val="left"/>
        </w:tabs>
        <w:bidi w:val="0"/>
        <w:spacing w:before="0" w:after="0" w:line="312" w:lineRule="exact"/>
        <w:ind w:left="0" w:right="0" w:firstLine="360"/>
        <w:jc w:val="left"/>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18"/>
        <w:keepNext w:val="0"/>
        <w:keepLines w:val="0"/>
        <w:widowControl w:val="0"/>
        <w:shd w:val="clear" w:color="auto" w:fill="auto"/>
        <w:tabs>
          <w:tab w:pos="805" w:val="left"/>
        </w:tabs>
        <w:bidi w:val="0"/>
        <w:spacing w:before="0" w:after="0" w:line="312" w:lineRule="exact"/>
        <w:ind w:left="0" w:right="0" w:firstLine="360"/>
        <w:jc w:val="left"/>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18"/>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低值易耗品于领用时按一次摊销法摊销。</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3"/>
      <w:bookmarkEnd w:id="854"/>
      <w:bookmarkEnd w:id="856"/>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合同资产是指本公司已向客户转让商品或服务而有权收取对价的权利，且该权利取决于时间流逝之外的其他因素。本公 </w:t>
      </w:r>
      <w:r>
        <w:rPr>
          <w:color w:val="000000"/>
          <w:spacing w:val="0"/>
          <w:w w:val="100"/>
          <w:position w:val="0"/>
        </w:rPr>
        <w:t>司拥有的无条件（即，仅取决于时间流逝）向客户收取对价的权利作为应收款项单独列示。</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sz w:val="18"/>
          <w:szCs w:val="18"/>
        </w:rPr>
        <w:t>12 .</w:t>
      </w:r>
      <w:r>
        <w:rPr>
          <w:color w:val="000000"/>
          <w:spacing w:val="0"/>
          <w:w w:val="100"/>
          <w:position w:val="0"/>
        </w:rPr>
        <w:t>应收账款的确定方法。</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会计处理方法，本公司在资产负债表日计算合同资产预期信用损失，如果该预期信用损失大于当前合同资产减值准备的 账面金额，本公司将其差额确认为减值损失，借记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。相反，本公司将差额确认为 减值利得，做相反的会计记录。本公司实际发生信用损失，认定相关合同资产无法收回，经批准予以核销的，根据批准的核 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合同资产匚若核销金额大于已计提的损失准备，按其差额借记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522"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7"/>
      <w:bookmarkEnd w:id="858"/>
      <w:bookmarkEnd w:id="860"/>
    </w:p>
    <w:p>
      <w:pPr>
        <w:pStyle w:val="Style18"/>
        <w:keepNext w:val="0"/>
        <w:keepLines w:val="0"/>
        <w:widowControl w:val="0"/>
        <w:shd w:val="clear" w:color="auto" w:fill="auto"/>
        <w:bidi w:val="0"/>
        <w:spacing w:before="0" w:after="120" w:line="313" w:lineRule="exact"/>
        <w:ind w:left="0" w:right="0"/>
        <w:jc w:val="both"/>
      </w:pPr>
      <w:r>
        <w:rPr>
          <w:color w:val="000000"/>
          <w:spacing w:val="0"/>
          <w:w w:val="100"/>
          <w:position w:val="0"/>
        </w:rPr>
        <w:t>合同成本分为合同履约成本与合同取得成本。</w:t>
      </w:r>
    </w:p>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本公司为履行合同而发生的成本，在同时满足下列条件时作为合同履约成本确认为一项资产：</w:t>
      </w:r>
    </w:p>
    <w:p>
      <w:pPr>
        <w:pStyle w:val="Style18"/>
        <w:keepNext w:val="0"/>
        <w:keepLines w:val="0"/>
        <w:widowControl w:val="0"/>
        <w:numPr>
          <w:ilvl w:val="0"/>
          <w:numId w:val="23"/>
        </w:numPr>
        <w:shd w:val="clear" w:color="auto" w:fill="auto"/>
        <w:tabs>
          <w:tab w:pos="718" w:val="left"/>
        </w:tabs>
        <w:bidi w:val="0"/>
        <w:spacing w:before="0" w:after="0" w:line="346" w:lineRule="exact"/>
        <w:ind w:left="0" w:right="0"/>
        <w:jc w:val="both"/>
      </w:pPr>
      <w:bookmarkStart w:id="861" w:name="bookmark861"/>
      <w:bookmarkEnd w:id="861"/>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18"/>
        <w:keepNext w:val="0"/>
        <w:keepLines w:val="0"/>
        <w:widowControl w:val="0"/>
        <w:numPr>
          <w:ilvl w:val="0"/>
          <w:numId w:val="23"/>
        </w:numPr>
        <w:shd w:val="clear" w:color="auto" w:fill="auto"/>
        <w:tabs>
          <w:tab w:pos="743" w:val="left"/>
        </w:tabs>
        <w:bidi w:val="0"/>
        <w:spacing w:before="0" w:after="0" w:line="313" w:lineRule="exact"/>
        <w:ind w:left="0" w:right="0"/>
        <w:jc w:val="both"/>
      </w:pPr>
      <w:bookmarkStart w:id="862" w:name="bookmark862"/>
      <w:bookmarkEnd w:id="862"/>
      <w:r>
        <w:rPr>
          <w:color w:val="000000"/>
          <w:spacing w:val="0"/>
          <w:w w:val="100"/>
          <w:position w:val="0"/>
        </w:rPr>
        <w:t>该成本增加了本公司未来用于履行履约义务的资源。</w:t>
      </w:r>
    </w:p>
    <w:p>
      <w:pPr>
        <w:pStyle w:val="Style18"/>
        <w:keepNext w:val="0"/>
        <w:keepLines w:val="0"/>
        <w:widowControl w:val="0"/>
        <w:numPr>
          <w:ilvl w:val="0"/>
          <w:numId w:val="23"/>
        </w:numPr>
        <w:shd w:val="clear" w:color="auto" w:fill="auto"/>
        <w:tabs>
          <w:tab w:pos="743" w:val="left"/>
        </w:tabs>
        <w:bidi w:val="0"/>
        <w:spacing w:before="0" w:after="0" w:line="313" w:lineRule="exact"/>
        <w:ind w:left="0" w:right="0"/>
        <w:jc w:val="both"/>
      </w:pPr>
      <w:bookmarkStart w:id="863" w:name="bookmark863"/>
      <w:bookmarkEnd w:id="863"/>
      <w:r>
        <w:rPr>
          <w:color w:val="000000"/>
          <w:spacing w:val="0"/>
          <w:w w:val="100"/>
          <w:position w:val="0"/>
        </w:rPr>
        <w:t>该成本预期能够收回。</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18"/>
        <w:keepNext w:val="0"/>
        <w:keepLines w:val="0"/>
        <w:widowControl w:val="0"/>
        <w:numPr>
          <w:ilvl w:val="0"/>
          <w:numId w:val="25"/>
        </w:numPr>
        <w:shd w:val="clear" w:color="auto" w:fill="auto"/>
        <w:tabs>
          <w:tab w:pos="743" w:val="left"/>
        </w:tabs>
        <w:bidi w:val="0"/>
        <w:spacing w:before="0" w:after="0" w:line="313" w:lineRule="exact"/>
        <w:ind w:left="0" w:right="0"/>
        <w:jc w:val="both"/>
      </w:pPr>
      <w:bookmarkStart w:id="864" w:name="bookmark864"/>
      <w:bookmarkEnd w:id="864"/>
      <w:r>
        <w:rPr>
          <w:color w:val="000000"/>
          <w:spacing w:val="0"/>
          <w:w w:val="100"/>
          <w:position w:val="0"/>
        </w:rPr>
        <w:t>因转让与该资产相关的商品或服务预期能够取得的剩余对价；</w:t>
      </w:r>
    </w:p>
    <w:p>
      <w:pPr>
        <w:pStyle w:val="Style18"/>
        <w:keepNext w:val="0"/>
        <w:keepLines w:val="0"/>
        <w:widowControl w:val="0"/>
        <w:numPr>
          <w:ilvl w:val="0"/>
          <w:numId w:val="25"/>
        </w:numPr>
        <w:shd w:val="clear" w:color="auto" w:fill="auto"/>
        <w:tabs>
          <w:tab w:pos="743" w:val="left"/>
        </w:tabs>
        <w:bidi w:val="0"/>
        <w:spacing w:before="0" w:after="0" w:line="313" w:lineRule="exact"/>
        <w:ind w:left="0" w:right="0"/>
        <w:jc w:val="both"/>
      </w:pPr>
      <w:bookmarkStart w:id="865" w:name="bookmark865"/>
      <w:bookmarkEnd w:id="865"/>
      <w:r>
        <w:rPr>
          <w:color w:val="000000"/>
          <w:spacing w:val="0"/>
          <w:w w:val="100"/>
          <w:position w:val="0"/>
        </w:rPr>
        <w:t>为转让该相关商品或服务估计将要发生的成本。</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18"/>
        <w:keepNext w:val="0"/>
        <w:keepLines w:val="0"/>
        <w:widowControl w:val="0"/>
        <w:shd w:val="clear" w:color="auto" w:fill="auto"/>
        <w:bidi w:val="0"/>
        <w:spacing w:before="0" w:after="380" w:line="313" w:lineRule="exact"/>
        <w:ind w:left="0" w:right="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9"/>
        <w:keepNext/>
        <w:keepLines/>
        <w:widowControl w:val="0"/>
        <w:shd w:val="clear" w:color="auto" w:fill="auto"/>
        <w:tabs>
          <w:tab w:pos="522"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66"/>
      <w:bookmarkEnd w:id="867"/>
      <w:bookmarkEnd w:id="869"/>
    </w:p>
    <w:p>
      <w:pPr>
        <w:pStyle w:val="Style18"/>
        <w:keepNext w:val="0"/>
        <w:keepLines w:val="0"/>
        <w:widowControl w:val="0"/>
        <w:shd w:val="clear" w:color="auto" w:fill="auto"/>
        <w:tabs>
          <w:tab w:pos="815" w:val="left"/>
        </w:tabs>
        <w:bidi w:val="0"/>
        <w:spacing w:before="0" w:after="0" w:line="311" w:lineRule="exact"/>
        <w:ind w:left="0" w:right="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持有待售的非流动资产或处置组的分类</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将同时满足下列条件的非流动资产或处置组划分为持有待售类别：①根据类似交易中出售此类资产或处置组的惯例，在 当前状况下即可立即出售；②出售极可能发生，即公司已经就出售计划作出决议且获得确定的购买承诺，预计出售将在一年 内完成。</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公司专为转售而取得的非流动资产或处置组，在取得日满足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的条件，且短期（通常为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月）内很可能满足持有待售类别的其他划分条件的，在取得日将其划分为持有待售类别。因公司无法控制的下列原因之一， 导致非关联方之间的交易未能在一年内完成，且公司仍然承诺出售非流动资产或处置组的，继续将非流动资产或处置组划分 为持有待售类别：①买方或其他方意外设定导致出售延期的条件，公司针对这些条件已经及时采取行动，且预计能够自设定 导致出售延期的条件起一年内顺利化解延期因素；②因发生罕见情况，导致持有待售的非流动资产或处置组未能在一年内完 成出售，公司在最初一年内已经针对这些新情况采取必要措施且重新满足了持有待售类别的划分条件。</w:t>
      </w:r>
    </w:p>
    <w:p>
      <w:pPr>
        <w:pStyle w:val="Style18"/>
        <w:keepNext w:val="0"/>
        <w:keepLines w:val="0"/>
        <w:widowControl w:val="0"/>
        <w:shd w:val="clear" w:color="auto" w:fill="auto"/>
        <w:tabs>
          <w:tab w:pos="815" w:val="left"/>
        </w:tabs>
        <w:bidi w:val="0"/>
        <w:spacing w:before="0" w:after="0" w:line="311" w:lineRule="exact"/>
        <w:ind w:left="0" w:right="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持有待售的非流动资产或处置组的计量</w:t>
      </w:r>
    </w:p>
    <w:p>
      <w:pPr>
        <w:pStyle w:val="Style18"/>
        <w:keepNext w:val="0"/>
        <w:keepLines w:val="0"/>
        <w:widowControl w:val="0"/>
        <w:numPr>
          <w:ilvl w:val="0"/>
          <w:numId w:val="27"/>
        </w:numPr>
        <w:shd w:val="clear" w:color="auto" w:fill="auto"/>
        <w:bidi w:val="0"/>
        <w:spacing w:before="0" w:after="200" w:line="311" w:lineRule="exact"/>
        <w:ind w:left="0" w:right="0"/>
        <w:jc w:val="left"/>
      </w:pPr>
      <w:bookmarkStart w:id="872" w:name="bookmark872"/>
      <w:bookmarkEnd w:id="872"/>
      <w:r>
        <w:rPr>
          <w:color w:val="000000"/>
          <w:spacing w:val="0"/>
          <w:w w:val="100"/>
          <w:position w:val="0"/>
        </w:rPr>
        <w:t>初始计量和后续计量初始计量和在资产负债表日重新计量持有待售的非流动资产或处置组时，其账面价值高于公允价 值减去出售费用后的净额的，将账面价值减记至公允价值减去出售费用后的净额，减记的金额确认为资产减值损失，计入当 期损益，同时计提持有待售资产减值准备。</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计量金额和公允价值减去出售费用后的净额，以两者孰低计量。除企业合并中取得的非流动资产或处置组外，由非流动资产 或处置组以公允价值减去出售费用后的净额作为初始计量金额而产生的差额，计入当期损益。对于持有待售的处置组确认的 资产减值损失金额，先抵减处置组中商誉的账面价值，再根据处置组中的各项非流动资产账面价值所占比重，按比例抵减其 账面价值。持有待售的非流动资产或处置组中的非流动资产不计提折旧或摊销，持有待售的处置组中负债的利息和其他费用 继续予以确认。</w:t>
      </w:r>
    </w:p>
    <w:p>
      <w:pPr>
        <w:pStyle w:val="Style18"/>
        <w:keepNext w:val="0"/>
        <w:keepLines w:val="0"/>
        <w:widowControl w:val="0"/>
        <w:numPr>
          <w:ilvl w:val="0"/>
          <w:numId w:val="27"/>
        </w:numPr>
        <w:shd w:val="clear" w:color="auto" w:fill="auto"/>
        <w:tabs>
          <w:tab w:pos="724" w:val="left"/>
        </w:tabs>
        <w:bidi w:val="0"/>
        <w:spacing w:before="0" w:after="0" w:line="311" w:lineRule="exact"/>
        <w:ind w:left="0" w:right="0"/>
        <w:jc w:val="both"/>
      </w:pPr>
      <w:bookmarkStart w:id="873" w:name="bookmark873"/>
      <w:bookmarkEnd w:id="873"/>
      <w:r>
        <w:rPr>
          <w:color w:val="000000"/>
          <w:spacing w:val="0"/>
          <w:w w:val="100"/>
          <w:position w:val="0"/>
        </w:rPr>
        <w:t>资产减值损失转回的会计处理</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转回。</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后续资产负债表日持有待售的处置组公允价值减去出售费用后的净额增加的，以前减记的金额予以恢复，并在划分为持 有待售类别后非流动资产确认的资产减值损失金额内转回，转回金额计入当期损益。</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已抵减的商誉账面价值，以及非流动资产在划分为持有待售类别前确认的资产减值损失不转回。</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持有待售的处置组确认的资产减值损失后续转回金额，根据处置组中除商誉外各项非流动资产账面价值所占比重，按比 例增加其账面价值。</w:t>
      </w:r>
    </w:p>
    <w:p>
      <w:pPr>
        <w:pStyle w:val="Style18"/>
        <w:keepNext w:val="0"/>
        <w:keepLines w:val="0"/>
        <w:widowControl w:val="0"/>
        <w:numPr>
          <w:ilvl w:val="0"/>
          <w:numId w:val="27"/>
        </w:numPr>
        <w:shd w:val="clear" w:color="auto" w:fill="auto"/>
        <w:tabs>
          <w:tab w:pos="724" w:val="left"/>
        </w:tabs>
        <w:bidi w:val="0"/>
        <w:spacing w:before="0" w:after="0" w:line="311" w:lineRule="exact"/>
        <w:ind w:left="0" w:right="0"/>
        <w:jc w:val="both"/>
      </w:pPr>
      <w:bookmarkStart w:id="874" w:name="bookmark874"/>
      <w:bookmarkEnd w:id="874"/>
      <w:r>
        <w:rPr>
          <w:color w:val="000000"/>
          <w:spacing w:val="0"/>
          <w:w w:val="100"/>
          <w:position w:val="0"/>
        </w:rPr>
        <w:t>不再继续划分为持有待售类别以及终止确认的会计处理</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划分为持有待售类别前的账面价值，按照假定不划分为持有待售类别情况下本 应确认的折旧、摊销或减值等进行调整后的金额；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可收回金额。</w:t>
      </w:r>
    </w:p>
    <w:p>
      <w:pPr>
        <w:pStyle w:val="Style18"/>
        <w:keepNext w:val="0"/>
        <w:keepLines w:val="0"/>
        <w:widowControl w:val="0"/>
        <w:shd w:val="clear" w:color="auto" w:fill="auto"/>
        <w:bidi w:val="0"/>
        <w:spacing w:before="0" w:after="380" w:line="311" w:lineRule="exact"/>
        <w:ind w:left="0" w:right="0"/>
        <w:jc w:val="both"/>
      </w:pPr>
      <w:r>
        <w:rPr>
          <w:color w:val="000000"/>
          <w:spacing w:val="0"/>
          <w:w w:val="100"/>
          <w:position w:val="0"/>
        </w:rPr>
        <w:t>终止确认持有待售的非流动资产或处置组时，将尚未确认的利得或损失计入当期损益。</w:t>
      </w:r>
    </w:p>
    <w:p>
      <w:pPr>
        <w:pStyle w:val="Style29"/>
        <w:keepNext/>
        <w:keepLines/>
        <w:widowControl w:val="0"/>
        <w:shd w:val="clear" w:color="auto" w:fill="auto"/>
        <w:bidi w:val="0"/>
        <w:spacing w:before="0" w:after="28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9</w:t>
      </w:r>
      <w:r>
        <w:rPr>
          <w:color w:val="000000"/>
          <w:spacing w:val="0"/>
          <w:w w:val="100"/>
          <w:position w:val="0"/>
        </w:rPr>
        <w:t>、发放贷款及垫款</w:t>
      </w:r>
      <w:bookmarkEnd w:id="875"/>
      <w:bookmarkEnd w:id="876"/>
      <w:bookmarkEnd w:id="878"/>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本公司对贷款减值情况进行综合评估时，根据信用风险特征相似性和相关性对贷款进行分类。公司以五级分类为基础计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提贷款损失准备。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公司贷款五级分类及贷款损失准备计提比例:</w:t>
      </w:r>
    </w:p>
    <w:tbl>
      <w:tblPr>
        <w:tblOverlap w:val="never"/>
        <w:jc w:val="center"/>
        <w:tblLayout w:type="fixed"/>
      </w:tblPr>
      <w:tblGrid>
        <w:gridCol w:w="1003"/>
        <w:gridCol w:w="7229"/>
        <w:gridCol w:w="1286"/>
      </w:tblGrid>
      <w:tr>
        <w:trPr>
          <w:trHeight w:val="67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贷款损失准备 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正常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借款人能够履行合同，没有足够理由怀疑贷款本息不能按时足额偿还；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借款人目前有能力偿还贷款本息，但存在一些可能对偿还产生不利影响的因素；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次级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借款人的还款能力出现明显的问题，依靠其正常经营收入已无法保证足额偿还本息，即使执 行担保，也可能会造成一定损失；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借款人无法足额偿还本息，及时执行担保，也肯定要造成较大损失；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在采取所有可能的措施和一切必要的法律程序之后，本息仍然无法收回，或只能收回少部分。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879"/>
      <w:bookmarkEnd w:id="880"/>
      <w:bookmarkEnd w:id="882"/>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单位不具有控制、共同控制或重大影响的长期股权投资，作为其他权益工具投资或以公允价值计量且其变动计入当期损益的 金融资产核算，其会计政策详见附注五、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18"/>
        <w:keepNext w:val="0"/>
        <w:keepLines w:val="0"/>
        <w:widowControl w:val="0"/>
        <w:numPr>
          <w:ilvl w:val="0"/>
          <w:numId w:val="29"/>
        </w:numPr>
        <w:shd w:val="clear" w:color="auto" w:fill="auto"/>
        <w:bidi w:val="0"/>
        <w:spacing w:before="0" w:after="180" w:line="311" w:lineRule="exact"/>
        <w:ind w:left="0" w:right="0"/>
        <w:jc w:val="both"/>
      </w:pPr>
      <w:bookmarkStart w:id="883" w:name="bookmark883"/>
      <w:bookmarkEnd w:id="883"/>
      <w:r>
        <w:rPr>
          <w:color w:val="000000"/>
          <w:spacing w:val="0"/>
          <w:w w:val="100"/>
          <w:position w:val="0"/>
        </w:rPr>
        <w:t>投资成本的确定</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的，在合并日按照应享有被合并方所有者权益在最终控制方合并财务报表中的账面价值的份额作为长期股权投资的初始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其他权益工具投资而确认的其他综合收益，暂不进行会计处理。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号一一金融工具确认和计量》确定的原持有股权投资的公允价值加上 新增投资成本之和。</w:t>
      </w:r>
    </w:p>
    <w:p>
      <w:pPr>
        <w:pStyle w:val="Style18"/>
        <w:keepNext w:val="0"/>
        <w:keepLines w:val="0"/>
        <w:widowControl w:val="0"/>
        <w:numPr>
          <w:ilvl w:val="0"/>
          <w:numId w:val="29"/>
        </w:numPr>
        <w:shd w:val="clear" w:color="auto" w:fill="auto"/>
        <w:bidi w:val="0"/>
        <w:spacing w:before="0" w:after="0" w:line="312" w:lineRule="exact"/>
        <w:ind w:left="0" w:right="0"/>
        <w:jc w:val="both"/>
      </w:pPr>
      <w:bookmarkStart w:id="884" w:name="bookmark884"/>
      <w:bookmarkEnd w:id="884"/>
      <w:r>
        <w:rPr>
          <w:color w:val="000000"/>
          <w:spacing w:val="0"/>
          <w:w w:val="100"/>
          <w:position w:val="0"/>
        </w:rPr>
        <w:t>后续计量及损益确认方法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18"/>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885" w:name="bookmark885"/>
      <w:bookmarkEnd w:id="885"/>
      <w:r>
        <w:rPr>
          <w:color w:val="000000"/>
          <w:spacing w:val="0"/>
          <w:w w:val="100"/>
          <w:position w:val="0"/>
        </w:rPr>
        <w:t>成本法核算的长期股权投资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18"/>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886" w:name="bookmark886"/>
      <w:bookmarkEnd w:id="886"/>
      <w:r>
        <w:rPr>
          <w:color w:val="000000"/>
          <w:spacing w:val="0"/>
          <w:w w:val="100"/>
          <w:position w:val="0"/>
        </w:rPr>
        <w:t>权益法核算的长期股权投资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w:t>
      </w:r>
      <w:r>
        <w:rPr>
          <w:color w:val="000000"/>
          <w:spacing w:val="0"/>
          <w:w w:val="100"/>
          <w:position w:val="0"/>
        </w:rPr>
        <w:t>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号一一企业合并》的规定进行会计处理，全额确认与交易 相关的利得或损失。</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18"/>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887" w:name="bookmark887"/>
      <w:bookmarkEnd w:id="887"/>
      <w:r>
        <w:rPr>
          <w:color w:val="000000"/>
          <w:spacing w:val="0"/>
          <w:w w:val="100"/>
          <w:position w:val="0"/>
        </w:rPr>
        <w:t>收购少数股权</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18"/>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888" w:name="bookmark888"/>
      <w:bookmarkEnd w:id="888"/>
      <w:r>
        <w:rPr>
          <w:color w:val="000000"/>
          <w:spacing w:val="0"/>
          <w:w w:val="100"/>
          <w:position w:val="0"/>
        </w:rPr>
        <w:t>处置长期股权投资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9"/>
        <w:keepNext/>
        <w:keepLines/>
        <w:widowControl w:val="0"/>
        <w:shd w:val="clear" w:color="auto" w:fill="auto"/>
        <w:bidi w:val="0"/>
        <w:spacing w:before="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889"/>
      <w:bookmarkEnd w:id="890"/>
      <w:bookmarkEnd w:id="892"/>
    </w:p>
    <w:p>
      <w:pPr>
        <w:pStyle w:val="Style32"/>
        <w:keepNext/>
        <w:keepLines/>
        <w:widowControl w:val="0"/>
        <w:shd w:val="clear" w:color="auto" w:fill="auto"/>
        <w:bidi w:val="0"/>
        <w:spacing w:before="0" w:after="28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3"/>
      <w:bookmarkEnd w:id="894"/>
      <w:bookmarkEnd w:id="896"/>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2"/>
        <w:keepNext/>
        <w:keepLines/>
        <w:widowControl w:val="0"/>
        <w:shd w:val="clear" w:color="auto" w:fill="auto"/>
        <w:bidi w:val="0"/>
        <w:spacing w:before="0" w:after="36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7"/>
      <w:bookmarkEnd w:id="898"/>
      <w:bookmarkEnd w:id="900"/>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运营机具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widowControl w:val="0"/>
        <w:spacing w:after="279" w:line="1" w:lineRule="exact"/>
      </w:pPr>
    </w:p>
    <w:p>
      <w:pPr>
        <w:pStyle w:val="Style42"/>
        <w:keepNext w:val="0"/>
        <w:keepLines w:val="0"/>
        <w:widowControl w:val="0"/>
        <w:shd w:val="clear" w:color="auto" w:fill="auto"/>
        <w:tabs>
          <w:tab w:pos="493" w:val="left"/>
        </w:tabs>
        <w:bidi w:val="0"/>
        <w:spacing w:before="0" w:after="280" w:line="240" w:lineRule="auto"/>
        <w:ind w:left="0" w:right="0" w:firstLine="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3</w:t>
      </w:r>
      <w:r>
        <w:rPr>
          <w:color w:val="000000"/>
          <w:spacing w:val="0"/>
          <w:w w:val="100"/>
          <w:position w:val="0"/>
        </w:rPr>
        <w:t>）</w:t>
        <w:tab/>
        <w:t>固定资产的减值测试方法及减值准备计提方法</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固定资产的减值测试方法和减值准备计提方法详见附注三、</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2"/>
        <w:keepNext w:val="0"/>
        <w:keepLines w:val="0"/>
        <w:widowControl w:val="0"/>
        <w:shd w:val="clear" w:color="auto" w:fill="auto"/>
        <w:tabs>
          <w:tab w:pos="493" w:val="left"/>
        </w:tabs>
        <w:bidi w:val="0"/>
        <w:spacing w:before="0" w:after="280" w:line="240" w:lineRule="auto"/>
        <w:ind w:left="0" w:right="0" w:firstLine="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本公司至少于年度终了对固定资产的使用寿命、预计净残值和折旧方法进行复核，如发生改变则作为会计估计变更处理。</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903"/>
      <w:bookmarkEnd w:id="904"/>
      <w:bookmarkEnd w:id="906"/>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07"/>
      <w:bookmarkEnd w:id="908"/>
      <w:bookmarkEnd w:id="910"/>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 xml:space="preserve">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w:t>
      </w:r>
      <w:r>
        <w:rPr>
          <w:color w:val="000000"/>
          <w:spacing w:val="0"/>
          <w:w w:val="100"/>
          <w:position w:val="0"/>
        </w:rPr>
        <w:t>状态时，停止资本化。其余借款费用在发生当期确认为费用。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9"/>
        <w:keepNext/>
        <w:keepLines/>
        <w:widowControl w:val="0"/>
        <w:shd w:val="clear" w:color="auto" w:fill="auto"/>
        <w:tabs>
          <w:tab w:pos="459" w:val="left"/>
        </w:tabs>
        <w:bidi w:val="0"/>
        <w:spacing w:before="0" w:after="2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4</w:t>
      </w:r>
      <w:r>
        <w:rPr>
          <w:color w:val="000000"/>
          <w:spacing w:val="0"/>
          <w:w w:val="100"/>
          <w:position w:val="0"/>
        </w:rPr>
        <w:t>、</w:t>
        <w:tab/>
        <w:t>使用权资产</w:t>
      </w:r>
      <w:bookmarkEnd w:id="911"/>
      <w:bookmarkEnd w:id="912"/>
      <w:bookmarkEnd w:id="914"/>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使用权资产，是指承租人可在租赁期内使用租赁资产的权利。</w:t>
      </w:r>
    </w:p>
    <w:p>
      <w:pPr>
        <w:pStyle w:val="Style18"/>
        <w:keepNext w:val="0"/>
        <w:keepLines w:val="0"/>
        <w:widowControl w:val="0"/>
        <w:shd w:val="clear" w:color="auto" w:fill="auto"/>
        <w:tabs>
          <w:tab w:pos="800" w:val="left"/>
        </w:tabs>
        <w:bidi w:val="0"/>
        <w:spacing w:before="0" w:after="0" w:line="312" w:lineRule="exact"/>
        <w:ind w:left="0" w:right="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在租赁期开始日，本公司按照成本对使用权资产进行初始计量。该成本包括下列四项：①租赁负债的初始计量金额；② 在租赁期开始日或之前支付的租赁付款额，存在租赁激励的，扣除已享受的租赁激励相关金额；③发生的初始直接费用，即 为达成租赁所发生的增量成本；④为拆卸及移除租赁资产、复原租赁资产所在场地或将租赁资产恢复至租赁条款约定状态预 计将发生的成本，属于为生产存货而发生的除外。</w:t>
      </w:r>
    </w:p>
    <w:p>
      <w:pPr>
        <w:pStyle w:val="Style18"/>
        <w:keepNext w:val="0"/>
        <w:keepLines w:val="0"/>
        <w:widowControl w:val="0"/>
        <w:shd w:val="clear" w:color="auto" w:fill="auto"/>
        <w:tabs>
          <w:tab w:pos="800" w:val="left"/>
        </w:tabs>
        <w:bidi w:val="0"/>
        <w:spacing w:before="0" w:after="0" w:line="312" w:lineRule="exact"/>
        <w:ind w:left="0" w:right="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在租赁期开始日后，本公司采用成本模式对使用权资产进行后续计量，即以成本减累计折旧及累计减值损失计量使用权 资产。</w:t>
      </w:r>
    </w:p>
    <w:p>
      <w:pPr>
        <w:pStyle w:val="Style18"/>
        <w:keepNext w:val="0"/>
        <w:keepLines w:val="0"/>
        <w:widowControl w:val="0"/>
        <w:shd w:val="clear" w:color="auto" w:fill="auto"/>
        <w:tabs>
          <w:tab w:pos="800" w:val="left"/>
        </w:tabs>
        <w:bidi w:val="0"/>
        <w:spacing w:before="0" w:after="0" w:line="312" w:lineRule="exact"/>
        <w:ind w:left="0" w:right="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使用权资产的折旧</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自租赁期开始日起，本公司对使用权资产计提折旧。使用权资产通常自租赁期开始的当月计提折旧。计提的折旧金额根 据使用权资产的用途，计入相关资产的成本或者当期损益。本公司在确定使用权资产的折旧方法时，根据与使用权资产有关 的经济利益的预期消耗方式做出决定，以直线法对使用权资产计提折旧。本公司在确定使用权资产的折旧年限时，遵循以下 原则：能够合理确定租赁期届满时取得租赁资产所有权的，在租赁资产剩余使用寿命内计提折旧；无法合理确定租赁期届满 时能够取得租赁资产所有权的，在租赁期与租赁资产剩余使用寿命两者孰短的期间内计提折旧。如果使用权资产发生减值， 本公司按照扣除减值损失之后的使用权资产的账面价值，进行后续折旧。</w:t>
      </w:r>
    </w:p>
    <w:p>
      <w:pPr>
        <w:pStyle w:val="Style29"/>
        <w:keepNext/>
        <w:keepLines/>
        <w:widowControl w:val="0"/>
        <w:shd w:val="clear" w:color="auto" w:fill="auto"/>
        <w:tabs>
          <w:tab w:pos="459" w:val="left"/>
        </w:tabs>
        <w:bidi w:val="0"/>
        <w:spacing w:before="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918"/>
      <w:bookmarkEnd w:id="919"/>
      <w:bookmarkEnd w:id="921"/>
    </w:p>
    <w:p>
      <w:pPr>
        <w:pStyle w:val="Style32"/>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2"/>
      <w:bookmarkEnd w:id="923"/>
      <w:bookmarkEnd w:id="925"/>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无形资产是指本公司拥有或者控制的没有实物形态的可辨认非货币性资产。</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18"/>
        <w:keepNext w:val="0"/>
        <w:keepLines w:val="0"/>
        <w:widowControl w:val="0"/>
        <w:shd w:val="clear" w:color="auto" w:fill="auto"/>
        <w:bidi w:val="0"/>
        <w:spacing w:before="0" w:after="280" w:line="310" w:lineRule="exact"/>
        <w:ind w:left="0" w:right="0"/>
        <w:jc w:val="both"/>
      </w:pPr>
      <w:r>
        <w:rPr>
          <w:color w:val="000000"/>
          <w:spacing w:val="0"/>
          <w:w w:val="100"/>
          <w:position w:val="0"/>
        </w:rPr>
        <w:t>年末，对使用寿命有限的无形资产的使用寿命和摊销方法进行复核，如发生变更则作为会计估计变更处理。此外，还对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32"/>
        <w:keepNext/>
        <w:keepLines/>
        <w:widowControl w:val="0"/>
        <w:numPr>
          <w:ilvl w:val="0"/>
          <w:numId w:val="33"/>
        </w:numPr>
        <w:shd w:val="clear" w:color="auto" w:fill="auto"/>
        <w:bidi w:val="0"/>
        <w:spacing w:before="0" w:after="28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内部研究开发支出会计政策</w:t>
      </w:r>
      <w:bookmarkEnd w:id="926"/>
      <w:bookmarkEnd w:id="927"/>
      <w:bookmarkEnd w:id="929"/>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本公司内部研究开发项目的支出分为研究阶段支出与开发阶段支出。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研究阶段的支出，于发生时计入当期损益。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开发阶段的支出同时满足下列条件的，确认为无形资产，不能满足下述条件的开发阶段的支出计入当期损益：</w:t>
      </w:r>
    </w:p>
    <w:p>
      <w:pPr>
        <w:pStyle w:val="Style18"/>
        <w:keepNext w:val="0"/>
        <w:keepLines w:val="0"/>
        <w:widowControl w:val="0"/>
        <w:numPr>
          <w:ilvl w:val="0"/>
          <w:numId w:val="35"/>
        </w:numPr>
        <w:shd w:val="clear" w:color="auto" w:fill="auto"/>
        <w:tabs>
          <w:tab w:pos="748" w:val="left"/>
        </w:tabs>
        <w:bidi w:val="0"/>
        <w:spacing w:before="0" w:after="0" w:line="312" w:lineRule="exact"/>
        <w:ind w:left="0" w:right="0"/>
        <w:jc w:val="both"/>
      </w:pPr>
      <w:bookmarkStart w:id="930" w:name="bookmark930"/>
      <w:bookmarkEnd w:id="930"/>
      <w:r>
        <w:rPr>
          <w:color w:val="000000"/>
          <w:spacing w:val="0"/>
          <w:w w:val="100"/>
          <w:position w:val="0"/>
        </w:rPr>
        <w:t>完成该无形资产以使其能够使用或出售在技术上具有可行性；</w:t>
      </w:r>
    </w:p>
    <w:p>
      <w:pPr>
        <w:pStyle w:val="Style18"/>
        <w:keepNext w:val="0"/>
        <w:keepLines w:val="0"/>
        <w:widowControl w:val="0"/>
        <w:numPr>
          <w:ilvl w:val="0"/>
          <w:numId w:val="35"/>
        </w:numPr>
        <w:shd w:val="clear" w:color="auto" w:fill="auto"/>
        <w:tabs>
          <w:tab w:pos="748" w:val="left"/>
        </w:tabs>
        <w:bidi w:val="0"/>
        <w:spacing w:before="0" w:after="0" w:line="312" w:lineRule="exact"/>
        <w:ind w:left="0" w:right="0"/>
        <w:jc w:val="both"/>
      </w:pPr>
      <w:bookmarkStart w:id="931" w:name="bookmark931"/>
      <w:bookmarkEnd w:id="931"/>
      <w:r>
        <w:rPr>
          <w:color w:val="000000"/>
          <w:spacing w:val="0"/>
          <w:w w:val="100"/>
          <w:position w:val="0"/>
        </w:rPr>
        <w:t>具有完成该无形资产并使用或出售的意图；</w:t>
      </w:r>
    </w:p>
    <w:p>
      <w:pPr>
        <w:pStyle w:val="Style18"/>
        <w:keepNext w:val="0"/>
        <w:keepLines w:val="0"/>
        <w:widowControl w:val="0"/>
        <w:numPr>
          <w:ilvl w:val="0"/>
          <w:numId w:val="35"/>
        </w:numPr>
        <w:shd w:val="clear" w:color="auto" w:fill="auto"/>
        <w:tabs>
          <w:tab w:pos="723" w:val="left"/>
        </w:tabs>
        <w:bidi w:val="0"/>
        <w:spacing w:before="0" w:after="0" w:line="312" w:lineRule="exact"/>
        <w:ind w:left="0" w:right="0"/>
        <w:jc w:val="both"/>
      </w:pPr>
      <w:bookmarkStart w:id="932" w:name="bookmark932"/>
      <w:bookmarkEnd w:id="932"/>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8"/>
        <w:keepNext w:val="0"/>
        <w:keepLines w:val="0"/>
        <w:widowControl w:val="0"/>
        <w:numPr>
          <w:ilvl w:val="0"/>
          <w:numId w:val="35"/>
        </w:numPr>
        <w:shd w:val="clear" w:color="auto" w:fill="auto"/>
        <w:tabs>
          <w:tab w:pos="748" w:val="left"/>
        </w:tabs>
        <w:bidi w:val="0"/>
        <w:spacing w:before="0" w:after="0" w:line="312" w:lineRule="exact"/>
        <w:ind w:left="0" w:right="0"/>
        <w:jc w:val="both"/>
      </w:pPr>
      <w:bookmarkStart w:id="933" w:name="bookmark933"/>
      <w:bookmarkEnd w:id="933"/>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35"/>
        </w:numPr>
        <w:shd w:val="clear" w:color="auto" w:fill="auto"/>
        <w:tabs>
          <w:tab w:pos="748" w:val="left"/>
        </w:tabs>
        <w:bidi w:val="0"/>
        <w:spacing w:before="0" w:after="0" w:line="312" w:lineRule="exact"/>
        <w:ind w:left="0" w:right="0"/>
        <w:jc w:val="both"/>
      </w:pPr>
      <w:bookmarkStart w:id="934" w:name="bookmark934"/>
      <w:bookmarkEnd w:id="934"/>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无法区分研究阶段支出和开发阶段支出的，将发生的研发支出全部计入当期损益。</w:t>
      </w:r>
    </w:p>
    <w:p>
      <w:pPr>
        <w:pStyle w:val="Style18"/>
        <w:keepNext w:val="0"/>
        <w:keepLines w:val="0"/>
        <w:widowControl w:val="0"/>
        <w:numPr>
          <w:ilvl w:val="0"/>
          <w:numId w:val="33"/>
        </w:numPr>
        <w:shd w:val="clear" w:color="auto" w:fill="auto"/>
        <w:bidi w:val="0"/>
        <w:spacing w:before="0" w:after="0" w:line="312" w:lineRule="exact"/>
        <w:ind w:left="0" w:right="0"/>
        <w:jc w:val="both"/>
      </w:pPr>
      <w:bookmarkStart w:id="935" w:name="bookmark935"/>
      <w:bookmarkEnd w:id="935"/>
      <w:r>
        <w:rPr>
          <w:color w:val="000000"/>
          <w:spacing w:val="0"/>
          <w:w w:val="100"/>
          <w:position w:val="0"/>
        </w:rPr>
        <w:t>无形资产的减值测试方法及减值准备计提方法</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510"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936"/>
      <w:bookmarkEnd w:id="937"/>
      <w:bookmarkEnd w:id="939"/>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29"/>
        <w:keepNext/>
        <w:keepLines/>
        <w:widowControl w:val="0"/>
        <w:shd w:val="clear" w:color="auto" w:fill="auto"/>
        <w:tabs>
          <w:tab w:pos="510"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7</w:t>
      </w:r>
      <w:r>
        <w:rPr>
          <w:color w:val="000000"/>
          <w:spacing w:val="0"/>
          <w:w w:val="100"/>
          <w:position w:val="0"/>
        </w:rPr>
        <w:t>、</w:t>
        <w:tab/>
        <w:t>长期资产减值</w:t>
      </w:r>
      <w:bookmarkEnd w:id="940"/>
      <w:bookmarkEnd w:id="941"/>
      <w:bookmarkEnd w:id="943"/>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上述资产减值损失一经确认，以后期间不予转回价值得以恢复的部分。</w:t>
      </w:r>
    </w:p>
    <w:p>
      <w:pPr>
        <w:pStyle w:val="Style29"/>
        <w:keepNext/>
        <w:keepLines/>
        <w:widowControl w:val="0"/>
        <w:shd w:val="clear" w:color="auto" w:fill="auto"/>
        <w:tabs>
          <w:tab w:pos="510"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944"/>
      <w:bookmarkEnd w:id="945"/>
      <w:bookmarkEnd w:id="947"/>
    </w:p>
    <w:p>
      <w:pPr>
        <w:pStyle w:val="Style18"/>
        <w:keepNext w:val="0"/>
        <w:keepLines w:val="0"/>
        <w:widowControl w:val="0"/>
        <w:shd w:val="clear" w:color="auto" w:fill="auto"/>
        <w:bidi w:val="0"/>
        <w:spacing w:before="0" w:after="280" w:line="312" w:lineRule="exact"/>
        <w:ind w:left="0" w:right="0"/>
        <w:jc w:val="both"/>
      </w:pPr>
      <w:r>
        <w:rPr>
          <w:color w:val="000000"/>
          <w:spacing w:val="0"/>
          <w:w w:val="100"/>
          <w:position w:val="0"/>
        </w:rPr>
        <w:t>合同负债是指本公司已收或应收客户对价而应向客户转让商品或服务的义务。同一合同下的合同资产和合同负债以净额 列示。</w:t>
      </w:r>
    </w:p>
    <w:p>
      <w:pPr>
        <w:pStyle w:val="Style29"/>
        <w:keepNext/>
        <w:keepLines/>
        <w:widowControl w:val="0"/>
        <w:shd w:val="clear" w:color="auto" w:fill="auto"/>
        <w:tabs>
          <w:tab w:pos="472" w:val="left"/>
        </w:tabs>
        <w:bidi w:val="0"/>
        <w:spacing w:before="0" w:after="3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948"/>
      <w:bookmarkEnd w:id="949"/>
      <w:bookmarkEnd w:id="951"/>
    </w:p>
    <w:p>
      <w:pPr>
        <w:pStyle w:val="Style32"/>
        <w:keepNext/>
        <w:keepLines/>
        <w:widowControl w:val="0"/>
        <w:shd w:val="clear" w:color="auto" w:fill="auto"/>
        <w:tabs>
          <w:tab w:pos="481"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2"/>
      <w:bookmarkEnd w:id="953"/>
      <w:bookmarkEnd w:id="955"/>
    </w:p>
    <w:p>
      <w:pPr>
        <w:pStyle w:val="Style18"/>
        <w:keepNext w:val="0"/>
        <w:keepLines w:val="0"/>
        <w:widowControl w:val="0"/>
        <w:shd w:val="clear" w:color="auto" w:fill="auto"/>
        <w:bidi w:val="0"/>
        <w:spacing w:before="0" w:after="380" w:line="301" w:lineRule="exact"/>
        <w:ind w:left="0" w:right="0"/>
        <w:jc w:val="left"/>
      </w:pPr>
      <w:r>
        <w:rPr>
          <w:color w:val="000000"/>
          <w:spacing w:val="0"/>
          <w:w w:val="100"/>
          <w:position w:val="0"/>
        </w:rPr>
        <w:t>本公司职工薪酬主要包括短期职工薪酬、离职后福利、辞退福利以及其他长期职工福利。其中：短期薪酬主要包括工资、 奖金、津贴和补贴、职工福利费、医疗保险费、生育保险费、工伤保险费、住房公积金、工会经费和职工教育经费、非货币 性福利等。本公司在职工为本公司提供服务的会计期间将实际发生的短期职工薪酬确认为负债，并计入当期损益或相关资产 成本。其中非货币性福利按公允价值计量。</w:t>
      </w:r>
    </w:p>
    <w:p>
      <w:pPr>
        <w:pStyle w:val="Style32"/>
        <w:keepNext/>
        <w:keepLines/>
        <w:widowControl w:val="0"/>
        <w:shd w:val="clear" w:color="auto" w:fill="auto"/>
        <w:tabs>
          <w:tab w:pos="481"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6"/>
      <w:bookmarkEnd w:id="957"/>
      <w:bookmarkEnd w:id="959"/>
    </w:p>
    <w:p>
      <w:pPr>
        <w:pStyle w:val="Style18"/>
        <w:keepNext w:val="0"/>
        <w:keepLines w:val="0"/>
        <w:widowControl w:val="0"/>
        <w:shd w:val="clear" w:color="auto" w:fill="auto"/>
        <w:bidi w:val="0"/>
        <w:spacing w:before="0" w:after="380" w:line="307" w:lineRule="exact"/>
        <w:ind w:left="0" w:right="0"/>
        <w:jc w:val="both"/>
      </w:pPr>
      <w:r>
        <w:rPr>
          <w:color w:val="000000"/>
          <w:spacing w:val="0"/>
          <w:w w:val="100"/>
          <w:position w:val="0"/>
        </w:rPr>
        <w:t>离职后福利主要包括设定提存计划。其中设定提存计划主要包括基本养老保险、失业保险以及年金等，相应的应缴存金 额于发生时计入相关资产成本或当期损益。</w:t>
      </w:r>
    </w:p>
    <w:p>
      <w:pPr>
        <w:pStyle w:val="Style32"/>
        <w:keepNext/>
        <w:keepLines/>
        <w:widowControl w:val="0"/>
        <w:shd w:val="clear" w:color="auto" w:fill="auto"/>
        <w:tabs>
          <w:tab w:pos="481"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0"/>
      <w:bookmarkEnd w:id="961"/>
      <w:bookmarkEnd w:id="963"/>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8"/>
        <w:keepNext w:val="0"/>
        <w:keepLines w:val="0"/>
        <w:widowControl w:val="0"/>
        <w:shd w:val="clear" w:color="auto" w:fill="auto"/>
        <w:bidi w:val="0"/>
        <w:spacing w:before="0" w:after="380" w:line="312" w:lineRule="exact"/>
        <w:ind w:left="0" w:right="0"/>
        <w:jc w:val="left"/>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2"/>
        <w:keepNext/>
        <w:keepLines/>
        <w:widowControl w:val="0"/>
        <w:shd w:val="clear" w:color="auto" w:fill="auto"/>
        <w:tabs>
          <w:tab w:pos="481"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4"/>
      <w:bookmarkEnd w:id="965"/>
      <w:bookmarkEnd w:id="967"/>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29"/>
        <w:keepNext/>
        <w:keepLines/>
        <w:widowControl w:val="0"/>
        <w:shd w:val="clear" w:color="auto" w:fill="auto"/>
        <w:tabs>
          <w:tab w:pos="472"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0</w:t>
      </w:r>
      <w:r>
        <w:rPr>
          <w:color w:val="000000"/>
          <w:spacing w:val="0"/>
          <w:w w:val="100"/>
          <w:position w:val="0"/>
        </w:rPr>
        <w:t>、</w:t>
        <w:tab/>
        <w:t>租赁负债</w:t>
      </w:r>
      <w:bookmarkEnd w:id="968"/>
      <w:bookmarkEnd w:id="969"/>
      <w:bookmarkEnd w:id="971"/>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租赁负债按照租赁期开始日尚未支付的租赁付款额的现值进行初始计量。</w:t>
      </w:r>
    </w:p>
    <w:p>
      <w:pPr>
        <w:pStyle w:val="Style18"/>
        <w:keepNext w:val="0"/>
        <w:keepLines w:val="0"/>
        <w:widowControl w:val="0"/>
        <w:shd w:val="clear" w:color="auto" w:fill="auto"/>
        <w:tabs>
          <w:tab w:pos="813" w:val="left"/>
        </w:tabs>
        <w:bidi w:val="0"/>
        <w:spacing w:before="0" w:after="0" w:line="313" w:lineRule="exact"/>
        <w:ind w:left="0" w:right="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初始计量</w:t>
      </w:r>
    </w:p>
    <w:p>
      <w:pPr>
        <w:pStyle w:val="Style18"/>
        <w:keepNext w:val="0"/>
        <w:keepLines w:val="0"/>
        <w:widowControl w:val="0"/>
        <w:numPr>
          <w:ilvl w:val="0"/>
          <w:numId w:val="37"/>
        </w:numPr>
        <w:shd w:val="clear" w:color="auto" w:fill="auto"/>
        <w:tabs>
          <w:tab w:pos="741" w:val="left"/>
        </w:tabs>
        <w:bidi w:val="0"/>
        <w:spacing w:before="0" w:after="0" w:line="313" w:lineRule="exact"/>
        <w:ind w:left="0" w:right="0"/>
        <w:jc w:val="both"/>
      </w:pPr>
      <w:bookmarkStart w:id="973" w:name="bookmark973"/>
      <w:bookmarkEnd w:id="973"/>
      <w:r>
        <w:rPr>
          <w:color w:val="000000"/>
          <w:spacing w:val="0"/>
          <w:w w:val="100"/>
          <w:position w:val="0"/>
        </w:rPr>
        <w:t>租赁付款额</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租赁付款额，是指本公司向出租人支付的与在租赁期内使用租赁资产的权利相关的款项，包括：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固定付款额及实质 固定付款额，存在租赁激励的，扣除租赁激励相关金额；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取决于指数或比率的可变租赁付款额，该款额在初始计量时根 据租赁期开始日的指数或比率确定；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本公司合理确定将行使购买选择权时，购买选择权的行权价格；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租赁期反映出本 公司将行使终止租赁选择权时，行使终止租赁选择权需支付的款项；⑤根据本公司提供的担保余值预计应支付的款项。</w:t>
      </w:r>
    </w:p>
    <w:p>
      <w:pPr>
        <w:pStyle w:val="Style18"/>
        <w:keepNext w:val="0"/>
        <w:keepLines w:val="0"/>
        <w:widowControl w:val="0"/>
        <w:numPr>
          <w:ilvl w:val="0"/>
          <w:numId w:val="37"/>
        </w:numPr>
        <w:shd w:val="clear" w:color="auto" w:fill="auto"/>
        <w:tabs>
          <w:tab w:pos="741" w:val="left"/>
        </w:tabs>
        <w:bidi w:val="0"/>
        <w:spacing w:before="0" w:after="0" w:line="313" w:lineRule="exact"/>
        <w:ind w:left="0" w:right="0"/>
        <w:jc w:val="both"/>
      </w:pPr>
      <w:bookmarkStart w:id="974" w:name="bookmark974"/>
      <w:bookmarkEnd w:id="974"/>
      <w:r>
        <w:rPr>
          <w:color w:val="000000"/>
          <w:spacing w:val="0"/>
          <w:w w:val="100"/>
          <w:position w:val="0"/>
        </w:rPr>
        <w:t>折现率</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在计算租赁付款额的现值时，本公司采用租赁内含利率作为折现率，无法确定租赁内含利率的，采用增量借款利率作为 折现率。</w:t>
      </w:r>
    </w:p>
    <w:p>
      <w:pPr>
        <w:pStyle w:val="Style18"/>
        <w:keepNext w:val="0"/>
        <w:keepLines w:val="0"/>
        <w:widowControl w:val="0"/>
        <w:shd w:val="clear" w:color="auto" w:fill="auto"/>
        <w:tabs>
          <w:tab w:pos="813" w:val="left"/>
        </w:tabs>
        <w:bidi w:val="0"/>
        <w:spacing w:before="0" w:after="0" w:line="313" w:lineRule="exact"/>
        <w:ind w:left="0" w:right="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8"/>
        <w:keepNext w:val="0"/>
        <w:keepLines w:val="0"/>
        <w:widowControl w:val="0"/>
        <w:shd w:val="clear" w:color="auto" w:fill="auto"/>
        <w:bidi w:val="0"/>
        <w:spacing w:before="0" w:after="400" w:line="313" w:lineRule="exact"/>
        <w:ind w:left="0" w:right="0"/>
        <w:jc w:val="both"/>
      </w:pPr>
      <w:r>
        <w:rPr>
          <w:color w:val="000000"/>
          <w:spacing w:val="0"/>
          <w:w w:val="100"/>
          <w:position w:val="0"/>
        </w:rPr>
        <w:t xml:space="preserve">在租赁期开始日后，本公司按以下原则对租赁负债进行后续计量：①确认租赁负债的利息时，增加租赁负债的账面金额； ②支付租赁付款额时，减少租赁负债的账面金额；③因重估或租赁变更等原因导致租赁付款额发生变动时，重新计量租赁负 债的账面价值。按照固定的周期性利率计算租赁负债在租赁期内各期间的利息费用，并计入当期损益，但应当资本化的除外。 周期性利率是指本公司对租赁负债进行初始计量时所采用的折现率，或者因租赁付款额发生变动或因租赁变更而需按照修订 </w:t>
      </w:r>
      <w:r>
        <w:rPr>
          <w:color w:val="000000"/>
          <w:spacing w:val="0"/>
          <w:w w:val="100"/>
          <w:position w:val="0"/>
        </w:rPr>
        <w:t>后的折现率对租赁负债进行重新计量时，本公司所采用的修订后的折现率。</w:t>
      </w:r>
    </w:p>
    <w:p>
      <w:pPr>
        <w:pStyle w:val="Style29"/>
        <w:keepNext/>
        <w:keepLines/>
        <w:widowControl w:val="0"/>
        <w:shd w:val="clear" w:color="auto" w:fill="auto"/>
        <w:tabs>
          <w:tab w:pos="483" w:val="left"/>
        </w:tabs>
        <w:bidi w:val="0"/>
        <w:spacing w:before="0" w:after="28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976"/>
      <w:bookmarkEnd w:id="977"/>
      <w:bookmarkEnd w:id="979"/>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18"/>
        <w:keepNext w:val="0"/>
        <w:keepLines w:val="0"/>
        <w:widowControl w:val="0"/>
        <w:shd w:val="clear" w:color="auto" w:fill="auto"/>
        <w:tabs>
          <w:tab w:pos="825" w:val="left"/>
        </w:tabs>
        <w:bidi w:val="0"/>
        <w:spacing w:before="0" w:after="0" w:line="311" w:lineRule="exact"/>
        <w:ind w:left="0" w:right="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18"/>
        <w:keepNext w:val="0"/>
        <w:keepLines w:val="0"/>
        <w:widowControl w:val="0"/>
        <w:shd w:val="clear" w:color="auto" w:fill="auto"/>
        <w:tabs>
          <w:tab w:pos="825" w:val="left"/>
        </w:tabs>
        <w:bidi w:val="0"/>
        <w:spacing w:before="0" w:after="0" w:line="311" w:lineRule="exact"/>
        <w:ind w:left="0" w:right="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18"/>
        <w:keepNext w:val="0"/>
        <w:keepLines w:val="0"/>
        <w:widowControl w:val="0"/>
        <w:shd w:val="clear" w:color="auto" w:fill="auto"/>
        <w:bidi w:val="0"/>
        <w:spacing w:before="0" w:after="400" w:line="311" w:lineRule="exact"/>
        <w:ind w:left="0" w:right="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29"/>
        <w:keepNext/>
        <w:keepLines/>
        <w:widowControl w:val="0"/>
        <w:shd w:val="clear" w:color="auto" w:fill="auto"/>
        <w:tabs>
          <w:tab w:pos="618" w:val="left"/>
        </w:tabs>
        <w:bidi w:val="0"/>
        <w:spacing w:before="0" w:after="280" w:line="240" w:lineRule="auto"/>
        <w:ind w:left="0" w:right="0" w:firstLine="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982"/>
      <w:bookmarkEnd w:id="983"/>
      <w:bookmarkEnd w:id="985"/>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tabs>
          <w:tab w:pos="825" w:val="left"/>
        </w:tabs>
        <w:bidi w:val="0"/>
        <w:spacing w:before="0" w:after="0" w:line="312" w:lineRule="exact"/>
        <w:ind w:left="0" w:right="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收入确认原则</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本公司在履行了合同中的履约义务，即在客户取得相关商品或服务的控制权时确认收入。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满足下列条件之一时，本公司属于在某一时段内履行履约义务；否则，属于在某一时点履行履约义务：</w:t>
      </w:r>
    </w:p>
    <w:p>
      <w:pPr>
        <w:pStyle w:val="Style18"/>
        <w:keepNext w:val="0"/>
        <w:keepLines w:val="0"/>
        <w:widowControl w:val="0"/>
        <w:numPr>
          <w:ilvl w:val="0"/>
          <w:numId w:val="39"/>
        </w:numPr>
        <w:shd w:val="clear" w:color="auto" w:fill="auto"/>
        <w:tabs>
          <w:tab w:pos="753" w:val="left"/>
        </w:tabs>
        <w:bidi w:val="0"/>
        <w:spacing w:before="0" w:after="120" w:line="240" w:lineRule="auto"/>
        <w:ind w:left="0" w:right="0"/>
        <w:jc w:val="both"/>
      </w:pPr>
      <w:bookmarkStart w:id="987" w:name="bookmark987"/>
      <w:bookmarkEnd w:id="987"/>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39"/>
        </w:numPr>
        <w:shd w:val="clear" w:color="auto" w:fill="auto"/>
        <w:tabs>
          <w:tab w:pos="753" w:val="left"/>
        </w:tabs>
        <w:bidi w:val="0"/>
        <w:spacing w:before="0" w:after="0" w:line="240" w:lineRule="auto"/>
        <w:ind w:left="0" w:right="0"/>
        <w:jc w:val="both"/>
      </w:pPr>
      <w:bookmarkStart w:id="988" w:name="bookmark988"/>
      <w:bookmarkEnd w:id="988"/>
      <w:r>
        <w:rPr>
          <w:color w:val="000000"/>
          <w:spacing w:val="0"/>
          <w:w w:val="100"/>
          <w:position w:val="0"/>
        </w:rPr>
        <w:t>客户能够控制本公司履约过程中在建的商品。</w:t>
      </w:r>
    </w:p>
    <w:p>
      <w:pPr>
        <w:pStyle w:val="Style18"/>
        <w:keepNext w:val="0"/>
        <w:keepLines w:val="0"/>
        <w:widowControl w:val="0"/>
        <w:numPr>
          <w:ilvl w:val="0"/>
          <w:numId w:val="39"/>
        </w:numPr>
        <w:shd w:val="clear" w:color="auto" w:fill="auto"/>
        <w:tabs>
          <w:tab w:pos="728" w:val="left"/>
        </w:tabs>
        <w:bidi w:val="0"/>
        <w:spacing w:before="0" w:after="0" w:line="346" w:lineRule="exact"/>
        <w:ind w:left="0" w:right="0"/>
        <w:jc w:val="both"/>
      </w:pPr>
      <w:bookmarkStart w:id="989" w:name="bookmark989"/>
      <w:bookmarkEnd w:id="989"/>
      <w:r>
        <w:rPr>
          <w:color w:val="000000"/>
          <w:spacing w:val="0"/>
          <w:w w:val="100"/>
          <w:position w:val="0"/>
        </w:rPr>
        <w:t>本公司履约过程中所产出的商品具有不可替代用途，且本公司在整个合同期间内有权就累计至今已完成的履约部分收 取款项。</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18"/>
        <w:keepNext w:val="0"/>
        <w:keepLines w:val="0"/>
        <w:widowControl w:val="0"/>
        <w:numPr>
          <w:ilvl w:val="0"/>
          <w:numId w:val="41"/>
        </w:numPr>
        <w:shd w:val="clear" w:color="auto" w:fill="auto"/>
        <w:tabs>
          <w:tab w:pos="753" w:val="left"/>
        </w:tabs>
        <w:bidi w:val="0"/>
        <w:spacing w:before="0" w:after="0" w:line="312" w:lineRule="exact"/>
        <w:ind w:left="0" w:right="0"/>
        <w:jc w:val="both"/>
      </w:pPr>
      <w:bookmarkStart w:id="990" w:name="bookmark990"/>
      <w:bookmarkEnd w:id="990"/>
      <w:r>
        <w:rPr>
          <w:color w:val="000000"/>
          <w:spacing w:val="0"/>
          <w:w w:val="100"/>
          <w:position w:val="0"/>
        </w:rPr>
        <w:t>本公司就该商品或服务享有现时收款权利，即客户就该商品负有现时付款义务。</w:t>
      </w:r>
    </w:p>
    <w:p>
      <w:pPr>
        <w:pStyle w:val="Style18"/>
        <w:keepNext w:val="0"/>
        <w:keepLines w:val="0"/>
        <w:widowControl w:val="0"/>
        <w:numPr>
          <w:ilvl w:val="0"/>
          <w:numId w:val="41"/>
        </w:numPr>
        <w:shd w:val="clear" w:color="auto" w:fill="auto"/>
        <w:tabs>
          <w:tab w:pos="753" w:val="left"/>
        </w:tabs>
        <w:bidi w:val="0"/>
        <w:spacing w:before="0" w:after="0" w:line="312" w:lineRule="exact"/>
        <w:ind w:left="0" w:right="0"/>
        <w:jc w:val="both"/>
      </w:pPr>
      <w:bookmarkStart w:id="991" w:name="bookmark991"/>
      <w:bookmarkEnd w:id="991"/>
      <w:r>
        <w:rPr>
          <w:color w:val="000000"/>
          <w:spacing w:val="0"/>
          <w:w w:val="100"/>
          <w:position w:val="0"/>
        </w:rPr>
        <w:t>本公司已将该商品的法定所有权转移给客户，即客户已拥有该商品的法定所有权。</w:t>
      </w:r>
    </w:p>
    <w:p>
      <w:pPr>
        <w:pStyle w:val="Style18"/>
        <w:keepNext w:val="0"/>
        <w:keepLines w:val="0"/>
        <w:widowControl w:val="0"/>
        <w:numPr>
          <w:ilvl w:val="0"/>
          <w:numId w:val="41"/>
        </w:numPr>
        <w:shd w:val="clear" w:color="auto" w:fill="auto"/>
        <w:tabs>
          <w:tab w:pos="753" w:val="left"/>
        </w:tabs>
        <w:bidi w:val="0"/>
        <w:spacing w:before="0" w:after="0" w:line="312" w:lineRule="exact"/>
        <w:ind w:left="0" w:right="0"/>
        <w:jc w:val="both"/>
      </w:pPr>
      <w:bookmarkStart w:id="992" w:name="bookmark992"/>
      <w:bookmarkEnd w:id="992"/>
      <w:r>
        <w:rPr>
          <w:color w:val="000000"/>
          <w:spacing w:val="0"/>
          <w:w w:val="100"/>
          <w:position w:val="0"/>
        </w:rPr>
        <w:t>本公司已将该商品的实物转移给客户，即客户已实物占有该商品。</w:t>
      </w:r>
    </w:p>
    <w:p>
      <w:pPr>
        <w:pStyle w:val="Style18"/>
        <w:keepNext w:val="0"/>
        <w:keepLines w:val="0"/>
        <w:widowControl w:val="0"/>
        <w:numPr>
          <w:ilvl w:val="0"/>
          <w:numId w:val="41"/>
        </w:numPr>
        <w:shd w:val="clear" w:color="auto" w:fill="auto"/>
        <w:tabs>
          <w:tab w:pos="753" w:val="left"/>
        </w:tabs>
        <w:bidi w:val="0"/>
        <w:spacing w:before="0" w:after="0" w:line="312" w:lineRule="exact"/>
        <w:ind w:left="0" w:right="0"/>
        <w:jc w:val="both"/>
      </w:pPr>
      <w:bookmarkStart w:id="993" w:name="bookmark993"/>
      <w:bookmarkEnd w:id="993"/>
      <w:r>
        <w:rPr>
          <w:color w:val="000000"/>
          <w:spacing w:val="0"/>
          <w:w w:val="100"/>
          <w:position w:val="0"/>
        </w:rPr>
        <w:t>本公司已将该商品所有权上的主要风险和报酬转移给客户，即客户已取得该商品所有</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权上的主要风险和报酬。</w:t>
      </w:r>
    </w:p>
    <w:p>
      <w:pPr>
        <w:pStyle w:val="Style18"/>
        <w:keepNext w:val="0"/>
        <w:keepLines w:val="0"/>
        <w:widowControl w:val="0"/>
        <w:numPr>
          <w:ilvl w:val="0"/>
          <w:numId w:val="41"/>
        </w:numPr>
        <w:shd w:val="clear" w:color="auto" w:fill="auto"/>
        <w:tabs>
          <w:tab w:pos="753" w:val="left"/>
        </w:tabs>
        <w:bidi w:val="0"/>
        <w:spacing w:before="0" w:after="0" w:line="312" w:lineRule="exact"/>
        <w:ind w:left="0" w:right="0"/>
        <w:jc w:val="both"/>
      </w:pPr>
      <w:bookmarkStart w:id="994" w:name="bookmark994"/>
      <w:bookmarkEnd w:id="994"/>
      <w:r>
        <w:rPr>
          <w:color w:val="000000"/>
          <w:spacing w:val="0"/>
          <w:w w:val="100"/>
          <w:position w:val="0"/>
        </w:rPr>
        <w:t>客户已接受该商品或服务。</w:t>
      </w:r>
    </w:p>
    <w:p>
      <w:pPr>
        <w:pStyle w:val="Style18"/>
        <w:keepNext w:val="0"/>
        <w:keepLines w:val="0"/>
        <w:widowControl w:val="0"/>
        <w:numPr>
          <w:ilvl w:val="0"/>
          <w:numId w:val="41"/>
        </w:numPr>
        <w:shd w:val="clear" w:color="auto" w:fill="auto"/>
        <w:tabs>
          <w:tab w:pos="753" w:val="left"/>
        </w:tabs>
        <w:bidi w:val="0"/>
        <w:spacing w:before="0" w:after="0" w:line="312" w:lineRule="exact"/>
        <w:ind w:left="0" w:right="0"/>
        <w:jc w:val="both"/>
      </w:pPr>
      <w:bookmarkStart w:id="995" w:name="bookmark995"/>
      <w:bookmarkEnd w:id="995"/>
      <w:r>
        <w:rPr>
          <w:color w:val="000000"/>
          <w:spacing w:val="0"/>
          <w:w w:val="100"/>
          <w:position w:val="0"/>
        </w:rPr>
        <w:t>其他表明客户已取得商品控制权的迹象。</w:t>
      </w:r>
    </w:p>
    <w:p>
      <w:pPr>
        <w:pStyle w:val="Style18"/>
        <w:keepNext w:val="0"/>
        <w:keepLines w:val="0"/>
        <w:widowControl w:val="0"/>
        <w:shd w:val="clear" w:color="auto" w:fill="auto"/>
        <w:tabs>
          <w:tab w:pos="825" w:val="left"/>
        </w:tabs>
        <w:bidi w:val="0"/>
        <w:spacing w:before="0" w:after="0" w:line="312"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收入确认的具体方法</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①第三方支付服务：手续费收入确认以交易数据为基础，按照各类渠道自然月交易产生收入确认。</w:t>
      </w:r>
    </w:p>
    <w:p>
      <w:pPr>
        <w:pStyle w:val="Style18"/>
        <w:keepNext w:val="0"/>
        <w:keepLines w:val="0"/>
        <w:widowControl w:val="0"/>
        <w:numPr>
          <w:ilvl w:val="0"/>
          <w:numId w:val="19"/>
        </w:numPr>
        <w:shd w:val="clear" w:color="auto" w:fill="auto"/>
        <w:tabs>
          <w:tab w:pos="691" w:val="left"/>
        </w:tabs>
        <w:bidi w:val="0"/>
        <w:spacing w:before="0" w:after="0" w:line="312" w:lineRule="exact"/>
        <w:ind w:left="0" w:right="0"/>
        <w:jc w:val="both"/>
      </w:pPr>
      <w:bookmarkStart w:id="997" w:name="bookmark997"/>
      <w:bookmarkEnd w:id="997"/>
      <w:r>
        <w:rPr>
          <w:color w:val="000000"/>
          <w:spacing w:val="0"/>
          <w:w w:val="100"/>
          <w:position w:val="0"/>
        </w:rPr>
        <w:t>销售商品：公司按照合同约定或客户指定，完成商品交付，取得收款权利时确认收入；附安装调试义务的商品销售， 在安装调试验收合格后，取得收款权利时确认收入。</w:t>
      </w:r>
    </w:p>
    <w:p>
      <w:pPr>
        <w:pStyle w:val="Style18"/>
        <w:keepNext w:val="0"/>
        <w:keepLines w:val="0"/>
        <w:widowControl w:val="0"/>
        <w:numPr>
          <w:ilvl w:val="0"/>
          <w:numId w:val="19"/>
        </w:numPr>
        <w:shd w:val="clear" w:color="auto" w:fill="auto"/>
        <w:tabs>
          <w:tab w:pos="711" w:val="left"/>
        </w:tabs>
        <w:bidi w:val="0"/>
        <w:spacing w:before="0" w:after="380" w:line="312" w:lineRule="exact"/>
        <w:ind w:left="0" w:right="0"/>
        <w:jc w:val="both"/>
      </w:pPr>
      <w:bookmarkStart w:id="998" w:name="bookmark998"/>
      <w:bookmarkEnd w:id="998"/>
      <w:r>
        <w:rPr>
          <w:color w:val="000000"/>
          <w:spacing w:val="0"/>
          <w:w w:val="100"/>
          <w:position w:val="0"/>
        </w:rPr>
        <w:t>专网工程服务：公司按履约进度确认工程服务收入及成本，履约进度根据工程监理方或委托方测定的完工进度确定。</w:t>
      </w:r>
    </w:p>
    <w:p>
      <w:pPr>
        <w:pStyle w:val="Style29"/>
        <w:keepNext/>
        <w:keepLines/>
        <w:widowControl w:val="0"/>
        <w:shd w:val="clear" w:color="auto" w:fill="auto"/>
        <w:tabs>
          <w:tab w:pos="508"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1000"/>
      <w:bookmarkEnd w:id="1002"/>
      <w:bookmarkEnd w:id="999"/>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政府补助是指企业从政府无偿取得货币性资产或非货币性资产。政府补助同时满足下列条件的，才能予以确认：企业能 够满足政府补助所附条件；企业能够收到政府补助。</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政府补助为货币性资产的，应当按照收到或应收的金额计量。政府补助为非货币性资产的，应当按照公允价值计量；公 允价值不能可靠取得的，按照名义金额计量。</w:t>
      </w:r>
    </w:p>
    <w:p>
      <w:pPr>
        <w:pStyle w:val="Style18"/>
        <w:keepNext w:val="0"/>
        <w:keepLines w:val="0"/>
        <w:widowControl w:val="0"/>
        <w:shd w:val="clear" w:color="auto" w:fill="auto"/>
        <w:tabs>
          <w:tab w:pos="783" w:val="left"/>
        </w:tabs>
        <w:bidi w:val="0"/>
        <w:spacing w:before="0" w:after="0" w:line="311" w:lineRule="exact"/>
        <w:ind w:left="0" w:right="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与资产相关的政府补助判断依据及会计处理方法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公司取得的、用于购建或以其他方式形成长期资产的政府补助划分为与资产相关的政府补助。与资产相关的政府补助， 冲减相关资产账面价值或确认为递延收益。确认为递延收益的，在相关资产使用寿命内按照合理、系统的方法分期计入当期 损益（与公司日常活动相关的，计入其他收益；与公司日常活动无关的，计入营业外收入）；</w:t>
      </w:r>
    </w:p>
    <w:p>
      <w:pPr>
        <w:pStyle w:val="Style18"/>
        <w:keepNext w:val="0"/>
        <w:keepLines w:val="0"/>
        <w:widowControl w:val="0"/>
        <w:shd w:val="clear" w:color="auto" w:fill="auto"/>
        <w:tabs>
          <w:tab w:pos="783" w:val="left"/>
        </w:tabs>
        <w:bidi w:val="0"/>
        <w:spacing w:before="0" w:after="0" w:line="311" w:lineRule="exact"/>
        <w:ind w:left="0" w:right="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与收益相关的政府补助判断依据及会计处理方法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除与资产相关的政府补助之外的政府补助划分为与收益相关的政府补助。与收益相关的政府补助，用于补偿公司以后期 间的相关成本费用或损失的，确认为递延收益，并在确认相关成本费用或损失的期间，计入当期损益（与公司日常活动相关 的，计入其他收益；与公司日常活动无关的，计入营业外收入）或冲减相关成本费用或损失；用于补偿公司已发生的相关成 本费用或损失的，直接计入当期损益（与公司日常活动相关的，计入其他收益；与公司日常活动无关的，计入营业外收入） 或冲减相关成本费用或损失；</w:t>
      </w:r>
    </w:p>
    <w:p>
      <w:pPr>
        <w:pStyle w:val="Style18"/>
        <w:keepNext w:val="0"/>
        <w:keepLines w:val="0"/>
        <w:widowControl w:val="0"/>
        <w:shd w:val="clear" w:color="auto" w:fill="auto"/>
        <w:tabs>
          <w:tab w:pos="783" w:val="left"/>
        </w:tabs>
        <w:bidi w:val="0"/>
        <w:spacing w:before="0" w:after="0" w:line="311" w:lineRule="exact"/>
        <w:ind w:left="0" w:right="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政策性优惠贷款贴息的会计处理方法</w:t>
      </w:r>
    </w:p>
    <w:p>
      <w:pPr>
        <w:pStyle w:val="Style18"/>
        <w:keepNext w:val="0"/>
        <w:keepLines w:val="0"/>
        <w:widowControl w:val="0"/>
        <w:numPr>
          <w:ilvl w:val="0"/>
          <w:numId w:val="43"/>
        </w:numPr>
        <w:shd w:val="clear" w:color="auto" w:fill="auto"/>
        <w:tabs>
          <w:tab w:pos="686" w:val="left"/>
        </w:tabs>
        <w:bidi w:val="0"/>
        <w:spacing w:before="0" w:after="0" w:line="311" w:lineRule="exact"/>
        <w:ind w:left="0" w:right="0"/>
        <w:jc w:val="both"/>
      </w:pPr>
      <w:bookmarkStart w:id="1006" w:name="bookmark1006"/>
      <w:bookmarkEnd w:id="1006"/>
      <w:r>
        <w:rPr>
          <w:color w:val="000000"/>
          <w:spacing w:val="0"/>
          <w:w w:val="100"/>
          <w:position w:val="0"/>
        </w:rPr>
        <w:t>财政将贴息资金拨付给贷款银行，由贷款银行以政策性优惠利率向公司提供贷款的，以实际收到的借款金额作为借款 的入账价值，按照借款本金和该政策性优惠利率计算相关借款费用。或者以借款的公允价值作为借款的入账价值并按照实际 利率法计算借款费用，实际收到的金额与借款公允价值之间的差额确认为递延收益。递延收益在借款存续期内采用实际利率 法摊销，冲减相关借款费用；</w:t>
      </w:r>
    </w:p>
    <w:p>
      <w:pPr>
        <w:pStyle w:val="Style18"/>
        <w:keepNext w:val="0"/>
        <w:keepLines w:val="0"/>
        <w:widowControl w:val="0"/>
        <w:numPr>
          <w:ilvl w:val="0"/>
          <w:numId w:val="43"/>
        </w:numPr>
        <w:shd w:val="clear" w:color="auto" w:fill="auto"/>
        <w:tabs>
          <w:tab w:pos="711" w:val="left"/>
        </w:tabs>
        <w:bidi w:val="0"/>
        <w:spacing w:before="0" w:after="380" w:line="311" w:lineRule="exact"/>
        <w:ind w:left="0" w:right="0"/>
        <w:jc w:val="both"/>
      </w:pPr>
      <w:bookmarkStart w:id="1007" w:name="bookmark1007"/>
      <w:bookmarkEnd w:id="1007"/>
      <w:r>
        <w:rPr>
          <w:color w:val="000000"/>
          <w:spacing w:val="0"/>
          <w:w w:val="100"/>
          <w:position w:val="0"/>
        </w:rPr>
        <w:t>财政将贴息资金直接拨付给公司的，将对应的贴息冲减相关借款费用。</w:t>
      </w:r>
    </w:p>
    <w:p>
      <w:pPr>
        <w:pStyle w:val="Style29"/>
        <w:keepNext/>
        <w:keepLines/>
        <w:widowControl w:val="0"/>
        <w:shd w:val="clear" w:color="auto" w:fill="auto"/>
        <w:tabs>
          <w:tab w:pos="508"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8"/>
      <w:bookmarkEnd w:id="1009"/>
      <w:bookmarkEnd w:id="1011"/>
    </w:p>
    <w:p>
      <w:pPr>
        <w:pStyle w:val="Style18"/>
        <w:keepNext w:val="0"/>
        <w:keepLines w:val="0"/>
        <w:widowControl w:val="0"/>
        <w:shd w:val="clear" w:color="auto" w:fill="auto"/>
        <w:tabs>
          <w:tab w:pos="783" w:val="left"/>
        </w:tabs>
        <w:bidi w:val="0"/>
        <w:spacing w:before="0" w:after="0" w:line="312" w:lineRule="exact"/>
        <w:ind w:left="0" w:right="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18"/>
        <w:keepNext w:val="0"/>
        <w:keepLines w:val="0"/>
        <w:widowControl w:val="0"/>
        <w:shd w:val="clear" w:color="auto" w:fill="auto"/>
        <w:tabs>
          <w:tab w:pos="783" w:val="left"/>
        </w:tabs>
        <w:bidi w:val="0"/>
        <w:spacing w:before="0" w:after="0" w:line="312" w:lineRule="exact"/>
        <w:ind w:left="0" w:right="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w:t>
      </w:r>
      <w:r>
        <w:rPr>
          <w:color w:val="000000"/>
          <w:spacing w:val="0"/>
          <w:w w:val="100"/>
          <w:position w:val="0"/>
        </w:rPr>
        <w:t>所得额，不予确认有关的递延所得税资产。除上述例外情况，本公司以很可能取得用来抵扣可抵扣暂时性差异的应纳税所得 额为限，确认其他可抵扣暂时性差异产生的递延所得税资产。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8"/>
        <w:keepNext w:val="0"/>
        <w:keepLines w:val="0"/>
        <w:widowControl w:val="0"/>
        <w:shd w:val="clear" w:color="auto" w:fill="auto"/>
        <w:tabs>
          <w:tab w:pos="809" w:val="left"/>
        </w:tabs>
        <w:bidi w:val="0"/>
        <w:spacing w:before="0" w:after="0" w:line="311" w:lineRule="exact"/>
        <w:ind w:left="0" w:right="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所得税费用包括当期所得税和递延所得税。</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18"/>
        <w:keepNext w:val="0"/>
        <w:keepLines w:val="0"/>
        <w:widowControl w:val="0"/>
        <w:shd w:val="clear" w:color="auto" w:fill="auto"/>
        <w:tabs>
          <w:tab w:pos="809" w:val="left"/>
        </w:tabs>
        <w:bidi w:val="0"/>
        <w:spacing w:before="0" w:after="0" w:line="311" w:lineRule="exact"/>
        <w:ind w:left="0" w:right="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8"/>
        <w:keepNext w:val="0"/>
        <w:keepLines w:val="0"/>
        <w:widowControl w:val="0"/>
        <w:shd w:val="clear" w:color="auto" w:fill="auto"/>
        <w:bidi w:val="0"/>
        <w:spacing w:before="0" w:after="380" w:line="311"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29"/>
        <w:keepNext/>
        <w:keepLines/>
        <w:widowControl w:val="0"/>
        <w:shd w:val="clear" w:color="auto" w:fill="auto"/>
        <w:bidi w:val="0"/>
        <w:spacing w:before="0" w:after="380" w:line="240" w:lineRule="auto"/>
        <w:ind w:left="0" w:right="0" w:firstLine="0"/>
        <w:jc w:val="left"/>
      </w:pPr>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35</w:t>
      </w:r>
      <w:r>
        <w:rPr>
          <w:color w:val="000000"/>
          <w:spacing w:val="0"/>
          <w:w w:val="100"/>
          <w:position w:val="0"/>
        </w:rPr>
        <w:t>、租赁</w:t>
      </w:r>
      <w:bookmarkEnd w:id="1016"/>
      <w:bookmarkEnd w:id="1017"/>
      <w:bookmarkEnd w:id="1018"/>
    </w:p>
    <w:p>
      <w:pPr>
        <w:pStyle w:val="Style32"/>
        <w:keepNext/>
        <w:keepLines/>
        <w:widowControl w:val="0"/>
        <w:shd w:val="clear" w:color="auto" w:fill="auto"/>
        <w:tabs>
          <w:tab w:pos="477" w:val="left"/>
        </w:tabs>
        <w:bidi w:val="0"/>
        <w:spacing w:before="0" w:after="28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9"/>
      <w:bookmarkEnd w:id="1020"/>
      <w:bookmarkEnd w:id="1022"/>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在租赁期内各个期间，本公司采用直线法或其他系统合理的方法将经营租赁的租赁收款额确认为租金收入。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提供免租期的，本公司将租金总额在不扣除免租期的整个租赁期内，按直线法进行分配，免租期内应当确认租金收入。 本公司承担了承租人某些费用的，将该费用自租金收入总额中扣除，按扣除后的租金收入余额在租赁期内进行分配。</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本公司发生的与经营租赁有关的初始直接费用应当资本化至租赁标的资产的成本，在租赁期内按照与租金收入相同的确 认基础分期计入当期损益。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对于经营租赁资产中的固定资产，本公司采用类似资产的折旧政策计提折旧；对于其他经营租赁资产，采用系统合理的 方法进行摊销。</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本公司取得的与经营租赁有关的未计入租赁收款额的可变租赁付款额，在实际发生时计入当期损益。经营租赁发生变更 的，本公司自变更生效日开始，将其作为一项新的租赁进行会计处理，与变更前租赁有关的预收或应收租赁收款额视为新租 赁的收款额。</w:t>
      </w:r>
    </w:p>
    <w:p>
      <w:pPr>
        <w:pStyle w:val="Style32"/>
        <w:keepNext/>
        <w:keepLines/>
        <w:widowControl w:val="0"/>
        <w:shd w:val="clear" w:color="auto" w:fill="auto"/>
        <w:tabs>
          <w:tab w:pos="477" w:val="left"/>
        </w:tabs>
        <w:bidi w:val="0"/>
        <w:spacing w:before="0" w:after="28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23"/>
      <w:bookmarkEnd w:id="1024"/>
      <w:bookmarkEnd w:id="1026"/>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18"/>
        <w:keepNext w:val="0"/>
        <w:keepLines w:val="0"/>
        <w:widowControl w:val="0"/>
        <w:shd w:val="clear" w:color="auto" w:fill="auto"/>
        <w:bidi w:val="0"/>
        <w:spacing w:before="0" w:after="280" w:line="315" w:lineRule="exact"/>
        <w:ind w:left="0" w:right="0"/>
        <w:jc w:val="both"/>
      </w:pPr>
      <w:r>
        <w:rPr>
          <w:color w:val="000000"/>
          <w:spacing w:val="0"/>
          <w:w w:val="100"/>
          <w:position w:val="0"/>
        </w:rPr>
        <w:t>本公司按照固定的周期性利率计算并确认租赁期内各个期间的利息收入。本公司取得的未纳入租赁投资净额计量的可变 租赁付款额在实际发生时计入当期损益。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6</w:t>
      </w:r>
      <w:r>
        <w:rPr>
          <w:color w:val="000000"/>
          <w:spacing w:val="0"/>
          <w:w w:val="100"/>
          <w:position w:val="0"/>
        </w:rPr>
        <w:t>、</w:t>
        <w:tab/>
        <w:t>其他重要的会计政策和会计估计</w:t>
      </w:r>
      <w:bookmarkEnd w:id="1027"/>
      <w:bookmarkEnd w:id="1028"/>
      <w:bookmarkEnd w:id="1030"/>
    </w:p>
    <w:p>
      <w:pPr>
        <w:pStyle w:val="Style18"/>
        <w:keepNext w:val="0"/>
        <w:keepLines w:val="0"/>
        <w:widowControl w:val="0"/>
        <w:shd w:val="clear" w:color="auto" w:fill="auto"/>
        <w:bidi w:val="0"/>
        <w:spacing w:before="0" w:after="0" w:line="312" w:lineRule="exact"/>
        <w:ind w:left="0" w:right="0"/>
        <w:jc w:val="both"/>
      </w:pPr>
      <w:r>
        <w:rPr>
          <w:b/>
          <w:bCs/>
          <w:color w:val="000000"/>
          <w:spacing w:val="0"/>
          <w:w w:val="100"/>
          <w:position w:val="0"/>
        </w:rPr>
        <w:t>终止经营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18"/>
        <w:keepNext w:val="0"/>
        <w:keepLines w:val="0"/>
        <w:widowControl w:val="0"/>
        <w:shd w:val="clear" w:color="auto" w:fill="auto"/>
        <w:tabs>
          <w:tab w:pos="825" w:val="left"/>
        </w:tabs>
        <w:bidi w:val="0"/>
        <w:spacing w:before="0" w:after="0" w:line="312" w:lineRule="exact"/>
        <w:ind w:left="0" w:right="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18"/>
        <w:keepNext w:val="0"/>
        <w:keepLines w:val="0"/>
        <w:widowControl w:val="0"/>
        <w:shd w:val="clear" w:color="auto" w:fill="auto"/>
        <w:tabs>
          <w:tab w:pos="825" w:val="left"/>
        </w:tabs>
        <w:bidi w:val="0"/>
        <w:spacing w:before="0" w:after="0" w:line="312" w:lineRule="exact"/>
        <w:ind w:left="0" w:right="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18"/>
        <w:keepNext w:val="0"/>
        <w:keepLines w:val="0"/>
        <w:widowControl w:val="0"/>
        <w:shd w:val="clear" w:color="auto" w:fill="auto"/>
        <w:tabs>
          <w:tab w:pos="825" w:val="left"/>
        </w:tabs>
        <w:bidi w:val="0"/>
        <w:spacing w:before="0" w:after="0" w:line="312" w:lineRule="exact"/>
        <w:ind w:left="0" w:right="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终止经营的减值损失和转回金额等经营损益及处置损益作为终止经营损益在利润表中列示。</w:t>
      </w:r>
    </w:p>
    <w:p>
      <w:pPr>
        <w:pStyle w:val="Style29"/>
        <w:keepNext/>
        <w:keepLines/>
        <w:widowControl w:val="0"/>
        <w:shd w:val="clear" w:color="auto" w:fill="auto"/>
        <w:tabs>
          <w:tab w:pos="483" w:val="left"/>
        </w:tabs>
        <w:bidi w:val="0"/>
        <w:spacing w:before="0" w:after="28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034"/>
      <w:bookmarkEnd w:id="1035"/>
      <w:bookmarkEnd w:id="1037"/>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商誉为股权投资成本超过应享有的被投资单位于投资取得日的公允价值份额的差额，或者为非同一控制下企业合并成本 超过企业合并中取得的被购买方可辨认净资产于购买日的公允价值份额的差额。</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企业合并形成的商誉在合并财务报表上单独列示。购买联营企业和合营企业股权投资成本超过投资时应享有被投资单位 的公允价值份额的差额，包含于长期股权投资。</w:t>
      </w:r>
    </w:p>
    <w:p>
      <w:pPr>
        <w:pStyle w:val="Style29"/>
        <w:keepNext/>
        <w:keepLines/>
        <w:widowControl w:val="0"/>
        <w:shd w:val="clear" w:color="auto" w:fill="auto"/>
        <w:tabs>
          <w:tab w:pos="483" w:val="left"/>
        </w:tabs>
        <w:bidi w:val="0"/>
        <w:spacing w:before="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8</w:t>
      </w:r>
      <w:r>
        <w:rPr>
          <w:color w:val="000000"/>
          <w:spacing w:val="0"/>
          <w:w w:val="100"/>
          <w:position w:val="0"/>
        </w:rPr>
        <w:t>、</w:t>
        <w:tab/>
        <w:t>重要会计政策和会计估计变更</w:t>
      </w:r>
      <w:bookmarkEnd w:id="1038"/>
      <w:bookmarkEnd w:id="1039"/>
      <w:bookmarkEnd w:id="1041"/>
    </w:p>
    <w:p>
      <w:pPr>
        <w:pStyle w:val="Style32"/>
        <w:keepNext/>
        <w:keepLines/>
        <w:widowControl w:val="0"/>
        <w:shd w:val="clear" w:color="auto" w:fill="auto"/>
        <w:bidi w:val="0"/>
        <w:spacing w:before="0" w:after="360" w:line="240" w:lineRule="auto"/>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2"/>
      <w:bookmarkEnd w:id="1043"/>
      <w:bookmarkEnd w:id="104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50"/>
        <w:gridCol w:w="1699"/>
        <w:gridCol w:w="93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日修订发布了《企业会计准则第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收入》，要求在境内外同 时上市的企业以及在境外上市并采用国际财务报告准则或企业会计准则编制财务报表的 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 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日起施行。由于上述会计准则的修订， 公司需对原采用的相关会计政策进行相应调整。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公司第五届董事会第 三十次会议审议通过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46"/>
      <w:bookmarkEnd w:id="1047"/>
      <w:bookmarkEnd w:id="104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251"/>
        <w:gridCol w:w="1699"/>
        <w:gridCol w:w="1699"/>
        <w:gridCol w:w="93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为了更加客观公正地反映公司的财务状况和经营成果，提高公司会 计信息的质量，增强公司第三方支付业务与同行业的可比性，公司 将对第三方支付业务应收账款及其他应收款的会计估计进行变更。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第五届董事会第三十 七次会议审议通过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00" w:line="240" w:lineRule="auto"/>
        <w:ind w:left="341" w:right="0" w:firstLine="0"/>
        <w:jc w:val="left"/>
      </w:pPr>
      <w:r>
        <w:rPr>
          <w:color w:val="000000"/>
          <w:spacing w:val="0"/>
          <w:w w:val="100"/>
          <w:position w:val="0"/>
        </w:rPr>
        <w:t>变更前公司采用的会计估计</w:t>
      </w:r>
    </w:p>
    <w:p>
      <w:pPr>
        <w:pStyle w:val="Style25"/>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①应收账款的会计估计</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应收账款，无论是否包含重大融资成分，公司始终按照相当于整个存续期内预期信用损失的金额计量其损失准备，由此 形成的损失准备的增加或转回金额，作为减值损失或利得计入当期损益。公司将应收账款按类似信用风险特征（账龄）进行 组合，并基于所有合理且有依据的信息，包括参考历史信用损失经验，结合当前状况并考虑前瞻性信息，以账龄组合作为信 息风险特征，并在此基础上估计应收款项预期信息损失。</w:t>
      </w:r>
    </w:p>
    <w:p>
      <w:pPr>
        <w:pStyle w:val="Style18"/>
        <w:keepNext w:val="0"/>
        <w:keepLines w:val="0"/>
        <w:widowControl w:val="0"/>
        <w:shd w:val="clear" w:color="auto" w:fill="auto"/>
        <w:bidi w:val="0"/>
        <w:spacing w:before="0" w:after="360" w:line="310" w:lineRule="exact"/>
        <w:ind w:left="0" w:right="0"/>
        <w:jc w:val="both"/>
      </w:pPr>
      <w:r>
        <w:rPr>
          <w:color w:val="000000"/>
          <w:spacing w:val="0"/>
          <w:w w:val="100"/>
          <w:position w:val="0"/>
        </w:rPr>
        <w:t>公司按信用风险特征确定的组合及坏账准备计提方法如下：</w:t>
      </w:r>
      <w:r>
        <w:br w:type="page"/>
      </w:r>
    </w:p>
    <w:tbl>
      <w:tblPr>
        <w:tblOverlap w:val="never"/>
        <w:jc w:val="center"/>
        <w:tblLayout w:type="fixed"/>
      </w:tblPr>
      <w:tblGrid>
        <w:gridCol w:w="5395"/>
        <w:gridCol w:w="4123"/>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合并范围外的账龄组合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w:t>
            </w:r>
          </w:p>
        </w:tc>
      </w:tr>
    </w:tbl>
    <w:p>
      <w:pPr>
        <w:pStyle w:val="Style25"/>
        <w:keepNext w:val="0"/>
        <w:keepLines w:val="0"/>
        <w:widowControl w:val="0"/>
        <w:shd w:val="clear" w:color="auto" w:fill="auto"/>
        <w:bidi w:val="0"/>
        <w:spacing w:before="0" w:after="0" w:line="240" w:lineRule="auto"/>
        <w:ind w:left="475" w:right="0" w:firstLine="0"/>
        <w:jc w:val="left"/>
      </w:pPr>
      <w:r>
        <w:rPr>
          <w:color w:val="000000"/>
          <w:spacing w:val="0"/>
          <w:w w:val="100"/>
          <w:position w:val="0"/>
        </w:rPr>
        <w:t>公司应收账款按信用风险特征组合的账龄与整个存续期预期信用损失率对照表如下:</w:t>
      </w:r>
    </w:p>
    <w:p>
      <w:pPr>
        <w:widowControl w:val="0"/>
        <w:spacing w:line="1" w:lineRule="exact"/>
      </w:pPr>
    </w:p>
    <w:tbl>
      <w:tblPr>
        <w:tblOverlap w:val="never"/>
        <w:jc w:val="center"/>
        <w:tblLayout w:type="fixed"/>
      </w:tblPr>
      <w:tblGrid>
        <w:gridCol w:w="5395"/>
        <w:gridCol w:w="4123"/>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5"/>
        <w:keepNext w:val="0"/>
        <w:keepLines w:val="0"/>
        <w:widowControl w:val="0"/>
        <w:shd w:val="clear" w:color="auto" w:fill="auto"/>
        <w:bidi w:val="0"/>
        <w:spacing w:before="0" w:after="120" w:line="240" w:lineRule="auto"/>
        <w:ind w:left="475" w:right="0" w:firstLine="0"/>
        <w:jc w:val="left"/>
      </w:pPr>
      <w:r>
        <w:rPr>
          <w:color w:val="000000"/>
          <w:spacing w:val="0"/>
          <w:w w:val="100"/>
          <w:position w:val="0"/>
          <w:sz w:val="17"/>
          <w:szCs w:val="17"/>
        </w:rPr>
        <w:t>1.</w:t>
      </w:r>
      <w:r>
        <w:rPr>
          <w:color w:val="000000"/>
          <w:spacing w:val="0"/>
          <w:w w:val="100"/>
          <w:position w:val="0"/>
        </w:rPr>
        <w:t>其他应收款的会计估计</w:t>
      </w:r>
    </w:p>
    <w:p>
      <w:pPr>
        <w:pStyle w:val="Style25"/>
        <w:keepNext w:val="0"/>
        <w:keepLines w:val="0"/>
        <w:widowControl w:val="0"/>
        <w:shd w:val="clear" w:color="auto" w:fill="auto"/>
        <w:bidi w:val="0"/>
        <w:spacing w:before="0" w:after="0" w:line="240" w:lineRule="auto"/>
        <w:ind w:left="475" w:right="0" w:firstLine="0"/>
        <w:jc w:val="left"/>
      </w:pPr>
      <w:r>
        <w:rPr>
          <w:color w:val="000000"/>
          <w:spacing w:val="0"/>
          <w:w w:val="100"/>
          <w:position w:val="0"/>
        </w:rPr>
        <w:t>公司的其他应收款按组合评估预期信用风险和计量预期信用损失。</w:t>
      </w:r>
    </w:p>
    <w:p>
      <w:pPr>
        <w:widowControl w:val="0"/>
        <w:spacing w:line="1" w:lineRule="exact"/>
      </w:pPr>
    </w:p>
    <w:tbl>
      <w:tblPr>
        <w:tblOverlap w:val="never"/>
        <w:jc w:val="center"/>
        <w:tblLayout w:type="fixed"/>
      </w:tblPr>
      <w:tblGrid>
        <w:gridCol w:w="2246"/>
        <w:gridCol w:w="2126"/>
        <w:gridCol w:w="5146"/>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计量预期信用损失方法</w:t>
            </w:r>
          </w:p>
        </w:tc>
      </w:tr>
      <w:tr>
        <w:trPr>
          <w:trHeight w:val="9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合并报表范围 内关联方、保证金及员工借 款组合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不计提</w:t>
            </w:r>
          </w:p>
        </w:tc>
      </w:tr>
      <w:tr>
        <w:trPr>
          <w:trHeight w:val="98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其他应收的暂 付款组合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 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 失率，计算预期信用损失</w:t>
            </w:r>
          </w:p>
        </w:tc>
      </w:tr>
    </w:tbl>
    <w:p>
      <w:pPr>
        <w:pStyle w:val="Style25"/>
        <w:keepNext w:val="0"/>
        <w:keepLines w:val="0"/>
        <w:widowControl w:val="0"/>
        <w:shd w:val="clear" w:color="auto" w:fill="auto"/>
        <w:bidi w:val="0"/>
        <w:spacing w:before="0" w:after="0" w:line="240" w:lineRule="auto"/>
        <w:ind w:left="475" w:right="0" w:firstLine="0"/>
        <w:jc w:val="left"/>
      </w:pPr>
      <w:r>
        <w:rPr>
          <w:color w:val="000000"/>
          <w:spacing w:val="0"/>
          <w:w w:val="100"/>
          <w:position w:val="0"/>
        </w:rPr>
        <w:t>公司其他应收款按信用风险特征组合的账龄与整个存续期预期信用损失率对照表如下:</w:t>
      </w:r>
    </w:p>
    <w:p>
      <w:pPr>
        <w:widowControl w:val="0"/>
        <w:spacing w:line="1" w:lineRule="exact"/>
      </w:pPr>
    </w:p>
    <w:tbl>
      <w:tblPr>
        <w:tblOverlap w:val="never"/>
        <w:jc w:val="center"/>
        <w:tblLayout w:type="fixed"/>
      </w:tblPr>
      <w:tblGrid>
        <w:gridCol w:w="5774"/>
        <w:gridCol w:w="3744"/>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5"/>
        <w:keepNext w:val="0"/>
        <w:keepLines w:val="0"/>
        <w:widowControl w:val="0"/>
        <w:shd w:val="clear" w:color="auto" w:fill="auto"/>
        <w:bidi w:val="0"/>
        <w:spacing w:before="0" w:after="0" w:line="240" w:lineRule="auto"/>
        <w:ind w:left="470" w:right="0" w:firstLine="0"/>
        <w:jc w:val="left"/>
      </w:pPr>
      <w:r>
        <w:rPr>
          <w:color w:val="000000"/>
          <w:spacing w:val="0"/>
          <w:w w:val="100"/>
          <w:position w:val="0"/>
        </w:rPr>
        <w:t>变更后公司采用的会计估计</w:t>
      </w:r>
      <w:r>
        <w:br w:type="page"/>
      </w:r>
    </w:p>
    <w:p>
      <w:pPr>
        <w:pStyle w:val="Style1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①应收账款的会计估计</w:t>
      </w:r>
    </w:p>
    <w:p>
      <w:pPr>
        <w:pStyle w:val="Style18"/>
        <w:keepNext w:val="0"/>
        <w:keepLines w:val="0"/>
        <w:widowControl w:val="0"/>
        <w:shd w:val="clear" w:color="auto" w:fill="auto"/>
        <w:bidi w:val="0"/>
        <w:spacing w:before="0" w:after="80" w:line="312" w:lineRule="exact"/>
        <w:ind w:left="0" w:right="0" w:firstLine="480"/>
        <w:jc w:val="both"/>
      </w:pPr>
      <w:r>
        <w:rPr>
          <w:color w:val="000000"/>
          <w:spacing w:val="0"/>
          <w:w w:val="100"/>
          <w:position w:val="0"/>
        </w:rPr>
        <w:t>应收账款，无论是否包含重大融资成分，公司始终按照相当于整个存续期内预期信用损失的金额计量其损失准备，由 此形成的损失准备的增加或转回金额，作为减值损失或利得计入当期损益。公司将应收账款按类似信用风险特征（账龄）进 行组合，并基于所有合理且有依据的信息，包括参考历史信用损失经验，结合当前状况并考虑前瞻性信息，以账龄组合作为 信息风险特征，并在此基础上估计应收款项预期信息损失。</w:t>
      </w:r>
    </w:p>
    <w:p>
      <w:pPr>
        <w:pStyle w:val="Style25"/>
        <w:keepNext w:val="0"/>
        <w:keepLines w:val="0"/>
        <w:widowControl w:val="0"/>
        <w:shd w:val="clear" w:color="auto" w:fill="auto"/>
        <w:bidi w:val="0"/>
        <w:spacing w:before="0" w:after="0" w:line="240" w:lineRule="auto"/>
        <w:ind w:left="475" w:right="0" w:firstLine="0"/>
        <w:jc w:val="left"/>
      </w:pPr>
      <w:r>
        <w:rPr>
          <w:color w:val="000000"/>
          <w:spacing w:val="0"/>
          <w:w w:val="100"/>
          <w:position w:val="0"/>
        </w:rPr>
        <w:t>公司按信用风险特征确定的组合及坏账准备计提方法如下:</w:t>
      </w:r>
    </w:p>
    <w:tbl>
      <w:tblPr>
        <w:tblOverlap w:val="never"/>
        <w:jc w:val="center"/>
        <w:tblLayout w:type="fixed"/>
      </w:tblPr>
      <w:tblGrid>
        <w:gridCol w:w="5774"/>
        <w:gridCol w:w="3744"/>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合并范围外的账龄组合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w:t>
            </w:r>
          </w:p>
        </w:tc>
      </w:tr>
    </w:tbl>
    <w:p>
      <w:pPr>
        <w:widowControl w:val="0"/>
        <w:spacing w:line="1" w:lineRule="exact"/>
      </w:pPr>
    </w:p>
    <w:p>
      <w:pPr>
        <w:pStyle w:val="Style25"/>
        <w:keepNext w:val="0"/>
        <w:keepLines w:val="0"/>
        <w:widowControl w:val="0"/>
        <w:shd w:val="clear" w:color="auto" w:fill="auto"/>
        <w:bidi w:val="0"/>
        <w:spacing w:before="0" w:after="0" w:line="240" w:lineRule="auto"/>
        <w:ind w:left="475" w:right="0" w:firstLine="0"/>
        <w:jc w:val="left"/>
      </w:pPr>
      <w:r>
        <w:rPr>
          <w:color w:val="000000"/>
          <w:spacing w:val="0"/>
          <w:w w:val="100"/>
          <w:position w:val="0"/>
        </w:rPr>
        <w:t>公司应收账款按信用风险特征组合的账龄与整个存续期预期信用损失率对照表如下:</w:t>
      </w:r>
    </w:p>
    <w:tbl>
      <w:tblPr>
        <w:tblOverlap w:val="never"/>
        <w:jc w:val="center"/>
        <w:tblLayout w:type="fixed"/>
      </w:tblPr>
      <w:tblGrid>
        <w:gridCol w:w="5774"/>
        <w:gridCol w:w="3744"/>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p>
    <w:p>
      <w:pPr>
        <w:pStyle w:val="Style25"/>
        <w:keepNext w:val="0"/>
        <w:keepLines w:val="0"/>
        <w:widowControl w:val="0"/>
        <w:shd w:val="clear" w:color="auto" w:fill="auto"/>
        <w:bidi w:val="0"/>
        <w:spacing w:before="0" w:after="100" w:line="240" w:lineRule="auto"/>
        <w:ind w:left="466" w:right="0" w:firstLine="0"/>
        <w:jc w:val="left"/>
      </w:pPr>
      <w:r>
        <w:rPr>
          <w:color w:val="000000"/>
          <w:spacing w:val="0"/>
          <w:w w:val="100"/>
          <w:position w:val="0"/>
        </w:rPr>
        <w:t>②其他应收款的会计估计</w:t>
      </w:r>
    </w:p>
    <w:p>
      <w:pPr>
        <w:pStyle w:val="Style25"/>
        <w:keepNext w:val="0"/>
        <w:keepLines w:val="0"/>
        <w:widowControl w:val="0"/>
        <w:shd w:val="clear" w:color="auto" w:fill="auto"/>
        <w:bidi w:val="0"/>
        <w:spacing w:before="0" w:after="0" w:line="240" w:lineRule="auto"/>
        <w:ind w:left="466" w:right="0" w:firstLine="0"/>
        <w:jc w:val="left"/>
      </w:pPr>
      <w:r>
        <w:rPr>
          <w:color w:val="000000"/>
          <w:spacing w:val="0"/>
          <w:w w:val="100"/>
          <w:position w:val="0"/>
        </w:rPr>
        <w:t>公司的其他应收款按组合评估预期信用风险和计量预期信用损失。</w:t>
      </w:r>
    </w:p>
    <w:tbl>
      <w:tblPr>
        <w:tblOverlap w:val="never"/>
        <w:jc w:val="center"/>
        <w:tblLayout w:type="fixed"/>
      </w:tblPr>
      <w:tblGrid>
        <w:gridCol w:w="2683"/>
        <w:gridCol w:w="1973"/>
        <w:gridCol w:w="4862"/>
      </w:tblGrid>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计量预期信用损失方法</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合并报表范围内关联 方、保证金及员工借款组合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不计提</w:t>
            </w:r>
          </w:p>
        </w:tc>
      </w:tr>
      <w:tr>
        <w:trPr>
          <w:trHeight w:val="97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其他应收的暂付款组 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 用损失率，计算预期信用损失</w:t>
            </w:r>
          </w:p>
        </w:tc>
      </w:tr>
    </w:tbl>
    <w:p>
      <w:pPr>
        <w:widowControl w:val="0"/>
        <w:spacing w:line="1" w:lineRule="exact"/>
      </w:pPr>
    </w:p>
    <w:p>
      <w:pPr>
        <w:pStyle w:val="Style25"/>
        <w:keepNext w:val="0"/>
        <w:keepLines w:val="0"/>
        <w:widowControl w:val="0"/>
        <w:shd w:val="clear" w:color="auto" w:fill="auto"/>
        <w:bidi w:val="0"/>
        <w:spacing w:before="0" w:after="0" w:line="240" w:lineRule="auto"/>
        <w:ind w:left="475" w:right="0" w:firstLine="0"/>
        <w:jc w:val="left"/>
      </w:pPr>
      <w:r>
        <w:rPr>
          <w:color w:val="000000"/>
          <w:spacing w:val="0"/>
          <w:w w:val="100"/>
          <w:position w:val="0"/>
        </w:rPr>
        <w:t>公司其他应收款按信用风险特征组合的账龄与整个存续期预期信用损失率对照表如下:</w:t>
      </w:r>
    </w:p>
    <w:tbl>
      <w:tblPr>
        <w:tblOverlap w:val="never"/>
        <w:jc w:val="center"/>
        <w:tblLayout w:type="fixed"/>
      </w:tblPr>
      <w:tblGrid>
        <w:gridCol w:w="5774"/>
        <w:gridCol w:w="3744"/>
      </w:tblGrid>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line="1" w:lineRule="exact"/>
      </w:pPr>
      <w:r>
        <w:br w:type="page"/>
      </w:r>
    </w:p>
    <w:tbl>
      <w:tblPr>
        <w:tblOverlap w:val="never"/>
        <w:jc w:val="center"/>
        <w:tblLayout w:type="fixed"/>
      </w:tblPr>
      <w:tblGrid>
        <w:gridCol w:w="5774"/>
        <w:gridCol w:w="374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第三方支付业务的其他应收款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shd w:val="clear" w:color="auto" w:fill="FFFFFF"/>
        </w:rPr>
        <w:t>（</w:t>
      </w:r>
      <w:bookmarkEnd w:id="1052"/>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50"/>
      <w:bookmarkEnd w:id="1051"/>
      <w:bookmarkEnd w:id="105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398,907,354.77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398,907,354.77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325,299,546.15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325,299,546.15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10,283,846.40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10,283,846.40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185,023,347.28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185,023,347.28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167,935,892.21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167,935,892.21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160,919,696.73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160,919,696.73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63,166,262.13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63,166,262.13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37,448,315.88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37,448,315.88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1,348,984,261.55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1,348,984,261.55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96,975,482.22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96,975,482.22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242,078,536.70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242,078,536.70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60,101,409.93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60,101,409.93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34,079,419.43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34,079,419.43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562,262,598.94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562,262,598.94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11,282,624.27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11,282,624.27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32,207,680.05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32,207,680.05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63,103,924.08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63,103,924.08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1,140,490,265.69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1,200,591,675.62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2,489,474,527.24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2,549,575,937.17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106,629,884.00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106,629,884.00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948,204,659.02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948,204,659.02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131,976,191.03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131,976,191.03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43,858,979.01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43,858,979.01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44,529,412.22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44,529,412.22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514,040,520.54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514,040,520.54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2,117,021.11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2,117,021.11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10,971,315.45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10,971,315.45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12,249,053.24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12,249,053.24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1,802,432,169.06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1,802,432,169.06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339,437,500.00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339,437,500.00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49,130,094.48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49,130,094.48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4,666,619.30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4,666,619.30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2,454,878.83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2,454,878.83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348,043,025.69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408,144,435.62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2,150,475,194.75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2,210,576,604.68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192,363,459.60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192,363,459.60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-1,014,458.19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-387,302,517.35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-387,302,517.35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237,339,867.47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237,339,867.47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101,659,465.02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101,659,465.02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338,999,332.49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338,999,332.49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2,489,474,527.24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2,489,474,527.24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76,638,028.21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76,638,028.21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182,282,075.73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182,282,075.73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2,176,885.14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11,056,106.72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11,056,106.72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206,171,517.29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206,171,517.29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25,227,025.35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25,227,025.35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37,595,068.82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37,595,068.82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1,558,706.68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1,558,706.68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541,028,528.80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541,028,528.80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972,029,436.76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972,029,436.76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42,108,149.42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42,108,149.42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5,638,012.71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5,638,012.71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998,348.10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998,348.10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11,004,042.59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11,004,042.59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1,045,319,720.42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1,045,319,720.42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1,586,348,249.22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1,586,348,249.22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263,778,868.67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263,778,868.67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47,950,817.33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47,950,817.33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1,312,252.19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1,312,252.19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430,254.89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430,254.89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660,166,219.63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660,166,219.63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17,229,277.74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17,229,277.74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2,443,569.10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2,443,569.10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6,022,113.47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6,022,113.47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1,055,860,526.18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1,055,860,526.18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3,194,443.61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3,194,443.61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1,381,360,526.18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1,381,360,526.18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-480,270,273.29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-480,270,273.29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204,987,723.04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204,987,723.04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1,586,348,249.22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1,586,348,249.22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调整情况说明</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shd w:val="clear" w:color="auto" w:fill="FFFFFF"/>
        </w:rPr>
        <w:t>（</w:t>
      </w:r>
      <w:bookmarkEnd w:id="1056"/>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4"/>
      <w:bookmarkEnd w:id="1055"/>
      <w:bookmarkEnd w:id="1057"/>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本次会计估计变更对公司的影响</w:t>
      </w:r>
    </w:p>
    <w:p>
      <w:pPr>
        <w:pStyle w:val="Style18"/>
        <w:keepNext w:val="0"/>
        <w:keepLines w:val="0"/>
        <w:widowControl w:val="0"/>
        <w:shd w:val="clear" w:color="auto" w:fill="auto"/>
        <w:bidi w:val="0"/>
        <w:spacing w:before="0" w:after="380" w:line="312" w:lineRule="exact"/>
        <w:ind w:left="0" w:right="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一</w:t>
      </w:r>
      <w:r>
        <w:rPr>
          <w:color w:val="000000"/>
          <w:spacing w:val="0"/>
          <w:w w:val="100"/>
          <w:position w:val="0"/>
        </w:rPr>
        <w:t>会计政策、会计估计变更和差错更正》的相关规定，本次会计估计变更采用未来适用法处 理，不会对公司已披露的财务报表产生影响，无需对已披露的财务报告进行追溯调整，对公司以往各期财务状况和经营成果 不会产生影响。此次会计估计变更增加当期利润</w:t>
      </w:r>
      <w:r>
        <w:rPr>
          <w:rFonts w:ascii="Times New Roman" w:eastAsia="Times New Roman" w:hAnsi="Times New Roman" w:cs="Times New Roman"/>
          <w:color w:val="000000"/>
          <w:spacing w:val="0"/>
          <w:w w:val="100"/>
          <w:position w:val="0"/>
          <w:sz w:val="18"/>
          <w:szCs w:val="18"/>
        </w:rPr>
        <w:t>32,142,959.21</w:t>
      </w:r>
      <w:r>
        <w:rPr>
          <w:color w:val="000000"/>
          <w:spacing w:val="0"/>
          <w:w w:val="100"/>
          <w:position w:val="0"/>
        </w:rPr>
        <w:t>元。</w:t>
      </w:r>
    </w:p>
    <w:p>
      <w:pPr>
        <w:pStyle w:val="Style29"/>
        <w:keepNext/>
        <w:keepLines/>
        <w:widowControl w:val="0"/>
        <w:shd w:val="clear" w:color="auto" w:fill="auto"/>
        <w:bidi w:val="0"/>
        <w:spacing w:before="0" w:after="280" w:line="240" w:lineRule="auto"/>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39</w:t>
      </w:r>
      <w:r>
        <w:rPr>
          <w:color w:val="000000"/>
          <w:spacing w:val="0"/>
          <w:w w:val="100"/>
          <w:position w:val="0"/>
        </w:rPr>
        <w:t>、其他</w:t>
      </w:r>
      <w:bookmarkEnd w:id="1058"/>
      <w:bookmarkEnd w:id="1059"/>
      <w:bookmarkEnd w:id="1060"/>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六</w:t>
      </w:r>
      <w:bookmarkEnd w:id="1063"/>
      <w:r>
        <w:rPr>
          <w:color w:val="000000"/>
          <w:spacing w:val="0"/>
          <w:w w:val="100"/>
          <w:position w:val="0"/>
        </w:rPr>
        <w:t>、税项</w:t>
      </w:r>
      <w:bookmarkEnd w:id="1061"/>
      <w:bookmarkEnd w:id="1062"/>
      <w:bookmarkEnd w:id="1064"/>
    </w:p>
    <w:p>
      <w:pPr>
        <w:pStyle w:val="Style29"/>
        <w:keepNext/>
        <w:keepLines/>
        <w:widowControl w:val="0"/>
        <w:shd w:val="clear" w:color="auto" w:fill="auto"/>
        <w:bidi w:val="0"/>
        <w:spacing w:before="0" w:after="32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color w:val="000000"/>
          <w:spacing w:val="0"/>
          <w:w w:val="100"/>
          <w:position w:val="0"/>
        </w:rPr>
        <w:t>、主要税种及税率</w:t>
      </w:r>
      <w:bookmarkEnd w:id="1065"/>
      <w:bookmarkEnd w:id="1066"/>
      <w:bookmarkEnd w:id="106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按应税收入的适用税率计算销项税，并 按扣除当期允许抵扣的进项税额后的差 额计缴增值税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开店宝科技集团有限公司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深圳键桥智能技术有限公司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大连亚联企业咨询有限公司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深圳亚联大数据科技发展有限公司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共青城正融投资管理合伙企业（有限合伙）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广州亚联企业管理有限公司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湖南键桥通讯技术有限公司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299" w:line="1" w:lineRule="exact"/>
      </w:pPr>
    </w:p>
    <w:p>
      <w:pPr>
        <w:pStyle w:val="Style29"/>
        <w:keepNext/>
        <w:keepLines/>
        <w:widowControl w:val="0"/>
        <w:shd w:val="clear" w:color="auto" w:fill="auto"/>
        <w:tabs>
          <w:tab w:pos="341" w:val="left"/>
        </w:tabs>
        <w:bidi w:val="0"/>
        <w:spacing w:before="0" w:after="300" w:line="240"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color w:val="000000"/>
          <w:spacing w:val="0"/>
          <w:w w:val="100"/>
          <w:position w:val="0"/>
        </w:rPr>
        <w:t>、</w:t>
        <w:tab/>
        <w:t>税收优惠</w:t>
      </w:r>
      <w:bookmarkEnd w:id="1069"/>
      <w:bookmarkEnd w:id="1070"/>
      <w:bookmarkEnd w:id="1072"/>
    </w:p>
    <w:p>
      <w:pPr>
        <w:pStyle w:val="Style18"/>
        <w:keepNext w:val="0"/>
        <w:keepLines w:val="0"/>
        <w:widowControl w:val="0"/>
        <w:shd w:val="clear" w:color="auto" w:fill="auto"/>
        <w:bidi w:val="0"/>
        <w:spacing w:before="0" w:after="0" w:line="313" w:lineRule="exact"/>
        <w:ind w:left="0" w:right="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日取得深圳市科技创新委员会、深圳市财政委员会、国家税务总局深圳市税务局联合批准下 发的编号为</w:t>
      </w:r>
      <w:r>
        <w:rPr>
          <w:rFonts w:ascii="Times New Roman" w:eastAsia="Times New Roman" w:hAnsi="Times New Roman" w:cs="Times New Roman"/>
          <w:color w:val="000000"/>
          <w:spacing w:val="0"/>
          <w:w w:val="100"/>
          <w:position w:val="0"/>
          <w:sz w:val="18"/>
          <w:szCs w:val="18"/>
        </w:rPr>
        <w:t>GR202044205773</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年度；控股子公司广州键桥技术有限公司于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日取得广东省科学技术厅、广东省财政厅、国家税务总局 广东省税务局联合批准下发的编号为</w:t>
      </w:r>
      <w:r>
        <w:rPr>
          <w:rFonts w:ascii="Times New Roman" w:eastAsia="Times New Roman" w:hAnsi="Times New Roman" w:cs="Times New Roman"/>
          <w:color w:val="000000"/>
          <w:spacing w:val="0"/>
          <w:w w:val="100"/>
          <w:position w:val="0"/>
          <w:sz w:val="18"/>
          <w:szCs w:val="18"/>
        </w:rPr>
        <w:t>GR20204400986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 征收，减免期限为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p>
      <w:pPr>
        <w:pStyle w:val="Style18"/>
        <w:keepNext w:val="0"/>
        <w:keepLines w:val="0"/>
        <w:widowControl w:val="0"/>
        <w:shd w:val="clear" w:color="auto" w:fill="auto"/>
        <w:bidi w:val="0"/>
        <w:spacing w:before="0" w:after="0" w:line="313" w:lineRule="exact"/>
        <w:ind w:left="0" w:right="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根据《中华人民共和国企业所得税法》、《中华人民共和国企业所得税法实施条例》、《关于进一步鼓励软件产 业和集成电路产业发展企业所得税政策的通知》（财税〔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号）、《关于软件和集成电路产业企业所得税优惠政策有 关问题的通知》（财税〔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号）规定，我国境内新办的集成电路设计企业和符合条件的软件企业，经认定后，在</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日前自获利年度起计算优惠期，第一年至第二年免征企业所得税，第三年至第五年按照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 业所得税，并享受至期满为止。国家规划布局内的重点软件企业和集成电路设计企业，如当年未享受免税优惠的，可减按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的税率征收企业所得税。控股子公司开店宝科技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的法定税率征收企业所得税。</w:t>
      </w:r>
    </w:p>
    <w:p>
      <w:pPr>
        <w:pStyle w:val="Style18"/>
        <w:keepNext w:val="0"/>
        <w:keepLines w:val="0"/>
        <w:widowControl w:val="0"/>
        <w:shd w:val="clear" w:color="auto" w:fill="auto"/>
        <w:bidi w:val="0"/>
        <w:spacing w:before="0" w:after="0" w:line="313" w:lineRule="exact"/>
        <w:ind w:left="0" w:right="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公司子公司开店宝集团之子公司开店宝支付服务有限公司于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日取得上海市科技创新委员会、上海市 财政局、国家税务总局上海市税务局联合批准下发的编号为</w:t>
      </w:r>
      <w:r>
        <w:rPr>
          <w:rFonts w:ascii="Times New Roman" w:eastAsia="Times New Roman" w:hAnsi="Times New Roman" w:cs="Times New Roman"/>
          <w:color w:val="000000"/>
          <w:spacing w:val="0"/>
          <w:w w:val="100"/>
          <w:position w:val="0"/>
          <w:sz w:val="18"/>
          <w:szCs w:val="18"/>
        </w:rPr>
        <w:t>GR202131005651</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年起，企业所得 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p>
      <w:pPr>
        <w:pStyle w:val="Style1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无。</w:t>
      </w:r>
    </w:p>
    <w:p>
      <w:pPr>
        <w:pStyle w:val="Style29"/>
        <w:keepNext/>
        <w:keepLines/>
        <w:widowControl w:val="0"/>
        <w:shd w:val="clear" w:color="auto" w:fill="auto"/>
        <w:tabs>
          <w:tab w:pos="341" w:val="left"/>
        </w:tabs>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color w:val="000000"/>
          <w:spacing w:val="0"/>
          <w:w w:val="100"/>
          <w:position w:val="0"/>
        </w:rPr>
        <w:t>、</w:t>
        <w:tab/>
        <w:t>其他</w:t>
      </w:r>
      <w:bookmarkEnd w:id="1076"/>
      <w:bookmarkEnd w:id="1077"/>
      <w:bookmarkEnd w:id="1079"/>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七</w:t>
      </w:r>
      <w:bookmarkEnd w:id="1082"/>
      <w:r>
        <w:rPr>
          <w:color w:val="000000"/>
          <w:spacing w:val="0"/>
          <w:w w:val="100"/>
          <w:position w:val="0"/>
        </w:rPr>
        <w:t>、合并财务报表项目注释</w:t>
      </w:r>
      <w:bookmarkEnd w:id="1080"/>
      <w:bookmarkEnd w:id="1081"/>
      <w:bookmarkEnd w:id="1083"/>
    </w:p>
    <w:p>
      <w:pPr>
        <w:pStyle w:val="Style29"/>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color w:val="000000"/>
          <w:spacing w:val="0"/>
          <w:w w:val="100"/>
          <w:position w:val="0"/>
        </w:rPr>
        <w:t>、货币资金</w:t>
      </w:r>
      <w:bookmarkEnd w:id="1084"/>
      <w:bookmarkEnd w:id="1085"/>
      <w:bookmarkEnd w:id="1087"/>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248,404.26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137,077,310.58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149,575,249.78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148,279,525.49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249,083,700.73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285,466,340.33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398,907,354.77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8,115,553.59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40" w:line="307" w:lineRule="exact"/>
        <w:ind w:left="0" w:right="0"/>
        <w:jc w:val="both"/>
      </w:pPr>
      <w:r>
        <w:rPr>
          <w:color w:val="000000"/>
          <w:spacing w:val="0"/>
          <w:w w:val="100"/>
          <w:position w:val="0"/>
        </w:rPr>
        <w:t>年末其他货币资金包括支付机构客户备付金、银行承兑汇票保证金存款、保函保证金存款、信用证保证金存款及外埠存 款、项目保证金等。</w:t>
      </w:r>
      <w:r>
        <w:br w:type="page"/>
      </w:r>
    </w:p>
    <w:p>
      <w:pPr>
        <w:pStyle w:val="Style18"/>
        <w:keepNext w:val="0"/>
        <w:keepLines w:val="0"/>
        <w:widowControl w:val="0"/>
        <w:shd w:val="clear" w:color="auto" w:fill="auto"/>
        <w:bidi w:val="0"/>
        <w:spacing w:before="0" w:after="380" w:line="240" w:lineRule="auto"/>
        <w:ind w:left="0" w:right="0"/>
        <w:jc w:val="left"/>
      </w:pPr>
      <w:r>
        <w:rPr>
          <w:color w:val="000000"/>
          <w:spacing w:val="0"/>
          <w:w w:val="100"/>
          <w:position w:val="0"/>
        </w:rPr>
        <w:t>货币资金受限情况详见附注七、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bookmarkEnd w:id="1090"/>
      <w:r>
        <w:rPr>
          <w:color w:val="000000"/>
          <w:spacing w:val="0"/>
          <w:w w:val="100"/>
          <w:position w:val="0"/>
        </w:rPr>
        <w:t>、应收账款</w:t>
      </w:r>
      <w:bookmarkEnd w:id="1088"/>
      <w:bookmarkEnd w:id="1089"/>
      <w:bookmarkEnd w:id="1091"/>
    </w:p>
    <w:p>
      <w:pPr>
        <w:pStyle w:val="Style32"/>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2"/>
      <w:bookmarkEnd w:id="1093"/>
      <w:bookmarkEnd w:id="109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96,401,2</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96,401,2</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100,514,6</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93,646,3</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93,646,3</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97,052,82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97,052,82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单项金额不重大但 单独计提坏账准备 的应收款项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3,461,864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3,461,864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327,440,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39,120,2</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288,320,3</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369,408,4</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44,108,86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325,299,54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按账龄划分的信用 风险特征组合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327,440,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39,120,2</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288,320,3</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369,408,4</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44,108,86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325,299,54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423,841,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288,320,3</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469,923,0</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144,623,5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325,299,54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1,583,000.00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1,356,946.20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1,356,946.20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3,282,342.32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3,282,342.32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93,646,323.90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93,646,323.90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12,511,125.64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590,130.25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1,827,561.91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218,182.22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4,509,076.24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1,352,722.87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22,283,291.33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11,141,645.67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41,131,055.12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13,302,681.01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第三方支付以外业务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154,017,727.99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1,540,177.28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44,029,628.80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880,592.58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15,655,665.07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1,565,566.51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37,910,932.75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7,582,186.55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15,493,736.44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4,648,120.93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19,201,875.85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9,600,937.93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第三方支付以外业务小计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286,309,566.90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25,817,581.77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327,440,622.02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39,120,262.78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166,174,593.30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46,211,451.04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20,164,741.31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191,291,047.27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60,194,224.08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15,493,736.44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115,603,086.75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423,841,832.92</w:t>
            </w:r>
          </w:p>
        </w:tc>
      </w:tr>
    </w:tbl>
    <w:p>
      <w:pPr>
        <w:pStyle w:val="Style18"/>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无</w:t>
      </w:r>
    </w:p>
    <w:p>
      <w:pPr>
        <w:pStyle w:val="Style32"/>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6"/>
      <w:bookmarkEnd w:id="1097"/>
      <w:bookmarkEnd w:id="109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100,514,688.49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3,282,342.32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-7,395,819.91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96,401,210.90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44,108,865.33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2,416,359.53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-2,572,243.02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39,120,262.78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144,623,553.82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3,282,342.32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2,416,359.53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-9,968,062.93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135,521,473.68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注：其他</w:t>
      </w:r>
      <w:r>
        <w:rPr>
          <w:rFonts w:ascii="Times New Roman" w:eastAsia="Times New Roman" w:hAnsi="Times New Roman" w:cs="Times New Roman"/>
          <w:color w:val="000000"/>
          <w:spacing w:val="0"/>
          <w:w w:val="100"/>
          <w:position w:val="0"/>
          <w:sz w:val="18"/>
          <w:szCs w:val="18"/>
        </w:rPr>
        <w:t>-9,968,062.93</w:t>
      </w:r>
      <w:r>
        <w:rPr>
          <w:color w:val="000000"/>
          <w:spacing w:val="0"/>
          <w:w w:val="100"/>
          <w:position w:val="0"/>
        </w:rPr>
        <w:t>元，系本年处置子公司导致合并范围变化形成的。</w:t>
      </w:r>
    </w:p>
    <w:p>
      <w:pPr>
        <w:pStyle w:val="Style32"/>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100"/>
      <w:bookmarkEnd w:id="1101"/>
      <w:bookmarkEnd w:id="110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42,383,000.00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26,814,132.31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275,644.85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20,020,790.00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200,207.90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13,787,539.00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137,875.39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13,636,725.82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217,751.11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116,642,187.13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keepLines/>
        <w:widowControl w:val="0"/>
        <w:shd w:val="clear" w:color="auto" w:fill="auto"/>
        <w:tabs>
          <w:tab w:pos="493" w:val="left"/>
        </w:tabs>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w:t>
        <w:tab/>
        <w:t>转移应收账款且继续涉入形成的资产、负债金额</w:t>
      </w:r>
      <w:bookmarkEnd w:id="1104"/>
      <w:bookmarkEnd w:id="1105"/>
      <w:bookmarkEnd w:id="110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8"/>
      <w:bookmarkEnd w:id="1109"/>
      <w:bookmarkEnd w:id="111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color w:val="000000"/>
          <w:spacing w:val="0"/>
          <w:w w:val="100"/>
          <w:position w:val="0"/>
        </w:rPr>
        <w:t>、应收款项融资</w:t>
      </w:r>
      <w:bookmarkEnd w:id="1112"/>
      <w:bookmarkEnd w:id="1113"/>
      <w:bookmarkEnd w:id="111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5,377,341.40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7,367,960.72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4,906,505.00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7,867,960.72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10,283,846.40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年末已背书或贴现且在资产负债表日尚未到期的应收票据</w:t>
      </w:r>
    </w:p>
    <w:tbl>
      <w:tblPr>
        <w:tblOverlap w:val="never"/>
        <w:jc w:val="center"/>
        <w:tblLayout w:type="fixed"/>
      </w:tblPr>
      <w:tblGrid>
        <w:gridCol w:w="3250"/>
        <w:gridCol w:w="3240"/>
        <w:gridCol w:w="3250"/>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年末终止确认金额（元）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年末未终止确认金额（元）</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18,155,827.09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534,516.00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18,690,343.09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4</w:t>
      </w:r>
      <w:bookmarkEnd w:id="1118"/>
      <w:r>
        <w:rPr>
          <w:color w:val="000000"/>
          <w:spacing w:val="0"/>
          <w:w w:val="100"/>
          <w:position w:val="0"/>
        </w:rPr>
        <w:t>、预付款项</w:t>
      </w:r>
      <w:bookmarkEnd w:id="1116"/>
      <w:bookmarkEnd w:id="1117"/>
      <w:bookmarkEnd w:id="1119"/>
    </w:p>
    <w:p>
      <w:pPr>
        <w:pStyle w:val="Style32"/>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0"/>
      <w:bookmarkEnd w:id="1121"/>
      <w:bookmarkEnd w:id="112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352,723,661.84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163,639,727.34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25,912,577.03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18,957,263.70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1,011,799.83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1,782,737.04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457,744.20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643,619.20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380,105,782.90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185,023,347.28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①公司为了取得价格优惠采取预付货款，分批到货；②部分预付款项为未与供应商结算的采购货物尾款。</w:t>
      </w:r>
    </w:p>
    <w:p>
      <w:pPr>
        <w:pStyle w:val="Style32"/>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4"/>
      <w:bookmarkEnd w:id="1125"/>
      <w:bookmarkEnd w:id="1127"/>
    </w:p>
    <w:tbl>
      <w:tblPr>
        <w:tblOverlap w:val="never"/>
        <w:jc w:val="center"/>
        <w:tblLayout w:type="fixed"/>
      </w:tblPr>
      <w:tblGrid>
        <w:gridCol w:w="1853"/>
        <w:gridCol w:w="1699"/>
        <w:gridCol w:w="2122"/>
        <w:gridCol w:w="3845"/>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占预付账款年末余额合计数的比例（</w:t>
            </w:r>
            <w:r>
              <w:rPr>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78,853,982.34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72,615,750.91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33,631,526.18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28,557,227.24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15,543,220.83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229,201,707.50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5</w:t>
      </w:r>
      <w:bookmarkEnd w:id="1130"/>
      <w:r>
        <w:rPr>
          <w:color w:val="000000"/>
          <w:spacing w:val="0"/>
          <w:w w:val="100"/>
          <w:position w:val="0"/>
        </w:rPr>
        <w:t>、其他应收款</w:t>
      </w:r>
      <w:bookmarkEnd w:id="1128"/>
      <w:bookmarkEnd w:id="1129"/>
      <w:bookmarkEnd w:id="113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139,731,304.73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167,935,892.21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139,731,304.73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167,935,892.21</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2"/>
      <w:bookmarkEnd w:id="1133"/>
      <w:bookmarkEnd w:id="1135"/>
    </w:p>
    <w:p>
      <w:pPr>
        <w:pStyle w:val="Style56"/>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color w:val="000000"/>
          <w:spacing w:val="0"/>
          <w:w w:val="100"/>
          <w:position w:val="0"/>
        </w:rPr>
        <w:t>）坏账准备计提情况</w:t>
      </w:r>
      <w:bookmarkEnd w:id="1136"/>
      <w:bookmarkEnd w:id="1137"/>
      <w:bookmarkEnd w:id="113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40"/>
      <w:bookmarkEnd w:id="1141"/>
      <w:bookmarkEnd w:id="1143"/>
    </w:p>
    <w:p>
      <w:pPr>
        <w:pStyle w:val="Style56"/>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color w:val="000000"/>
          <w:spacing w:val="0"/>
          <w:w w:val="100"/>
          <w:position w:val="0"/>
        </w:rPr>
        <w:t>）坏账准备计提情况</w:t>
      </w:r>
      <w:bookmarkEnd w:id="1144"/>
      <w:bookmarkEnd w:id="1145"/>
      <w:bookmarkEnd w:id="114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48"/>
      <w:bookmarkEnd w:id="1149"/>
      <w:bookmarkEnd w:id="1151"/>
    </w:p>
    <w:p>
      <w:pPr>
        <w:pStyle w:val="Style56"/>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color w:val="000000"/>
          <w:spacing w:val="0"/>
          <w:w w:val="100"/>
          <w:position w:val="0"/>
        </w:rPr>
        <w:t>）其他应收款按款项性质分类情况</w:t>
      </w:r>
      <w:bookmarkEnd w:id="1152"/>
      <w:bookmarkEnd w:id="1153"/>
      <w:bookmarkEnd w:id="11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143,514,610.04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181,811,309.67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50,752,042.93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61,262,574.41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217,066,652.97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243,073,884.08</w:t>
            </w:r>
          </w:p>
        </w:tc>
      </w:tr>
    </w:tbl>
    <w:p>
      <w:pPr>
        <w:widowControl w:val="0"/>
        <w:spacing w:after="319" w:line="1" w:lineRule="exact"/>
      </w:pPr>
    </w:p>
    <w:p>
      <w:pPr>
        <w:pStyle w:val="Style56"/>
        <w:keepNext/>
        <w:keepLines/>
        <w:widowControl w:val="0"/>
        <w:shd w:val="clear" w:color="auto" w:fill="auto"/>
        <w:bidi w:val="0"/>
        <w:spacing w:before="0" w:after="40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color w:val="000000"/>
          <w:spacing w:val="0"/>
          <w:w w:val="100"/>
          <w:position w:val="0"/>
        </w:rPr>
        <w:t>）坏账准备计提情况</w:t>
      </w:r>
      <w:bookmarkEnd w:id="1156"/>
      <w:bookmarkEnd w:id="1157"/>
      <w:bookmarkEnd w:id="115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5,127,860.96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25,080,502.80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44,929,628.11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75,137,991.87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4,686,708.87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7,079,080.08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978,737.94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978,737.94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-3,902,985.77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-3,902,985.77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5,911,584.06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27,472,874.01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43,950,890.17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77,335,348.24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65,471,501.91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37,007,405.12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21,524,339.82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93,063,406.12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39,691,969.81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9,420,546.14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43,950,890.17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217,066,652.97</w:t>
            </w:r>
          </w:p>
        </w:tc>
      </w:tr>
    </w:tbl>
    <w:p>
      <w:pPr>
        <w:widowControl w:val="0"/>
        <w:spacing w:after="319" w:line="1" w:lineRule="exact"/>
      </w:pPr>
    </w:p>
    <w:p>
      <w:pPr>
        <w:pStyle w:val="Style56"/>
        <w:keepNext/>
        <w:keepLines/>
        <w:widowControl w:val="0"/>
        <w:shd w:val="clear" w:color="auto" w:fill="auto"/>
        <w:bidi w:val="0"/>
        <w:spacing w:before="0" w:after="40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color w:val="000000"/>
          <w:spacing w:val="0"/>
          <w:w w:val="100"/>
          <w:position w:val="0"/>
        </w:rPr>
        <w:t>）本期计提、收回或转回的坏账准备情况</w:t>
      </w:r>
      <w:bookmarkEnd w:id="1160"/>
      <w:bookmarkEnd w:id="1161"/>
      <w:bookmarkEnd w:id="116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44,929,628.11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978,737.94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43,950,890.17</w:t>
            </w:r>
          </w:p>
        </w:tc>
      </w:tr>
    </w:tbl>
    <w:p>
      <w:pPr>
        <w:widowControl w:val="0"/>
        <w:spacing w:line="1" w:lineRule="exact"/>
      </w:pPr>
    </w:p>
    <w:tbl>
      <w:tblPr>
        <w:tblOverlap w:val="never"/>
        <w:jc w:val="center"/>
        <w:tblLayout w:type="fixed"/>
      </w:tblPr>
      <w:tblGrid>
        <w:gridCol w:w="1421"/>
        <w:gridCol w:w="1099"/>
        <w:gridCol w:w="1190"/>
        <w:gridCol w:w="1306"/>
        <w:gridCol w:w="1090"/>
        <w:gridCol w:w="1738"/>
        <w:gridCol w:w="173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30,208,363.76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7,079,080.08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-3,902,985.77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33,384,458.07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75,137,991.87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7,079,080.08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978,737.94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-3,902,985.77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77,335,348.24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注：其他</w:t>
      </w:r>
      <w:r>
        <w:rPr>
          <w:rFonts w:ascii="Times New Roman" w:eastAsia="Times New Roman" w:hAnsi="Times New Roman" w:cs="Times New Roman"/>
          <w:color w:val="000000"/>
          <w:spacing w:val="0"/>
          <w:w w:val="100"/>
          <w:position w:val="0"/>
          <w:sz w:val="18"/>
          <w:szCs w:val="18"/>
        </w:rPr>
        <w:t>-3,902,985.77</w:t>
      </w:r>
      <w:r>
        <w:rPr>
          <w:color w:val="000000"/>
          <w:spacing w:val="0"/>
          <w:w w:val="100"/>
          <w:position w:val="0"/>
        </w:rPr>
        <w:t>元，系本年处置子公司导致合并范围变化形成的。</w:t>
      </w:r>
    </w:p>
    <w:p>
      <w:pPr>
        <w:widowControl w:val="0"/>
        <w:spacing w:after="379" w:line="1" w:lineRule="exact"/>
      </w:pPr>
    </w:p>
    <w:p>
      <w:pPr>
        <w:pStyle w:val="Style56"/>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color w:val="000000"/>
          <w:spacing w:val="0"/>
          <w:w w:val="100"/>
          <w:position w:val="0"/>
        </w:rPr>
        <w:t>）按欠款方归集的期末余额前五名的其他应收款情况</w:t>
      </w:r>
      <w:bookmarkEnd w:id="1164"/>
      <w:bookmarkEnd w:id="1165"/>
      <w:bookmarkEnd w:id="116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60,597,730.26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3,865,283.74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42,666,473.38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2,133,323.67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17,787,983.76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8,893,991.88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17,090,415.77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8,545,207.89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163,152,603.17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48,447,807.18</w:t>
            </w:r>
          </w:p>
        </w:tc>
      </w:tr>
    </w:tbl>
    <w:p>
      <w:pPr>
        <w:widowControl w:val="0"/>
        <w:spacing w:after="379" w:line="1" w:lineRule="exact"/>
      </w:pPr>
    </w:p>
    <w:p>
      <w:pPr>
        <w:pStyle w:val="Style56"/>
        <w:keepNext/>
        <w:keepLines/>
        <w:widowControl w:val="0"/>
        <w:shd w:val="clear" w:color="auto" w:fill="auto"/>
        <w:tabs>
          <w:tab w:pos="397" w:val="left"/>
        </w:tabs>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5</w:t>
      </w:r>
      <w:bookmarkEnd w:id="1170"/>
      <w:r>
        <w:rPr>
          <w:color w:val="000000"/>
          <w:spacing w:val="0"/>
          <w:w w:val="100"/>
          <w:position w:val="0"/>
        </w:rPr>
        <w:t>）</w:t>
        <w:tab/>
        <w:t>涉及政府补助的应收款项</w:t>
      </w:r>
      <w:bookmarkEnd w:id="1168"/>
      <w:bookmarkEnd w:id="1169"/>
      <w:bookmarkEnd w:id="117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6</w:t>
      </w:r>
      <w:bookmarkEnd w:id="1174"/>
      <w:r>
        <w:rPr>
          <w:color w:val="000000"/>
          <w:spacing w:val="0"/>
          <w:w w:val="100"/>
          <w:position w:val="0"/>
        </w:rPr>
        <w:t>）</w:t>
        <w:tab/>
        <w:t>因金融资产转移而终止确认的其他应收款</w:t>
      </w:r>
      <w:bookmarkEnd w:id="1172"/>
      <w:bookmarkEnd w:id="1173"/>
      <w:bookmarkEnd w:id="117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7</w:t>
      </w:r>
      <w:bookmarkEnd w:id="1178"/>
      <w:r>
        <w:rPr>
          <w:color w:val="000000"/>
          <w:spacing w:val="0"/>
          <w:w w:val="100"/>
          <w:position w:val="0"/>
        </w:rPr>
        <w:t>）</w:t>
        <w:tab/>
        <w:t>转移其他应收款且继续涉入形成的资产、负债金额</w:t>
      </w:r>
      <w:bookmarkEnd w:id="1176"/>
      <w:bookmarkEnd w:id="1177"/>
      <w:bookmarkEnd w:id="117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6</w:t>
      </w:r>
      <w:bookmarkEnd w:id="1182"/>
      <w:r>
        <w:rPr>
          <w:color w:val="000000"/>
          <w:spacing w:val="0"/>
          <w:w w:val="100"/>
          <w:position w:val="0"/>
        </w:rPr>
        <w:t>、存货</w:t>
      </w:r>
      <w:bookmarkEnd w:id="1180"/>
      <w:bookmarkEnd w:id="1181"/>
      <w:bookmarkEnd w:id="118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4"/>
      <w:bookmarkEnd w:id="1185"/>
      <w:bookmarkEnd w:id="118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34,173,877.58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7,267,849.92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26,906,027.66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40,169,712.61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7,026,961.95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33,142,750.66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52,406,118.07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52,406,118.07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43,137,350.48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43,137,350.48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64,427,481.02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286,972.02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64,140,509.00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84,639,595.59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84,639,595.59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151,007,476.67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7,554,821.94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143,452,654.73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167,946,658.68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7,026,961.95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160,919,696.73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8"/>
      <w:bookmarkEnd w:id="1189"/>
      <w:bookmarkEnd w:id="119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7,026,961.95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241,983.80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7,267,849.92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286,972.02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286,972.02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7,026,961.95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528,955.82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7,554,821.94</w:t>
            </w:r>
          </w:p>
        </w:tc>
      </w:tr>
    </w:tbl>
    <w:p>
      <w:pPr>
        <w:widowControl w:val="0"/>
        <w:spacing w:after="319" w:line="1" w:lineRule="exact"/>
      </w:pPr>
    </w:p>
    <w:p>
      <w:pPr>
        <w:widowControl w:val="0"/>
        <w:spacing w:line="1" w:lineRule="exact"/>
      </w:pPr>
    </w:p>
    <w:tbl>
      <w:tblPr>
        <w:tblOverlap w:val="never"/>
        <w:jc w:val="center"/>
        <w:tblLayout w:type="fixed"/>
      </w:tblPr>
      <w:tblGrid>
        <w:gridCol w:w="1330"/>
        <w:gridCol w:w="4915"/>
        <w:gridCol w:w="1560"/>
        <w:gridCol w:w="1714"/>
      </w:tblGrid>
      <w:tr>
        <w:trPr>
          <w:trHeight w:val="65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计提存货跌价准备的具体依据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本年转回存货跌价 准备的原因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本年转销存货跌价 准备的原因</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按可变现净值减去账面价的差额计提存货跌价准备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已销售</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按可变现净值减去账面价的差额计提存货跌价准备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按可变现净值减去账面价的差额计提存货跌价准备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92"/>
      <w:bookmarkEnd w:id="1193"/>
      <w:bookmarkEnd w:id="119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96"/>
      <w:bookmarkEnd w:id="1197"/>
      <w:bookmarkEnd w:id="119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7</w:t>
      </w:r>
      <w:bookmarkEnd w:id="1202"/>
      <w:r>
        <w:rPr>
          <w:color w:val="000000"/>
          <w:spacing w:val="0"/>
          <w:w w:val="100"/>
          <w:position w:val="0"/>
        </w:rPr>
        <w:t>、合同资产</w:t>
      </w:r>
      <w:bookmarkEnd w:id="1200"/>
      <w:bookmarkEnd w:id="1201"/>
      <w:bookmarkEnd w:id="120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47,725,454.06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2,987,074.01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44,738,380.05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70,051,598.44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6,885,336.31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63,166,262.13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47,725,454.06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2,987,074.01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44,738,380.05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70,051,598.44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6,885,336.31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63,166,262.13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本期合同资产计提减值准备情况</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3,898,262.30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3,898,262.30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8</w:t>
      </w:r>
      <w:bookmarkEnd w:id="1206"/>
      <w:r>
        <w:rPr>
          <w:color w:val="000000"/>
          <w:spacing w:val="0"/>
          <w:w w:val="100"/>
          <w:position w:val="0"/>
        </w:rPr>
        <w:t>、其他流动资产</w:t>
      </w:r>
      <w:bookmarkEnd w:id="1204"/>
      <w:bookmarkEnd w:id="1205"/>
      <w:bookmarkEnd w:id="120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22,891,791.57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31,660,150.07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预交的企业所得税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1,124,691.18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2,594,304.28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1,464,559.69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3,193,861.53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25,481,042.44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37,448,315.88</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其中：发放贷款及垫款情况</w:t>
      </w:r>
    </w:p>
    <w:tbl>
      <w:tblPr>
        <w:tblOverlap w:val="never"/>
        <w:jc w:val="center"/>
        <w:tblLayout w:type="fixed"/>
      </w:tblPr>
      <w:tblGrid>
        <w:gridCol w:w="3250"/>
        <w:gridCol w:w="2995"/>
        <w:gridCol w:w="3274"/>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年初余额（元）</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企业贷款和垫款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减：贷款减值准备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9</w:t>
      </w:r>
      <w:bookmarkEnd w:id="1210"/>
      <w:r>
        <w:rPr>
          <w:color w:val="000000"/>
          <w:spacing w:val="0"/>
          <w:w w:val="100"/>
          <w:position w:val="0"/>
        </w:rPr>
        <w:t>、长期股权投资</w:t>
      </w:r>
      <w:bookmarkEnd w:id="1208"/>
      <w:bookmarkEnd w:id="1209"/>
      <w:bookmarkEnd w:id="121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深圳盈华</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小额贷款</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36,071,57</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-5,206,50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30,865,06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先锋基金 管理有限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19,844,54</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-4,045,97</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徐州淮海</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数据交换</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1,226,119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-186,784.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1,039,335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嘉兴德玖 投资合伙 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9,993,235</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9,992,336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67,135,47</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-9,440,17</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-15,798,5</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41,896,73</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上海有旺</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1,275,612</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-869,656.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405,955.7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Candypay</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Global</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Utama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-828,773.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-828,773.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EZY NET</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29,083,31</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-29,083,3</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北京未来 梧桐信息 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309,854.4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114,787.4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424,641.9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深圳键桥</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轨道交通</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-7,524,28</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11,585,71</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29,840,00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-8,279,15</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12,416,31</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96,975,48</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-26,600,6</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54,313,05</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0"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）先锋基金管理有限公司</w:t>
      </w:r>
      <w:r>
        <w:rPr>
          <w:rFonts w:ascii="Times New Roman" w:eastAsia="Times New Roman" w:hAnsi="Times New Roman" w:cs="Times New Roman"/>
          <w:color w:val="000000"/>
          <w:spacing w:val="0"/>
          <w:w w:val="100"/>
          <w:position w:val="0"/>
          <w:sz w:val="18"/>
          <w:szCs w:val="18"/>
        </w:rPr>
        <w:t>-15,798,566.23</w:t>
      </w:r>
      <w:r>
        <w:rPr>
          <w:color w:val="000000"/>
          <w:spacing w:val="0"/>
          <w:w w:val="100"/>
          <w:position w:val="0"/>
        </w:rPr>
        <w:t>元，系由于该项投资是由大连亚联投资有限公司投资的，随处置大连亚联投 资有限公司而减少；（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EZY NET PTE LTD-29,083,315.46</w:t>
      </w:r>
      <w:r>
        <w:rPr>
          <w:color w:val="000000"/>
          <w:spacing w:val="0"/>
          <w:w w:val="100"/>
          <w:position w:val="0"/>
        </w:rPr>
        <w:t>元，系该公司本年增资扩股，公司未放弃了增资股权比例被稀释， 原持股比例为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，稀释后持股比例为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color w:val="000000"/>
          <w:spacing w:val="0"/>
          <w:w w:val="100"/>
          <w:position w:val="0"/>
        </w:rPr>
        <w:t>已无重大影响转入了权益工具核算；⑶深圳键桥轨道交通有限公司</w:t>
      </w:r>
      <w:r>
        <w:rPr>
          <w:rFonts w:ascii="Times New Roman" w:eastAsia="Times New Roman" w:hAnsi="Times New Roman" w:cs="Times New Roman"/>
          <w:color w:val="000000"/>
          <w:spacing w:val="0"/>
          <w:w w:val="100"/>
          <w:position w:val="0"/>
          <w:sz w:val="18"/>
          <w:szCs w:val="18"/>
        </w:rPr>
        <w:t xml:space="preserve">19,110,000.00 </w:t>
      </w:r>
      <w:r>
        <w:rPr>
          <w:color w:val="000000"/>
          <w:spacing w:val="0"/>
          <w:w w:val="100"/>
          <w:position w:val="0"/>
        </w:rPr>
        <w:t>元，系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日公司对其丧失控制权后转入本科目核算，详见附注八、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12"/>
      <w:bookmarkEnd w:id="1213"/>
      <w:bookmarkEnd w:id="1215"/>
    </w:p>
    <w:p>
      <w:pPr>
        <w:pStyle w:val="Style18"/>
        <w:keepNext w:val="0"/>
        <w:keepLines w:val="0"/>
        <w:widowControl w:val="0"/>
        <w:shd w:val="clear" w:color="auto" w:fill="auto"/>
        <w:bidi w:val="0"/>
        <w:spacing w:before="0" w:after="280" w:line="310"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无锡天脉聚源传媒科技有限公司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49,019,071.76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众惠财产相互保险社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无锡键桥电子科技有限公司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上海汉逸智能科技有限公司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深圳市华阳信通科技发展有限公司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PT.E2PAY GLOBAL UTAMA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亚联数科（杭州）信息科技有限公司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EZY NET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123,681,571.76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98,500,000.00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16"/>
      <w:bookmarkEnd w:id="1217"/>
      <w:bookmarkEnd w:id="121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107,672,719.17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242,078,536.70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107,672,719.17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242,078,536.70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0"/>
      <w:bookmarkEnd w:id="1221"/>
      <w:bookmarkEnd w:id="122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运营机具</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74,096,675.14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36,333,748.46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33,662,410.54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11,264,854.60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77,187,509.32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508,570,677.03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741,115,875.09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88,944.23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979,005.96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36,586,872.11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37,737,467.95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88,944.23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979,005.96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36,586,872.11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37,737,467.95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2,137,755.71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703,473.57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62,332,422.21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65,792,120.35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2,137,755.71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660,822.87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20,425,723.25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23,827,490.69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42,650.70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41,906,698.96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41,964,629.66</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74,096,675.14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34,284,936.98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33,647,130.54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10,817,641.97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77,463,041.71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482,825,126.93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713,061,222.69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34,279,617.59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28,025,068.47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18,003,731.33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8,783,434.60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76,181,679.81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333,763,806.59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499,037,338.39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3,152,765.46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2,479,035.10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2,009,429.59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830,317.78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1,893,203.58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123,677,745.88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134,038,054.96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3,152,765.46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2,479,035.10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2,009,429.59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830,317.78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1,893,203.58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123,677,745.88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134,038,054.96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2,127,578.38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443,115.92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680,729.83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24,359,701.55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27,618,001.68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2,127,578.38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443,115.92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660,822.87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13,564,171.86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16,795,689.03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19,906.96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10,795,529.69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10,822,312.65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37,432,383.05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28,376,525.19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20,006,284.92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9,170,636.46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77,389,711.13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433,081,850.92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605,457,391.67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36,664,292.09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5,908,411.79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13,640,845.62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1,647,005.51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68,888.15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49,743,276.01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107,672,719.17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39,817,057.55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8,308,679.99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15,658,679.21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2,481,420.00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1,005,829.51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174,806,870.44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242,078,536.70</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、使用权资产</w:t>
      </w:r>
      <w:bookmarkEnd w:id="1224"/>
      <w:bookmarkEnd w:id="1225"/>
      <w:bookmarkEnd w:id="122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12,877,531.35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12,877,531.35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12,877,531.35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12,877,531.35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47,223,878.58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47,223,878.58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60,101,409.93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28"/>
      <w:bookmarkEnd w:id="1229"/>
      <w:bookmarkEnd w:id="1231"/>
    </w:p>
    <w:p>
      <w:pPr>
        <w:pStyle w:val="Style32"/>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2"/>
      <w:bookmarkEnd w:id="1233"/>
      <w:bookmarkEnd w:id="12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83,216,853.20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13,339,211.96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96,556,065.16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14,496,990.13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14,496,990.13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14,496,990.13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14,496,990.13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83,216,853.20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27,836,202.09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111,053,055.29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57,687,424.81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4,789,220.92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62,476,645.73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6,554,067.92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2,514,544.80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9,068,612.72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6,554,067.92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2,514,544.80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9,068,612.72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64,241,492.73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7,303,765.72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71,545,258.45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18,975,360.47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20,532,436.37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39,507,796.84</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25,529,428.39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8,549,991.04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34,079,419.43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236"/>
      <w:bookmarkEnd w:id="1237"/>
      <w:bookmarkEnd w:id="1238"/>
    </w:p>
    <w:p>
      <w:pPr>
        <w:pStyle w:val="Style32"/>
        <w:keepNext/>
        <w:keepLines/>
        <w:widowControl w:val="0"/>
        <w:shd w:val="clear" w:color="auto" w:fill="auto"/>
        <w:bidi w:val="0"/>
        <w:spacing w:before="0" w:after="40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9"/>
      <w:bookmarkEnd w:id="1240"/>
      <w:bookmarkEnd w:id="124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35"/>
        <w:gridCol w:w="1272"/>
        <w:gridCol w:w="1421"/>
        <w:gridCol w:w="566"/>
        <w:gridCol w:w="706"/>
        <w:gridCol w:w="571"/>
        <w:gridCol w:w="12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日公司收购全资子公司深圳市德 威普软件技术有限公司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股权所形成的商誉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61,704.16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日公司收购全资子公司南京凌云 科技发展有限公司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股权所形成的商誉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801,749.07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801,749.07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日公司收购子公司开店宝科技集 团有限公司（原名上海即富信息技术服务有限公 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股权所形成的商誉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858,612,269.44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858,612,269.44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日公司收购广州亚联企业管理有 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股权所形成的商誉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489,803.26</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日控股子公司开店宝科技集团有限 公司收购全城淘信息技术服务有限公司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权所形成的商誉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2,665,373.01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2,665,373.01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862,630,898.94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862,630,898.94</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43"/>
      <w:bookmarkEnd w:id="1244"/>
      <w:bookmarkEnd w:id="124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47"/>
        <w:gridCol w:w="1286"/>
        <w:gridCol w:w="1267"/>
        <w:gridCol w:w="710"/>
        <w:gridCol w:w="850"/>
        <w:gridCol w:w="547"/>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日公司收购子公司开店宝科技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300,368,300.00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265,024,073.17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565,392,373.17</w:t>
            </w:r>
          </w:p>
        </w:tc>
      </w:tr>
    </w:tbl>
    <w:p>
      <w:pPr>
        <w:widowControl w:val="0"/>
        <w:spacing w:line="1" w:lineRule="exact"/>
      </w:pPr>
      <w:r>
        <w:br w:type="page"/>
      </w:r>
    </w:p>
    <w:tbl>
      <w:tblPr>
        <w:tblOverlap w:val="never"/>
        <w:jc w:val="center"/>
        <w:tblLayout w:type="fixed"/>
      </w:tblPr>
      <w:tblGrid>
        <w:gridCol w:w="3547"/>
        <w:gridCol w:w="1277"/>
        <w:gridCol w:w="1277"/>
        <w:gridCol w:w="710"/>
        <w:gridCol w:w="850"/>
        <w:gridCol w:w="547"/>
        <w:gridCol w:w="137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集团有限公司（原名上海即富信息技术服务 有限公司）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股权所形成的商誉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300,368,300.00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265,024,073.17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565,392,373.17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根据资产减值准则的规定，资产存在减值迹象的，应当估计其可收回金额，然后将所估计的资产可收回金额与其账面价 值相比较，以确定资产是否发生了减值，以及是否需要计提资产减值准备并确认相应的减值损失。在估计资产可收回金额时， 原则上应当以单项资产为基础，如果企业难以对单项资产的可收回金额进行估计的，应当以该资产所属的资产组为基础确定 资产组的可收回金额。</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①开店宝科技商誉资产组</w:t>
      </w:r>
    </w:p>
    <w:p>
      <w:pPr>
        <w:pStyle w:val="Style25"/>
        <w:keepNext w:val="0"/>
        <w:keepLines w:val="0"/>
        <w:widowControl w:val="0"/>
        <w:shd w:val="clear" w:color="auto" w:fill="auto"/>
        <w:bidi w:val="0"/>
        <w:spacing w:before="0" w:after="0" w:line="240" w:lineRule="auto"/>
        <w:ind w:left="8371" w:right="0" w:firstLine="0"/>
        <w:jc w:val="left"/>
      </w:pPr>
      <w:r>
        <w:rPr>
          <w:color w:val="000000"/>
          <w:spacing w:val="0"/>
          <w:w w:val="100"/>
          <w:position w:val="0"/>
        </w:rPr>
        <w:t>金额单位：万元</w:t>
      </w:r>
    </w:p>
    <w:tbl>
      <w:tblPr>
        <w:tblOverlap w:val="never"/>
        <w:jc w:val="center"/>
        <w:tblLayout w:type="fixed"/>
      </w:tblPr>
      <w:tblGrid>
        <w:gridCol w:w="2054"/>
        <w:gridCol w:w="5606"/>
        <w:gridCol w:w="1992"/>
      </w:tblGrid>
      <w:tr>
        <w:trPr>
          <w:trHeight w:val="33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开店宝科技</w:t>
            </w:r>
          </w:p>
        </w:tc>
      </w:tr>
      <w:tr>
        <w:trPr>
          <w:trHeight w:val="35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对子公司的持股比例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对应资产组或资产组组合的原账面价值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10,847.72</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商誉账面价值（包括</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日控股子公司开店宝科技集团有限公 司收购全城淘信息技术服务有限公司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股权所形成的商誉）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191,325.35</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合计</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a+b</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202,173.07</w:t>
            </w:r>
          </w:p>
        </w:tc>
      </w:tr>
      <w:tr>
        <w:trPr>
          <w:trHeight w:val="34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可收回金额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资产组的公允价值减去处置费用后的净额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资产组预计未来现金流量的现值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76,530.31</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可收回金额取</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中较高者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76,530.31</w:t>
            </w:r>
          </w:p>
        </w:tc>
      </w:tr>
      <w:tr>
        <w:trPr>
          <w:trHeight w:val="350"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商誉减值金额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125,642.76</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资产的可收回金额根据被评估资产的寿命期内可以预计的未来经营净现金流量的现值和被评估资产公允价值减去处置 费用和相关税费后净额两者之间较高者确定。在本评估项目中，公司对委估资产组组合没有销售意图，不存在销售协议价格； 委估资产组组合也无活跃交易市场，无法获取同行业类似资产组组合交易案例，故本次评估无法可靠估计委估资产组组合的 公允价值减去处置费用后的净额。根据《企业会计准则第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号——资产减值》，无法可靠估计资产组组合的公允价值减去处 置费用后的净额时，应当以该资产组组合预计未来现金流量的现值作为其可收回金额。</w:t>
      </w:r>
    </w:p>
    <w:p>
      <w:pPr>
        <w:pStyle w:val="Style18"/>
        <w:keepNext w:val="0"/>
        <w:keepLines w:val="0"/>
        <w:widowControl w:val="0"/>
        <w:shd w:val="clear" w:color="auto" w:fill="auto"/>
        <w:bidi w:val="0"/>
        <w:spacing w:before="0" w:after="80" w:line="311" w:lineRule="exact"/>
        <w:ind w:left="0" w:right="0"/>
        <w:jc w:val="both"/>
      </w:pPr>
      <w:r>
        <w:rPr>
          <w:color w:val="000000"/>
          <w:spacing w:val="0"/>
          <w:w w:val="100"/>
          <w:position w:val="0"/>
        </w:rPr>
        <w:t>截止评估基准日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日，经评估后与商誉相关的开店宝集团资产组组合于评估基准日的可收回金额不低于 </w:t>
      </w:r>
      <w:r>
        <w:rPr>
          <w:rFonts w:ascii="Times New Roman" w:eastAsia="Times New Roman" w:hAnsi="Times New Roman" w:cs="Times New Roman"/>
          <w:color w:val="000000"/>
          <w:spacing w:val="0"/>
          <w:w w:val="100"/>
          <w:position w:val="0"/>
          <w:sz w:val="18"/>
          <w:szCs w:val="18"/>
        </w:rPr>
        <w:t xml:space="preserve">76,530.31 </w:t>
      </w:r>
      <w:r>
        <w:rPr>
          <w:color w:val="000000"/>
          <w:spacing w:val="0"/>
          <w:w w:val="100"/>
          <w:position w:val="0"/>
        </w:rPr>
        <w:t>万元。</w:t>
      </w:r>
    </w:p>
    <w:p>
      <w:pPr>
        <w:pStyle w:val="Style25"/>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预计的未来经营净现金流量的现值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方法采取折现率:</w:t>
      </w:r>
    </w:p>
    <w:tbl>
      <w:tblPr>
        <w:tblOverlap w:val="never"/>
        <w:jc w:val="center"/>
        <w:tblLayout w:type="fixed"/>
      </w:tblPr>
      <w:tblGrid>
        <w:gridCol w:w="1613"/>
        <w:gridCol w:w="1603"/>
        <w:gridCol w:w="1613"/>
        <w:gridCol w:w="1603"/>
        <w:gridCol w:w="1613"/>
        <w:gridCol w:w="1613"/>
      </w:tblGrid>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WACCBT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r>
    </w:tbl>
    <w:p>
      <w:pPr>
        <w:widowControl w:val="0"/>
        <w:spacing w:after="2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主营业务收入、主营业务成本增长率、毛利率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年期预测如下:</w:t>
      </w:r>
    </w:p>
    <w:tbl>
      <w:tblPr>
        <w:tblOverlap w:val="never"/>
        <w:jc w:val="center"/>
        <w:tblLayout w:type="fixed"/>
      </w:tblPr>
      <w:tblGrid>
        <w:gridCol w:w="2261"/>
        <w:gridCol w:w="1478"/>
        <w:gridCol w:w="1474"/>
        <w:gridCol w:w="1474"/>
        <w:gridCol w:w="1474"/>
        <w:gridCol w:w="1493"/>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未来年度（单位：万元）</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185,899.87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223,699.85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270,233.82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286,386.32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收入合计增长率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144,769.30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171,761.79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187,417.58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204,057.55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215,309.72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成本合计增长率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合计毛利率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w:t>
            </w:r>
          </w:p>
        </w:tc>
      </w:tr>
    </w:tbl>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基于上述减值测试的结果，收购开店宝科技形成的商誉的可收回金额低于账面价值</w:t>
      </w:r>
      <w:r>
        <w:rPr>
          <w:rFonts w:ascii="Times New Roman" w:eastAsia="Times New Roman" w:hAnsi="Times New Roman" w:cs="Times New Roman"/>
          <w:color w:val="000000"/>
          <w:spacing w:val="0"/>
          <w:w w:val="100"/>
          <w:position w:val="0"/>
          <w:sz w:val="18"/>
          <w:szCs w:val="18"/>
        </w:rPr>
        <w:t>58,894.24</w:t>
      </w:r>
      <w:r>
        <w:rPr>
          <w:color w:val="000000"/>
          <w:spacing w:val="0"/>
          <w:w w:val="100"/>
          <w:position w:val="0"/>
        </w:rPr>
        <w:t>万元，因此，公司管理层认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日需对收购开店宝科技形成的商誉(包括</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日控股子公司开店宝科技集团有限公司收购全城淘信息 技术服务有限公司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股权所形成的商誉)计提减值准备</w:t>
      </w:r>
      <w:r>
        <w:rPr>
          <w:rFonts w:ascii="Times New Roman" w:eastAsia="Times New Roman" w:hAnsi="Times New Roman" w:cs="Times New Roman"/>
          <w:color w:val="000000"/>
          <w:spacing w:val="0"/>
          <w:w w:val="100"/>
          <w:position w:val="0"/>
          <w:sz w:val="18"/>
          <w:szCs w:val="18"/>
        </w:rPr>
        <w:t>26,502.41</w:t>
      </w:r>
      <w:r>
        <w:rPr>
          <w:color w:val="000000"/>
          <w:spacing w:val="0"/>
          <w:w w:val="100"/>
          <w:position w:val="0"/>
        </w:rPr>
        <w:t>万元。</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②收购南京凌云科技发展有限公司、广州亚联企业管理有限公司及深圳市德威普软件技术有限公司形成的商誉，经测试， 其可收回金额均高于其账面价值，因此，公司管理层认为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日无需对收购南京凌云科技发展有限公司、广州亚联 企业管理有限公司及深圳市德威普软件技术有限公司形成的商誉计提减值准备。</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商誉减值测试的影响</w:t>
      </w:r>
    </w:p>
    <w:p>
      <w:pPr>
        <w:pStyle w:val="Style18"/>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47"/>
      <w:bookmarkEnd w:id="1248"/>
      <w:bookmarkEnd w:id="125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5,250,261.80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2,470,737.84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2,779,523.96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咨询维护服务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6,032,362.47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5,692,556.67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11,282,624.27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2,810,543.64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8,472,080.63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51"/>
      <w:bookmarkEnd w:id="1252"/>
      <w:bookmarkEnd w:id="1254"/>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未经抵销的递延所得税资产</w:t>
      </w:r>
      <w:bookmarkEnd w:id="1255"/>
      <w:bookmarkEnd w:id="1256"/>
      <w:bookmarkEnd w:id="125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170,115,871.21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31,781,679.70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172,324,198.29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32,207,680.05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170,115,871.21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31,781,679.70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172,324,198.29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32,207,680.05</w:t>
            </w:r>
          </w:p>
        </w:tc>
      </w:tr>
    </w:tbl>
    <w:p>
      <w:pPr>
        <w:widowControl w:val="0"/>
        <w:spacing w:after="319" w:line="1" w:lineRule="exact"/>
      </w:pP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未经抵销的递延所得税负债</w:t>
      </w:r>
      <w:bookmarkEnd w:id="1259"/>
      <w:bookmarkEnd w:id="1260"/>
      <w:bookmarkEnd w:id="126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19,613,117.25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1,961,311.74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24,548,788.17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2,454,878.83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19,613,117.25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1,961,311.74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24,548,788.17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2,454,878.83</w:t>
            </w:r>
          </w:p>
        </w:tc>
      </w:tr>
    </w:tbl>
    <w:p>
      <w:pPr>
        <w:widowControl w:val="0"/>
        <w:spacing w:after="319" w:line="1" w:lineRule="exact"/>
      </w:pP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以抵销后净额列示的递延所得税资产或负债</w:t>
      </w:r>
      <w:bookmarkEnd w:id="1263"/>
      <w:bookmarkEnd w:id="1264"/>
      <w:bookmarkEnd w:id="12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抵销后递延所得税资产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bl>
    <w:p>
      <w:pPr>
        <w:widowControl w:val="0"/>
        <w:spacing w:line="1" w:lineRule="exact"/>
      </w:pPr>
      <w:r>
        <w:br w:type="page"/>
      </w:r>
    </w:p>
    <w:tbl>
      <w:tblPr>
        <w:tblOverlap w:val="never"/>
        <w:jc w:val="center"/>
        <w:tblLayout w:type="fixed"/>
      </w:tblPr>
      <w:tblGrid>
        <w:gridCol w:w="1915"/>
        <w:gridCol w:w="1920"/>
        <w:gridCol w:w="1915"/>
        <w:gridCol w:w="1910"/>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31,781,679.70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32,207,680.05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1,961,311.74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2,454,878.83</w:t>
            </w:r>
          </w:p>
        </w:tc>
      </w:tr>
    </w:tbl>
    <w:p>
      <w:pPr>
        <w:widowControl w:val="0"/>
        <w:spacing w:after="319" w:line="1" w:lineRule="exact"/>
      </w:pPr>
    </w:p>
    <w:p>
      <w:pPr>
        <w:pStyle w:val="Style32"/>
        <w:keepNext/>
        <w:keepLines/>
        <w:widowControl w:val="0"/>
        <w:numPr>
          <w:ilvl w:val="0"/>
          <w:numId w:val="47"/>
        </w:numPr>
        <w:shd w:val="clear" w:color="auto" w:fill="auto"/>
        <w:bidi w:val="0"/>
        <w:spacing w:before="0" w:after="40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未确认递延所得税资产明细</w:t>
      </w:r>
      <w:bookmarkEnd w:id="1267"/>
      <w:bookmarkEnd w:id="1268"/>
      <w:bookmarkEnd w:id="12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53,282,846.66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149,233,570.72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641,020,413.19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583,781,797.16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694,303,259.85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733,015,367.88</w:t>
            </w:r>
          </w:p>
        </w:tc>
      </w:tr>
    </w:tbl>
    <w:p>
      <w:pPr>
        <w:widowControl w:val="0"/>
        <w:spacing w:after="319" w:line="1" w:lineRule="exact"/>
      </w:pPr>
    </w:p>
    <w:p>
      <w:pPr>
        <w:pStyle w:val="Style32"/>
        <w:keepNext/>
        <w:keepLines/>
        <w:widowControl w:val="0"/>
        <w:numPr>
          <w:ilvl w:val="0"/>
          <w:numId w:val="47"/>
        </w:numPr>
        <w:shd w:val="clear" w:color="auto" w:fill="auto"/>
        <w:bidi w:val="0"/>
        <w:spacing w:before="0" w:after="40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未确认递延所得税资产的可抵扣亏损将于以下年度到期</w:t>
      </w:r>
      <w:bookmarkEnd w:id="1271"/>
      <w:bookmarkEnd w:id="1272"/>
      <w:bookmarkEnd w:id="12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86,189,031.78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88,270,676.66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98,097,579.16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年度的未弥补亏损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15,503,044.09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15,503,044.09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年度的未弥补亏损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21,552,017.77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114,601,225.82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年度的未弥补亏损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269,390,916.31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269,390,916.31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年度的未弥补亏损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246,303,758.36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年度的未弥补亏损</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641,020,413.19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583,781,797.16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75"/>
      <w:bookmarkEnd w:id="1276"/>
      <w:bookmarkEnd w:id="127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项目风险备付金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预付固定及无形资产采购款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3,958,182.94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3,958,182.94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9,848,924.08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9,848,924.08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预付众惠保险初始运营资金借款债权及 全部附属权益受让款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57,213,182.9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57,213,182.9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63,103,924.0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63,103,924.0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79"/>
      <w:bookmarkEnd w:id="1280"/>
      <w:bookmarkEnd w:id="1282"/>
    </w:p>
    <w:p>
      <w:pPr>
        <w:pStyle w:val="Style32"/>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3"/>
      <w:bookmarkEnd w:id="1284"/>
      <w:bookmarkEnd w:id="12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16,589,152.09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14,929,884.00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16,589,152.09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106,629,884.00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注：保证借款分类情况：保证借款的保证单位及金额，参见附注十二、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87"/>
      <w:bookmarkEnd w:id="1288"/>
      <w:bookmarkEnd w:id="129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91"/>
      <w:bookmarkEnd w:id="1292"/>
      <w:bookmarkEnd w:id="12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95"/>
      <w:bookmarkEnd w:id="1296"/>
      <w:bookmarkEnd w:id="1298"/>
    </w:p>
    <w:p>
      <w:pPr>
        <w:pStyle w:val="Style32"/>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9"/>
      <w:bookmarkEnd w:id="1300"/>
      <w:bookmarkEnd w:id="130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供应商及代理商款项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771,835,458.47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948,204,659.02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771,835,458.47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948,204,659.02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3"/>
      <w:bookmarkEnd w:id="1304"/>
      <w:bookmarkEnd w:id="130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供应商及代理商款项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95,888,300.26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95,888,300.26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07"/>
      <w:bookmarkEnd w:id="1308"/>
      <w:bookmarkEnd w:id="131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货款及工程项目款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177,679,713.09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131,976,191.03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177,679,713.09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131,976,191.03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4,140,011.69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4,140,011.69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11"/>
      <w:bookmarkEnd w:id="1312"/>
      <w:bookmarkEnd w:id="1314"/>
    </w:p>
    <w:p>
      <w:pPr>
        <w:pStyle w:val="Style32"/>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5"/>
      <w:bookmarkEnd w:id="1316"/>
      <w:bookmarkEnd w:id="131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277"/>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40,793,485.59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182,347,358.84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211,882,737.93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11,258,106.50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3,065,493.42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13,198,955.17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15,390,069.29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874,379.30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43,858,979.01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195,546,314.01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227,272,807.22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12,132,485.80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9"/>
      <w:bookmarkEnd w:id="1320"/>
      <w:bookmarkEnd w:id="132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421"/>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34,358,911.46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164,908,056.67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188,995,960.55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10,271,007.58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2,029,383.52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2,029,383.52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6,151,050.16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7,923,104.25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13,424,075.01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650,079.40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5,525,637.65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7,636,805.90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12,526,878.78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635,564.77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596,027.27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673,815.37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280,186.64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7,471,822.44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7,415,014.10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336,994.98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40,793,485.59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182,347,358.84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211,882,737.93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11,258,106.50</w:t>
            </w:r>
          </w:p>
        </w:tc>
      </w:tr>
    </w:tbl>
    <w:p>
      <w:pPr>
        <w:spacing w:lineRule="exact" w:line="1"/>
        <w:rPr>
          <w:sz w:val="2"/>
          <w:szCs w:val="2"/>
        </w:rPr>
      </w:pPr>
      <w:r>
        <w:br w:type="page"/>
      </w:r>
    </w:p>
    <w:p>
      <w:pPr>
        <w:pStyle w:val="Style32"/>
        <w:keepNext/>
        <w:keepLines/>
        <w:widowControl w:val="0"/>
        <w:numPr>
          <w:ilvl w:val="0"/>
          <w:numId w:val="49"/>
        </w:numPr>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设定提存计划列示</w:t>
      </w:r>
      <w:bookmarkEnd w:id="1323"/>
      <w:bookmarkEnd w:id="1324"/>
      <w:bookmarkEnd w:id="132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2,888,290.35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12,933,920.11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14,981,718.04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840,492.42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265,035.06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33,886.88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3,065,493.42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13,198,955.17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15,390,069.29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874,379.30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本公司按规定参加由政府机构设立的养老保险、失业保险计划。除上述每月缴存费用外，本公司不再承担进一步支付 义务。相应的支出于发生时计入当期损益或相关资产的成本。</w:t>
      </w:r>
    </w:p>
    <w:p>
      <w:pPr>
        <w:pStyle w:val="Style29"/>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27"/>
      <w:bookmarkEnd w:id="1328"/>
      <w:bookmarkEnd w:id="13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6,810,956.28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23,725,415.97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4,603,095.37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11,074,758.67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1,365,341.64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7,005,322.41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239,975.69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768,799.14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49,446.44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342,569.09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228,379.40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939,640.47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1,334,721.10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14,190,489.93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44,529,412.22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31"/>
      <w:bookmarkEnd w:id="1332"/>
      <w:bookmarkEnd w:id="133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1,285,148.48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2,117,021.11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476,312,753.02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511,923,499.43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477,597,901.50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514,040,520.54</w:t>
            </w:r>
          </w:p>
        </w:tc>
      </w:tr>
    </w:tbl>
    <w:p>
      <w:pPr>
        <w:widowControl w:val="0"/>
        <w:spacing w:after="319" w:line="1" w:lineRule="exact"/>
      </w:pPr>
    </w:p>
    <w:p>
      <w:pPr>
        <w:pStyle w:val="Style32"/>
        <w:keepNext/>
        <w:keepLines/>
        <w:widowControl w:val="0"/>
        <w:numPr>
          <w:ilvl w:val="0"/>
          <w:numId w:val="51"/>
        </w:numPr>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应付利息</w:t>
      </w:r>
      <w:bookmarkEnd w:id="1335"/>
      <w:bookmarkEnd w:id="1336"/>
      <w:bookmarkEnd w:id="133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868,812.92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790,614.59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416,335.56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1,326,406.52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1,285,148.48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2,117,021.11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39"/>
      <w:bookmarkEnd w:id="1340"/>
      <w:bookmarkEnd w:id="134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43"/>
      <w:bookmarkEnd w:id="1344"/>
      <w:bookmarkEnd w:id="1346"/>
    </w:p>
    <w:p>
      <w:pPr>
        <w:pStyle w:val="Style56"/>
        <w:keepNext/>
        <w:keepLines/>
        <w:widowControl w:val="0"/>
        <w:shd w:val="clear" w:color="auto" w:fill="auto"/>
        <w:bidi w:val="0"/>
        <w:spacing w:before="0" w:after="40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color w:val="000000"/>
          <w:spacing w:val="0"/>
          <w:w w:val="100"/>
          <w:position w:val="0"/>
        </w:rPr>
        <w:t>）按款项性质列示其他应付款</w:t>
      </w:r>
      <w:bookmarkEnd w:id="1347"/>
      <w:bookmarkEnd w:id="1348"/>
      <w:bookmarkEnd w:id="135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待清算款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107,603,874.76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174,029,780.96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拆借款及利息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290,990,629.88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153,035,608.89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10,634,440.28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41,315,426.86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18,916,128.87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76,578,594.88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48,167,679.23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66,964,087.84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476,312,753.02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511,923,499.43</w:t>
            </w:r>
          </w:p>
        </w:tc>
      </w:tr>
    </w:tbl>
    <w:p>
      <w:pPr>
        <w:widowControl w:val="0"/>
        <w:spacing w:after="319" w:line="1" w:lineRule="exact"/>
      </w:pPr>
    </w:p>
    <w:p>
      <w:pPr>
        <w:pStyle w:val="Style56"/>
        <w:keepNext/>
        <w:keepLines/>
        <w:widowControl w:val="0"/>
        <w:shd w:val="clear" w:color="auto" w:fill="auto"/>
        <w:bidi w:val="0"/>
        <w:spacing w:before="0" w:after="40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51"/>
      <w:bookmarkEnd w:id="1352"/>
      <w:bookmarkEnd w:id="135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82,420,000.00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收诉讼案押金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10,634,440.28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8,375,271.89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140,079,712.17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355"/>
      <w:bookmarkEnd w:id="1356"/>
      <w:bookmarkEnd w:id="135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15,885,923.06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10,971,315.45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341,385,923.06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10,971,315.45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359"/>
      <w:bookmarkEnd w:id="1360"/>
      <w:bookmarkEnd w:id="136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预收账款对应税金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18,922,699.74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12,249,053.24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2,055,824.22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20,978,523.96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12,249,053.24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363"/>
      <w:bookmarkEnd w:id="1364"/>
      <w:bookmarkEnd w:id="1366"/>
    </w:p>
    <w:p>
      <w:pPr>
        <w:pStyle w:val="Style32"/>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67"/>
      <w:bookmarkEnd w:id="1368"/>
      <w:bookmarkEnd w:id="136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168,618,595.54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13,937,500.00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168,618,595.54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339,437,500.00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注：保证借款分类情况：保证借款的保证单位及金额，参见附注十、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370"/>
      <w:bookmarkEnd w:id="1371"/>
      <w:bookmarkEnd w:id="137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49,130,094.48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60,101,409.93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-15,885,923.06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-10,971,315.45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33,244,171.42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49,130,094.48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374"/>
      <w:bookmarkEnd w:id="1375"/>
      <w:bookmarkEnd w:id="13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）专项应付款</w:t>
      </w:r>
      <w:bookmarkEnd w:id="1378"/>
      <w:bookmarkEnd w:id="1379"/>
      <w:bookmarkEnd w:id="138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48"/>
        <w:gridCol w:w="1349"/>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全信通移动电子商务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公共服务平台项目款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381"/>
      <w:bookmarkEnd w:id="1382"/>
      <w:bookmarkEnd w:id="138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4,666,619.30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3,640,963.70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中国（上海）自由贸 易试验区管理委员 会张江管理局（中</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（沪）自贸张管</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号）拨</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付专项发展资金</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4,666,619.30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3,640,963.70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385"/>
      <w:bookmarkEnd w:id="1386"/>
      <w:bookmarkEnd w:id="138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388"/>
      <w:bookmarkEnd w:id="1389"/>
      <w:bookmarkEnd w:id="139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176,912,404.34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176,912,404.34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15,451,055.26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15,451,055.26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192,363,459.60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192,363,459.60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92"/>
      <w:bookmarkEnd w:id="1393"/>
      <w:bookmarkEnd w:id="139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7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本期所得</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减：前期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益当期转入</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计入其他</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综合收益 当期转入 留存收益</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于少数股 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-4,178,403.7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-2,488,069</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-3,827,418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1,339,348.</w:t>
            </w:r>
          </w:p>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-8,005,8</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560"/>
              <w:jc w:val="both"/>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-4,178,403.7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-2,488,069</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-3,827,418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1,339,348.</w:t>
            </w:r>
          </w:p>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-8,005,8</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3,163,945.5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-3,615,372</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-3,339,623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-275,749.0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3,163,945.5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-3,615,372</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-3,339,623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-275,749.0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-1,014,458.1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-6,103,442</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-7,167,041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1,063,599.</w:t>
            </w:r>
          </w:p>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-8,181,5</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96"/>
      <w:bookmarkEnd w:id="1397"/>
      <w:bookmarkEnd w:id="139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400"/>
      <w:bookmarkEnd w:id="1401"/>
      <w:bookmarkEnd w:id="140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-387,302,517.35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-387,302,517.35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-273,887,019.16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-485,718,546.80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-661,189,536.51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-387,302,517.35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40" w:line="240" w:lineRule="auto"/>
        <w:ind w:left="0" w:right="0" w:firstLine="0"/>
        <w:jc w:val="left"/>
      </w:pPr>
      <w:bookmarkStart w:id="1404" w:name="bookmark1404"/>
      <w:r>
        <w:rPr>
          <w:rFonts w:ascii="Times New Roman" w:eastAsia="Times New Roman" w:hAnsi="Times New Roman" w:cs="Times New Roman"/>
          <w:color w:val="000000"/>
          <w:spacing w:val="0"/>
          <w:w w:val="100"/>
          <w:position w:val="0"/>
          <w:sz w:val="18"/>
          <w:szCs w:val="18"/>
        </w:rPr>
        <w:t>1</w:t>
      </w:r>
      <w:bookmarkEnd w:id="14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405" w:name="bookmark1405"/>
      <w:r>
        <w:rPr>
          <w:rFonts w:ascii="Times New Roman" w:eastAsia="Times New Roman" w:hAnsi="Times New Roman" w:cs="Times New Roman"/>
          <w:color w:val="000000"/>
          <w:spacing w:val="0"/>
          <w:w w:val="100"/>
          <w:position w:val="0"/>
          <w:sz w:val="18"/>
          <w:szCs w:val="18"/>
        </w:rPr>
        <w:t>2</w:t>
      </w:r>
      <w:bookmarkEnd w:id="14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406" w:name="bookmark1406"/>
      <w:r>
        <w:rPr>
          <w:rFonts w:ascii="Times New Roman" w:eastAsia="Times New Roman" w:hAnsi="Times New Roman" w:cs="Times New Roman"/>
          <w:color w:val="000000"/>
          <w:spacing w:val="0"/>
          <w:w w:val="100"/>
          <w:position w:val="0"/>
          <w:sz w:val="18"/>
          <w:szCs w:val="18"/>
        </w:rPr>
        <w:t>3</w:t>
      </w:r>
      <w:bookmarkEnd w:id="14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407" w:name="bookmark1407"/>
      <w:r>
        <w:rPr>
          <w:rFonts w:ascii="Times New Roman" w:eastAsia="Times New Roman" w:hAnsi="Times New Roman" w:cs="Times New Roman"/>
          <w:color w:val="000000"/>
          <w:spacing w:val="0"/>
          <w:w w:val="100"/>
          <w:position w:val="0"/>
          <w:sz w:val="18"/>
          <w:szCs w:val="18"/>
        </w:rPr>
        <w:t>4</w:t>
      </w:r>
      <w:bookmarkEnd w:id="14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400" w:line="240" w:lineRule="auto"/>
        <w:ind w:left="0" w:right="0" w:firstLine="0"/>
        <w:jc w:val="left"/>
      </w:pPr>
      <w:bookmarkStart w:id="1408" w:name="bookmark1408"/>
      <w:r>
        <w:rPr>
          <w:rFonts w:ascii="Times New Roman" w:eastAsia="Times New Roman" w:hAnsi="Times New Roman" w:cs="Times New Roman"/>
          <w:color w:val="000000"/>
          <w:spacing w:val="0"/>
          <w:w w:val="100"/>
          <w:position w:val="0"/>
          <w:sz w:val="18"/>
          <w:szCs w:val="18"/>
        </w:rPr>
        <w:t>5</w:t>
      </w:r>
      <w:bookmarkEnd w:id="14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40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409"/>
      <w:bookmarkEnd w:id="1410"/>
      <w:bookmarkEnd w:id="1412"/>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1,931,923,405.89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1,523,056,168.70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3,275,291,172.64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2,790,671,977.49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1,319,590.94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3,928,135.10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1,933,242,996.83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1,523,056,168.70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2,790,671,977.49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2088"/>
        <w:gridCol w:w="2030"/>
        <w:gridCol w:w="2030"/>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具体扣除情况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1,933,242,996.83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合并范围内的全部业务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合并范围内的全部业 务收入</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营业收入扣除项目合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1,319,590.94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与上市公司主营业务无 关的营业收入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4,894,609.87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与上市公司主营业务 无关的营业收入</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1,319,590.94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与上市公司主营业务无 关的营业收入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4,894,609.87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与上市公司主营业务 无关的营业收入</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1,931,923,405.89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上市公司主营业务收入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3,274,324,697.87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上市公司主营业务收 入</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9"/>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413"/>
      <w:bookmarkEnd w:id="1414"/>
      <w:bookmarkEnd w:id="14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1,231,464.89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3,174,120.37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930,469.11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2,485,314.49</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473,912.57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718,963.00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990,062.03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1,641,837.61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175,704.04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888,648.57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3,801,612.64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8,908,884.04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417"/>
      <w:bookmarkEnd w:id="1418"/>
      <w:bookmarkEnd w:id="142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107,099,159.82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190,037,634.08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9,438,437.69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12,180,800.00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2,826,189.81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5,178,623.03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1,580,838.63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2,362,743.51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937,927.63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2,475,306.36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1,543,192.01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1,796,469.01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843,247.76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1,035,358.68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3,915,756.97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24,799,181.62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128,184,750.32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239,866,116.29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421"/>
      <w:bookmarkEnd w:id="1422"/>
      <w:bookmarkEnd w:id="142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129,864,276.75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217,834,462.44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9,140,538.45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25,281,105.96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12,499,499.07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33,424,339.62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6,005,729.80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9,202,860.48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10,853,205.85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16,844,807.08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5,132,320.67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6,761,917.18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2,582,570.54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3,265,903.12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摊提费用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3,891,797.35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3,911,969.34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12,877,531.35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1,241,863.13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25,484,744.58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22,357,848.14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218,332,214.41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340,127,076.49</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425"/>
      <w:bookmarkEnd w:id="1426"/>
      <w:bookmarkEnd w:id="142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701,903.74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3,110,141.07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56,243,599.57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54,968,114.12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10,908,468.70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19,271,302.51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17,272,732.06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76,216,805.82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86,259,455.95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429"/>
      <w:bookmarkEnd w:id="1430"/>
      <w:bookmarkEnd w:id="143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52,672,713.68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35,618,632.93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1,830,757.52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4,261,881.52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822,060.32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3,858,486.77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6,108,485.31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9,858,572.20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57,849,567.03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45,073,875.77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433"/>
      <w:bookmarkEnd w:id="1434"/>
      <w:bookmarkEnd w:id="143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9,289,777.90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21,310,452.95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6,875,227.35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14,333,441.45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391,821.24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16,482,528.92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36,035,715.64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437"/>
      <w:bookmarkEnd w:id="1438"/>
      <w:bookmarkEnd w:id="144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-17,719,324.11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-38,681,941.91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77,019,047.76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4,343,092.68</w:t>
            </w:r>
          </w:p>
        </w:tc>
      </w:tr>
    </w:tbl>
    <w:p>
      <w:pPr>
        <w:widowControl w:val="0"/>
        <w:spacing w:line="1" w:lineRule="exact"/>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59,299,723.65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-34,335,912.25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441"/>
      <w:bookmarkEnd w:id="1442"/>
      <w:bookmarkEnd w:id="144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-6,100,342.14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-19,133,989.64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-865,982.79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-2,594,240.56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2,815,135.04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-6,966,324.93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-18,913,095.16</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445"/>
      <w:bookmarkEnd w:id="1446"/>
      <w:bookmarkEnd w:id="144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-29,096.02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-265,024,073.17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-300,368,300.00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3,898,262.30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-2,664,938.19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-261,654,766.69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-303,062,334.21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449"/>
      <w:bookmarkEnd w:id="1450"/>
      <w:bookmarkEnd w:id="145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1,998,125.77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212,260.49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1,998,125.77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453"/>
      <w:bookmarkEnd w:id="1454"/>
      <w:bookmarkEnd w:id="145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463,578.16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64,023.32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8,059,573.14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702,584.80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1,615,443.88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702,584.80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766,608.14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10,138,595.18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766,608.12</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高新企业财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政补助款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泉州市丰泽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长宁扶持专</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项资金（税收</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上海市长宁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10,606,000.0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6,973,424.86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贷款贴息补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创新支付的 第二代系统 服务平台建 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上海张江区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841,436.52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585,935.97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高新技术企 业奖励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广州市财政 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国家税务总 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419,918.71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进项税加计 抵减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国家税务总 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鼓励和扶持</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特定行业、产</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业而获得的</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补助（按国家</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6,792,692.08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324,053.60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63,578.16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嘉定区财政 资金收付中 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湄洲岛国家</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旅游度假区</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商务科技局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2,658,501.00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企业研究开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深圳市科创 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浦东新区科 技发展财政 扶持基金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浦东新区世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博地区开发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管理委员会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专项资金专</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企业研究开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发资助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深圳市南山 区科技创新 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457"/>
      <w:bookmarkEnd w:id="1458"/>
      <w:bookmarkEnd w:id="146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1,751,790.00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1,177,432.07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1,631,361.32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1,177,432.07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4,087,432.07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4,578,151.32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4,087,432.07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4</w:t>
      </w:r>
      <w:bookmarkEnd w:id="1463"/>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461"/>
      <w:bookmarkEnd w:id="1462"/>
      <w:bookmarkEnd w:id="1464"/>
    </w:p>
    <w:p>
      <w:pPr>
        <w:pStyle w:val="Style32"/>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65"/>
      <w:bookmarkEnd w:id="1466"/>
      <w:bookmarkEnd w:id="146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4,948,133.65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35,515,262.49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-6,252,059.40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4,880,566.91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29,263,203.09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8"/>
      <w:bookmarkEnd w:id="1469"/>
      <w:bookmarkEnd w:id="147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-270,145,524.58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-40,521,828.69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-1,320,643.22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-21,063,447.13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41,225,733.58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-1,228,362.81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32,614,447.46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-4,817,595.29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4,880,566.91</w:t>
            </w:r>
          </w:p>
        </w:tc>
      </w:tr>
    </w:tbl>
    <w:p>
      <w:pPr>
        <w:pStyle w:val="Style29"/>
        <w:keepNext/>
        <w:keepLines/>
        <w:widowControl w:val="0"/>
        <w:shd w:val="clear" w:color="auto" w:fill="auto"/>
        <w:tabs>
          <w:tab w:pos="483" w:val="left"/>
        </w:tabs>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472"/>
      <w:bookmarkEnd w:id="1473"/>
      <w:bookmarkEnd w:id="147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476"/>
      <w:bookmarkEnd w:id="1477"/>
      <w:bookmarkEnd w:id="1479"/>
    </w:p>
    <w:p>
      <w:pPr>
        <w:pStyle w:val="Style32"/>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80"/>
      <w:bookmarkEnd w:id="1481"/>
      <w:bookmarkEnd w:id="148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收其他往来款等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143,498,893.00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162,853,528.42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1,830,757.52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4,261,881.52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8,292,307.16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20,748,375.51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153,621,957.68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187,863,785.45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83"/>
      <w:bookmarkEnd w:id="1484"/>
      <w:bookmarkEnd w:id="148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付其他往来款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109,591,406.94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244,065,965.12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109,144,930.55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135,898,778.58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218,736,337.49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379,964,743.70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87"/>
      <w:bookmarkEnd w:id="1488"/>
      <w:bookmarkEnd w:id="149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赎回理财产品及收益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2,502,936.98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2,502,936.98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91"/>
      <w:bookmarkEnd w:id="1492"/>
      <w:bookmarkEnd w:id="149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处置子公司及其他营业单位支付的现金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22,133,002.12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772,444.55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22,133,002.12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3,272,444.55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95"/>
      <w:bookmarkEnd w:id="1496"/>
      <w:bookmarkEnd w:id="149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收回的保证金存款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68,915,591.22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115,014,921.40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434,952,213.20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318,770,000.00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收到的票据贴现款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187,547,779.81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503,867,804.42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621,332,701.21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99"/>
      <w:bookmarkEnd w:id="1500"/>
      <w:bookmarkEnd w:id="150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支付的票据贴现款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33,766,155.05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283,740,870.00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归还拆借资金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169,099,611.71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10,971,315.45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275,884,641.21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463,741,646.80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503"/>
      <w:bookmarkEnd w:id="1504"/>
      <w:bookmarkEnd w:id="1506"/>
    </w:p>
    <w:p>
      <w:pPr>
        <w:pStyle w:val="Style32"/>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7"/>
      <w:bookmarkEnd w:id="1508"/>
      <w:bookmarkEnd w:id="150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-275,026,091.49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-573,668,337.73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268,621,091.62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321,975,429.37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134,038,054.96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182,261,524.28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12,877,531.35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9,068,612.72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10,704,873.40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2,810,543.64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3,911,969.34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-1,998,125.77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58,509,010.36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45,665,080.21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-59,299,723.65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34,335,912.25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-5,758,492.31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-493,567.09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16,939,182.01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-4,358,061.20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-138,086,684.77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19,708,999.24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-143,943,814.56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96,752,875.72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-1,025,655.60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-114,797,770.64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128,014,424.11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166,513,150.25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179,481,129.68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179,481,129.68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163,402,057.66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-12,967,979.43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16,079,072.02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510"/>
      <w:bookmarkEnd w:id="1511"/>
      <w:bookmarkEnd w:id="151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大连亚联投资管理有限公司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大连亚联投资管理有限公司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5,358.30</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53,194,641.70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13"/>
      <w:bookmarkEnd w:id="1514"/>
      <w:bookmarkEnd w:id="151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166,513,150.25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179,481,129.68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248,404.26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135,804,136.86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149,573,869.66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30,599,509.13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29,658,855.76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166,513,150.25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179,481,129.68</w:t>
            </w:r>
          </w:p>
        </w:tc>
      </w:tr>
    </w:tbl>
    <w:p>
      <w:pPr>
        <w:widowControl w:val="0"/>
        <w:spacing w:after="319" w:line="1" w:lineRule="exact"/>
      </w:pPr>
    </w:p>
    <w:p>
      <w:pPr>
        <w:pStyle w:val="Style29"/>
        <w:keepNext/>
        <w:keepLines/>
        <w:widowControl w:val="0"/>
        <w:shd w:val="clear" w:color="auto" w:fill="auto"/>
        <w:tabs>
          <w:tab w:pos="483" w:val="left"/>
        </w:tabs>
        <w:bidi w:val="0"/>
        <w:spacing w:before="0" w:after="16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517"/>
      <w:bookmarkEnd w:id="1518"/>
      <w:bookmarkEnd w:id="1520"/>
    </w:p>
    <w:p>
      <w:pPr>
        <w:pStyle w:val="Style18"/>
        <w:keepNext w:val="0"/>
        <w:keepLines w:val="0"/>
        <w:widowControl w:val="0"/>
        <w:shd w:val="clear" w:color="auto" w:fill="auto"/>
        <w:bidi w:val="0"/>
        <w:spacing w:before="0" w:after="380" w:line="384"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5</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521"/>
      <w:bookmarkEnd w:id="1522"/>
      <w:bookmarkEnd w:id="152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8,919,131.65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银行承兑汇票保证金、银行保函保证金 及信用证保证金存款等。</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110,006,025.61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支付机构客户备付金及项目保证金等。</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上海浦东发展银行股份有限公司外高桥 保税区支行（专用存款户）</w:t>
            </w:r>
            <w:r>
              <w:rPr>
                <w:rFonts w:ascii="Times New Roman" w:eastAsia="Times New Roman" w:hAnsi="Times New Roman" w:cs="Times New Roman"/>
                <w:color w:val="000000"/>
                <w:spacing w:val="0"/>
                <w:w w:val="100"/>
                <w:position w:val="0"/>
                <w:sz w:val="18"/>
                <w:szCs w:val="18"/>
              </w:rPr>
              <w:t>28,032.82</w:t>
            </w:r>
            <w:r>
              <w:rPr>
                <w:color w:val="000000"/>
                <w:spacing w:val="0"/>
                <w:w w:val="100"/>
                <w:position w:val="0"/>
              </w:rPr>
              <w:t>冻 结款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亚联发展持有开店宝科技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的股权质 押给建设银行深圳分行用于并购贷款。</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1,063,953,190.08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5</w:t>
      </w:r>
      <w:bookmarkEnd w:id="1527"/>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525"/>
      <w:bookmarkEnd w:id="1526"/>
      <w:bookmarkEnd w:id="1528"/>
    </w:p>
    <w:p>
      <w:pPr>
        <w:pStyle w:val="Style32"/>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29"/>
      <w:bookmarkEnd w:id="1530"/>
      <w:bookmarkEnd w:id="153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2,046.77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6,621.23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8,631.15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40,720.90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8,631.15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40,720.90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396,081.87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1,868,674.65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396,081.87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1,868,674.65</w:t>
            </w:r>
          </w:p>
        </w:tc>
      </w:tr>
    </w:tbl>
    <w:p>
      <w:pPr>
        <w:widowControl w:val="0"/>
        <w:spacing w:after="259" w:line="1" w:lineRule="exact"/>
      </w:pPr>
    </w:p>
    <w:p>
      <w:pPr>
        <w:pStyle w:val="Style32"/>
        <w:keepNext/>
        <w:keepLines/>
        <w:widowControl w:val="0"/>
        <w:shd w:val="clear" w:color="auto" w:fill="auto"/>
        <w:bidi w:val="0"/>
        <w:spacing w:before="0" w:after="380" w:line="317" w:lineRule="exact"/>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32"/>
      <w:bookmarkEnd w:id="1533"/>
      <w:bookmarkEnd w:id="153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00" w:line="240" w:lineRule="auto"/>
        <w:ind w:left="0" w:right="0"/>
        <w:jc w:val="left"/>
      </w:pPr>
      <w:r>
        <w:rPr>
          <w:color w:val="000000"/>
          <w:spacing w:val="0"/>
          <w:w w:val="100"/>
          <w:position w:val="0"/>
        </w:rPr>
        <w:t>公司控股子公司开店宝科技在新加坡设有子公司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Candypay Holdings PTE. LTD</w:t>
      </w:r>
      <w:r>
        <w:rPr>
          <w:color w:val="000000"/>
          <w:spacing w:val="0"/>
          <w:w w:val="100"/>
          <w:position w:val="0"/>
        </w:rPr>
        <w:t>，</w:t>
      </w:r>
      <w:r>
        <w:rPr>
          <w:color w:val="000000"/>
          <w:spacing w:val="0"/>
          <w:w w:val="100"/>
          <w:position w:val="0"/>
        </w:rPr>
        <w:t>除有一笔投资外，暂无其他经营活动。</w:t>
      </w:r>
    </w:p>
    <w:p>
      <w:pPr>
        <w:pStyle w:val="Style29"/>
        <w:keepNext/>
        <w:keepLines/>
        <w:widowControl w:val="0"/>
        <w:shd w:val="clear" w:color="auto" w:fill="auto"/>
        <w:bidi w:val="0"/>
        <w:spacing w:before="0" w:after="300" w:line="317" w:lineRule="exact"/>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535"/>
      <w:bookmarkEnd w:id="1536"/>
      <w:bookmarkEnd w:id="1538"/>
    </w:p>
    <w:p>
      <w:pPr>
        <w:pStyle w:val="Style32"/>
        <w:keepNext/>
        <w:keepLines/>
        <w:widowControl w:val="0"/>
        <w:shd w:val="clear" w:color="auto" w:fill="auto"/>
        <w:bidi w:val="0"/>
        <w:spacing w:before="0" w:after="380" w:line="317" w:lineRule="exact"/>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39"/>
      <w:bookmarkEnd w:id="1540"/>
      <w:bookmarkEnd w:id="1541"/>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详见附注七注释</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1,025,655.60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9,289,777.90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详见附注七注释</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8,264,122.30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详见附注七注释</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64,023.32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9,353,801.22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9,353,801.22</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42"/>
      <w:bookmarkEnd w:id="1543"/>
      <w:bookmarkEnd w:id="1544"/>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八</w:t>
      </w:r>
      <w:bookmarkEnd w:id="1547"/>
      <w:r>
        <w:rPr>
          <w:color w:val="000000"/>
          <w:spacing w:val="0"/>
          <w:w w:val="100"/>
          <w:position w:val="0"/>
        </w:rPr>
        <w:t>、合并范围的变更</w:t>
      </w:r>
      <w:bookmarkEnd w:id="1545"/>
      <w:bookmarkEnd w:id="1546"/>
      <w:bookmarkEnd w:id="1548"/>
    </w:p>
    <w:p>
      <w:pPr>
        <w:pStyle w:val="Style29"/>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bookmarkEnd w:id="1551"/>
      <w:r>
        <w:rPr>
          <w:color w:val="000000"/>
          <w:spacing w:val="0"/>
          <w:w w:val="100"/>
          <w:position w:val="0"/>
        </w:rPr>
        <w:t>、处置子公司</w:t>
      </w:r>
      <w:bookmarkEnd w:id="1549"/>
      <w:bookmarkEnd w:id="1550"/>
      <w:bookmarkEnd w:id="155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8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联投资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管理有</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协议转 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 已审议 通过、已 签订投 资协议、 已办理 过户手 续并重 新选举 公司高 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亚联投 资（香 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协议转 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 已审议 通过、已 签订投 资协议、 已办理 过户手 续并重 新选举 公司高 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奇鑫信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用征信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协议转 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已审议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286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通过、已 签订投 资协议、 已办理 过户手 续并重 新选举 公司高 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新乡市 即富数 据处理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已办理</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工商及</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税务注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销手续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安徽顺</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晟付信 息技术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已办理</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工商及</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税务注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销手续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北京即 富天下 科技有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协议转 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 已审议 通过、已 签订投 资协议、 已办理 过户手 续并重 新选举 公司高 管等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color w:val="000000"/>
          <w:spacing w:val="0"/>
          <w:w w:val="100"/>
          <w:position w:val="0"/>
        </w:rPr>
        <w:t>、其他原因的合并范围变动</w:t>
      </w:r>
      <w:bookmarkEnd w:id="1553"/>
      <w:bookmarkEnd w:id="1554"/>
      <w:bookmarkEnd w:id="1556"/>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0" w:line="310" w:lineRule="exact"/>
        <w:ind w:left="0" w:right="0"/>
        <w:jc w:val="both"/>
      </w:pPr>
      <w:bookmarkStart w:id="1557" w:name="bookmark1557"/>
      <w:r>
        <w:rPr>
          <w:color w:val="000000"/>
          <w:spacing w:val="0"/>
          <w:w w:val="100"/>
          <w:position w:val="0"/>
        </w:rPr>
        <w:t>（</w:t>
      </w:r>
      <w:bookmarkEnd w:id="15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月，公司对全资子公司大连亚联进行存续分立，分立后大连亚联继续存续，同时新设立全资子公司大连亚 联企业咨询有限公司；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月，公司转让其持有的全资子公司大连亚联</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18"/>
        <w:keepNext w:val="0"/>
        <w:keepLines w:val="0"/>
        <w:widowControl w:val="0"/>
        <w:shd w:val="clear" w:color="auto" w:fill="auto"/>
        <w:bidi w:val="0"/>
        <w:spacing w:before="0" w:after="0" w:line="310" w:lineRule="exact"/>
        <w:ind w:left="0" w:right="0"/>
        <w:jc w:val="left"/>
      </w:pPr>
      <w:bookmarkStart w:id="1558" w:name="bookmark1558"/>
      <w:r>
        <w:rPr>
          <w:color w:val="000000"/>
          <w:spacing w:val="0"/>
          <w:w w:val="100"/>
          <w:position w:val="0"/>
        </w:rPr>
        <w:t>（</w:t>
      </w:r>
      <w:bookmarkEnd w:id="15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公司持有键桥轨道</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日开始公司无法控制键桥轨道的原因：</w:t>
      </w:r>
    </w:p>
    <w:p>
      <w:pPr>
        <w:pStyle w:val="Style18"/>
        <w:keepNext w:val="0"/>
        <w:keepLines w:val="0"/>
        <w:widowControl w:val="0"/>
        <w:shd w:val="clear" w:color="auto" w:fill="auto"/>
        <w:bidi w:val="0"/>
        <w:spacing w:before="0" w:after="0" w:line="310"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日键桥轨道召开了股东大会修改了公司章程，修改后的公司章程约定如下：</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①股东会议事规则：</w:t>
      </w:r>
    </w:p>
    <w:p>
      <w:pPr>
        <w:pStyle w:val="Style18"/>
        <w:keepNext w:val="0"/>
        <w:keepLines w:val="0"/>
        <w:widowControl w:val="0"/>
        <w:shd w:val="clear" w:color="auto" w:fill="auto"/>
        <w:bidi w:val="0"/>
        <w:spacing w:before="0" w:after="120" w:line="310" w:lineRule="exact"/>
        <w:ind w:left="0" w:right="0"/>
        <w:jc w:val="left"/>
      </w:pPr>
      <w:r>
        <w:rPr>
          <w:color w:val="000000"/>
          <w:spacing w:val="0"/>
          <w:w w:val="100"/>
          <w:position w:val="0"/>
        </w:rPr>
        <w:t>除股东会多数决议事项及股东会特别决议事项以外，股东会决议须经代表全体股东代表二分之一以上表决权的股东审议 通过。</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②董事会席位安排及议事规则：键桥轨道共设有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位董事，其中公司委派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位董事人员；董事会决议的表决，实行一人一 票，董事会对所议事项作出的决议由全体董事人数二分之一以上的董事表决通过方为有效。</w:t>
      </w:r>
    </w:p>
    <w:p>
      <w:pPr>
        <w:pStyle w:val="Style18"/>
        <w:keepNext w:val="0"/>
        <w:keepLines w:val="0"/>
        <w:widowControl w:val="0"/>
        <w:shd w:val="clear" w:color="auto" w:fill="auto"/>
        <w:bidi w:val="0"/>
        <w:spacing w:before="0" w:after="380" w:line="314" w:lineRule="exact"/>
        <w:ind w:left="0" w:right="0"/>
        <w:jc w:val="left"/>
      </w:pPr>
      <w:r>
        <w:rPr>
          <w:color w:val="000000"/>
          <w:spacing w:val="0"/>
          <w:w w:val="100"/>
          <w:position w:val="0"/>
        </w:rPr>
        <w:t>综上，公司持有键桥轨道</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的股权，在股东会层面无法形成控制；公司委派的董事在董事会层面无法形成控制。因此，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月份开始键桥轨道不再纳入公司的并表范围。</w:t>
      </w:r>
    </w:p>
    <w:p>
      <w:pPr>
        <w:pStyle w:val="Style29"/>
        <w:keepNext/>
        <w:keepLines/>
        <w:widowControl w:val="0"/>
        <w:shd w:val="clear" w:color="auto" w:fill="auto"/>
        <w:bidi w:val="0"/>
        <w:spacing w:before="0" w:after="2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color w:val="000000"/>
          <w:spacing w:val="0"/>
          <w:w w:val="100"/>
          <w:position w:val="0"/>
        </w:rPr>
        <w:t>、其他</w:t>
      </w:r>
      <w:bookmarkEnd w:id="1559"/>
      <w:bookmarkEnd w:id="1560"/>
      <w:bookmarkEnd w:id="1562"/>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九</w:t>
      </w:r>
      <w:bookmarkEnd w:id="1565"/>
      <w:r>
        <w:rPr>
          <w:color w:val="000000"/>
          <w:spacing w:val="0"/>
          <w:w w:val="100"/>
          <w:position w:val="0"/>
        </w:rPr>
        <w:t>、在其他主体中的权益</w:t>
      </w:r>
      <w:bookmarkEnd w:id="1563"/>
      <w:bookmarkEnd w:id="1564"/>
      <w:bookmarkEnd w:id="1566"/>
    </w:p>
    <w:p>
      <w:pPr>
        <w:pStyle w:val="Style29"/>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1</w:t>
      </w:r>
      <w:bookmarkEnd w:id="1569"/>
      <w:r>
        <w:rPr>
          <w:color w:val="000000"/>
          <w:spacing w:val="0"/>
          <w:w w:val="100"/>
          <w:position w:val="0"/>
        </w:rPr>
        <w:t>、在子公司中的权益</w:t>
      </w:r>
      <w:bookmarkEnd w:id="1567"/>
      <w:bookmarkEnd w:id="1568"/>
      <w:bookmarkEnd w:id="1570"/>
    </w:p>
    <w:p>
      <w:pPr>
        <w:pStyle w:val="Style32"/>
        <w:keepNext/>
        <w:keepLines/>
        <w:widowControl w:val="0"/>
        <w:shd w:val="clear" w:color="auto" w:fill="auto"/>
        <w:bidi w:val="0"/>
        <w:spacing w:before="0" w:after="32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71"/>
      <w:bookmarkEnd w:id="1572"/>
      <w:bookmarkEnd w:id="1573"/>
    </w:p>
    <w:tbl>
      <w:tblPr>
        <w:tblOverlap w:val="never"/>
        <w:jc w:val="center"/>
        <w:tblLayout w:type="fixed"/>
      </w:tblPr>
      <w:tblGrid>
        <w:gridCol w:w="1378"/>
        <w:gridCol w:w="754"/>
        <w:gridCol w:w="710"/>
        <w:gridCol w:w="2635"/>
        <w:gridCol w:w="1368"/>
        <w:gridCol w:w="1099"/>
        <w:gridCol w:w="164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东莞键桥通讯技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通信产品设备的研发与销售等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广州键桥技术有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通讯工程技术研发、设计与施工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深圳键桥华能通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通信产品设备的研发与销售等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深圳键桥智能技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通信产品及设备、信息与通信系 统及设备、系统集成系统及设备、 自动化系统及设备等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深圳市德威普软 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软件产品的研发与销售等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南京凌云科技发 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交通工程技术开发、工程设计与 施工等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共青城正融投资</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管理合伙企业</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实业投资、投资管理、投资咨询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入伙</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深圳亚联大数据 科技发展有限公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数据处理、计算机信息科技、智 能化科技等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湖南键桥通讯技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通信产品及设备、信息与通信系 统及设备、系统集成系统及设备、 自动化系统及设备等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开店宝科技集团</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第三方支付业务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bl>
    <w:p>
      <w:pPr>
        <w:widowControl w:val="0"/>
        <w:spacing w:line="1" w:lineRule="exact"/>
      </w:pPr>
    </w:p>
    <w:tbl>
      <w:tblPr>
        <w:tblOverlap w:val="never"/>
        <w:jc w:val="center"/>
        <w:tblLayout w:type="fixed"/>
      </w:tblPr>
      <w:tblGrid>
        <w:gridCol w:w="1378"/>
        <w:gridCol w:w="754"/>
        <w:gridCol w:w="710"/>
        <w:gridCol w:w="2635"/>
        <w:gridCol w:w="1368"/>
        <w:gridCol w:w="1099"/>
        <w:gridCol w:w="1642"/>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广州亚联企业管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实业投资、投资管理、投资咨询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深圳亚联信息技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公司持有开店宝科技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的股权，但仍能控制开店宝科技的依据：</w:t>
      </w:r>
    </w:p>
    <w:p>
      <w:pPr>
        <w:pStyle w:val="Style18"/>
        <w:keepNext w:val="0"/>
        <w:keepLines w:val="0"/>
        <w:widowControl w:val="0"/>
        <w:numPr>
          <w:ilvl w:val="0"/>
          <w:numId w:val="53"/>
        </w:numPr>
        <w:shd w:val="clear" w:color="auto" w:fill="auto"/>
        <w:tabs>
          <w:tab w:pos="753" w:val="left"/>
        </w:tabs>
        <w:bidi w:val="0"/>
        <w:spacing w:before="0" w:after="0" w:line="319" w:lineRule="exact"/>
        <w:ind w:left="0" w:right="0"/>
        <w:jc w:val="both"/>
      </w:pPr>
      <w:bookmarkStart w:id="1574" w:name="bookmark1574"/>
      <w:bookmarkEnd w:id="1574"/>
      <w:r>
        <w:rPr>
          <w:color w:val="000000"/>
          <w:spacing w:val="0"/>
          <w:w w:val="100"/>
          <w:position w:val="0"/>
        </w:rPr>
        <w:t>公司能够在股东会层面对开店宝科技形成有效控制</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公司持有开店宝科技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股权为开店宝科技第一大股东，并且，根据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日本公司与开店宝科技股东签署的《股 东协议》中第三条股东会和决策机制的第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款规定，以及修改后的开店宝科技公司章程，开店宝科技涉及决定经营方针和投 资计划、利润分配和弥补亏损、财务预决算等涉及经营和财务等需要董事会、股东会审议的事项，本公司均拥有最终决策权， 故本公司能够在股东会层面对开店宝科技形成控制。</w:t>
      </w:r>
    </w:p>
    <w:p>
      <w:pPr>
        <w:pStyle w:val="Style18"/>
        <w:keepNext w:val="0"/>
        <w:keepLines w:val="0"/>
        <w:widowControl w:val="0"/>
        <w:numPr>
          <w:ilvl w:val="0"/>
          <w:numId w:val="53"/>
        </w:numPr>
        <w:shd w:val="clear" w:color="auto" w:fill="auto"/>
        <w:tabs>
          <w:tab w:pos="753" w:val="left"/>
        </w:tabs>
        <w:bidi w:val="0"/>
        <w:spacing w:before="0" w:after="0" w:line="319" w:lineRule="exact"/>
        <w:ind w:left="0" w:right="0"/>
        <w:jc w:val="both"/>
      </w:pPr>
      <w:bookmarkStart w:id="1575" w:name="bookmark1575"/>
      <w:bookmarkEnd w:id="1575"/>
      <w:r>
        <w:rPr>
          <w:color w:val="000000"/>
          <w:spacing w:val="0"/>
          <w:w w:val="100"/>
          <w:position w:val="0"/>
        </w:rPr>
        <w:t>公司能够在董事会层面对开店宝科技形成有效控制</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开店宝科技董事会设有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名董事席位，本公司已按照法定程序向开店宝科技推荐了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名董事。占开店宝科技董事会三分之 二以上的董事席位，因此，能够在董事会层面对开店宝科技形成有效控制。</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319" w:lineRule="exact"/>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400" w:line="319"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576" w:name="bookmark1576"/>
      <w:bookmarkStart w:id="1577" w:name="bookmark1577"/>
      <w:bookmarkStart w:id="1578" w:name="bookmark15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76"/>
      <w:bookmarkEnd w:id="1577"/>
      <w:bookmarkEnd w:id="1578"/>
    </w:p>
    <w:p>
      <w:pPr>
        <w:pStyle w:val="Style18"/>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2131"/>
        <w:gridCol w:w="1714"/>
        <w:gridCol w:w="1906"/>
        <w:gridCol w:w="1901"/>
        <w:gridCol w:w="1934"/>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1,939,462.94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78,879,221.23</w:t>
            </w:r>
          </w:p>
        </w:tc>
      </w:tr>
    </w:tbl>
    <w:p>
      <w:pPr>
        <w:pStyle w:val="Style18"/>
        <w:keepNext w:val="0"/>
        <w:keepLines w:val="0"/>
        <w:widowControl w:val="0"/>
        <w:shd w:val="clear" w:color="auto" w:fill="auto"/>
        <w:bidi w:val="0"/>
        <w:spacing w:before="0" w:after="400" w:line="350" w:lineRule="exact"/>
        <w:ind w:left="0" w:right="0" w:firstLine="0"/>
        <w:jc w:val="left"/>
      </w:pPr>
      <w:r>
        <w:rPr>
          <w:color w:val="000000"/>
          <w:spacing w:val="0"/>
          <w:w w:val="100"/>
          <w:position w:val="0"/>
        </w:rPr>
        <w:t>子公司少数股东的持股比例不同于表决权比例的说明: 无。</w:t>
      </w:r>
    </w:p>
    <w:p>
      <w:pPr>
        <w:pStyle w:val="Style32"/>
        <w:keepNext/>
        <w:keepLines/>
        <w:widowControl w:val="0"/>
        <w:shd w:val="clear" w:color="auto" w:fill="auto"/>
        <w:bidi w:val="0"/>
        <w:spacing w:before="0" w:after="40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79"/>
      <w:bookmarkEnd w:id="1580"/>
      <w:bookmarkEnd w:id="1582"/>
    </w:p>
    <w:p>
      <w:pPr>
        <w:pStyle w:val="Style18"/>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开店宝 科技集 团有限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677,917,</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292,534,</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970,452,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615,919,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220,786,</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836,705,</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1,077,48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583.51</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8940" w:right="0" w:firstLine="0"/>
        <w:jc w:val="both"/>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开店宝科技 集团有限公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1,360,213,47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243,067.95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2,176,885.14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-111,906,378.</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2,434,908,91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-130,858,181.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-131,741,709.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92,406,840.8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1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83"/>
      <w:bookmarkEnd w:id="1584"/>
      <w:bookmarkEnd w:id="158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87"/>
      <w:bookmarkEnd w:id="1588"/>
      <w:bookmarkEnd w:id="159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bookmarkEnd w:id="1593"/>
      <w:r>
        <w:rPr>
          <w:color w:val="000000"/>
          <w:spacing w:val="0"/>
          <w:w w:val="100"/>
          <w:position w:val="0"/>
        </w:rPr>
        <w:t>、</w:t>
        <w:tab/>
        <w:t>在子公司的所有者权益份额发生变化且仍控制子公司的交易</w:t>
      </w:r>
      <w:bookmarkEnd w:id="1591"/>
      <w:bookmarkEnd w:id="1592"/>
      <w:bookmarkEnd w:id="1594"/>
    </w:p>
    <w:p>
      <w:pPr>
        <w:pStyle w:val="Style32"/>
        <w:keepNext/>
        <w:keepLines/>
        <w:widowControl w:val="0"/>
        <w:shd w:val="clear" w:color="auto" w:fill="auto"/>
        <w:tabs>
          <w:tab w:pos="493" w:val="left"/>
        </w:tabs>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95"/>
      <w:bookmarkEnd w:id="1596"/>
      <w:bookmarkEnd w:id="159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99"/>
      <w:bookmarkEnd w:id="1600"/>
      <w:bookmarkEnd w:id="160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color w:val="000000"/>
          <w:spacing w:val="0"/>
          <w:w w:val="100"/>
          <w:position w:val="0"/>
        </w:rPr>
        <w:t>、</w:t>
        <w:tab/>
        <w:t>在合营安排或联营企业中的权益</w:t>
      </w:r>
      <w:bookmarkEnd w:id="1603"/>
      <w:bookmarkEnd w:id="1604"/>
      <w:bookmarkEnd w:id="1606"/>
    </w:p>
    <w:p>
      <w:pPr>
        <w:pStyle w:val="Style32"/>
        <w:keepNext/>
        <w:keepLines/>
        <w:widowControl w:val="0"/>
        <w:shd w:val="clear" w:color="auto" w:fill="auto"/>
        <w:bidi w:val="0"/>
        <w:spacing w:before="0" w:after="32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07"/>
      <w:bookmarkEnd w:id="1608"/>
      <w:bookmarkEnd w:id="160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深圳盈华小额贷 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先锋基金管理有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基金募集与销售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18"/>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r>
        <w:br w:type="page"/>
      </w:r>
    </w:p>
    <w:p>
      <w:pPr>
        <w:pStyle w:val="Style32"/>
        <w:keepNext/>
        <w:keepLines/>
        <w:widowControl w:val="0"/>
        <w:shd w:val="clear" w:color="auto" w:fill="auto"/>
        <w:bidi w:val="0"/>
        <w:spacing w:before="0" w:after="40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10"/>
      <w:bookmarkEnd w:id="1611"/>
      <w:bookmarkEnd w:id="161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深圳盈华小额贷款有限 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先锋基金管理有限公司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深圳盈华小额贷款有限 公司</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先锋基金管理有限公司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7,064,140.52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1,962,227.68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57,069,957.53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其中：现金和现金等价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56,727,517.33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78,881,241.18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10,691,347.73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63,791,657.85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80,843,468.86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67,761,305.26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2,061,527.49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8,700,321.84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7,153,035.88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1,148,793.12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2,061,527.49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8,700,321.84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8,301,829.00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61,730,130.36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72,143,147.02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59,459,476.26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30,865,065.18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36,071,573.51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19,844,546.05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对合营企业权益投资的 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30,865,065.18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36,071,573.51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19,844,546.05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存在公开报价的合营企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7,904,845.98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2,480,945.01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47,148,715.37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-10,413,016.66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-55,930,224.34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-19,734,737.49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-10,413,016.66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-55,930,224.34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-19,734,737.49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本年度收到的来自合营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numPr>
          <w:ilvl w:val="0"/>
          <w:numId w:val="55"/>
        </w:numPr>
        <w:shd w:val="clear" w:color="auto" w:fill="auto"/>
        <w:bidi w:val="0"/>
        <w:spacing w:before="0" w:after="40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重要联营企业的主要财务信息</w:t>
      </w:r>
      <w:bookmarkEnd w:id="1613"/>
      <w:bookmarkEnd w:id="1614"/>
      <w:bookmarkEnd w:id="16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55"/>
        </w:numPr>
        <w:shd w:val="clear" w:color="auto" w:fill="auto"/>
        <w:bidi w:val="0"/>
        <w:spacing w:before="0" w:after="40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不重要的合营企业和联营企业的汇总财务信息</w:t>
      </w:r>
      <w:bookmarkEnd w:id="1617"/>
      <w:bookmarkEnd w:id="1618"/>
      <w:bookmarkEnd w:id="162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11,031,672.01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11,219,354.49</w:t>
            </w:r>
          </w:p>
        </w:tc>
      </w:tr>
    </w:tbl>
    <w:p>
      <w:pPr>
        <w:widowControl w:val="0"/>
        <w:spacing w:line="1" w:lineRule="exact"/>
      </w:pP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-4,233,662.30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-2,652,511.31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-4,233,662.30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-2,652,511.31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12,416,313.13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29,840,008.08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-8,279,153.48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-1,531,330.93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-8,279,153.48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-1,531,330.93</w:t>
            </w:r>
          </w:p>
        </w:tc>
      </w:tr>
    </w:tbl>
    <w:p>
      <w:pPr>
        <w:widowControl w:val="0"/>
        <w:spacing w:after="319" w:line="1" w:lineRule="exact"/>
      </w:pPr>
    </w:p>
    <w:p>
      <w:pPr>
        <w:pStyle w:val="Style32"/>
        <w:keepNext/>
        <w:keepLines/>
        <w:widowControl w:val="0"/>
        <w:shd w:val="clear" w:color="auto" w:fill="auto"/>
        <w:tabs>
          <w:tab w:pos="493" w:val="left"/>
        </w:tabs>
        <w:bidi w:val="0"/>
        <w:spacing w:before="0" w:after="26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21"/>
      <w:bookmarkEnd w:id="1622"/>
      <w:bookmarkEnd w:id="1624"/>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25"/>
      <w:bookmarkEnd w:id="1626"/>
      <w:bookmarkEnd w:id="1628"/>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29"/>
      <w:bookmarkEnd w:id="1630"/>
      <w:bookmarkEnd w:id="1632"/>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33"/>
      <w:bookmarkEnd w:id="1634"/>
      <w:bookmarkEnd w:id="1636"/>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40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4</w:t>
      </w:r>
      <w:bookmarkEnd w:id="1639"/>
      <w:r>
        <w:rPr>
          <w:color w:val="000000"/>
          <w:spacing w:val="0"/>
          <w:w w:val="100"/>
          <w:position w:val="0"/>
        </w:rPr>
        <w:t>、</w:t>
        <w:tab/>
        <w:t>重要的共同经营</w:t>
      </w:r>
      <w:bookmarkEnd w:id="1637"/>
      <w:bookmarkEnd w:id="1638"/>
      <w:bookmarkEnd w:id="1640"/>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color w:val="000000"/>
          <w:spacing w:val="0"/>
          <w:w w:val="100"/>
          <w:position w:val="0"/>
        </w:rPr>
        <w:t>、</w:t>
        <w:tab/>
        <w:t>在未纳入合并财务报表范围的结构化主体中的权益</w:t>
      </w:r>
      <w:bookmarkEnd w:id="1641"/>
      <w:bookmarkEnd w:id="1642"/>
      <w:bookmarkEnd w:id="1644"/>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未纳入合并财务报表范围的结构化主体的相关说明：</w:t>
      </w:r>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color w:val="000000"/>
          <w:spacing w:val="0"/>
          <w:w w:val="100"/>
          <w:position w:val="0"/>
        </w:rPr>
        <w:t>、</w:t>
        <w:tab/>
        <w:t>其他</w:t>
      </w:r>
      <w:bookmarkEnd w:id="1645"/>
      <w:bookmarkEnd w:id="1646"/>
      <w:bookmarkEnd w:id="1648"/>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60" w:line="240" w:lineRule="auto"/>
        <w:ind w:left="0" w:right="0" w:firstLine="0"/>
        <w:jc w:val="left"/>
      </w:pPr>
      <w:bookmarkStart w:id="1649" w:name="bookmark1649"/>
      <w:bookmarkStart w:id="1650" w:name="bookmark1650"/>
      <w:bookmarkStart w:id="1651" w:name="bookmark1651"/>
      <w:r>
        <w:rPr>
          <w:color w:val="000000"/>
          <w:spacing w:val="0"/>
          <w:w w:val="100"/>
          <w:position w:val="0"/>
        </w:rPr>
        <w:t>十、与金融工具相关的风险</w:t>
      </w:r>
      <w:bookmarkEnd w:id="1649"/>
      <w:bookmarkEnd w:id="1650"/>
      <w:bookmarkEnd w:id="1651"/>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本公司从事风险管理的目标是在风险和收益之间取得平衡，将风险对经营业绩的负面影响降至最低，使股东权益最大化。 基于该风险管理目标，本公司风险管理的基本策略是确认和分析面临的各种风险，建立适当的风险承受底线和进行风险管理， </w:t>
      </w:r>
      <w:r>
        <w:rPr>
          <w:color w:val="000000"/>
          <w:spacing w:val="0"/>
          <w:w w:val="100"/>
          <w:position w:val="0"/>
        </w:rPr>
        <w:t>并及时可靠地对各种风险进行监督，将风险控制在限定范围内。</w:t>
      </w:r>
    </w:p>
    <w:p>
      <w:pPr>
        <w:pStyle w:val="Style18"/>
        <w:keepNext w:val="0"/>
        <w:keepLines w:val="0"/>
        <w:widowControl w:val="0"/>
        <w:shd w:val="clear" w:color="auto" w:fill="auto"/>
        <w:bidi w:val="0"/>
        <w:spacing w:before="0" w:after="100" w:line="310" w:lineRule="exact"/>
        <w:ind w:left="0" w:right="0"/>
        <w:jc w:val="left"/>
      </w:pPr>
      <w:r>
        <w:rPr>
          <w:color w:val="000000"/>
          <w:spacing w:val="0"/>
          <w:w w:val="100"/>
          <w:position w:val="0"/>
        </w:rPr>
        <w:t>本公司在日常活动中面临各种与金融工具相关的风险，主要包括信用风险、市场风险、流动性风险。</w:t>
      </w:r>
    </w:p>
    <w:p>
      <w:pPr>
        <w:pStyle w:val="Style18"/>
        <w:keepNext w:val="0"/>
        <w:keepLines w:val="0"/>
        <w:widowControl w:val="0"/>
        <w:shd w:val="clear" w:color="auto" w:fill="auto"/>
        <w:tabs>
          <w:tab w:pos="714" w:val="left"/>
        </w:tabs>
        <w:bidi w:val="0"/>
        <w:spacing w:before="0" w:after="0" w:line="360" w:lineRule="auto"/>
        <w:ind w:left="0" w:right="0"/>
        <w:jc w:val="left"/>
      </w:pPr>
      <w:bookmarkStart w:id="1652" w:name="bookmark1652"/>
      <w:r>
        <w:rPr>
          <w:rFonts w:ascii="Times New Roman" w:eastAsia="Times New Roman" w:hAnsi="Times New Roman" w:cs="Times New Roman"/>
          <w:color w:val="000000"/>
          <w:spacing w:val="0"/>
          <w:w w:val="100"/>
          <w:position w:val="0"/>
          <w:sz w:val="18"/>
          <w:szCs w:val="18"/>
        </w:rPr>
        <w:t>1</w:t>
      </w:r>
      <w:bookmarkEnd w:id="1652"/>
      <w:r>
        <w:rPr>
          <w:color w:val="000000"/>
          <w:spacing w:val="0"/>
          <w:w w:val="100"/>
          <w:position w:val="0"/>
        </w:rPr>
        <w:t>、</w:t>
        <w:tab/>
        <w:t>信用风险</w:t>
      </w:r>
    </w:p>
    <w:p>
      <w:pPr>
        <w:pStyle w:val="Style18"/>
        <w:keepNext w:val="0"/>
        <w:keepLines w:val="0"/>
        <w:widowControl w:val="0"/>
        <w:shd w:val="clear" w:color="auto" w:fill="auto"/>
        <w:bidi w:val="0"/>
        <w:spacing w:before="0" w:after="100" w:line="310" w:lineRule="exact"/>
        <w:ind w:left="0" w:right="0"/>
        <w:jc w:val="left"/>
      </w:pPr>
      <w:r>
        <w:rPr>
          <w:color w:val="000000"/>
          <w:spacing w:val="0"/>
          <w:w w:val="100"/>
          <w:position w:val="0"/>
        </w:rPr>
        <w:t>信用风险是指金融工具的一方不履行义务，造成另一方发生财务损失的风险。本公司主要面临赊销导致的客户信用风险。 为降低信用风险，公司仅与经认可的、信誉良好的公司发生交易，并通过对已有客户信用监控以及通过账龄分析来对应收账 款持续监控，确保公司不致面临坏账风险，将公司的整体信用风险控制在可控的范围内。</w:t>
      </w:r>
    </w:p>
    <w:p>
      <w:pPr>
        <w:pStyle w:val="Style18"/>
        <w:keepNext w:val="0"/>
        <w:keepLines w:val="0"/>
        <w:widowControl w:val="0"/>
        <w:shd w:val="clear" w:color="auto" w:fill="auto"/>
        <w:tabs>
          <w:tab w:pos="734" w:val="left"/>
        </w:tabs>
        <w:bidi w:val="0"/>
        <w:spacing w:before="0" w:after="0" w:line="360" w:lineRule="auto"/>
        <w:ind w:left="0" w:right="0"/>
        <w:jc w:val="both"/>
      </w:pPr>
      <w:bookmarkStart w:id="1653" w:name="bookmark1653"/>
      <w:r>
        <w:rPr>
          <w:rFonts w:ascii="Times New Roman" w:eastAsia="Times New Roman" w:hAnsi="Times New Roman" w:cs="Times New Roman"/>
          <w:color w:val="000000"/>
          <w:spacing w:val="0"/>
          <w:w w:val="100"/>
          <w:position w:val="0"/>
          <w:sz w:val="18"/>
          <w:szCs w:val="18"/>
        </w:rPr>
        <w:t>2</w:t>
      </w:r>
      <w:bookmarkEnd w:id="1653"/>
      <w:r>
        <w:rPr>
          <w:color w:val="000000"/>
          <w:spacing w:val="0"/>
          <w:w w:val="100"/>
          <w:position w:val="0"/>
        </w:rPr>
        <w:t>、</w:t>
        <w:tab/>
        <w:t>市场风险</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18"/>
        <w:keepNext w:val="0"/>
        <w:keepLines w:val="0"/>
        <w:widowControl w:val="0"/>
        <w:shd w:val="clear" w:color="auto" w:fill="auto"/>
        <w:tabs>
          <w:tab w:pos="825" w:val="left"/>
        </w:tabs>
        <w:bidi w:val="0"/>
        <w:spacing w:before="0" w:after="0" w:line="310" w:lineRule="exact"/>
        <w:ind w:left="0" w:right="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利率风险是金融工具的公允价值或未来现金流量因市场利率变动而发生波动的风险。本公司面临的利率风险主要来源于 银行借款。公司通过建立良好的银企关系，对授信额度、授信品种、授信期限进行合理的设计，保障银行授信额度充足，满 足公司各类融资需求。通过缩短单笔借款的期限，特别约定提前还款条款，合理降低利率波动的风险。</w:t>
      </w:r>
    </w:p>
    <w:p>
      <w:pPr>
        <w:pStyle w:val="Style18"/>
        <w:keepNext w:val="0"/>
        <w:keepLines w:val="0"/>
        <w:widowControl w:val="0"/>
        <w:shd w:val="clear" w:color="auto" w:fill="auto"/>
        <w:tabs>
          <w:tab w:pos="825" w:val="left"/>
        </w:tabs>
        <w:bidi w:val="0"/>
        <w:spacing w:before="0" w:after="0" w:line="310" w:lineRule="exact"/>
        <w:ind w:left="0" w:right="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汇率风险是金融工具的公允价值或未来现金流量因外汇汇率变动而发生波动的风险。本公司尽可能将外汇收入与外汇支 出相匹配以降低外汇风险。报告期内，本公司的主要经营业务在国内，因此，受到外汇风险的影响较小。</w:t>
      </w:r>
    </w:p>
    <w:p>
      <w:pPr>
        <w:pStyle w:val="Style18"/>
        <w:keepNext w:val="0"/>
        <w:keepLines w:val="0"/>
        <w:widowControl w:val="0"/>
        <w:shd w:val="clear" w:color="auto" w:fill="auto"/>
        <w:tabs>
          <w:tab w:pos="825" w:val="left"/>
        </w:tabs>
        <w:bidi w:val="0"/>
        <w:spacing w:before="0" w:after="0" w:line="310" w:lineRule="exact"/>
        <w:ind w:left="0" w:right="0"/>
        <w:jc w:val="both"/>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本公司暂无其他价格风险。</w:t>
      </w:r>
    </w:p>
    <w:p>
      <w:pPr>
        <w:pStyle w:val="Style18"/>
        <w:keepNext w:val="0"/>
        <w:keepLines w:val="0"/>
        <w:widowControl w:val="0"/>
        <w:shd w:val="clear" w:color="auto" w:fill="auto"/>
        <w:tabs>
          <w:tab w:pos="734" w:val="left"/>
        </w:tabs>
        <w:bidi w:val="0"/>
        <w:spacing w:before="0" w:after="0" w:line="360" w:lineRule="auto"/>
        <w:ind w:left="0" w:right="0"/>
        <w:jc w:val="both"/>
      </w:pPr>
      <w:bookmarkStart w:id="1657" w:name="bookmark1657"/>
      <w:r>
        <w:rPr>
          <w:rFonts w:ascii="Times New Roman" w:eastAsia="Times New Roman" w:hAnsi="Times New Roman" w:cs="Times New Roman"/>
          <w:color w:val="000000"/>
          <w:spacing w:val="0"/>
          <w:w w:val="100"/>
          <w:position w:val="0"/>
          <w:sz w:val="18"/>
          <w:szCs w:val="18"/>
        </w:rPr>
        <w:t>3</w:t>
      </w:r>
      <w:bookmarkEnd w:id="1657"/>
      <w:r>
        <w:rPr>
          <w:color w:val="000000"/>
          <w:spacing w:val="0"/>
          <w:w w:val="100"/>
          <w:position w:val="0"/>
        </w:rPr>
        <w:t>、</w:t>
        <w:tab/>
        <w:t>流动性风险</w:t>
      </w:r>
    </w:p>
    <w:p>
      <w:pPr>
        <w:pStyle w:val="Style18"/>
        <w:keepNext w:val="0"/>
        <w:keepLines w:val="0"/>
        <w:widowControl w:val="0"/>
        <w:shd w:val="clear" w:color="auto" w:fill="auto"/>
        <w:bidi w:val="0"/>
        <w:spacing w:before="0" w:after="380" w:line="305" w:lineRule="exact"/>
        <w:ind w:left="0" w:right="0" w:firstLine="0"/>
        <w:jc w:val="both"/>
      </w:pPr>
      <w:r>
        <w:rPr>
          <w:color w:val="000000"/>
          <w:spacing w:val="0"/>
          <w:w w:val="100"/>
          <w:position w:val="0"/>
        </w:rPr>
        <w:t>流动性风险是指企业在履行以交付现金或其他金融资产的方式结算义务时发生资金短缺的风险。本公司的政策是确保有充足 的现金以偿还到期债务。流动性风险由本公司的财务部门集中控制。财务部门通过监控现金余额、可随时变现的有价证券以 及对未来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个月现金流量的滚动预测，确保公司在所有合理预测的情况下确保公司拥有充足的资金偿还债务。</w:t>
      </w:r>
    </w:p>
    <w:p>
      <w:pPr>
        <w:pStyle w:val="Style23"/>
        <w:keepNext/>
        <w:keepLines/>
        <w:widowControl w:val="0"/>
        <w:shd w:val="clear" w:color="auto" w:fill="auto"/>
        <w:bidi w:val="0"/>
        <w:spacing w:before="0" w:after="380" w:line="240" w:lineRule="auto"/>
        <w:ind w:left="0" w:right="0" w:firstLine="0"/>
        <w:jc w:val="both"/>
      </w:pPr>
      <w:bookmarkStart w:id="1658" w:name="bookmark1658"/>
      <w:bookmarkStart w:id="1659" w:name="bookmark1659"/>
      <w:bookmarkStart w:id="1660" w:name="bookmark1660"/>
      <w:r>
        <w:rPr>
          <w:color w:val="000000"/>
          <w:spacing w:val="0"/>
          <w:w w:val="100"/>
          <w:position w:val="0"/>
        </w:rPr>
        <w:t>十^一、公允价值的披露</w:t>
      </w:r>
      <w:bookmarkEnd w:id="1658"/>
      <w:bookmarkEnd w:id="1659"/>
      <w:bookmarkEnd w:id="1660"/>
    </w:p>
    <w:p>
      <w:pPr>
        <w:pStyle w:val="Style29"/>
        <w:keepNext/>
        <w:keepLines/>
        <w:widowControl w:val="0"/>
        <w:shd w:val="clear" w:color="auto" w:fill="auto"/>
        <w:bidi w:val="0"/>
        <w:spacing w:before="0" w:after="380" w:line="240" w:lineRule="auto"/>
        <w:ind w:left="0" w:right="0" w:firstLine="0"/>
        <w:jc w:val="both"/>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61"/>
      <w:bookmarkEnd w:id="1662"/>
      <w:bookmarkEnd w:id="166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123,529,071.76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123,529,071.76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664"/>
      <w:bookmarkEnd w:id="1665"/>
      <w:bookmarkEnd w:id="166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3</w:t>
      </w:r>
      <w:bookmarkEnd w:id="1669"/>
      <w:r>
        <w:rPr>
          <w:color w:val="000000"/>
          <w:spacing w:val="0"/>
          <w:w w:val="100"/>
          <w:position w:val="0"/>
        </w:rPr>
        <w:t>、持续和非持续第二层次公允价值计量项目，采用的估值技术和重要参数的定性及定量信息</w:t>
      </w:r>
      <w:bookmarkEnd w:id="1667"/>
      <w:bookmarkEnd w:id="1668"/>
      <w:bookmarkEnd w:id="1670"/>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color w:val="000000"/>
          <w:spacing w:val="0"/>
          <w:w w:val="100"/>
          <w:position w:val="0"/>
        </w:rPr>
        <w:t>、</w:t>
        <w:tab/>
        <w:t>持续和非持续第三层次公允价值计量项目，采用的估值技术和重要参数的定性及定量信息</w:t>
      </w:r>
      <w:bookmarkEnd w:id="1671"/>
      <w:bookmarkEnd w:id="1672"/>
      <w:bookmarkEnd w:id="1674"/>
    </w:p>
    <w:p>
      <w:pPr>
        <w:pStyle w:val="Style18"/>
        <w:keepNext w:val="0"/>
        <w:keepLines w:val="0"/>
        <w:widowControl w:val="0"/>
        <w:shd w:val="clear" w:color="auto" w:fill="auto"/>
        <w:bidi w:val="0"/>
        <w:spacing w:before="0" w:after="380" w:line="240" w:lineRule="auto"/>
        <w:ind w:left="0" w:right="0"/>
        <w:jc w:val="left"/>
      </w:pPr>
      <w:r>
        <w:rPr>
          <w:color w:val="000000"/>
          <w:spacing w:val="0"/>
          <w:w w:val="100"/>
          <w:position w:val="0"/>
        </w:rPr>
        <w:t>本公司以预计可收回金额作为第三层次金融资产的公允价值计价方法。</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w:t>
      </w:r>
      <w:bookmarkEnd w:id="1677"/>
      <w:r>
        <w:rPr>
          <w:color w:val="000000"/>
          <w:spacing w:val="0"/>
          <w:w w:val="100"/>
          <w:position w:val="0"/>
        </w:rPr>
        <w:t>、</w:t>
        <w:tab/>
        <w:t>持续的第三层次公允价值计量项目，期初与期末账面价值间的调节信息及不可观察参数敏感性分析</w:t>
      </w:r>
      <w:bookmarkEnd w:id="1675"/>
      <w:bookmarkEnd w:id="1676"/>
      <w:bookmarkEnd w:id="167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color w:val="000000"/>
          <w:spacing w:val="0"/>
          <w:w w:val="100"/>
          <w:position w:val="0"/>
        </w:rPr>
        <w:t>、</w:t>
        <w:tab/>
        <w:t>持续的公允价值计量项目，本期内发生各层级之间转换的，转换的原因及确定转换时点的政策</w:t>
      </w:r>
      <w:bookmarkEnd w:id="1679"/>
      <w:bookmarkEnd w:id="1680"/>
      <w:bookmarkEnd w:id="168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color w:val="000000"/>
          <w:spacing w:val="0"/>
          <w:w w:val="100"/>
          <w:position w:val="0"/>
        </w:rPr>
        <w:t>、</w:t>
        <w:tab/>
        <w:t>本期内发生的估值技术变更及变更原因</w:t>
      </w:r>
      <w:bookmarkEnd w:id="1683"/>
      <w:bookmarkEnd w:id="1684"/>
      <w:bookmarkEnd w:id="168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8</w:t>
      </w:r>
      <w:bookmarkEnd w:id="1689"/>
      <w:r>
        <w:rPr>
          <w:color w:val="000000"/>
          <w:spacing w:val="0"/>
          <w:w w:val="100"/>
          <w:position w:val="0"/>
        </w:rPr>
        <w:t>、</w:t>
        <w:tab/>
        <w:t>不以公允价值计量的金融资产和金融负债的公允价值情况</w:t>
      </w:r>
      <w:bookmarkEnd w:id="1687"/>
      <w:bookmarkEnd w:id="1688"/>
      <w:bookmarkEnd w:id="169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9</w:t>
      </w:r>
      <w:bookmarkEnd w:id="1693"/>
      <w:r>
        <w:rPr>
          <w:color w:val="000000"/>
          <w:spacing w:val="0"/>
          <w:w w:val="100"/>
          <w:position w:val="0"/>
        </w:rPr>
        <w:t>、</w:t>
        <w:tab/>
        <w:t>其他</w:t>
      </w:r>
      <w:bookmarkEnd w:id="1691"/>
      <w:bookmarkEnd w:id="1692"/>
      <w:bookmarkEnd w:id="1694"/>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r>
        <w:rPr>
          <w:color w:val="000000"/>
          <w:spacing w:val="0"/>
          <w:w w:val="100"/>
          <w:position w:val="0"/>
        </w:rPr>
        <w:t>十二、关联方及关联交易</w:t>
      </w:r>
      <w:bookmarkEnd w:id="1695"/>
      <w:bookmarkEnd w:id="1696"/>
      <w:bookmarkEnd w:id="1697"/>
    </w:p>
    <w:p>
      <w:pPr>
        <w:pStyle w:val="Style29"/>
        <w:keepNext/>
        <w:keepLines/>
        <w:widowControl w:val="0"/>
        <w:shd w:val="clear" w:color="auto" w:fill="auto"/>
        <w:bidi w:val="0"/>
        <w:spacing w:before="0" w:after="340" w:line="240" w:lineRule="auto"/>
        <w:ind w:left="0" w:right="0" w:firstLine="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98"/>
      <w:bookmarkEnd w:id="1699"/>
      <w:bookmarkEnd w:id="1700"/>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大连永利商务发展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辽宁省大连市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企业管理服务;企业 管理咨询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本企业最终控制方是王永彬。</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bookmarkEnd w:id="1703"/>
      <w:r>
        <w:rPr>
          <w:color w:val="000000"/>
          <w:spacing w:val="0"/>
          <w:w w:val="100"/>
          <w:position w:val="0"/>
        </w:rPr>
        <w:t>、</w:t>
        <w:tab/>
        <w:t>本企业的子公司情况</w:t>
      </w:r>
      <w:bookmarkEnd w:id="1701"/>
      <w:bookmarkEnd w:id="1702"/>
      <w:bookmarkEnd w:id="170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color w:val="000000"/>
          <w:spacing w:val="0"/>
          <w:w w:val="100"/>
          <w:position w:val="0"/>
        </w:rPr>
        <w:t>、</w:t>
        <w:tab/>
        <w:t>本企业合营和联营企业情况</w:t>
      </w:r>
      <w:bookmarkEnd w:id="1705"/>
      <w:bookmarkEnd w:id="1706"/>
      <w:bookmarkEnd w:id="170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9"/>
        <w:keepNext/>
        <w:keepLines/>
        <w:widowControl w:val="0"/>
        <w:shd w:val="clear" w:color="auto" w:fill="auto"/>
        <w:bidi w:val="0"/>
        <w:spacing w:before="0" w:after="32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color w:val="000000"/>
          <w:spacing w:val="0"/>
          <w:w w:val="100"/>
          <w:position w:val="0"/>
        </w:rPr>
        <w:t>、其他关联方情况</w:t>
      </w:r>
      <w:bookmarkEnd w:id="1709"/>
      <w:bookmarkEnd w:id="1710"/>
      <w:bookmarkEnd w:id="1712"/>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GENESIS BUSINESS HOLDINGS PTE.LTD</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color w:val="000000"/>
          <w:spacing w:val="0"/>
          <w:w w:val="100"/>
          <w:position w:val="0"/>
        </w:rPr>
        <w:t>、关联交易情况</w:t>
      </w:r>
      <w:bookmarkEnd w:id="1713"/>
      <w:bookmarkEnd w:id="1714"/>
      <w:bookmarkEnd w:id="1716"/>
    </w:p>
    <w:p>
      <w:pPr>
        <w:pStyle w:val="Style32"/>
        <w:keepNext/>
        <w:keepLines/>
        <w:widowControl w:val="0"/>
        <w:shd w:val="clear" w:color="auto" w:fill="auto"/>
        <w:bidi w:val="0"/>
        <w:spacing w:before="0" w:after="40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17"/>
      <w:bookmarkEnd w:id="1718"/>
      <w:bookmarkEnd w:id="17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提供客服服务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12,498,093.26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购销商品、提供和接受劳务的关联交易说明</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20"/>
      <w:bookmarkEnd w:id="1721"/>
      <w:bookmarkEnd w:id="1723"/>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24"/>
      <w:bookmarkEnd w:id="1725"/>
      <w:bookmarkEnd w:id="1727"/>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728"/>
      <w:bookmarkEnd w:id="1729"/>
      <w:bookmarkEnd w:id="173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704"/>
        <w:gridCol w:w="1920"/>
        <w:gridCol w:w="1906"/>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王永彬、刘辉、乾德精一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32"/>
        <w:keepNext/>
        <w:keepLines/>
        <w:widowControl w:val="0"/>
        <w:shd w:val="clear" w:color="auto" w:fill="auto"/>
        <w:bidi w:val="0"/>
        <w:spacing w:before="0" w:after="40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32"/>
      <w:bookmarkEnd w:id="1733"/>
      <w:bookmarkEnd w:id="17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55"/>
        <w:gridCol w:w="1714"/>
        <w:gridCol w:w="1834"/>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18,560,280.00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截止本报告期余额</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1,856.028 </w:t>
            </w:r>
            <w:r>
              <w:rPr>
                <w:color w:val="000000"/>
                <w:spacing w:val="0"/>
                <w:w w:val="100"/>
                <w:position w:val="0"/>
              </w:rPr>
              <w:t>万元</w:t>
            </w:r>
          </w:p>
        </w:tc>
      </w:tr>
    </w:tbl>
    <w:p>
      <w:pPr>
        <w:widowControl w:val="0"/>
        <w:spacing w:line="1" w:lineRule="exact"/>
      </w:pPr>
      <w:r>
        <w:br w:type="page"/>
      </w:r>
    </w:p>
    <w:tbl>
      <w:tblPr>
        <w:tblOverlap w:val="never"/>
        <w:jc w:val="center"/>
        <w:tblLayout w:type="fixed"/>
      </w:tblPr>
      <w:tblGrid>
        <w:gridCol w:w="2275"/>
        <w:gridCol w:w="1555"/>
        <w:gridCol w:w="1704"/>
        <w:gridCol w:w="1843"/>
        <w:gridCol w:w="2208"/>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147,078,059.00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截止本报告期余额</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14,707.8059 </w:t>
            </w:r>
            <w:r>
              <w:rPr>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截止本报告期余额</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截止本报告期余额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both"/>
            </w:pPr>
            <w:r>
              <w:rPr>
                <w:color w:val="000000"/>
                <w:spacing w:val="0"/>
                <w:w w:val="100"/>
                <w:position w:val="0"/>
              </w:rPr>
              <w:t>截止本报告期余额</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 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截止本报告期余额</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截止本报告期余额</w:t>
            </w:r>
            <w:r>
              <w:rPr>
                <w:rFonts w:ascii="Times New Roman" w:eastAsia="Times New Roman" w:hAnsi="Times New Roman" w:cs="Times New Roman"/>
                <w:color w:val="000000"/>
                <w:spacing w:val="0"/>
                <w:w w:val="100"/>
                <w:position w:val="0"/>
                <w:sz w:val="18"/>
                <w:szCs w:val="18"/>
              </w:rPr>
              <w:t>1,150</w:t>
            </w:r>
            <w:r>
              <w:rPr>
                <w:color w:val="000000"/>
                <w:spacing w:val="0"/>
                <w:w w:val="100"/>
                <w:position w:val="0"/>
              </w:rPr>
              <w:t>万 元</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截至本报告期末余额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736"/>
      <w:bookmarkEnd w:id="1737"/>
      <w:bookmarkEnd w:id="1739"/>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740"/>
      <w:bookmarkEnd w:id="1741"/>
      <w:bookmarkEnd w:id="17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12,058,500.00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10,996,700.00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44"/>
      <w:bookmarkEnd w:id="1745"/>
      <w:bookmarkEnd w:id="1747"/>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共同对外投资的关联交易</w:t>
      </w:r>
    </w:p>
    <w:tbl>
      <w:tblPr>
        <w:tblOverlap w:val="never"/>
        <w:jc w:val="center"/>
        <w:tblLayout w:type="fixed"/>
      </w:tblPr>
      <w:tblGrid>
        <w:gridCol w:w="1445"/>
        <w:gridCol w:w="1133"/>
        <w:gridCol w:w="1190"/>
        <w:gridCol w:w="1757"/>
        <w:gridCol w:w="1061"/>
        <w:gridCol w:w="1013"/>
        <w:gridCol w:w="955"/>
        <w:gridCol w:w="1118"/>
      </w:tblGrid>
      <w:tr>
        <w:trPr>
          <w:trHeight w:val="97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共同投资方</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关联</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 名称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被投资企业的主营业 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被投资企业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被投资企业 的总资产（万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的净资产</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被投资企业的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净利润（万元）</w:t>
            </w:r>
          </w:p>
        </w:tc>
      </w:tr>
      <w:tr>
        <w:trPr>
          <w:trHeight w:val="9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GENESISBUSINE</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SSHOLDINGSPT</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E.LTD</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关联法人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EZYNETPTEL</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TD</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租赁支付终端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万新币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87,363.19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5,400.22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-792.55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color w:val="000000"/>
          <w:spacing w:val="0"/>
          <w:w w:val="100"/>
          <w:position w:val="0"/>
        </w:rPr>
        <w:t>、关联方应收应付款项</w:t>
      </w:r>
      <w:bookmarkEnd w:id="1748"/>
      <w:bookmarkEnd w:id="1749"/>
      <w:bookmarkEnd w:id="1751"/>
    </w:p>
    <w:p>
      <w:pPr>
        <w:pStyle w:val="Style32"/>
        <w:keepNext/>
        <w:keepLines/>
        <w:widowControl w:val="0"/>
        <w:shd w:val="clear" w:color="auto" w:fill="auto"/>
        <w:bidi w:val="0"/>
        <w:spacing w:before="0" w:after="380" w:line="240" w:lineRule="auto"/>
        <w:ind w:left="0" w:right="0" w:firstLine="0"/>
        <w:jc w:val="both"/>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52"/>
      <w:bookmarkEnd w:id="1753"/>
      <w:bookmarkEnd w:id="17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深圳键桥轨道交通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5"/>
      <w:bookmarkEnd w:id="1756"/>
      <w:bookmarkEnd w:id="175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91,628,806.36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235,138,339.00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326,767,145.36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7</w:t>
      </w:r>
      <w:bookmarkEnd w:id="1760"/>
      <w:r>
        <w:rPr>
          <w:color w:val="000000"/>
          <w:spacing w:val="0"/>
          <w:w w:val="100"/>
          <w:position w:val="0"/>
        </w:rPr>
        <w:t>、</w:t>
        <w:tab/>
        <w:t>关联方承诺</w:t>
      </w:r>
      <w:bookmarkEnd w:id="1758"/>
      <w:bookmarkEnd w:id="1759"/>
      <w:bookmarkEnd w:id="1761"/>
    </w:p>
    <w:p>
      <w:pPr>
        <w:pStyle w:val="Style20"/>
        <w:keepNext w:val="0"/>
        <w:keepLines w:val="0"/>
        <w:widowControl w:val="0"/>
        <w:shd w:val="clear" w:color="auto" w:fill="auto"/>
        <w:bidi w:val="0"/>
        <w:spacing w:before="0" w:after="360" w:line="240" w:lineRule="auto"/>
        <w:ind w:left="0" w:right="0" w:firstLine="0"/>
        <w:jc w:val="left"/>
        <w:rPr>
          <w:sz w:val="24"/>
          <w:szCs w:val="24"/>
        </w:rPr>
      </w:pPr>
      <w:r>
        <w:rPr>
          <w:color w:val="000000"/>
          <w:spacing w:val="0"/>
          <w:w w:val="100"/>
          <w:position w:val="0"/>
          <w:sz w:val="24"/>
          <w:szCs w:val="24"/>
        </w:rPr>
        <w:t>无。</w:t>
      </w:r>
    </w:p>
    <w:p>
      <w:pPr>
        <w:pStyle w:val="Style29"/>
        <w:keepNext/>
        <w:keepLines/>
        <w:widowControl w:val="0"/>
        <w:shd w:val="clear" w:color="auto" w:fill="auto"/>
        <w:tabs>
          <w:tab w:pos="378" w:val="left"/>
        </w:tabs>
        <w:bidi w:val="0"/>
        <w:spacing w:before="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8</w:t>
      </w:r>
      <w:bookmarkEnd w:id="1764"/>
      <w:r>
        <w:rPr>
          <w:color w:val="000000"/>
          <w:spacing w:val="0"/>
          <w:w w:val="100"/>
          <w:position w:val="0"/>
        </w:rPr>
        <w:t>、</w:t>
        <w:tab/>
        <w:t>其他</w:t>
      </w:r>
      <w:bookmarkEnd w:id="1762"/>
      <w:bookmarkEnd w:id="1763"/>
      <w:bookmarkEnd w:id="1765"/>
    </w:p>
    <w:p>
      <w:pPr>
        <w:pStyle w:val="Style23"/>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r>
        <w:rPr>
          <w:color w:val="000000"/>
          <w:spacing w:val="0"/>
          <w:w w:val="100"/>
          <w:position w:val="0"/>
        </w:rPr>
        <w:t>十三、股份支付</w:t>
      </w:r>
      <w:bookmarkEnd w:id="1766"/>
      <w:bookmarkEnd w:id="1767"/>
      <w:bookmarkEnd w:id="1768"/>
    </w:p>
    <w:p>
      <w:pPr>
        <w:pStyle w:val="Style29"/>
        <w:keepNext/>
        <w:keepLines/>
        <w:widowControl w:val="0"/>
        <w:shd w:val="clear" w:color="auto" w:fill="auto"/>
        <w:tabs>
          <w:tab w:pos="368" w:val="left"/>
        </w:tabs>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1</w:t>
      </w:r>
      <w:bookmarkEnd w:id="1771"/>
      <w:r>
        <w:rPr>
          <w:color w:val="000000"/>
          <w:spacing w:val="0"/>
          <w:w w:val="100"/>
          <w:position w:val="0"/>
        </w:rPr>
        <w:t>、</w:t>
        <w:tab/>
        <w:t>股份支付总体情况</w:t>
      </w:r>
      <w:bookmarkEnd w:id="1769"/>
      <w:bookmarkEnd w:id="1770"/>
      <w:bookmarkEnd w:id="1772"/>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2</w:t>
      </w:r>
      <w:bookmarkEnd w:id="1775"/>
      <w:r>
        <w:rPr>
          <w:color w:val="000000"/>
          <w:spacing w:val="0"/>
          <w:w w:val="100"/>
          <w:position w:val="0"/>
        </w:rPr>
        <w:t>、</w:t>
        <w:tab/>
        <w:t>以权益结算的股份支付情况</w:t>
      </w:r>
      <w:bookmarkEnd w:id="1773"/>
      <w:bookmarkEnd w:id="1774"/>
      <w:bookmarkEnd w:id="1776"/>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3</w:t>
      </w:r>
      <w:bookmarkEnd w:id="1779"/>
      <w:r>
        <w:rPr>
          <w:color w:val="000000"/>
          <w:spacing w:val="0"/>
          <w:w w:val="100"/>
          <w:position w:val="0"/>
        </w:rPr>
        <w:t>、</w:t>
        <w:tab/>
        <w:t>以现金结算的股份支付情况</w:t>
      </w:r>
      <w:bookmarkEnd w:id="1777"/>
      <w:bookmarkEnd w:id="1778"/>
      <w:bookmarkEnd w:id="178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4</w:t>
      </w:r>
      <w:bookmarkEnd w:id="1783"/>
      <w:r>
        <w:rPr>
          <w:color w:val="000000"/>
          <w:spacing w:val="0"/>
          <w:w w:val="100"/>
          <w:position w:val="0"/>
        </w:rPr>
        <w:t>、</w:t>
        <w:tab/>
        <w:t>股份支付的修改、终止情况</w:t>
      </w:r>
      <w:bookmarkEnd w:id="1781"/>
      <w:bookmarkEnd w:id="1782"/>
      <w:bookmarkEnd w:id="178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color w:val="000000"/>
          <w:spacing w:val="0"/>
          <w:w w:val="100"/>
          <w:position w:val="0"/>
        </w:rPr>
        <w:t>、</w:t>
        <w:tab/>
        <w:t>其他</w:t>
      </w:r>
      <w:bookmarkEnd w:id="1785"/>
      <w:bookmarkEnd w:id="1786"/>
      <w:bookmarkEnd w:id="178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r>
        <w:rPr>
          <w:color w:val="000000"/>
          <w:spacing w:val="0"/>
          <w:w w:val="100"/>
          <w:position w:val="0"/>
        </w:rPr>
        <w:t>十四、承诺及或有事项</w:t>
      </w:r>
      <w:bookmarkEnd w:id="1789"/>
      <w:bookmarkEnd w:id="1790"/>
      <w:bookmarkEnd w:id="1791"/>
    </w:p>
    <w:p>
      <w:pPr>
        <w:pStyle w:val="Style29"/>
        <w:keepNext/>
        <w:keepLines/>
        <w:widowControl w:val="0"/>
        <w:shd w:val="clear" w:color="auto" w:fill="auto"/>
        <w:tabs>
          <w:tab w:pos="314" w:val="left"/>
        </w:tabs>
        <w:bidi w:val="0"/>
        <w:spacing w:before="0" w:after="2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bookmarkEnd w:id="1794"/>
      <w:r>
        <w:rPr>
          <w:color w:val="000000"/>
          <w:spacing w:val="0"/>
          <w:w w:val="100"/>
          <w:position w:val="0"/>
        </w:rPr>
        <w:t>、</w:t>
        <w:tab/>
        <w:t>重要承诺事项</w:t>
      </w:r>
      <w:bookmarkEnd w:id="1792"/>
      <w:bookmarkEnd w:id="1793"/>
      <w:bookmarkEnd w:id="1795"/>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38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29"/>
        <w:keepNext/>
        <w:keepLines/>
        <w:widowControl w:val="0"/>
        <w:shd w:val="clear" w:color="auto" w:fill="auto"/>
        <w:tabs>
          <w:tab w:pos="318" w:val="left"/>
        </w:tabs>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bookmarkEnd w:id="1798"/>
      <w:r>
        <w:rPr>
          <w:color w:val="000000"/>
          <w:spacing w:val="0"/>
          <w:w w:val="100"/>
          <w:position w:val="0"/>
        </w:rPr>
        <w:t>、</w:t>
        <w:tab/>
        <w:t>或有事项</w:t>
      </w:r>
      <w:bookmarkEnd w:id="1796"/>
      <w:bookmarkEnd w:id="1797"/>
      <w:bookmarkEnd w:id="1799"/>
    </w:p>
    <w:p>
      <w:pPr>
        <w:pStyle w:val="Style32"/>
        <w:keepNext/>
        <w:keepLines/>
        <w:widowControl w:val="0"/>
        <w:shd w:val="clear" w:color="auto" w:fill="auto"/>
        <w:bidi w:val="0"/>
        <w:spacing w:before="0" w:after="280" w:line="240" w:lineRule="auto"/>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00"/>
      <w:bookmarkEnd w:id="1801"/>
      <w:bookmarkEnd w:id="1802"/>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）未决诉讼仲裁形成的或有负债及其财务影响</w:t>
      </w:r>
    </w:p>
    <w:p>
      <w:pPr>
        <w:pStyle w:val="Style18"/>
        <w:keepNext w:val="0"/>
        <w:keepLines w:val="0"/>
        <w:widowControl w:val="0"/>
        <w:numPr>
          <w:ilvl w:val="0"/>
          <w:numId w:val="57"/>
        </w:numPr>
        <w:shd w:val="clear" w:color="auto" w:fill="auto"/>
        <w:tabs>
          <w:tab w:pos="693" w:val="left"/>
        </w:tabs>
        <w:bidi w:val="0"/>
        <w:spacing w:before="0" w:after="0" w:line="313" w:lineRule="exact"/>
        <w:ind w:left="0" w:right="0"/>
        <w:jc w:val="both"/>
      </w:pPr>
      <w:bookmarkStart w:id="1803" w:name="bookmark1803"/>
      <w:bookmarkEnd w:id="1803"/>
      <w:r>
        <w:rPr>
          <w:color w:val="000000"/>
          <w:spacing w:val="0"/>
          <w:w w:val="100"/>
          <w:position w:val="0"/>
        </w:rPr>
        <w:t>共青城正融投资管理合伙企业（有限合伙）（以下简称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共青城正融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）与郝某某股权回购纠纷案</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年，共青城正融与被申请人郝某某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无锡天脉聚源传媒科技有限公司（发下简称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无锡天脉聚源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）的股东、实际控 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、无锡天脉聚源、无锡天脉聚源的股东天脉聚源（北京）传媒科技有限公司、马勇签订增资协议。增资协议约定，共 青城正融向无锡天脉聚源增资人民币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本次增资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），取得无锡天脉聚源</w:t>
      </w:r>
      <w:r>
        <w:rPr>
          <w:rFonts w:ascii="Times New Roman" w:eastAsia="Times New Roman" w:hAnsi="Times New Roman" w:cs="Times New Roman"/>
          <w:color w:val="000000"/>
          <w:spacing w:val="0"/>
          <w:w w:val="100"/>
          <w:position w:val="0"/>
          <w:sz w:val="18"/>
          <w:szCs w:val="18"/>
        </w:rPr>
        <w:t>4.1667%</w:t>
      </w:r>
      <w:r>
        <w:rPr>
          <w:color w:val="000000"/>
          <w:spacing w:val="0"/>
          <w:w w:val="100"/>
          <w:position w:val="0"/>
        </w:rPr>
        <w:t>的股权。本次增资完成 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年内，天脉聚源的现有股东尽最大努力促成无锡天脉聚源在境内发行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股并上市；如果在本次增资完成之日起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年内， 无锡天脉聚源仍不能实现在国内上市，或之前已有明确证据证明无锡天脉聚源已不可能在本次增资完成之日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年内实现国内 上市，则共青城正融有权要求实际控制人、管理团队股东（指伍某或者伍某的母亲郝某某）回购共青城正融所持有的全部或 部分股权；回购价格按照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该部分股票的原始认购价成本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的年复合回报率（期限精确到月）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累计分得红利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及公司（无 锡天脉聚源）净资产价值两者中的较高者为依据计算。上述增资协议签订后，共青城正融于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日向无锡天脉聚源 支付了人民币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万元的投资款，履行了增资协议约定的投资义务。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日，无锡天脉聚源完成本次增资的工商变 更登记，共青城正融被登记为无锡天脉聚源的股东。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日，无锡天脉聚源向共青城正融签发《出资证明书》。在共 青城正融履行投资义务后的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年时间内，无锡天脉聚源没有进行利润分配。在共青城正融投资无锡天脉聚源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年时间内，无锡 天脉聚源未开启从有限责任公司变更为股份有限公司的工作，更没有进行上市前的辅导、申报上市程序等方面的工作，未能 在本次增资完成后的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年内实现发行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股并上市。增资协议的股东也没有促成无锡天脉聚源在境内发行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股并上市。在被申请 人回购共青城正融股权的条件触发后，共青城正融多次以书面协商的方式要求被申请人回购股权，被申请人对共青城正融提 出的回购股权要求置之不理，没有履行增资协议约定的回购共青城正融股权的承诺和义务，存在违约行为，造成共青城正融 的资金利用损失。遂形成此纠纷。</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共青城正融于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月向中国国际经济贸易仲裁委员会提起仲裁申请，该仲裁案件【（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）中国贸仲京字第</w:t>
      </w:r>
      <w:r>
        <w:rPr>
          <w:rFonts w:ascii="Times New Roman" w:eastAsia="Times New Roman" w:hAnsi="Times New Roman" w:cs="Times New Roman"/>
          <w:color w:val="000000"/>
          <w:spacing w:val="0"/>
          <w:w w:val="100"/>
          <w:position w:val="0"/>
          <w:sz w:val="18"/>
          <w:szCs w:val="18"/>
        </w:rPr>
        <w:t xml:space="preserve">056544 </w:t>
      </w:r>
      <w:r>
        <w:rPr>
          <w:color w:val="000000"/>
          <w:spacing w:val="0"/>
          <w:w w:val="100"/>
          <w:position w:val="0"/>
        </w:rPr>
        <w:t>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日开庭审理，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日终局裁决作出即日生效，裁决内容为：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被申请人向申请人支付股权原始 认购价成本人民币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万元，以及以人民币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万元为基数，自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年复合回 报率的标准计算的回报收益款人民币</w:t>
      </w:r>
      <w:r>
        <w:rPr>
          <w:rFonts w:ascii="Times New Roman" w:eastAsia="Times New Roman" w:hAnsi="Times New Roman" w:cs="Times New Roman"/>
          <w:color w:val="000000"/>
          <w:spacing w:val="0"/>
          <w:w w:val="100"/>
          <w:position w:val="0"/>
          <w:sz w:val="18"/>
          <w:szCs w:val="18"/>
        </w:rPr>
        <w:t>2,320.50</w:t>
      </w:r>
      <w:r>
        <w:rPr>
          <w:color w:val="000000"/>
          <w:spacing w:val="0"/>
          <w:w w:val="100"/>
          <w:position w:val="0"/>
        </w:rPr>
        <w:t>万元，以上本金和回报收益款总计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,320.50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被申请人向申请人支付以人 民币</w:t>
      </w:r>
      <w:r>
        <w:rPr>
          <w:rFonts w:ascii="Times New Roman" w:eastAsia="Times New Roman" w:hAnsi="Times New Roman" w:cs="Times New Roman"/>
          <w:color w:val="000000"/>
          <w:spacing w:val="0"/>
          <w:w w:val="100"/>
          <w:position w:val="0"/>
          <w:sz w:val="18"/>
          <w:szCs w:val="18"/>
        </w:rPr>
        <w:t>7,320.50</w:t>
      </w:r>
      <w:r>
        <w:rPr>
          <w:color w:val="000000"/>
          <w:spacing w:val="0"/>
          <w:w w:val="100"/>
          <w:position w:val="0"/>
        </w:rPr>
        <w:t>万元为基数，自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日起至实际支付之日止，按照中国人民银行授权的全国银行间同业拆借中心于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日公布的贷款市场报价利率</w:t>
      </w:r>
      <w:r>
        <w:rPr>
          <w:rFonts w:ascii="Times New Roman" w:eastAsia="Times New Roman" w:hAnsi="Times New Roman" w:cs="Times New Roman"/>
          <w:color w:val="000000"/>
          <w:spacing w:val="0"/>
          <w:w w:val="100"/>
          <w:position w:val="0"/>
          <w:sz w:val="18"/>
          <w:szCs w:val="18"/>
        </w:rPr>
        <w:t>4.15%</w:t>
      </w:r>
      <w:r>
        <w:rPr>
          <w:color w:val="000000"/>
          <w:spacing w:val="0"/>
          <w:w w:val="100"/>
          <w:position w:val="0"/>
        </w:rPr>
        <w:t>标准计算的资金利息损失；</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被申请人赔偿申请人支出的律师费人民币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本案仲裁费为人民币</w:t>
      </w:r>
      <w:r>
        <w:rPr>
          <w:rFonts w:ascii="Times New Roman" w:eastAsia="Times New Roman" w:hAnsi="Times New Roman" w:cs="Times New Roman"/>
          <w:color w:val="000000"/>
          <w:spacing w:val="0"/>
          <w:w w:val="100"/>
          <w:position w:val="0"/>
          <w:sz w:val="18"/>
          <w:szCs w:val="18"/>
        </w:rPr>
        <w:t>581,414</w:t>
      </w:r>
      <w:r>
        <w:rPr>
          <w:color w:val="000000"/>
          <w:spacing w:val="0"/>
          <w:w w:val="100"/>
          <w:position w:val="0"/>
        </w:rPr>
        <w:t>元，全部由被申请人承担。该笔款项已由申请人全额预缴并相冲抵，被申请人应当向申请人支 付人民币</w:t>
      </w:r>
      <w:r>
        <w:rPr>
          <w:rFonts w:ascii="Times New Roman" w:eastAsia="Times New Roman" w:hAnsi="Times New Roman" w:cs="Times New Roman"/>
          <w:color w:val="000000"/>
          <w:spacing w:val="0"/>
          <w:w w:val="100"/>
          <w:position w:val="0"/>
          <w:sz w:val="18"/>
          <w:szCs w:val="18"/>
        </w:rPr>
        <w:t>581,414</w:t>
      </w:r>
      <w:r>
        <w:rPr>
          <w:color w:val="000000"/>
          <w:spacing w:val="0"/>
          <w:w w:val="100"/>
          <w:position w:val="0"/>
        </w:rPr>
        <w:t>元以补偿申请人代其垫付的仲裁费。</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由于郝日芳未在裁决确定的履行期限内主动履行上述裁决确认的义务，共青城正融于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月向北京市第二中级人民 法院提交强制执行申请。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日强制执行申请受理【案号：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787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月执行回款人民币</w:t>
      </w:r>
      <w:r>
        <w:rPr>
          <w:rFonts w:ascii="Times New Roman" w:eastAsia="Times New Roman" w:hAnsi="Times New Roman" w:cs="Times New Roman"/>
          <w:color w:val="000000"/>
          <w:spacing w:val="0"/>
          <w:w w:val="100"/>
          <w:position w:val="0"/>
          <w:sz w:val="18"/>
          <w:szCs w:val="18"/>
        </w:rPr>
        <w:t xml:space="preserve">980,928.24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月执行回款人民币</w:t>
      </w:r>
      <w:r>
        <w:rPr>
          <w:rFonts w:ascii="Times New Roman" w:eastAsia="Times New Roman" w:hAnsi="Times New Roman" w:cs="Times New Roman"/>
          <w:color w:val="000000"/>
          <w:spacing w:val="0"/>
          <w:w w:val="100"/>
          <w:position w:val="0"/>
          <w:sz w:val="18"/>
          <w:szCs w:val="18"/>
        </w:rPr>
        <w:t>157,700.00</w:t>
      </w:r>
      <w:r>
        <w:rPr>
          <w:color w:val="000000"/>
          <w:spacing w:val="0"/>
          <w:w w:val="100"/>
          <w:position w:val="0"/>
        </w:rPr>
        <w:t>元，暂计执行回款人民币</w:t>
      </w:r>
      <w:r>
        <w:rPr>
          <w:rFonts w:ascii="Times New Roman" w:eastAsia="Times New Roman" w:hAnsi="Times New Roman" w:cs="Times New Roman"/>
          <w:color w:val="000000"/>
          <w:spacing w:val="0"/>
          <w:w w:val="100"/>
          <w:position w:val="0"/>
          <w:sz w:val="18"/>
          <w:szCs w:val="18"/>
        </w:rPr>
        <w:t>1,138,628.24</w:t>
      </w:r>
      <w:r>
        <w:rPr>
          <w:color w:val="000000"/>
          <w:spacing w:val="0"/>
          <w:w w:val="100"/>
          <w:position w:val="0"/>
        </w:rPr>
        <w:t>元。本报告期内，尚在执行中。</w:t>
      </w:r>
    </w:p>
    <w:p>
      <w:pPr>
        <w:pStyle w:val="Style18"/>
        <w:keepNext w:val="0"/>
        <w:keepLines w:val="0"/>
        <w:widowControl w:val="0"/>
        <w:numPr>
          <w:ilvl w:val="0"/>
          <w:numId w:val="57"/>
        </w:numPr>
        <w:shd w:val="clear" w:color="auto" w:fill="auto"/>
        <w:tabs>
          <w:tab w:pos="693" w:val="left"/>
        </w:tabs>
        <w:bidi w:val="0"/>
        <w:spacing w:before="0" w:after="0" w:line="313" w:lineRule="exact"/>
        <w:ind w:left="0" w:right="0"/>
        <w:jc w:val="both"/>
      </w:pPr>
      <w:bookmarkStart w:id="1804" w:name="bookmark1804"/>
      <w:bookmarkEnd w:id="1804"/>
      <w:r>
        <w:rPr>
          <w:color w:val="000000"/>
          <w:spacing w:val="0"/>
          <w:w w:val="100"/>
          <w:position w:val="0"/>
        </w:rPr>
        <w:t>郑某某与亚联发展民间借贷纠纷案</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日公司收到深圳仲裁委员会送达的深仲涉外受字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10 7</w:t>
      </w:r>
      <w:r>
        <w:rPr>
          <w:color w:val="000000"/>
          <w:spacing w:val="0"/>
          <w:w w:val="100"/>
          <w:position w:val="0"/>
        </w:rPr>
        <w:t>号仲裁通知书，申请人郑某某于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向深圳仲裁委员会提出仲裁申请，同时提出财产保全申请。深圳仲裁委员会受理案件后，向深圳市南山区人民法院移送了申 请人提出的财产保全申请。深圳市南山区人民法院依法查封、冻结了公司在招商银行科技园支行开立的银行账户内存款人民 </w:t>
      </w:r>
      <w:r>
        <w:rPr>
          <w:color w:val="000000"/>
          <w:spacing w:val="0"/>
          <w:w w:val="100"/>
          <w:position w:val="0"/>
        </w:rPr>
        <w:t>币</w:t>
      </w:r>
      <w:r>
        <w:rPr>
          <w:rFonts w:ascii="Times New Roman" w:eastAsia="Times New Roman" w:hAnsi="Times New Roman" w:cs="Times New Roman"/>
          <w:color w:val="000000"/>
          <w:spacing w:val="0"/>
          <w:w w:val="100"/>
          <w:position w:val="0"/>
          <w:sz w:val="18"/>
          <w:szCs w:val="18"/>
        </w:rPr>
        <w:t>38,642,608.20</w:t>
      </w:r>
      <w:r>
        <w:rPr>
          <w:color w:val="000000"/>
          <w:spacing w:val="0"/>
          <w:w w:val="100"/>
          <w:position w:val="0"/>
        </w:rPr>
        <w:t>元【案号：（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）深南法仲保字第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号】，冻结至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日。经公司了解，该案系公司前资金部经 理徐某某个人冒用公司名义向申请人郑某某借款所致，借款金额为人民币</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万元，加上利息等共人民币</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多万元。公 司已向公安机关报案，公安部门已传讯徐某某，并已录口供，徐某某承认冒用公司名义借款自用的事实。</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案发后，公司已联系了徐某某，徐某某为减轻法律责任，已委托第三方公司向公司支付了人民币</w:t>
      </w:r>
      <w:r>
        <w:rPr>
          <w:rFonts w:ascii="Times New Roman" w:eastAsia="Times New Roman" w:hAnsi="Times New Roman" w:cs="Times New Roman"/>
          <w:color w:val="000000"/>
          <w:spacing w:val="0"/>
          <w:w w:val="100"/>
          <w:position w:val="0"/>
          <w:sz w:val="18"/>
          <w:szCs w:val="18"/>
        </w:rPr>
        <w:t>3,865</w:t>
      </w:r>
      <w:r>
        <w:rPr>
          <w:color w:val="000000"/>
          <w:spacing w:val="0"/>
          <w:w w:val="100"/>
          <w:position w:val="0"/>
        </w:rPr>
        <w:t>万元作为现金质 押。如公司因该案受到损失，则可直接从质押款中扣除同等金额的款项作为补偿。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日，公司收到深圳仲裁委员 会送达的《中止审理通知书》。该《通知书》称，由于（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）深中法涉外初字第</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号案件中，原告徐某某的诉求、事实 与理由及证据材料与深仲涉外受字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10 7</w:t>
      </w:r>
      <w:r>
        <w:rPr>
          <w:color w:val="000000"/>
          <w:spacing w:val="0"/>
          <w:w w:val="100"/>
          <w:position w:val="0"/>
        </w:rPr>
        <w:t>号仲裁案件存在交叉，中院案件的审理结果对仲裁案件的事实查明及认定有 重大影响，因此中止审理仲裁案件，待法院作出最终生效的判决后，再恢复审理。公司于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日收到深圳市中级人 民法院送达的一审判决。一审后，被告郑某不服判决提起上诉。经二审法院开庭审理，公司于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日收到广东省高 级人民法院作出的判决：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撤销广东省深圳市中级人民法院（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）深中法涉外初字第</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号民事判决；</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确认徐某某与郑某 某之间的</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万元借款合同法律关系合法有效；三、驳回徐某某的其他诉讼请求。</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仲裁案件于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日恢复审理，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日进行第二次开庭审理，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日作出终局裁决即日生效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）深仲裁字第</w:t>
      </w:r>
      <w:r>
        <w:rPr>
          <w:rFonts w:ascii="Times New Roman" w:eastAsia="Times New Roman" w:hAnsi="Times New Roman" w:cs="Times New Roman"/>
          <w:color w:val="000000"/>
          <w:spacing w:val="0"/>
          <w:w w:val="100"/>
          <w:position w:val="0"/>
          <w:sz w:val="18"/>
          <w:szCs w:val="18"/>
        </w:rPr>
        <w:t>2995</w:t>
      </w:r>
      <w:r>
        <w:rPr>
          <w:color w:val="000000"/>
          <w:spacing w:val="0"/>
          <w:w w:val="100"/>
          <w:position w:val="0"/>
        </w:rPr>
        <w:t>号】。裁决内容为：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驳回申请人的全部诉讼请求。</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本案仲裁费人民币</w:t>
      </w:r>
      <w:r>
        <w:rPr>
          <w:rFonts w:ascii="Times New Roman" w:eastAsia="Times New Roman" w:hAnsi="Times New Roman" w:cs="Times New Roman"/>
          <w:color w:val="000000"/>
          <w:spacing w:val="0"/>
          <w:w w:val="100"/>
          <w:position w:val="0"/>
          <w:sz w:val="18"/>
          <w:szCs w:val="18"/>
        </w:rPr>
        <w:t>303,177</w:t>
      </w:r>
      <w:r>
        <w:rPr>
          <w:color w:val="000000"/>
          <w:spacing w:val="0"/>
          <w:w w:val="100"/>
          <w:position w:val="0"/>
        </w:rPr>
        <w:t>元，全部由申请 人自行承担。深圳市南山区人民法院在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月份解除对公司在招商银行科技园支行开立的银行账户内存款人民币 </w:t>
      </w:r>
      <w:r>
        <w:rPr>
          <w:rFonts w:ascii="Times New Roman" w:eastAsia="Times New Roman" w:hAnsi="Times New Roman" w:cs="Times New Roman"/>
          <w:color w:val="000000"/>
          <w:spacing w:val="0"/>
          <w:w w:val="100"/>
          <w:position w:val="0"/>
          <w:sz w:val="18"/>
          <w:szCs w:val="18"/>
        </w:rPr>
        <w:t>38,642,608.20</w:t>
      </w:r>
      <w:r>
        <w:rPr>
          <w:color w:val="000000"/>
          <w:spacing w:val="0"/>
          <w:w w:val="100"/>
          <w:position w:val="0"/>
        </w:rPr>
        <w:t>元的财产保全措施。</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日公司收到深圳中级人民法院送达的（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号应诉通知书，因郑某某不服深圳仲裁委员会做出 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）深仲裁字第</w:t>
      </w:r>
      <w:r>
        <w:rPr>
          <w:rFonts w:ascii="Times New Roman" w:eastAsia="Times New Roman" w:hAnsi="Times New Roman" w:cs="Times New Roman"/>
          <w:color w:val="000000"/>
          <w:spacing w:val="0"/>
          <w:w w:val="100"/>
          <w:position w:val="0"/>
          <w:sz w:val="18"/>
          <w:szCs w:val="18"/>
        </w:rPr>
        <w:t>2995</w:t>
      </w:r>
      <w:r>
        <w:rPr>
          <w:color w:val="000000"/>
          <w:spacing w:val="0"/>
          <w:w w:val="100"/>
          <w:position w:val="0"/>
        </w:rPr>
        <w:t>号】裁决书内容，其于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日向深圳市中级人民法院提起撤销仲裁裁决申请且受理立案， 该案于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日开庭审理。公司于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号民事裁定书，裁定驳回申请人郑某某申请。 本报告期内已审结。</w:t>
      </w:r>
    </w:p>
    <w:p>
      <w:pPr>
        <w:pStyle w:val="Style18"/>
        <w:keepNext w:val="0"/>
        <w:keepLines w:val="0"/>
        <w:widowControl w:val="0"/>
        <w:numPr>
          <w:ilvl w:val="0"/>
          <w:numId w:val="57"/>
        </w:numPr>
        <w:shd w:val="clear" w:color="auto" w:fill="auto"/>
        <w:tabs>
          <w:tab w:pos="693" w:val="left"/>
        </w:tabs>
        <w:bidi w:val="0"/>
        <w:spacing w:before="0" w:after="0" w:line="313" w:lineRule="exact"/>
        <w:ind w:left="0" w:right="0"/>
        <w:jc w:val="both"/>
      </w:pPr>
      <w:bookmarkStart w:id="1805" w:name="bookmark1805"/>
      <w:bookmarkEnd w:id="1805"/>
      <w:r>
        <w:rPr>
          <w:color w:val="000000"/>
          <w:spacing w:val="0"/>
          <w:w w:val="100"/>
          <w:position w:val="0"/>
        </w:rPr>
        <w:t>键桥华能与深圳市立中投资咨询有限公司、深圳广大信息技术有限公司案外人执行异议之诉案</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日，键桥华能基本账户收到贷款受托支付资金人民币</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万元，拟将该笔款项转汇至其一般存款账户。在 转汇过程中，键桥华能财务人员因未经仔细核对，误认为是公司自己的账户并完成制单。后续审核人员因疏忽亦未发现错误， 直接进行了转款操作。转账后，键桥华能发现公司自己广发银行的账户迟迟未进账，经查询才发现款项人民币</w:t>
      </w:r>
      <w:r>
        <w:rPr>
          <w:rFonts w:ascii="Times New Roman" w:eastAsia="Times New Roman" w:hAnsi="Times New Roman" w:cs="Times New Roman"/>
          <w:color w:val="000000"/>
          <w:spacing w:val="0"/>
          <w:w w:val="100"/>
          <w:position w:val="0"/>
          <w:sz w:val="18"/>
          <w:szCs w:val="18"/>
        </w:rPr>
        <w:t>1,19 0</w:t>
      </w:r>
      <w:r>
        <w:rPr>
          <w:color w:val="000000"/>
          <w:spacing w:val="0"/>
          <w:w w:val="100"/>
          <w:position w:val="0"/>
        </w:rPr>
        <w:t>万元被 划入深圳广大信息技术有限公司（以下简称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广大公司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）的账户。</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键桥华能立即与银行、广大公司联系，同时在公安机关报案，希望款项能原路退回，未果。遂于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日向深圳 市南山区人民法院提起不当得利之诉，案号</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27472</w:t>
      </w:r>
      <w:r>
        <w:rPr>
          <w:color w:val="000000"/>
          <w:spacing w:val="0"/>
          <w:w w:val="100"/>
          <w:position w:val="0"/>
        </w:rPr>
        <w:t>号。深圳市立中投资咨询有限公司与广大公司之间的 民间借贷纠纷一案【案号（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32788</w:t>
      </w:r>
      <w:r>
        <w:rPr>
          <w:color w:val="000000"/>
          <w:spacing w:val="0"/>
          <w:w w:val="100"/>
          <w:position w:val="0"/>
        </w:rPr>
        <w:t>号】判决已经生效，福田区法院已经受理执行，案号为（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10521</w:t>
      </w:r>
      <w:r>
        <w:rPr>
          <w:color w:val="000000"/>
          <w:spacing w:val="0"/>
          <w:w w:val="100"/>
          <w:position w:val="0"/>
        </w:rPr>
        <w:t>号。福田法院于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日被将广大公司的该账户内的</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元划转至法院执行账户，故键桥华能的不当 得利返还请求被判决驳回。本报告期内已结案。为了维护自身合法权益，键桥华能再次向福田区法院提起执行异议，案号为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执异</w:t>
      </w:r>
      <w:r>
        <w:rPr>
          <w:rFonts w:ascii="Times New Roman" w:eastAsia="Times New Roman" w:hAnsi="Times New Roman" w:cs="Times New Roman"/>
          <w:color w:val="000000"/>
          <w:spacing w:val="0"/>
          <w:w w:val="100"/>
          <w:position w:val="0"/>
          <w:sz w:val="18"/>
          <w:szCs w:val="18"/>
        </w:rPr>
        <w:t>369</w:t>
      </w:r>
      <w:r>
        <w:rPr>
          <w:color w:val="000000"/>
          <w:spacing w:val="0"/>
          <w:w w:val="100"/>
          <w:position w:val="0"/>
        </w:rPr>
        <w:t>号。法院裁定驳回键桥华能的异议请求。本报告期内已结案。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日福田区法院认为因键桥 华能提起了案外人执行异议之诉案，冻结账户暂时无法处分且无其他可供执行财产，裁定终结本次执行程序。执行冻结的 </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元尚未处置。</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键桥华能与深圳市立中投资咨询有限公司、深圳广大信息技术有限公司案外人执行异议案被福田法院裁定驳回后，键桥 华能提起了执行异议之诉【（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31332</w:t>
      </w:r>
      <w:r>
        <w:rPr>
          <w:color w:val="000000"/>
          <w:spacing w:val="0"/>
          <w:w w:val="100"/>
          <w:position w:val="0"/>
        </w:rPr>
        <w:t>号】。诉讼请求为：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请求判决不得执行深圳市福田区人民法院【（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10521</w:t>
      </w:r>
      <w:r>
        <w:rPr>
          <w:color w:val="000000"/>
          <w:spacing w:val="0"/>
          <w:w w:val="100"/>
          <w:position w:val="0"/>
        </w:rPr>
        <w:t>号】案件之涉案款项人民币</w:t>
      </w:r>
      <w:r>
        <w:rPr>
          <w:rFonts w:ascii="Times New Roman" w:eastAsia="Times New Roman" w:hAnsi="Times New Roman" w:cs="Times New Roman"/>
          <w:color w:val="000000"/>
          <w:spacing w:val="0"/>
          <w:w w:val="100"/>
          <w:position w:val="0"/>
          <w:sz w:val="18"/>
          <w:szCs w:val="18"/>
        </w:rPr>
        <w:t>10,096,251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请求判决确认深圳市福田区人民法院【（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 xml:space="preserve">10521 </w:t>
      </w:r>
      <w:r>
        <w:rPr>
          <w:color w:val="000000"/>
          <w:spacing w:val="0"/>
          <w:w w:val="100"/>
          <w:position w:val="0"/>
        </w:rPr>
        <w:t>号】案件之涉案款项人民币</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元归原告所有，并返还给原告。本案于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日开庭审理。 键桥华能于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号收到深圳市福田区人民法院（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31332</w:t>
      </w:r>
      <w:r>
        <w:rPr>
          <w:color w:val="000000"/>
          <w:spacing w:val="0"/>
          <w:w w:val="100"/>
          <w:position w:val="0"/>
        </w:rPr>
        <w:t>号民事判决书，判决：一、被告广大公司应 于本判决生效之日起十日内向原告键桥华能支付款项</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元；二、驳回原告键桥华能的其他诉讼请求。二审于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月开庭审理，本报告期内，本案尚未审结。</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日，收到广东省深圳市中级人民法院（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25962</w:t>
      </w:r>
      <w:r>
        <w:rPr>
          <w:color w:val="000000"/>
          <w:spacing w:val="0"/>
          <w:w w:val="100"/>
          <w:position w:val="0"/>
        </w:rPr>
        <w:t>号民事判决书，判决如下：一、撤销深圳市福 田区人民法院（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31332</w:t>
      </w:r>
      <w:r>
        <w:rPr>
          <w:color w:val="000000"/>
          <w:spacing w:val="0"/>
          <w:w w:val="100"/>
          <w:position w:val="0"/>
        </w:rPr>
        <w:t>号民事判决；二、键桥华能对涉案的</w:t>
      </w:r>
      <w:r>
        <w:rPr>
          <w:rFonts w:ascii="Times New Roman" w:eastAsia="Times New Roman" w:hAnsi="Times New Roman" w:cs="Times New Roman"/>
          <w:color w:val="000000"/>
          <w:spacing w:val="0"/>
          <w:w w:val="100"/>
          <w:position w:val="0"/>
          <w:sz w:val="18"/>
          <w:szCs w:val="18"/>
        </w:rPr>
        <w:t>10,096,251</w:t>
      </w:r>
      <w:r>
        <w:rPr>
          <w:color w:val="000000"/>
          <w:spacing w:val="0"/>
          <w:w w:val="100"/>
          <w:position w:val="0"/>
        </w:rPr>
        <w:t>元款项享有所有权，一案法院不得对 该款项强制执行。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日键桥华能已收到上述执行款</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w:t>
      </w:r>
    </w:p>
    <w:p>
      <w:pPr>
        <w:pStyle w:val="Style18"/>
        <w:keepNext w:val="0"/>
        <w:keepLines w:val="0"/>
        <w:widowControl w:val="0"/>
        <w:numPr>
          <w:ilvl w:val="0"/>
          <w:numId w:val="57"/>
        </w:numPr>
        <w:shd w:val="clear" w:color="auto" w:fill="auto"/>
        <w:tabs>
          <w:tab w:pos="693" w:val="left"/>
        </w:tabs>
        <w:bidi w:val="0"/>
        <w:spacing w:before="0" w:after="0" w:line="313" w:lineRule="exact"/>
        <w:ind w:left="0" w:right="0"/>
        <w:jc w:val="both"/>
      </w:pPr>
      <w:bookmarkStart w:id="1806" w:name="bookmark1806"/>
      <w:bookmarkEnd w:id="1806"/>
      <w:r>
        <w:rPr>
          <w:color w:val="000000"/>
          <w:spacing w:val="0"/>
          <w:w w:val="100"/>
          <w:position w:val="0"/>
        </w:rPr>
        <w:t>深圳亚联发展科技股份有限公司与贾某某、</w:t>
      </w:r>
      <w:r>
        <w:rPr>
          <w:rFonts w:ascii="Times New Roman" w:eastAsia="Times New Roman" w:hAnsi="Times New Roman" w:cs="Times New Roman"/>
          <w:color w:val="000000"/>
          <w:spacing w:val="0"/>
          <w:w w:val="100"/>
          <w:position w:val="0"/>
          <w:sz w:val="18"/>
          <w:szCs w:val="18"/>
        </w:rPr>
        <w:t>LIEU,VINHTHUAN</w:t>
      </w:r>
      <w:r>
        <w:rPr>
          <w:color w:val="000000"/>
          <w:spacing w:val="0"/>
          <w:w w:val="100"/>
          <w:position w:val="0"/>
        </w:rPr>
        <w:t>房屋买卖合同纠纷</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日同贾某某、东莞市友邻房地产经纪有限公司共同签署《房屋买卖合约》（编号：</w:t>
      </w:r>
      <w:r>
        <w:rPr>
          <w:rFonts w:ascii="Times New Roman" w:eastAsia="Times New Roman" w:hAnsi="Times New Roman" w:cs="Times New Roman"/>
          <w:color w:val="000000"/>
          <w:spacing w:val="0"/>
          <w:w w:val="100"/>
          <w:position w:val="0"/>
          <w:sz w:val="18"/>
          <w:szCs w:val="18"/>
        </w:rPr>
        <w:t>0000356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0000363</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0000366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0000367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0000368</w:t>
      </w:r>
      <w:r>
        <w:rPr>
          <w:color w:val="000000"/>
          <w:spacing w:val="0"/>
          <w:w w:val="100"/>
          <w:position w:val="0"/>
        </w:rPr>
        <w:t>）（以下合并简称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购房合约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因在协商确认的支付期限内，贾某某方仅支付了人民币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万元购房意向金，迟迟未能履行合同约定的全额付款义务，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月，公司就与贾某某、</w:t>
      </w:r>
      <w:r>
        <w:rPr>
          <w:rFonts w:ascii="Times New Roman" w:eastAsia="Times New Roman" w:hAnsi="Times New Roman" w:cs="Times New Roman"/>
          <w:color w:val="000000"/>
          <w:spacing w:val="0"/>
          <w:w w:val="100"/>
          <w:position w:val="0"/>
          <w:sz w:val="18"/>
          <w:szCs w:val="18"/>
        </w:rPr>
        <w:t>LIEU,VINHTHUAN</w:t>
      </w:r>
      <w:r>
        <w:rPr>
          <w:color w:val="000000"/>
          <w:spacing w:val="0"/>
          <w:w w:val="100"/>
          <w:position w:val="0"/>
        </w:rPr>
        <w:t>房屋买卖合同纠纷一案向东莞市第一人民法院提起诉讼。诉讼请求：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请求判 决确认解除原告与被告所签署的房屋买卖合约；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请求判决被告向原告支付违约赔偿金合计为人民币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请求判决 被告向原告支付资金利息损失，以物业成交价合同价值合计为人民币</w:t>
      </w:r>
      <w:r>
        <w:rPr>
          <w:rFonts w:ascii="Times New Roman" w:eastAsia="Times New Roman" w:hAnsi="Times New Roman" w:cs="Times New Roman"/>
          <w:color w:val="000000"/>
          <w:spacing w:val="0"/>
          <w:w w:val="100"/>
          <w:position w:val="0"/>
          <w:sz w:val="18"/>
          <w:szCs w:val="18"/>
        </w:rPr>
        <w:t>4,890</w:t>
      </w:r>
      <w:r>
        <w:rPr>
          <w:color w:val="000000"/>
          <w:spacing w:val="0"/>
          <w:w w:val="100"/>
          <w:position w:val="0"/>
        </w:rPr>
        <w:t>万元为基准，自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日计算至实际给付之 日，按照中国人民银行授权的全国银行间同业拆借中心于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日公布的贷款市场报价利率</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标准计算；</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本案诉 讼费用（包括但不限于诉讼费、财产保全费、担保费、律师费、差旅费等）由被告承担。</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日，公司与贾某某、</w:t>
      </w:r>
      <w:r>
        <w:rPr>
          <w:rFonts w:ascii="Times New Roman" w:eastAsia="Times New Roman" w:hAnsi="Times New Roman" w:cs="Times New Roman"/>
          <w:color w:val="000000"/>
          <w:spacing w:val="0"/>
          <w:w w:val="100"/>
          <w:position w:val="0"/>
          <w:sz w:val="18"/>
          <w:szCs w:val="18"/>
        </w:rPr>
        <w:t>LIEU,VINHTHUAN</w:t>
      </w:r>
      <w:r>
        <w:rPr>
          <w:color w:val="000000"/>
          <w:spacing w:val="0"/>
          <w:w w:val="100"/>
          <w:position w:val="0"/>
        </w:rPr>
        <w:t>就房屋买卖合同纠纷一案在法院主持下，经特邀调解员调解后，各 方达成《调解协议书》，同日公司签收法院发出的《东莞市第一人民法院受理案件通知书》（【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民特</w:t>
      </w:r>
      <w:r>
        <w:rPr>
          <w:rFonts w:ascii="Times New Roman" w:eastAsia="Times New Roman" w:hAnsi="Times New Roman" w:cs="Times New Roman"/>
          <w:color w:val="000000"/>
          <w:spacing w:val="0"/>
          <w:w w:val="100"/>
          <w:position w:val="0"/>
          <w:sz w:val="18"/>
          <w:szCs w:val="18"/>
        </w:rPr>
        <w:t>1346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-1349 </w:t>
      </w:r>
      <w:r>
        <w:rPr>
          <w:color w:val="000000"/>
          <w:spacing w:val="0"/>
          <w:w w:val="100"/>
          <w:position w:val="0"/>
        </w:rPr>
        <w:t>号及</w:t>
      </w:r>
      <w:r>
        <w:rPr>
          <w:rFonts w:ascii="Times New Roman" w:eastAsia="Times New Roman" w:hAnsi="Times New Roman" w:cs="Times New Roman"/>
          <w:color w:val="000000"/>
          <w:spacing w:val="0"/>
          <w:w w:val="100"/>
          <w:position w:val="0"/>
          <w:sz w:val="18"/>
          <w:szCs w:val="18"/>
        </w:rPr>
        <w:t>1351</w:t>
      </w:r>
      <w:r>
        <w:rPr>
          <w:color w:val="000000"/>
          <w:spacing w:val="0"/>
          <w:w w:val="100"/>
          <w:position w:val="0"/>
        </w:rPr>
        <w:t>号），确认公司与贾某某、</w:t>
      </w:r>
      <w:r>
        <w:rPr>
          <w:rFonts w:ascii="Times New Roman" w:eastAsia="Times New Roman" w:hAnsi="Times New Roman" w:cs="Times New Roman"/>
          <w:color w:val="000000"/>
          <w:spacing w:val="0"/>
          <w:w w:val="100"/>
          <w:position w:val="0"/>
          <w:sz w:val="18"/>
          <w:szCs w:val="18"/>
        </w:rPr>
        <w:t>LIEU,VINHTHUAN</w:t>
      </w:r>
      <w:r>
        <w:rPr>
          <w:color w:val="000000"/>
          <w:spacing w:val="0"/>
          <w:w w:val="100"/>
          <w:position w:val="0"/>
        </w:rPr>
        <w:t xml:space="preserve">申请司法确认调解协议案立案审理。《调解协议书》主要内容如下：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公司和贾某某确认继续履行于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日签订的购房合约；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贾某某于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日前一次性向公司支付房款合计人民 币</w:t>
      </w:r>
      <w:r>
        <w:rPr>
          <w:rFonts w:ascii="Times New Roman" w:eastAsia="Times New Roman" w:hAnsi="Times New Roman" w:cs="Times New Roman"/>
          <w:color w:val="000000"/>
          <w:spacing w:val="0"/>
          <w:w w:val="100"/>
          <w:position w:val="0"/>
          <w:sz w:val="18"/>
          <w:szCs w:val="18"/>
        </w:rPr>
        <w:t>4,870</w:t>
      </w:r>
      <w:r>
        <w:rPr>
          <w:color w:val="000000"/>
          <w:spacing w:val="0"/>
          <w:w w:val="100"/>
          <w:position w:val="0"/>
        </w:rPr>
        <w:t>万元以及利息合计人民币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公司须于收到前述款项后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个工作日内配合贾某某到房产管理部门递交过户所需 材料。过户产生的相关税费由贾某某及公司各自承担一半；</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如贾某某未按时足额支付前述款项，公司有权解除购房合约， 要求贾某某支付利息合计人民币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万元、违约金合计人民币</w:t>
      </w:r>
      <w:r>
        <w:rPr>
          <w:rFonts w:ascii="Times New Roman" w:eastAsia="Times New Roman" w:hAnsi="Times New Roman" w:cs="Times New Roman"/>
          <w:color w:val="000000"/>
          <w:spacing w:val="0"/>
          <w:w w:val="100"/>
          <w:position w:val="0"/>
          <w:sz w:val="18"/>
          <w:szCs w:val="18"/>
        </w:rPr>
        <w:t>978</w:t>
      </w:r>
      <w:r>
        <w:rPr>
          <w:color w:val="000000"/>
          <w:spacing w:val="0"/>
          <w:w w:val="100"/>
          <w:position w:val="0"/>
        </w:rPr>
        <w:t xml:space="preserve">万元，并向人民法院申请强制执行该利息及违约金； </w:t>
      </w:r>
      <w:r>
        <w:rPr>
          <w:rFonts w:ascii="Times New Roman" w:eastAsia="Times New Roman" w:hAnsi="Times New Roman" w:cs="Times New Roman"/>
          <w:color w:val="000000"/>
          <w:spacing w:val="0"/>
          <w:w w:val="100"/>
          <w:position w:val="0"/>
          <w:sz w:val="18"/>
          <w:szCs w:val="18"/>
        </w:rPr>
        <w:t>e.LIEU,VINHTHUAN</w:t>
      </w:r>
      <w:r>
        <w:rPr>
          <w:color w:val="000000"/>
          <w:spacing w:val="0"/>
          <w:w w:val="100"/>
          <w:position w:val="0"/>
        </w:rPr>
        <w:t>自愿对上述第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项下所有款项承担连带清偿责任；</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该调解协议自各方签名或捺印后即时生效。</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因贾某某、</w:t>
      </w:r>
      <w:r>
        <w:rPr>
          <w:rFonts w:ascii="Times New Roman" w:eastAsia="Times New Roman" w:hAnsi="Times New Roman" w:cs="Times New Roman"/>
          <w:color w:val="000000"/>
          <w:spacing w:val="0"/>
          <w:w w:val="100"/>
          <w:position w:val="0"/>
          <w:sz w:val="18"/>
          <w:szCs w:val="18"/>
        </w:rPr>
        <w:t>LIEU,VINHTHUAN</w:t>
      </w:r>
      <w:r>
        <w:rPr>
          <w:color w:val="000000"/>
          <w:spacing w:val="0"/>
          <w:w w:val="100"/>
          <w:position w:val="0"/>
        </w:rPr>
        <w:t>未在调解协议书约定期限内履行付款义务，公司于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月向广东省东莞市第一人民法 院提交强制执行申请材料，于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日受理立案，案号分别为（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17242/17246/17282/17284/17286</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月执行回款人民币</w:t>
      </w:r>
      <w:r>
        <w:rPr>
          <w:rFonts w:ascii="Times New Roman" w:eastAsia="Times New Roman" w:hAnsi="Times New Roman" w:cs="Times New Roman"/>
          <w:color w:val="000000"/>
          <w:spacing w:val="0"/>
          <w:w w:val="100"/>
          <w:position w:val="0"/>
          <w:sz w:val="18"/>
          <w:szCs w:val="18"/>
        </w:rPr>
        <w:t>17,278.24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月查扣车辆并拍卖，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月收到拍卖款人民币</w:t>
      </w:r>
      <w:r>
        <w:rPr>
          <w:rFonts w:ascii="Times New Roman" w:eastAsia="Times New Roman" w:hAnsi="Times New Roman" w:cs="Times New Roman"/>
          <w:color w:val="000000"/>
          <w:spacing w:val="0"/>
          <w:w w:val="100"/>
          <w:position w:val="0"/>
          <w:sz w:val="18"/>
          <w:szCs w:val="18"/>
        </w:rPr>
        <w:t>39,212.20</w:t>
      </w:r>
      <w:r>
        <w:rPr>
          <w:color w:val="000000"/>
          <w:spacing w:val="0"/>
          <w:w w:val="100"/>
          <w:position w:val="0"/>
        </w:rPr>
        <w:t>元。因无其他 可供执行财产，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月裁定终结本次执行程序。本报告期内，已经终结执行程序，待发现新的财产线索可提起恢复执行 申请。</w:t>
      </w:r>
    </w:p>
    <w:p>
      <w:pPr>
        <w:pStyle w:val="Style18"/>
        <w:keepNext w:val="0"/>
        <w:keepLines w:val="0"/>
        <w:widowControl w:val="0"/>
        <w:numPr>
          <w:ilvl w:val="0"/>
          <w:numId w:val="57"/>
        </w:numPr>
        <w:shd w:val="clear" w:color="auto" w:fill="auto"/>
        <w:tabs>
          <w:tab w:pos="693" w:val="left"/>
        </w:tabs>
        <w:bidi w:val="0"/>
        <w:spacing w:before="0" w:after="0" w:line="314" w:lineRule="exact"/>
        <w:ind w:left="0" w:right="0"/>
        <w:jc w:val="both"/>
      </w:pPr>
      <w:bookmarkStart w:id="1807" w:name="bookmark1807"/>
      <w:bookmarkEnd w:id="1807"/>
      <w:r>
        <w:rPr>
          <w:color w:val="000000"/>
          <w:spacing w:val="0"/>
          <w:w w:val="100"/>
          <w:position w:val="0"/>
        </w:rPr>
        <w:t>开店宝支付与陈某劳动纠纷案件</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月陈某向浦东劳动仲裁委员会提出仲裁申请，请求：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与申请人开店宝自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日起恢复劳动关系；</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向 申请人支付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日至恢复劳动关系之日止的工资；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向申请人支付自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月未足额支付的工资差 额；</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向申请人支付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年的年终奖；</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向申请人支付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月的办公室津贴；</w:t>
      </w:r>
      <w:r>
        <w:rPr>
          <w:rFonts w:ascii="Times New Roman" w:eastAsia="Times New Roman" w:hAnsi="Times New Roman" w:cs="Times New Roman"/>
          <w:color w:val="000000"/>
          <w:spacing w:val="0"/>
          <w:w w:val="100"/>
          <w:position w:val="0"/>
          <w:sz w:val="18"/>
          <w:szCs w:val="18"/>
        </w:rPr>
        <w:t xml:space="preserve">f. </w:t>
      </w:r>
      <w:r>
        <w:rPr>
          <w:color w:val="000000"/>
          <w:spacing w:val="0"/>
          <w:w w:val="100"/>
          <w:position w:val="0"/>
        </w:rPr>
        <w:t>向申请人支付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月的差旅补贴；</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为申请人报销自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月的车辆保养维修、保险费及油 费、旅行费；</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向申请人支付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月延迟发放薪资的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经济补偿金；</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申请人支付上述奖金，共计约 </w:t>
      </w:r>
      <w:r>
        <w:rPr>
          <w:rFonts w:ascii="Times New Roman" w:eastAsia="Times New Roman" w:hAnsi="Times New Roman" w:cs="Times New Roman"/>
          <w:color w:val="000000"/>
          <w:spacing w:val="0"/>
          <w:w w:val="100"/>
          <w:position w:val="0"/>
          <w:sz w:val="18"/>
          <w:szCs w:val="18"/>
        </w:rPr>
        <w:t>28,121,039.42</w:t>
      </w:r>
      <w:r>
        <w:rPr>
          <w:color w:val="000000"/>
          <w:spacing w:val="0"/>
          <w:w w:val="100"/>
          <w:position w:val="0"/>
        </w:rPr>
        <w:t>元。劳动仲裁委裁决驳回全部请求。</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陈某不服劳动仲裁裁决向上海市浦东新区人民法院提起诉讼，</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日开庭审理，于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日作出判决，开 店宝于判决生效之日支付陈某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月税后工资</w:t>
      </w:r>
      <w:r>
        <w:rPr>
          <w:rFonts w:ascii="Times New Roman" w:eastAsia="Times New Roman" w:hAnsi="Times New Roman" w:cs="Times New Roman"/>
          <w:color w:val="000000"/>
          <w:spacing w:val="0"/>
          <w:w w:val="100"/>
          <w:position w:val="0"/>
          <w:sz w:val="18"/>
          <w:szCs w:val="18"/>
        </w:rPr>
        <w:t>77,663</w:t>
      </w:r>
      <w:r>
        <w:rPr>
          <w:color w:val="000000"/>
          <w:spacing w:val="0"/>
          <w:w w:val="100"/>
          <w:position w:val="0"/>
        </w:rPr>
        <w:t>元，驳回其余诉讼请求。</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日，陈某继续提起上诉，本报告期内，本案尚未审结。</w:t>
      </w:r>
    </w:p>
    <w:p>
      <w:pPr>
        <w:pStyle w:val="Style18"/>
        <w:keepNext w:val="0"/>
        <w:keepLines w:val="0"/>
        <w:widowControl w:val="0"/>
        <w:numPr>
          <w:ilvl w:val="0"/>
          <w:numId w:val="57"/>
        </w:numPr>
        <w:shd w:val="clear" w:color="auto" w:fill="auto"/>
        <w:tabs>
          <w:tab w:pos="693" w:val="left"/>
        </w:tabs>
        <w:bidi w:val="0"/>
        <w:spacing w:before="0" w:after="0" w:line="314" w:lineRule="exact"/>
        <w:ind w:left="0" w:right="0"/>
        <w:jc w:val="both"/>
      </w:pPr>
      <w:bookmarkStart w:id="1808" w:name="bookmark1808"/>
      <w:bookmarkEnd w:id="1808"/>
      <w:r>
        <w:rPr>
          <w:color w:val="000000"/>
          <w:spacing w:val="0"/>
          <w:w w:val="100"/>
          <w:position w:val="0"/>
        </w:rPr>
        <w:t>开店宝支付与陈某租赁合同纠纷案</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陈某于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日向上海市长宁区人民法院提起诉讼，诉求为被告开店宝支付按照诉状附件清单所列明细向原告支 付符合要求的固定资产；若无法交付固定资产，则赔偿损失人民币</w:t>
      </w:r>
      <w:r>
        <w:rPr>
          <w:rFonts w:ascii="Times New Roman" w:eastAsia="Times New Roman" w:hAnsi="Times New Roman" w:cs="Times New Roman"/>
          <w:color w:val="000000"/>
          <w:spacing w:val="0"/>
          <w:w w:val="100"/>
          <w:position w:val="0"/>
          <w:sz w:val="18"/>
          <w:szCs w:val="18"/>
        </w:rPr>
        <w:t>3,022,336.05</w:t>
      </w:r>
      <w:r>
        <w:rPr>
          <w:color w:val="000000"/>
          <w:spacing w:val="0"/>
          <w:w w:val="100"/>
          <w:position w:val="0"/>
        </w:rPr>
        <w:t>元及相应的利息损失，并由被告开店宝支付 承担诉讼费用。本案第一次庭前会议时间为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日，双方均在审理过程中提交了补充证据。本报告期内，本案尚未 审结。</w:t>
      </w:r>
    </w:p>
    <w:p>
      <w:pPr>
        <w:pStyle w:val="Style32"/>
        <w:keepNext/>
        <w:keepLines/>
        <w:widowControl w:val="0"/>
        <w:shd w:val="clear" w:color="auto" w:fill="auto"/>
        <w:bidi w:val="0"/>
        <w:spacing w:before="0" w:after="30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09"/>
      <w:bookmarkEnd w:id="1810"/>
      <w:bookmarkEnd w:id="1811"/>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3</w:t>
      </w:r>
      <w:bookmarkEnd w:id="1814"/>
      <w:r>
        <w:rPr>
          <w:color w:val="000000"/>
          <w:spacing w:val="0"/>
          <w:w w:val="100"/>
          <w:position w:val="0"/>
        </w:rPr>
        <w:t>、其他</w:t>
      </w:r>
      <w:bookmarkEnd w:id="1812"/>
      <w:bookmarkEnd w:id="1813"/>
      <w:bookmarkEnd w:id="1815"/>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color w:val="000000"/>
          <w:spacing w:val="0"/>
          <w:w w:val="100"/>
          <w:position w:val="0"/>
        </w:rPr>
        <w:t>十五、资产负债表日后事项</w:t>
      </w:r>
      <w:bookmarkEnd w:id="1816"/>
      <w:bookmarkEnd w:id="1817"/>
      <w:bookmarkEnd w:id="1818"/>
    </w:p>
    <w:p>
      <w:pPr>
        <w:pStyle w:val="Style29"/>
        <w:keepNext/>
        <w:keepLines/>
        <w:widowControl w:val="0"/>
        <w:shd w:val="clear" w:color="auto" w:fill="auto"/>
        <w:tabs>
          <w:tab w:pos="368" w:val="left"/>
        </w:tabs>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w:t>
      </w:r>
      <w:bookmarkEnd w:id="1821"/>
      <w:r>
        <w:rPr>
          <w:color w:val="000000"/>
          <w:spacing w:val="0"/>
          <w:w w:val="100"/>
          <w:position w:val="0"/>
        </w:rPr>
        <w:t>、</w:t>
        <w:tab/>
        <w:t>重要的非调整事项</w:t>
      </w:r>
      <w:bookmarkEnd w:id="1819"/>
      <w:bookmarkEnd w:id="1820"/>
      <w:bookmarkEnd w:id="182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2</w:t>
      </w:r>
      <w:bookmarkEnd w:id="1825"/>
      <w:r>
        <w:rPr>
          <w:color w:val="000000"/>
          <w:spacing w:val="0"/>
          <w:w w:val="100"/>
          <w:position w:val="0"/>
        </w:rPr>
        <w:t>、</w:t>
        <w:tab/>
        <w:t>利润分配情况</w:t>
      </w:r>
      <w:bookmarkEnd w:id="1823"/>
      <w:bookmarkEnd w:id="1824"/>
      <w:bookmarkEnd w:id="182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3</w:t>
      </w:r>
      <w:bookmarkEnd w:id="1829"/>
      <w:r>
        <w:rPr>
          <w:color w:val="000000"/>
          <w:spacing w:val="0"/>
          <w:w w:val="100"/>
          <w:position w:val="0"/>
        </w:rPr>
        <w:t>、</w:t>
        <w:tab/>
        <w:t>销售退回</w:t>
      </w:r>
      <w:bookmarkEnd w:id="1827"/>
      <w:bookmarkEnd w:id="1828"/>
      <w:bookmarkEnd w:id="1830"/>
    </w:p>
    <w:p>
      <w:pPr>
        <w:pStyle w:val="Style18"/>
        <w:keepNext w:val="0"/>
        <w:keepLines w:val="0"/>
        <w:widowControl w:val="0"/>
        <w:shd w:val="clear" w:color="auto" w:fill="auto"/>
        <w:bidi w:val="0"/>
        <w:spacing w:before="0" w:after="380" w:line="240" w:lineRule="auto"/>
        <w:ind w:left="0" w:right="0"/>
        <w:jc w:val="left"/>
      </w:pPr>
      <w:r>
        <w:rPr>
          <w:color w:val="000000"/>
          <w:spacing w:val="0"/>
          <w:w w:val="100"/>
          <w:position w:val="0"/>
        </w:rPr>
        <w:t>资产负债表日后未发生重要销售退回。</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4</w:t>
      </w:r>
      <w:bookmarkEnd w:id="1833"/>
      <w:r>
        <w:rPr>
          <w:color w:val="000000"/>
          <w:spacing w:val="0"/>
          <w:w w:val="100"/>
          <w:position w:val="0"/>
        </w:rPr>
        <w:t>、</w:t>
        <w:tab/>
        <w:t>其他资产负债表日后事项说明</w:t>
      </w:r>
      <w:bookmarkEnd w:id="1831"/>
      <w:bookmarkEnd w:id="1832"/>
      <w:bookmarkEnd w:id="183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35" w:name="bookmark1835"/>
      <w:bookmarkStart w:id="1836" w:name="bookmark1836"/>
      <w:bookmarkStart w:id="1837" w:name="bookmark1837"/>
      <w:r>
        <w:rPr>
          <w:color w:val="000000"/>
          <w:spacing w:val="0"/>
          <w:w w:val="100"/>
          <w:position w:val="0"/>
        </w:rPr>
        <w:t>十六、其他重要事项</w:t>
      </w:r>
      <w:bookmarkEnd w:id="1835"/>
      <w:bookmarkEnd w:id="1836"/>
      <w:bookmarkEnd w:id="1837"/>
    </w:p>
    <w:p>
      <w:pPr>
        <w:pStyle w:val="Style29"/>
        <w:keepNext/>
        <w:keepLines/>
        <w:widowControl w:val="0"/>
        <w:shd w:val="clear" w:color="auto" w:fill="auto"/>
        <w:tabs>
          <w:tab w:pos="368" w:val="left"/>
        </w:tabs>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1</w:t>
      </w:r>
      <w:bookmarkEnd w:id="1840"/>
      <w:r>
        <w:rPr>
          <w:color w:val="000000"/>
          <w:spacing w:val="0"/>
          <w:w w:val="100"/>
          <w:position w:val="0"/>
        </w:rPr>
        <w:t>、</w:t>
        <w:tab/>
        <w:t>前期会计差错更正</w:t>
      </w:r>
      <w:bookmarkEnd w:id="1838"/>
      <w:bookmarkEnd w:id="1839"/>
      <w:bookmarkEnd w:id="1841"/>
    </w:p>
    <w:p>
      <w:pPr>
        <w:pStyle w:val="Style32"/>
        <w:keepNext/>
        <w:keepLines/>
        <w:widowControl w:val="0"/>
        <w:shd w:val="clear" w:color="auto" w:fill="auto"/>
        <w:tabs>
          <w:tab w:pos="493" w:val="left"/>
        </w:tabs>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842"/>
      <w:bookmarkEnd w:id="1843"/>
      <w:bookmarkEnd w:id="184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846"/>
      <w:bookmarkEnd w:id="1847"/>
      <w:bookmarkEnd w:id="184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bookmarkEnd w:id="1852"/>
      <w:r>
        <w:rPr>
          <w:color w:val="000000"/>
          <w:spacing w:val="0"/>
          <w:w w:val="100"/>
          <w:position w:val="0"/>
        </w:rPr>
        <w:t>、</w:t>
        <w:tab/>
        <w:t>债务重组</w:t>
      </w:r>
      <w:bookmarkEnd w:id="1850"/>
      <w:bookmarkEnd w:id="1851"/>
      <w:bookmarkEnd w:id="185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3</w:t>
      </w:r>
      <w:bookmarkEnd w:id="1856"/>
      <w:r>
        <w:rPr>
          <w:color w:val="000000"/>
          <w:spacing w:val="0"/>
          <w:w w:val="100"/>
          <w:position w:val="0"/>
        </w:rPr>
        <w:t>、</w:t>
        <w:tab/>
        <w:t>资产置换</w:t>
      </w:r>
      <w:bookmarkEnd w:id="1854"/>
      <w:bookmarkEnd w:id="1855"/>
      <w:bookmarkEnd w:id="1857"/>
    </w:p>
    <w:p>
      <w:pPr>
        <w:pStyle w:val="Style32"/>
        <w:keepNext/>
        <w:keepLines/>
        <w:widowControl w:val="0"/>
        <w:shd w:val="clear" w:color="auto" w:fill="auto"/>
        <w:tabs>
          <w:tab w:pos="493" w:val="left"/>
        </w:tabs>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858"/>
      <w:bookmarkEnd w:id="1859"/>
      <w:bookmarkEnd w:id="186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62"/>
      <w:bookmarkEnd w:id="1863"/>
      <w:bookmarkEnd w:id="186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4</w:t>
      </w:r>
      <w:bookmarkEnd w:id="1868"/>
      <w:r>
        <w:rPr>
          <w:color w:val="000000"/>
          <w:spacing w:val="0"/>
          <w:w w:val="100"/>
          <w:position w:val="0"/>
        </w:rPr>
        <w:t>、</w:t>
        <w:tab/>
        <w:t>年金计划</w:t>
      </w:r>
      <w:bookmarkEnd w:id="1866"/>
      <w:bookmarkEnd w:id="1867"/>
      <w:bookmarkEnd w:id="1869"/>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5</w:t>
      </w:r>
      <w:bookmarkEnd w:id="1872"/>
      <w:r>
        <w:rPr>
          <w:color w:val="000000"/>
          <w:spacing w:val="0"/>
          <w:w w:val="100"/>
          <w:position w:val="0"/>
        </w:rPr>
        <w:t>、</w:t>
        <w:tab/>
        <w:t>终止经营</w:t>
      </w:r>
      <w:bookmarkEnd w:id="1870"/>
      <w:bookmarkEnd w:id="1871"/>
      <w:bookmarkEnd w:id="1873"/>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6</w:t>
      </w:r>
      <w:bookmarkEnd w:id="1876"/>
      <w:r>
        <w:rPr>
          <w:color w:val="000000"/>
          <w:spacing w:val="0"/>
          <w:w w:val="100"/>
          <w:position w:val="0"/>
        </w:rPr>
        <w:t>、</w:t>
        <w:tab/>
        <w:t>分部信息</w:t>
      </w:r>
      <w:bookmarkEnd w:id="1874"/>
      <w:bookmarkEnd w:id="1875"/>
      <w:bookmarkEnd w:id="1877"/>
    </w:p>
    <w:p>
      <w:pPr>
        <w:pStyle w:val="Style32"/>
        <w:keepNext/>
        <w:keepLines/>
        <w:widowControl w:val="0"/>
        <w:shd w:val="clear" w:color="auto" w:fill="auto"/>
        <w:tabs>
          <w:tab w:pos="493" w:val="left"/>
        </w:tabs>
        <w:bidi w:val="0"/>
        <w:spacing w:before="0" w:after="26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78"/>
      <w:bookmarkEnd w:id="1879"/>
      <w:bookmarkEnd w:id="1881"/>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公司以内部组织结构、管理要求、内部报告制度等为依据确定经营分部。公司的经营分部是指同时满足下列条件的组成 部分：</w:t>
      </w:r>
    </w:p>
    <w:p>
      <w:pPr>
        <w:pStyle w:val="Style18"/>
        <w:keepNext w:val="0"/>
        <w:keepLines w:val="0"/>
        <w:widowControl w:val="0"/>
        <w:numPr>
          <w:ilvl w:val="0"/>
          <w:numId w:val="59"/>
        </w:numPr>
        <w:shd w:val="clear" w:color="auto" w:fill="auto"/>
        <w:tabs>
          <w:tab w:pos="753" w:val="left"/>
        </w:tabs>
        <w:bidi w:val="0"/>
        <w:spacing w:before="0" w:after="0" w:line="322" w:lineRule="exact"/>
        <w:ind w:left="0" w:right="0"/>
        <w:jc w:val="both"/>
      </w:pPr>
      <w:bookmarkStart w:id="1882" w:name="bookmark1882"/>
      <w:bookmarkEnd w:id="1882"/>
      <w:r>
        <w:rPr>
          <w:color w:val="000000"/>
          <w:spacing w:val="0"/>
          <w:w w:val="100"/>
          <w:position w:val="0"/>
        </w:rPr>
        <w:t>该组成部分能够在日常活动中产生收入、发生费用；</w:t>
      </w:r>
    </w:p>
    <w:p>
      <w:pPr>
        <w:pStyle w:val="Style18"/>
        <w:keepNext w:val="0"/>
        <w:keepLines w:val="0"/>
        <w:widowControl w:val="0"/>
        <w:numPr>
          <w:ilvl w:val="0"/>
          <w:numId w:val="59"/>
        </w:numPr>
        <w:shd w:val="clear" w:color="auto" w:fill="auto"/>
        <w:tabs>
          <w:tab w:pos="753" w:val="left"/>
        </w:tabs>
        <w:bidi w:val="0"/>
        <w:spacing w:before="0" w:after="0" w:line="322" w:lineRule="exact"/>
        <w:ind w:left="0" w:right="0"/>
        <w:jc w:val="left"/>
      </w:pPr>
      <w:bookmarkStart w:id="1883" w:name="bookmark1883"/>
      <w:bookmarkEnd w:id="1883"/>
      <w:r>
        <w:rPr>
          <w:color w:val="000000"/>
          <w:spacing w:val="0"/>
          <w:w w:val="100"/>
          <w:position w:val="0"/>
        </w:rPr>
        <w:t>管理层能够定期评价该组成部分的经营成果，以决定向其配置资源、评价其业绩；</w:t>
      </w:r>
    </w:p>
    <w:p>
      <w:pPr>
        <w:pStyle w:val="Style18"/>
        <w:keepNext w:val="0"/>
        <w:keepLines w:val="0"/>
        <w:widowControl w:val="0"/>
        <w:numPr>
          <w:ilvl w:val="0"/>
          <w:numId w:val="59"/>
        </w:numPr>
        <w:shd w:val="clear" w:color="auto" w:fill="auto"/>
        <w:tabs>
          <w:tab w:pos="753" w:val="left"/>
        </w:tabs>
        <w:bidi w:val="0"/>
        <w:spacing w:before="0" w:after="0" w:line="322" w:lineRule="exact"/>
        <w:ind w:left="0" w:right="0"/>
        <w:jc w:val="left"/>
      </w:pPr>
      <w:bookmarkStart w:id="1884" w:name="bookmark1884"/>
      <w:bookmarkEnd w:id="1884"/>
      <w:r>
        <w:rPr>
          <w:color w:val="000000"/>
          <w:spacing w:val="0"/>
          <w:w w:val="100"/>
          <w:position w:val="0"/>
        </w:rPr>
        <w:t>能够通过分析取得该组成部分的财务状况、经营成果和现金流量等有关会计信息。</w:t>
      </w:r>
    </w:p>
    <w:p>
      <w:pPr>
        <w:pStyle w:val="Style18"/>
        <w:keepNext w:val="0"/>
        <w:keepLines w:val="0"/>
        <w:widowControl w:val="0"/>
        <w:shd w:val="clear" w:color="auto" w:fill="auto"/>
        <w:bidi w:val="0"/>
        <w:spacing w:before="0" w:after="380" w:line="322" w:lineRule="exact"/>
        <w:ind w:left="0" w:right="0"/>
        <w:jc w:val="left"/>
      </w:pPr>
      <w:r>
        <w:rPr>
          <w:color w:val="000000"/>
          <w:spacing w:val="0"/>
          <w:w w:val="100"/>
          <w:position w:val="0"/>
        </w:rPr>
        <w:t>本公司以行业分部为基础确定报告分部，与各分部共同使用的资产、负债按照规模比例在不同的分部之间分配。</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85"/>
      <w:bookmarkEnd w:id="1886"/>
      <w:bookmarkEnd w:id="18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专网通信业务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第三方支付业务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573,029,523.81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1,360,213,473.02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1,933,242,996.83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510,143,790.83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1,012,912,377.87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1,523,056,168.70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1,298,704,158.88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970,452,209.06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186,888,057.00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2,082,268,310.94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1,391,521,242.41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836,705,532.45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186,888,057.00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2,041,338,717.86</w:t>
            </w:r>
          </w:p>
        </w:tc>
      </w:tr>
    </w:tbl>
    <w:p>
      <w:pPr>
        <w:widowControl w:val="0"/>
        <w:spacing w:after="31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89"/>
      <w:bookmarkEnd w:id="1890"/>
      <w:bookmarkEnd w:id="1892"/>
    </w:p>
    <w:p>
      <w:pPr>
        <w:pStyle w:val="Style1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93"/>
      <w:bookmarkEnd w:id="1894"/>
      <w:bookmarkEnd w:id="1896"/>
    </w:p>
    <w:p>
      <w:pPr>
        <w:pStyle w:val="Style1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7</w:t>
      </w:r>
      <w:bookmarkEnd w:id="1899"/>
      <w:r>
        <w:rPr>
          <w:color w:val="000000"/>
          <w:spacing w:val="0"/>
          <w:w w:val="100"/>
          <w:position w:val="0"/>
        </w:rPr>
        <w:t>、其他对投资者决策有影响的重要交易和事项</w:t>
      </w:r>
      <w:bookmarkEnd w:id="1897"/>
      <w:bookmarkEnd w:id="1898"/>
      <w:bookmarkEnd w:id="1900"/>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根据本公司与标的公司开店宝科技股东（甲方：本公司；乙方一：义乌市纬诺投资合伙企业（有限合伙）、乙方二：义 乌市博铭投资合伙企业（有限合伙）、乙方三：上海复星工业技术发展有限公司、乙方四：湖州同胜信息技术合伙企业（有 限合伙）、乙方五：白涛；丙方一：黄喜胜）签订的《附条件生效的股权收购协议》第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条后续收购安排。</w:t>
      </w:r>
    </w:p>
    <w:p>
      <w:pPr>
        <w:pStyle w:val="Style18"/>
        <w:keepNext w:val="0"/>
        <w:keepLines w:val="0"/>
        <w:widowControl w:val="0"/>
        <w:shd w:val="clear" w:color="auto" w:fill="auto"/>
        <w:bidi w:val="0"/>
        <w:spacing w:before="0" w:after="380" w:line="310" w:lineRule="exact"/>
        <w:ind w:left="0" w:right="0"/>
        <w:jc w:val="both"/>
      </w:pPr>
      <w:r>
        <w:rPr>
          <w:color w:val="000000"/>
          <w:spacing w:val="0"/>
          <w:w w:val="100"/>
          <w:position w:val="0"/>
        </w:rPr>
        <w:t>各方进一步同意及确认，以本协议项下的交易完成为前提，如果标的公司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年度实现的净利润数额不低于人民币</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亿元且未发生影响标的公司运营的重大不利变化，则甲方将继续收购各乙方持有的标的公司剩余</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剩 </w:t>
      </w:r>
      <w:r>
        <w:rPr>
          <w:color w:val="000000"/>
          <w:spacing w:val="0"/>
          <w:w w:val="100"/>
          <w:position w:val="0"/>
        </w:rPr>
        <w:t>余资产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），各方应互相配合使得甲方完成上述收购。各方进一步同意，剩余资产的收购价格所对应的标的公司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 益价值原则上不低于本次收购价格所对应的标的公司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股东权益价值，以届时上市公司收购同类资产交易的平均市盈率 倍数为参考，以具有证券业务资格的资产评估机构出具的资产评估报告的评估结果为依据，最终，剩余资产的交易价格及支 付方式将由各方根据届时的实际情况协商一致确定。截止报告日，公司暂未实施后续收购事项。</w:t>
      </w:r>
    </w:p>
    <w:p>
      <w:pPr>
        <w:pStyle w:val="Style29"/>
        <w:keepNext/>
        <w:keepLines/>
        <w:widowControl w:val="0"/>
        <w:shd w:val="clear" w:color="auto" w:fill="auto"/>
        <w:bidi w:val="0"/>
        <w:spacing w:before="0" w:after="260" w:line="240" w:lineRule="auto"/>
        <w:ind w:left="0" w:right="0" w:firstLine="0"/>
        <w:jc w:val="both"/>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8</w:t>
      </w:r>
      <w:bookmarkEnd w:id="1903"/>
      <w:r>
        <w:rPr>
          <w:color w:val="000000"/>
          <w:spacing w:val="0"/>
          <w:w w:val="100"/>
          <w:position w:val="0"/>
        </w:rPr>
        <w:t>、其他</w:t>
      </w:r>
      <w:bookmarkEnd w:id="1901"/>
      <w:bookmarkEnd w:id="1902"/>
      <w:bookmarkEnd w:id="1904"/>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905" w:name="bookmark1905"/>
      <w:bookmarkStart w:id="1906" w:name="bookmark1906"/>
      <w:bookmarkStart w:id="1907" w:name="bookmark1907"/>
      <w:r>
        <w:rPr>
          <w:color w:val="000000"/>
          <w:spacing w:val="0"/>
          <w:w w:val="100"/>
          <w:position w:val="0"/>
        </w:rPr>
        <w:t>十七、母公司财务报表主要项目注释</w:t>
      </w:r>
      <w:bookmarkEnd w:id="1905"/>
      <w:bookmarkEnd w:id="1906"/>
      <w:bookmarkEnd w:id="1907"/>
    </w:p>
    <w:p>
      <w:pPr>
        <w:pStyle w:val="Style29"/>
        <w:keepNext/>
        <w:keepLines/>
        <w:widowControl w:val="0"/>
        <w:shd w:val="clear" w:color="auto" w:fill="auto"/>
        <w:bidi w:val="0"/>
        <w:spacing w:before="0" w:after="380" w:line="240" w:lineRule="auto"/>
        <w:ind w:left="0" w:right="0" w:firstLine="0"/>
        <w:jc w:val="both"/>
      </w:pPr>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08"/>
      <w:bookmarkEnd w:id="1909"/>
      <w:bookmarkEnd w:id="1910"/>
    </w:p>
    <w:p>
      <w:pPr>
        <w:pStyle w:val="Style32"/>
        <w:keepNext/>
        <w:keepLines/>
        <w:widowControl w:val="0"/>
        <w:shd w:val="clear" w:color="auto" w:fill="auto"/>
        <w:bidi w:val="0"/>
        <w:spacing w:before="0" w:after="380" w:line="240" w:lineRule="auto"/>
        <w:ind w:left="0" w:right="0" w:firstLine="0"/>
        <w:jc w:val="both"/>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1"/>
      <w:bookmarkEnd w:id="1912"/>
      <w:bookmarkEnd w:id="19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45,168,5</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45,168,5</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45,168,50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45,168,50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45,041,0</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45,041,0</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45,041,03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127,470.0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163,442,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10,044,4</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193,861,6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11,579,54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182,282,07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103,465,</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10,044,4</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93,421,28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140,799,4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11,579,54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129,219,91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59,976,5</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59,976,53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53,062,16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53,062,165.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208,610,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55,212,9</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239,030,1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56,748,05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182,282,07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按单项计提坏账准备：单项金额重大并单项计提坏账准备的应收账款</w:t>
      </w:r>
    </w:p>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i/>
                <w:iCs/>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45,041,035.38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45,041,035.38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按组合计提坏账准备：账龄分析法组合</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64,960,972.94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649,609.73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11,602,219.99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232,044.40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2,953,267.87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295,326.79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9,061,776.65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1,812,355.33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1,943,293.83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582,988.15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12,944,155.21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6,472,077.61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103,465,686.49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10,044,402.00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125,064,980.81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11,602,219.99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2,953,267.87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68,990,261.07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9,061,776.65</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1,943,293.83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57,985,190.59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208,610,729.74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4"/>
      <w:bookmarkEnd w:id="1915"/>
      <w:bookmarkEnd w:id="191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45,168,505.39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45,168,505.39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11,579,545.78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1,535,143.78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10,044,402.00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56,748,051.17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1,535,143.78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55,212,907.39</w:t>
            </w:r>
          </w:p>
        </w:tc>
      </w:tr>
    </w:tbl>
    <w:p>
      <w:pPr>
        <w:widowControl w:val="0"/>
        <w:spacing w:after="319" w:line="1" w:lineRule="exact"/>
      </w:pPr>
    </w:p>
    <w:p>
      <w:pPr>
        <w:pStyle w:val="Style32"/>
        <w:keepNext/>
        <w:keepLines/>
        <w:widowControl w:val="0"/>
        <w:shd w:val="clear" w:color="auto" w:fill="auto"/>
        <w:tabs>
          <w:tab w:pos="493" w:val="left"/>
        </w:tabs>
        <w:bidi w:val="0"/>
        <w:spacing w:before="0" w:after="40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917"/>
      <w:bookmarkEnd w:id="1918"/>
      <w:bookmarkEnd w:id="1920"/>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921"/>
      <w:bookmarkEnd w:id="1922"/>
      <w:bookmarkEnd w:id="19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44,063,064.64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27,314,132.31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275,644.85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13,127,379.67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1,733,573.80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10,525,022.87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105,250.23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9,848,515.85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196,970.32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104,878,115.34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50.27%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tabs>
          <w:tab w:pos="493" w:val="left"/>
        </w:tabs>
        <w:bidi w:val="0"/>
        <w:spacing w:before="0" w:after="40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925"/>
      <w:bookmarkEnd w:id="1926"/>
      <w:bookmarkEnd w:id="1928"/>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929"/>
      <w:bookmarkEnd w:id="1930"/>
      <w:bookmarkEnd w:id="1932"/>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3"/>
      <w:bookmarkEnd w:id="1934"/>
      <w:bookmarkEnd w:id="19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205,804,099.55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206,171,517.29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205,804,099.55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206,171,517.29</w:t>
            </w:r>
          </w:p>
        </w:tc>
      </w:tr>
    </w:tbl>
    <w:p>
      <w:pPr>
        <w:widowControl w:val="0"/>
        <w:spacing w:after="37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936"/>
      <w:bookmarkEnd w:id="1937"/>
      <w:bookmarkEnd w:id="1939"/>
    </w:p>
    <w:p>
      <w:pPr>
        <w:pStyle w:val="Style56"/>
        <w:keepNext/>
        <w:keepLines/>
        <w:widowControl w:val="0"/>
        <w:shd w:val="clear" w:color="auto" w:fill="auto"/>
        <w:tabs>
          <w:tab w:pos="387"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1</w:t>
      </w:r>
      <w:bookmarkEnd w:id="1942"/>
      <w:r>
        <w:rPr>
          <w:color w:val="000000"/>
          <w:spacing w:val="0"/>
          <w:w w:val="100"/>
          <w:position w:val="0"/>
        </w:rPr>
        <w:t>）</w:t>
        <w:tab/>
        <w:t>应收利息分类</w:t>
      </w:r>
      <w:bookmarkEnd w:id="1940"/>
      <w:bookmarkEnd w:id="1941"/>
      <w:bookmarkEnd w:id="194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bookmarkEnd w:id="1946"/>
      <w:r>
        <w:rPr>
          <w:color w:val="000000"/>
          <w:spacing w:val="0"/>
          <w:w w:val="100"/>
          <w:position w:val="0"/>
        </w:rPr>
        <w:t>）</w:t>
        <w:tab/>
        <w:t>重要逾期利息</w:t>
      </w:r>
      <w:bookmarkEnd w:id="1944"/>
      <w:bookmarkEnd w:id="1945"/>
      <w:bookmarkEnd w:id="194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w:t>
        <w:tab/>
        <w:t>坏账准备计提情况</w:t>
      </w:r>
      <w:bookmarkEnd w:id="1948"/>
      <w:bookmarkEnd w:id="1949"/>
      <w:bookmarkEnd w:id="195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952"/>
      <w:bookmarkEnd w:id="1953"/>
      <w:bookmarkEnd w:id="1955"/>
    </w:p>
    <w:p>
      <w:pPr>
        <w:pStyle w:val="Style56"/>
        <w:keepNext/>
        <w:keepLines/>
        <w:widowControl w:val="0"/>
        <w:shd w:val="clear" w:color="auto" w:fill="auto"/>
        <w:tabs>
          <w:tab w:pos="387" w:val="left"/>
        </w:tabs>
        <w:bidi w:val="0"/>
        <w:spacing w:before="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bookmarkEnd w:id="1958"/>
      <w:r>
        <w:rPr>
          <w:color w:val="000000"/>
          <w:spacing w:val="0"/>
          <w:w w:val="100"/>
          <w:position w:val="0"/>
        </w:rPr>
        <w:t>）</w:t>
        <w:tab/>
        <w:t>应收股利分类</w:t>
      </w:r>
      <w:bookmarkEnd w:id="1956"/>
      <w:bookmarkEnd w:id="1957"/>
      <w:bookmarkEnd w:id="195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bookmarkEnd w:id="196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60"/>
      <w:bookmarkEnd w:id="1961"/>
      <w:bookmarkEnd w:id="196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3</w:t>
      </w:r>
      <w:bookmarkEnd w:id="1966"/>
      <w:r>
        <w:rPr>
          <w:color w:val="000000"/>
          <w:spacing w:val="0"/>
          <w:w w:val="100"/>
          <w:position w:val="0"/>
        </w:rPr>
        <w:t>）</w:t>
        <w:tab/>
        <w:t>坏账准备计提情况</w:t>
      </w:r>
      <w:bookmarkEnd w:id="1964"/>
      <w:bookmarkEnd w:id="1965"/>
      <w:bookmarkEnd w:id="196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968"/>
      <w:bookmarkEnd w:id="1969"/>
      <w:bookmarkEnd w:id="1971"/>
    </w:p>
    <w:p>
      <w:pPr>
        <w:pStyle w:val="Style56"/>
        <w:keepNext/>
        <w:keepLines/>
        <w:widowControl w:val="0"/>
        <w:shd w:val="clear" w:color="auto" w:fill="auto"/>
        <w:bidi w:val="0"/>
        <w:spacing w:before="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72"/>
      <w:bookmarkEnd w:id="1973"/>
      <w:bookmarkEnd w:id="19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189,071,232.65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208,474,109.36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5,788,268.73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7,702,049.90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217,659,501.38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216,176,159.26</w:t>
            </w:r>
          </w:p>
        </w:tc>
      </w:tr>
    </w:tbl>
    <w:p>
      <w:pPr>
        <w:widowControl w:val="0"/>
        <w:spacing w:after="319" w:line="1" w:lineRule="exact"/>
      </w:pPr>
    </w:p>
    <w:p>
      <w:pPr>
        <w:pStyle w:val="Style56"/>
        <w:keepNext/>
        <w:keepLines/>
        <w:widowControl w:val="0"/>
        <w:shd w:val="clear" w:color="auto" w:fill="auto"/>
        <w:bidi w:val="0"/>
        <w:spacing w:before="0" w:after="40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75"/>
      <w:bookmarkEnd w:id="1976"/>
      <w:bookmarkEnd w:id="19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147,300.84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3,926,680.13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5,930,661.00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10,004,641.97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1,758,502.71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1,850,759.86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239,557.99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5,685,182.84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5,930,661.00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11,855,401.83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188,451,576.39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5,308,686.39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10,306,982.49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13,592,256.11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2,030,057.92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1,124,667.83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10,437,530.36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217,659,501.38</w:t>
            </w:r>
          </w:p>
        </w:tc>
      </w:tr>
    </w:tbl>
    <w:p>
      <w:pPr>
        <w:widowControl w:val="0"/>
        <w:spacing w:after="319" w:line="1" w:lineRule="exact"/>
      </w:pPr>
    </w:p>
    <w:p>
      <w:pPr>
        <w:pStyle w:val="Style56"/>
        <w:keepNext/>
        <w:keepLines/>
        <w:widowControl w:val="0"/>
        <w:shd w:val="clear" w:color="auto" w:fill="auto"/>
        <w:bidi w:val="0"/>
        <w:spacing w:before="0" w:after="40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3</w:t>
      </w:r>
      <w:bookmarkEnd w:id="1980"/>
      <w:r>
        <w:rPr>
          <w:color w:val="000000"/>
          <w:spacing w:val="0"/>
          <w:w w:val="100"/>
          <w:position w:val="0"/>
        </w:rPr>
        <w:t>）本期计提、收回或转回的坏账准备情况</w:t>
      </w:r>
      <w:bookmarkEnd w:id="1978"/>
      <w:bookmarkEnd w:id="1979"/>
      <w:bookmarkEnd w:id="198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277"/>
        <w:gridCol w:w="1022"/>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5,930,661.00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5,930,661.00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4,073,980.97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1,850,759.86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5,924,740.83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10,004,641.97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1,850,759.86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11,855,401.83</w:t>
            </w:r>
          </w:p>
        </w:tc>
      </w:tr>
    </w:tbl>
    <w:p>
      <w:pPr>
        <w:pStyle w:val="Style56"/>
        <w:keepNext/>
        <w:keepLines/>
        <w:widowControl w:val="0"/>
        <w:shd w:val="clear" w:color="auto" w:fill="auto"/>
        <w:tabs>
          <w:tab w:pos="397" w:val="left"/>
        </w:tabs>
        <w:bidi w:val="0"/>
        <w:spacing w:before="0" w:after="40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4</w:t>
      </w:r>
      <w:bookmarkEnd w:id="1984"/>
      <w:r>
        <w:rPr>
          <w:color w:val="000000"/>
          <w:spacing w:val="0"/>
          <w:w w:val="100"/>
          <w:position w:val="0"/>
        </w:rPr>
        <w:t>）</w:t>
        <w:tab/>
        <w:t>本期实际核销的其他应收款情况</w:t>
      </w:r>
      <w:bookmarkEnd w:id="1982"/>
      <w:bookmarkEnd w:id="1983"/>
      <w:bookmarkEnd w:id="1985"/>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after="40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5</w:t>
      </w:r>
      <w:bookmarkEnd w:id="1988"/>
      <w:r>
        <w:rPr>
          <w:color w:val="000000"/>
          <w:spacing w:val="0"/>
          <w:w w:val="100"/>
          <w:position w:val="0"/>
        </w:rPr>
        <w:t>）</w:t>
        <w:tab/>
        <w:t>按欠款方归集的期末余额前五名的其他应收款情况</w:t>
      </w:r>
      <w:bookmarkEnd w:id="1986"/>
      <w:bookmarkEnd w:id="1987"/>
      <w:bookmarkEnd w:id="19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104,901,928.24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51,513,978.86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11,320,200.00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839,863.23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185,976,107.10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1,022,263.23</w:t>
            </w:r>
          </w:p>
        </w:tc>
      </w:tr>
    </w:tbl>
    <w:p>
      <w:pPr>
        <w:widowControl w:val="0"/>
        <w:spacing w:after="319" w:line="1" w:lineRule="exact"/>
      </w:pPr>
    </w:p>
    <w:p>
      <w:pPr>
        <w:pStyle w:val="Style56"/>
        <w:keepNext/>
        <w:keepLines/>
        <w:widowControl w:val="0"/>
        <w:shd w:val="clear" w:color="auto" w:fill="auto"/>
        <w:tabs>
          <w:tab w:pos="397" w:val="left"/>
        </w:tabs>
        <w:bidi w:val="0"/>
        <w:spacing w:before="0" w:after="40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6</w:t>
      </w:r>
      <w:bookmarkEnd w:id="1992"/>
      <w:r>
        <w:rPr>
          <w:color w:val="000000"/>
          <w:spacing w:val="0"/>
          <w:w w:val="100"/>
          <w:position w:val="0"/>
        </w:rPr>
        <w:t>）</w:t>
        <w:tab/>
        <w:t>涉及政府补助的应收款项</w:t>
      </w:r>
      <w:bookmarkEnd w:id="1990"/>
      <w:bookmarkEnd w:id="1991"/>
      <w:bookmarkEnd w:id="1993"/>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2" w:val="left"/>
        </w:tabs>
        <w:bidi w:val="0"/>
        <w:spacing w:before="0" w:after="40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7</w:t>
      </w:r>
      <w:bookmarkEnd w:id="1996"/>
      <w:r>
        <w:rPr>
          <w:color w:val="000000"/>
          <w:spacing w:val="0"/>
          <w:w w:val="100"/>
          <w:position w:val="0"/>
        </w:rPr>
        <w:t>）</w:t>
        <w:tab/>
        <w:t>因金融资产转移而终止确认的其他应收款</w:t>
      </w:r>
      <w:bookmarkEnd w:id="1994"/>
      <w:bookmarkEnd w:id="1995"/>
      <w:bookmarkEnd w:id="1997"/>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56"/>
        <w:keepNext/>
        <w:keepLines/>
        <w:widowControl w:val="0"/>
        <w:shd w:val="clear" w:color="auto" w:fill="auto"/>
        <w:tabs>
          <w:tab w:pos="397" w:val="left"/>
        </w:tabs>
        <w:bidi w:val="0"/>
        <w:spacing w:before="0" w:after="40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8</w:t>
      </w:r>
      <w:bookmarkEnd w:id="2000"/>
      <w:r>
        <w:rPr>
          <w:color w:val="000000"/>
          <w:spacing w:val="0"/>
          <w:w w:val="100"/>
          <w:position w:val="0"/>
        </w:rPr>
        <w:t>）</w:t>
        <w:tab/>
        <w:t>转移其他应收款且继续涉入形成的资产、负债金额</w:t>
      </w:r>
      <w:bookmarkEnd w:id="1998"/>
      <w:bookmarkEnd w:id="1999"/>
      <w:bookmarkEnd w:id="2001"/>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40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3</w:t>
      </w:r>
      <w:bookmarkEnd w:id="2004"/>
      <w:r>
        <w:rPr>
          <w:color w:val="000000"/>
          <w:spacing w:val="0"/>
          <w:w w:val="100"/>
          <w:position w:val="0"/>
        </w:rPr>
        <w:t>、长期股权投资</w:t>
      </w:r>
      <w:bookmarkEnd w:id="2002"/>
      <w:bookmarkEnd w:id="2003"/>
      <w:bookmarkEnd w:id="200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1,208,701,169.22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701,592,373.17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507,108,796.05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1,361,306,808.67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436,568,300.00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924,738,508.67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53,482,452.71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53,482,452.71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47,290,928.09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47,290,928.09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1,262,183,621.93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701,592,373.17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560,591,248.76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1,408,597,736.76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436,568,300.00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972,029,436.76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06"/>
      <w:bookmarkEnd w:id="2007"/>
      <w:bookmarkEnd w:id="2008"/>
    </w:p>
    <w:p>
      <w:pPr>
        <w:pStyle w:val="Style18"/>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深圳市德威普 软件技术有限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东莞键桥通讯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广州通讯技术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南京凌云科技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深圳键桥华能</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通讯技术有限</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大连亚联投资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亚联投资（香 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33,495,639.45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33,495,639.45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深圳键桥轨道</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湖南键桥通讯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12,701,169.22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12,701,169.22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深圳键桥智能</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共青城正融投 资管理合伙企 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深圳亚联大数</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据科技发展有</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开店宝科技集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509,631,700.0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265,024,073.1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244,607,626.83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700,392,373.17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广州亚联企业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深圳亚联信息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技术服务有限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大连亚联企业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924,738,508.6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252,605,639.4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265,024,073.1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507,108,796.05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701,592,373.17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09" w:name="bookmark2009"/>
      <w:bookmarkStart w:id="2010" w:name="bookmark2010"/>
      <w:bookmarkStart w:id="2011" w:name="bookmark20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09"/>
      <w:bookmarkEnd w:id="2010"/>
      <w:bookmarkEnd w:id="201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深圳盈华</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小额贷款</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36,071,57</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30,865,06</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徐州淮海</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数据交换</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服务有限</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1,226,119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1,039,335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嘉兴德玖 投资合伙 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9,993,235</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9,992,336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47,290,92</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-5,394,19</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41,896,73</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深圳键桥</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轨道交通</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-7,524,28</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19,110,00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11,585,71</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-7,524,28</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19,110,00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11,585,71</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47,290,92</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19,110,00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53,482,45</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12"/>
      <w:bookmarkEnd w:id="2013"/>
      <w:bookmarkEnd w:id="2015"/>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40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4</w:t>
      </w:r>
      <w:bookmarkEnd w:id="2018"/>
      <w:r>
        <w:rPr>
          <w:color w:val="000000"/>
          <w:spacing w:val="0"/>
          <w:w w:val="100"/>
          <w:position w:val="0"/>
        </w:rPr>
        <w:t>、营业收入和营业成本</w:t>
      </w:r>
      <w:bookmarkEnd w:id="2016"/>
      <w:bookmarkEnd w:id="2017"/>
      <w:bookmarkEnd w:id="2019"/>
    </w:p>
    <w:p>
      <w:pPr>
        <w:pStyle w:val="Style18"/>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219,164,939.61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210,931,991.46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333,350,154.04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354,452,178.70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1,027,732.27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1,431,068.52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220,192,671.88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210,931,991.46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334,781,222.56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354,452,178.70</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9"/>
        <w:keepNext/>
        <w:keepLines/>
        <w:widowControl w:val="0"/>
        <w:shd w:val="clear" w:color="auto" w:fill="auto"/>
        <w:bidi w:val="0"/>
        <w:spacing w:before="0" w:after="38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5</w:t>
      </w:r>
      <w:bookmarkEnd w:id="2022"/>
      <w:r>
        <w:rPr>
          <w:color w:val="000000"/>
          <w:spacing w:val="0"/>
          <w:w w:val="100"/>
          <w:position w:val="0"/>
        </w:rPr>
        <w:t>、投资收益</w:t>
      </w:r>
      <w:bookmarkEnd w:id="2020"/>
      <w:bookmarkEnd w:id="2021"/>
      <w:bookmarkEnd w:id="202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-12,918,475.38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-28,144,149.35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-55,135,638.45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-68,054,113.83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-28,144,148.35</w:t>
            </w: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6</w:t>
      </w:r>
      <w:bookmarkEnd w:id="2026"/>
      <w:r>
        <w:rPr>
          <w:color w:val="000000"/>
          <w:spacing w:val="0"/>
          <w:w w:val="100"/>
          <w:position w:val="0"/>
        </w:rPr>
        <w:t>、其他</w:t>
      </w:r>
      <w:bookmarkEnd w:id="2024"/>
      <w:bookmarkEnd w:id="2025"/>
      <w:bookmarkEnd w:id="202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028" w:name="bookmark2028"/>
      <w:bookmarkStart w:id="2029" w:name="bookmark2029"/>
      <w:bookmarkStart w:id="2030" w:name="bookmark2030"/>
      <w:r>
        <w:rPr>
          <w:color w:val="000000"/>
          <w:spacing w:val="0"/>
          <w:w w:val="100"/>
          <w:position w:val="0"/>
        </w:rPr>
        <w:t>十八、补充资料</w:t>
      </w:r>
      <w:bookmarkEnd w:id="2028"/>
      <w:bookmarkEnd w:id="2029"/>
      <w:bookmarkEnd w:id="2030"/>
    </w:p>
    <w:p>
      <w:pPr>
        <w:pStyle w:val="Style29"/>
        <w:keepNext/>
        <w:keepLines/>
        <w:widowControl w:val="0"/>
        <w:shd w:val="clear" w:color="auto" w:fill="auto"/>
        <w:bidi w:val="0"/>
        <w:spacing w:before="0" w:after="380" w:line="240" w:lineRule="auto"/>
        <w:ind w:left="0" w:right="0" w:firstLine="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31"/>
      <w:bookmarkEnd w:id="2032"/>
      <w:bookmarkEnd w:id="2033"/>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212,260.49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9,353,801.22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978,737.94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-3,384,847.27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84,211,798.78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w:t>
            </w:r>
            <w:r>
              <w:rPr>
                <w:rFonts w:ascii="Times New Roman" w:eastAsia="Times New Roman" w:hAnsi="Times New Roman" w:cs="Times New Roman"/>
                <w:color w:val="000000"/>
                <w:spacing w:val="0"/>
                <w:w w:val="100"/>
                <w:position w:val="0"/>
                <w:sz w:val="18"/>
                <w:szCs w:val="18"/>
              </w:rPr>
              <w:t>77,019,047.76</w:t>
            </w:r>
            <w:r>
              <w:rPr>
                <w:color w:val="000000"/>
                <w:spacing w:val="0"/>
                <w:w w:val="100"/>
                <w:position w:val="0"/>
              </w:rPr>
              <w:t>元、增 值税加计扣除等</w:t>
            </w:r>
            <w:r>
              <w:rPr>
                <w:rFonts w:ascii="Times New Roman" w:eastAsia="Times New Roman" w:hAnsi="Times New Roman" w:cs="Times New Roman"/>
                <w:color w:val="000000"/>
                <w:spacing w:val="0"/>
                <w:w w:val="100"/>
                <w:position w:val="0"/>
                <w:sz w:val="18"/>
                <w:szCs w:val="18"/>
              </w:rPr>
              <w:t>7,192,751.02</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1,746,788.90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89,605,042.60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8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34"/>
      <w:bookmarkEnd w:id="2035"/>
      <w:bookmarkEnd w:id="2036"/>
    </w:p>
    <w:tbl>
      <w:tblPr>
        <w:tblOverlap w:val="never"/>
        <w:jc w:val="center"/>
        <w:tblLayout w:type="fixed"/>
      </w:tblPr>
      <w:tblGrid>
        <w:gridCol w:w="2659"/>
        <w:gridCol w:w="3096"/>
        <w:gridCol w:w="1906"/>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-0.6967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-0.9200</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6" w:lineRule="exact"/>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3</w:t>
      </w:r>
      <w:bookmarkEnd w:id="2039"/>
      <w:r>
        <w:rPr>
          <w:color w:val="000000"/>
          <w:spacing w:val="0"/>
          <w:w w:val="100"/>
          <w:position w:val="0"/>
        </w:rPr>
        <w:t>、</w:t>
        <w:tab/>
        <w:t>境内外会计准则下会计数据差异</w:t>
      </w:r>
      <w:bookmarkEnd w:id="2037"/>
      <w:bookmarkEnd w:id="2038"/>
      <w:bookmarkEnd w:id="2040"/>
    </w:p>
    <w:p>
      <w:pPr>
        <w:pStyle w:val="Style32"/>
        <w:keepNext/>
        <w:keepLines/>
        <w:widowControl w:val="0"/>
        <w:shd w:val="clear" w:color="auto" w:fill="auto"/>
        <w:tabs>
          <w:tab w:pos="493" w:val="left"/>
        </w:tabs>
        <w:bidi w:val="0"/>
        <w:spacing w:before="0" w:after="380" w:line="326" w:lineRule="exact"/>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41"/>
      <w:bookmarkEnd w:id="2042"/>
      <w:bookmarkEnd w:id="2044"/>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326" w:lineRule="exact"/>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45"/>
      <w:bookmarkEnd w:id="2046"/>
      <w:bookmarkEnd w:id="2048"/>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380" w:line="326" w:lineRule="exact"/>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49"/>
      <w:bookmarkEnd w:id="2050"/>
      <w:bookmarkEnd w:id="2052"/>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326" w:lineRule="exact"/>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4</w:t>
      </w:r>
      <w:bookmarkEnd w:id="2055"/>
      <w:r>
        <w:rPr>
          <w:color w:val="000000"/>
          <w:spacing w:val="0"/>
          <w:w w:val="100"/>
          <w:position w:val="0"/>
        </w:rPr>
        <w:t>、</w:t>
        <w:tab/>
        <w:t>其他</w:t>
      </w:r>
      <w:bookmarkEnd w:id="2053"/>
      <w:bookmarkEnd w:id="2054"/>
      <w:bookmarkEnd w:id="2056"/>
    </w:p>
    <w:p>
      <w:pPr>
        <w:pStyle w:val="Style18"/>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深圳亚联发展科技股份有限公司</w:t>
      </w:r>
    </w:p>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法定代表人：王永彬</w:t>
      </w:r>
    </w:p>
    <w:p>
      <w:pPr>
        <w:pStyle w:val="Style20"/>
        <w:keepNext w:val="0"/>
        <w:keepLines w:val="0"/>
        <w:widowControl w:val="0"/>
        <w:shd w:val="clear" w:color="auto" w:fill="auto"/>
        <w:bidi w:val="0"/>
        <w:spacing w:before="0" w:after="0" w:line="240" w:lineRule="auto"/>
        <w:ind w:left="766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sectPr>
      <w:footnotePr>
        <w:pos w:val="pageBottom"/>
        <w:numFmt w:val="decimal"/>
        <w:numRestart w:val="continuous"/>
      </w:footnotePr>
      <w:pgSz w:w="11900" w:h="16840"/>
      <w:pgMar w:top="1383" w:right="1063" w:bottom="1436" w:left="10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4"/>
      <w:numFmt w:val="decimal"/>
      <w:lvlText w:val="980.928.%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4"/>
      <w:numFmt w:val="decimal"/>
      <w:lvlText w:val="1.138.628.%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28"/>
      <w:szCs w:val="28"/>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8)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7">
    <w:name w:val="Heading #5_"/>
    <w:basedOn w:val="DefaultParagraphFont"/>
    <w:link w:val="Style56"/>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2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4)"/>
    <w:basedOn w:val="Normal"/>
    <w:link w:val="CharStyle8"/>
    <w:pPr>
      <w:widowControl w:val="0"/>
      <w:shd w:val="clear" w:color="auto" w:fill="auto"/>
      <w:spacing w:after="30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18">
    <w:name w:val="Body text"/>
    <w:basedOn w:val="Normal"/>
    <w:link w:val="CharStyle19"/>
    <w:qFormat/>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Other"/>
    <w:basedOn w:val="Normal"/>
    <w:link w:val="CharStyle21"/>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8)"/>
    <w:basedOn w:val="Normal"/>
    <w:link w:val="CharStyle43"/>
    <w:pPr>
      <w:widowControl w:val="0"/>
      <w:shd w:val="clear" w:color="auto" w:fill="auto"/>
      <w:spacing w:after="40" w:line="314" w:lineRule="exact"/>
    </w:pPr>
    <w:rPr>
      <w:rFonts w:ascii="SimSun" w:eastAsia="SimSun" w:hAnsi="SimSun" w:cs="SimSun"/>
      <w:b/>
      <w:bCs/>
      <w:i w:val="0"/>
      <w:iCs w:val="0"/>
      <w:smallCaps w:val="0"/>
      <w:strike w:val="0"/>
      <w:sz w:val="20"/>
      <w:szCs w:val="20"/>
      <w:u w:val="none"/>
      <w:shd w:val="clear" w:color="auto" w:fill="auto"/>
    </w:rPr>
  </w:style>
  <w:style w:type="paragraph" w:customStyle="1" w:styleId="Style56">
    <w:name w:val="Heading #5"/>
    <w:basedOn w:val="Normal"/>
    <w:link w:val="CharStyle57"/>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深圳亚联发展科技股份有限公司2021年年度报告全文</dc:title>
  <dc:subject/>
  <dc:creator>深圳亚联发展科技股份有限公司</dc:creator>
  <cp:keywords/>
</cp:coreProperties>
</file>