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p>
      <w:pPr>
        <w:spacing w:line="621" w:lineRule="exact" w:before="0"/>
        <w:ind w:left="514" w:right="515" w:firstLine="0"/>
        <w:jc w:val="center"/>
        <w:rPr>
          <w:rFonts w:ascii="宋体" w:hAnsi="宋体" w:cs="宋体" w:eastAsia="宋体" w:hint="default"/>
          <w:sz w:val="52"/>
          <w:szCs w:val="52"/>
        </w:rPr>
      </w:pPr>
      <w:r>
        <w:rPr/>
        <w:pict>
          <v:group style="position:absolute;margin-left:56.700001pt;margin-top:-72.333298pt;width:481.9pt;height:.1pt;mso-position-horizontal-relative:page;mso-position-vertical-relative:paragraph;z-index:0" coordorigin="1134,-1447" coordsize="9638,2">
            <v:shape style="position:absolute;left:1134;top:-1447;width:9638;height:2" coordorigin="1134,-1447" coordsize="9638,0" path="m1134,-1447l10772,-1447e" filled="false" stroked="true" strokeweight=".719971pt" strokecolor="#000000">
              <v:path arrowok="t"/>
            </v:shape>
            <w10:wrap type="none"/>
          </v:group>
        </w:pict>
      </w:r>
      <w:r>
        <w:rPr>
          <w:rFonts w:ascii="宋体" w:hAnsi="宋体" w:cs="宋体" w:eastAsia="宋体" w:hint="default"/>
          <w:b/>
          <w:bCs/>
          <w:sz w:val="52"/>
          <w:szCs w:val="52"/>
        </w:rPr>
        <w:t>安徽皖通科技股份有限公司</w:t>
      </w:r>
      <w:r>
        <w:rPr>
          <w:rFonts w:ascii="宋体" w:hAnsi="宋体" w:cs="宋体" w:eastAsia="宋体" w:hint="default"/>
          <w:sz w:val="52"/>
          <w:szCs w:val="52"/>
        </w:rPr>
      </w:r>
    </w:p>
    <w:p>
      <w:pPr>
        <w:spacing w:before="414"/>
        <w:ind w:left="514" w:right="495" w:firstLine="0"/>
        <w:jc w:val="center"/>
        <w:rPr>
          <w:rFonts w:ascii="Arial" w:hAnsi="Arial" w:cs="Arial" w:eastAsia="Arial" w:hint="default"/>
          <w:sz w:val="32"/>
          <w:szCs w:val="32"/>
        </w:rPr>
      </w:pPr>
      <w:r>
        <w:rPr>
          <w:rFonts w:ascii="Arial"/>
          <w:b/>
          <w:sz w:val="32"/>
        </w:rPr>
        <w:t>Anhui Wantong Technology</w:t>
      </w:r>
      <w:r>
        <w:rPr>
          <w:rFonts w:ascii="Arial"/>
          <w:b/>
          <w:spacing w:val="-15"/>
          <w:sz w:val="32"/>
        </w:rPr>
        <w:t> </w:t>
      </w:r>
      <w:r>
        <w:rPr>
          <w:rFonts w:ascii="Arial"/>
          <w:b/>
          <w:sz w:val="32"/>
        </w:rPr>
        <w:t>Co.,Ltd.</w:t>
      </w:r>
      <w:r>
        <w:rPr>
          <w:rFonts w:ascii="Arial"/>
          <w:sz w:val="32"/>
        </w:rPr>
      </w:r>
    </w:p>
    <w:p>
      <w:pPr>
        <w:spacing w:before="258"/>
        <w:ind w:left="514" w:right="515" w:firstLine="0"/>
        <w:jc w:val="center"/>
        <w:rPr>
          <w:rFonts w:ascii="宋体" w:hAnsi="宋体" w:cs="宋体" w:eastAsia="宋体" w:hint="default"/>
          <w:sz w:val="30"/>
          <w:szCs w:val="30"/>
        </w:rPr>
      </w:pPr>
      <w:r>
        <w:rPr>
          <w:rFonts w:ascii="宋体" w:hAnsi="宋体" w:cs="宋体" w:eastAsia="宋体" w:hint="default"/>
          <w:b/>
          <w:bCs/>
          <w:sz w:val="30"/>
          <w:szCs w:val="30"/>
        </w:rPr>
        <w:t>（安徽省合肥市高新区皖水路589号）</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line="1320" w:lineRule="exact"/>
        <w:ind w:left="3997"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1188720" cy="8382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88720" cy="838200"/>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1082" w:lineRule="exact" w:before="0"/>
        <w:ind w:left="1992" w:right="0" w:firstLine="0"/>
        <w:jc w:val="left"/>
        <w:rPr>
          <w:rFonts w:ascii="黑体" w:hAnsi="黑体" w:cs="黑体" w:eastAsia="黑体" w:hint="default"/>
          <w:sz w:val="84"/>
          <w:szCs w:val="84"/>
        </w:rPr>
      </w:pPr>
      <w:r>
        <w:rPr>
          <w:rFonts w:ascii="黑体" w:hAnsi="黑体" w:cs="黑体" w:eastAsia="黑体" w:hint="default"/>
          <w:sz w:val="84"/>
          <w:szCs w:val="84"/>
        </w:rPr>
        <w:t>2014年年度报告</w:t>
      </w:r>
    </w:p>
    <w:p>
      <w:pPr>
        <w:spacing w:line="240" w:lineRule="auto" w:before="0"/>
        <w:rPr>
          <w:rFonts w:ascii="黑体" w:hAnsi="黑体" w:cs="黑体" w:eastAsia="黑体" w:hint="default"/>
          <w:sz w:val="84"/>
          <w:szCs w:val="84"/>
        </w:rPr>
      </w:pPr>
    </w:p>
    <w:p>
      <w:pPr>
        <w:spacing w:line="240" w:lineRule="auto" w:before="0"/>
        <w:rPr>
          <w:rFonts w:ascii="黑体" w:hAnsi="黑体" w:cs="黑体" w:eastAsia="黑体" w:hint="default"/>
          <w:sz w:val="84"/>
          <w:szCs w:val="84"/>
        </w:rPr>
      </w:pPr>
    </w:p>
    <w:p>
      <w:pPr>
        <w:spacing w:line="240" w:lineRule="auto" w:before="3"/>
        <w:rPr>
          <w:rFonts w:ascii="黑体" w:hAnsi="黑体" w:cs="黑体" w:eastAsia="黑体" w:hint="default"/>
          <w:sz w:val="110"/>
          <w:szCs w:val="110"/>
        </w:rPr>
      </w:pPr>
    </w:p>
    <w:p>
      <w:pPr>
        <w:spacing w:line="379" w:lineRule="auto" w:before="0"/>
        <w:ind w:left="3004" w:right="2753" w:hanging="12"/>
        <w:jc w:val="left"/>
        <w:rPr>
          <w:rFonts w:ascii="宋体" w:hAnsi="宋体" w:cs="宋体" w:eastAsia="宋体" w:hint="default"/>
          <w:sz w:val="32"/>
          <w:szCs w:val="32"/>
        </w:rPr>
      </w:pPr>
      <w:r>
        <w:rPr>
          <w:rFonts w:ascii="宋体" w:hAnsi="宋体" w:cs="宋体" w:eastAsia="宋体" w:hint="default"/>
          <w:b/>
          <w:bCs/>
          <w:sz w:val="32"/>
          <w:szCs w:val="32"/>
        </w:rPr>
        <w:t>股票代码：002331</w:t>
      </w:r>
      <w:r>
        <w:rPr>
          <w:rFonts w:ascii="宋体" w:hAnsi="宋体" w:cs="宋体" w:eastAsia="宋体" w:hint="default"/>
          <w:b/>
          <w:bCs/>
          <w:w w:val="98"/>
          <w:sz w:val="32"/>
          <w:szCs w:val="32"/>
        </w:rPr>
        <w:t> </w:t>
      </w:r>
      <w:r>
        <w:rPr>
          <w:rFonts w:ascii="宋体" w:hAnsi="宋体" w:cs="宋体" w:eastAsia="宋体" w:hint="default"/>
          <w:b/>
          <w:bCs/>
          <w:sz w:val="32"/>
          <w:szCs w:val="32"/>
        </w:rPr>
        <w:t>股票简称：皖通科技</w:t>
      </w:r>
      <w:r>
        <w:rPr>
          <w:rFonts w:ascii="宋体" w:hAnsi="宋体" w:cs="宋体" w:eastAsia="宋体" w:hint="default"/>
          <w:b/>
          <w:bCs/>
          <w:w w:val="99"/>
          <w:sz w:val="32"/>
          <w:szCs w:val="32"/>
        </w:rPr>
        <w:t> </w:t>
      </w:r>
      <w:r>
        <w:rPr>
          <w:rFonts w:ascii="宋体" w:hAnsi="宋体" w:cs="宋体" w:eastAsia="宋体" w:hint="default"/>
          <w:b/>
          <w:bCs/>
          <w:sz w:val="32"/>
          <w:szCs w:val="32"/>
        </w:rPr>
        <w:t>披露日期：2015</w:t>
      </w:r>
      <w:r>
        <w:rPr>
          <w:rFonts w:ascii="宋体" w:hAnsi="宋体" w:cs="宋体" w:eastAsia="宋体" w:hint="default"/>
          <w:b/>
          <w:bCs/>
          <w:spacing w:val="-84"/>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2</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宋体" w:hAnsi="宋体" w:cs="宋体" w:eastAsia="宋体" w:hint="default"/>
          <w:b/>
          <w:bCs/>
          <w:sz w:val="32"/>
          <w:szCs w:val="32"/>
        </w:rPr>
        <w:t>17</w:t>
      </w:r>
      <w:r>
        <w:rPr>
          <w:rFonts w:ascii="宋体" w:hAnsi="宋体" w:cs="宋体" w:eastAsia="宋体" w:hint="default"/>
          <w:b/>
          <w:bCs/>
          <w:spacing w:val="-84"/>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379" w:lineRule="auto"/>
        <w:jc w:val="left"/>
        <w:rPr>
          <w:rFonts w:ascii="宋体" w:hAnsi="宋体" w:cs="宋体" w:eastAsia="宋体" w:hint="default"/>
          <w:sz w:val="32"/>
          <w:szCs w:val="32"/>
        </w:rPr>
        <w:sectPr>
          <w:headerReference w:type="default" r:id="rId5"/>
          <w:footerReference w:type="default" r:id="rId6"/>
          <w:type w:val="continuous"/>
          <w:pgSz w:w="11910" w:h="16840"/>
          <w:pgMar w:header="746" w:footer="978" w:top="1040" w:bottom="1160" w:left="1020" w:right="1020"/>
        </w:sectPr>
      </w:pPr>
    </w:p>
    <w:p>
      <w:pPr>
        <w:spacing w:line="240" w:lineRule="auto" w:before="6"/>
        <w:rPr>
          <w:rFonts w:ascii="宋体" w:hAnsi="宋体" w:cs="宋体" w:eastAsia="宋体" w:hint="default"/>
          <w:b/>
          <w:bCs/>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0"/>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sz w:val="28"/>
          <w:szCs w:val="28"/>
        </w:rPr>
        <w:t>公司经本次董事会审议通过的利润分配预案为：以</w:t>
      </w:r>
      <w:r>
        <w:rPr>
          <w:rFonts w:ascii="宋体" w:hAnsi="宋体" w:cs="宋体" w:eastAsia="宋体" w:hint="default"/>
          <w:b/>
          <w:bCs/>
          <w:spacing w:val="-71"/>
          <w:sz w:val="28"/>
          <w:szCs w:val="28"/>
        </w:rPr>
        <w:t> </w:t>
      </w:r>
      <w:r>
        <w:rPr>
          <w:rFonts w:ascii="宋体" w:hAnsi="宋体" w:cs="宋体" w:eastAsia="宋体" w:hint="default"/>
          <w:b/>
          <w:bCs/>
          <w:sz w:val="28"/>
          <w:szCs w:val="28"/>
        </w:rPr>
        <w:t>2014</w:t>
      </w:r>
      <w:r>
        <w:rPr>
          <w:rFonts w:ascii="宋体" w:hAnsi="宋体" w:cs="宋体" w:eastAsia="宋体" w:hint="default"/>
          <w:b/>
          <w:bCs/>
          <w:spacing w:val="-70"/>
          <w:sz w:val="28"/>
          <w:szCs w:val="28"/>
        </w:rPr>
        <w:t> </w:t>
      </w:r>
      <w:r>
        <w:rPr>
          <w:rFonts w:ascii="宋体" w:hAnsi="宋体" w:cs="宋体" w:eastAsia="宋体" w:hint="default"/>
          <w:b/>
          <w:bCs/>
          <w:sz w:val="28"/>
          <w:szCs w:val="28"/>
        </w:rPr>
        <w:t>年</w:t>
      </w:r>
      <w:r>
        <w:rPr>
          <w:rFonts w:ascii="宋体" w:hAnsi="宋体" w:cs="宋体" w:eastAsia="宋体" w:hint="default"/>
          <w:b/>
          <w:bCs/>
          <w:spacing w:val="-71"/>
          <w:sz w:val="28"/>
          <w:szCs w:val="28"/>
        </w:rPr>
        <w:t> </w:t>
      </w:r>
      <w:r>
        <w:rPr>
          <w:rFonts w:ascii="宋体" w:hAnsi="宋体" w:cs="宋体" w:eastAsia="宋体" w:hint="default"/>
          <w:b/>
          <w:bCs/>
          <w:sz w:val="28"/>
          <w:szCs w:val="28"/>
        </w:rPr>
        <w:t>12</w:t>
      </w:r>
      <w:r>
        <w:rPr>
          <w:rFonts w:ascii="宋体" w:hAnsi="宋体" w:cs="宋体" w:eastAsia="宋体" w:hint="default"/>
          <w:b/>
          <w:bCs/>
          <w:spacing w:val="-70"/>
          <w:sz w:val="28"/>
          <w:szCs w:val="28"/>
        </w:rPr>
        <w:t> </w:t>
      </w:r>
      <w:r>
        <w:rPr>
          <w:rFonts w:ascii="宋体" w:hAnsi="宋体" w:cs="宋体" w:eastAsia="宋体" w:hint="default"/>
          <w:b/>
          <w:bCs/>
          <w:sz w:val="28"/>
          <w:szCs w:val="28"/>
        </w:rPr>
        <w:t>月</w:t>
      </w:r>
      <w:r>
        <w:rPr>
          <w:rFonts w:ascii="宋体" w:hAnsi="宋体" w:cs="宋体" w:eastAsia="宋体" w:hint="default"/>
          <w:b/>
          <w:bCs/>
          <w:spacing w:val="-68"/>
          <w:sz w:val="28"/>
          <w:szCs w:val="28"/>
        </w:rPr>
        <w:t> </w:t>
      </w:r>
      <w:r>
        <w:rPr>
          <w:rFonts w:ascii="宋体" w:hAnsi="宋体" w:cs="宋体" w:eastAsia="宋体" w:hint="default"/>
          <w:b/>
          <w:bCs/>
          <w:sz w:val="28"/>
          <w:szCs w:val="28"/>
        </w:rPr>
        <w:t>31</w:t>
      </w:r>
      <w:r>
        <w:rPr>
          <w:rFonts w:ascii="宋体" w:hAnsi="宋体" w:cs="宋体" w:eastAsia="宋体" w:hint="default"/>
          <w:b/>
          <w:bCs/>
          <w:spacing w:val="-7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3"/>
          <w:sz w:val="28"/>
          <w:szCs w:val="28"/>
        </w:rPr>
        <w:t> </w:t>
      </w:r>
      <w:r>
        <w:rPr>
          <w:rFonts w:ascii="宋体" w:hAnsi="宋体" w:cs="宋体" w:eastAsia="宋体" w:hint="default"/>
          <w:b/>
          <w:bCs/>
          <w:sz w:val="28"/>
          <w:szCs w:val="28"/>
        </w:rPr>
        <w:t>243,282,678</w:t>
      </w:r>
      <w:r>
        <w:rPr>
          <w:rFonts w:ascii="宋体" w:hAnsi="宋体" w:cs="宋体" w:eastAsia="宋体" w:hint="default"/>
          <w:b/>
          <w:bCs/>
          <w:spacing w:val="-74"/>
          <w:sz w:val="28"/>
          <w:szCs w:val="28"/>
        </w:rPr>
        <w:t> </w:t>
      </w:r>
      <w:r>
        <w:rPr>
          <w:rFonts w:ascii="宋体" w:hAnsi="宋体" w:cs="宋体" w:eastAsia="宋体" w:hint="default"/>
          <w:b/>
          <w:bCs/>
          <w:spacing w:val="-10"/>
          <w:sz w:val="28"/>
          <w:szCs w:val="28"/>
        </w:rPr>
        <w:t>股为基数，向全体股东每</w:t>
      </w:r>
      <w:r>
        <w:rPr>
          <w:rFonts w:ascii="宋体" w:hAnsi="宋体" w:cs="宋体" w:eastAsia="宋体" w:hint="default"/>
          <w:b/>
          <w:bCs/>
          <w:spacing w:val="-73"/>
          <w:sz w:val="28"/>
          <w:szCs w:val="28"/>
        </w:rPr>
        <w:t> </w:t>
      </w:r>
      <w:r>
        <w:rPr>
          <w:rFonts w:ascii="宋体" w:hAnsi="宋体" w:cs="宋体" w:eastAsia="宋体" w:hint="default"/>
          <w:b/>
          <w:bCs/>
          <w:sz w:val="28"/>
          <w:szCs w:val="28"/>
        </w:rPr>
        <w:t>10</w:t>
      </w:r>
      <w:r>
        <w:rPr>
          <w:rFonts w:ascii="宋体" w:hAnsi="宋体" w:cs="宋体" w:eastAsia="宋体" w:hint="default"/>
          <w:b/>
          <w:bCs/>
          <w:spacing w:val="-7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3"/>
          <w:sz w:val="28"/>
          <w:szCs w:val="28"/>
        </w:rPr>
        <w:t> </w:t>
      </w:r>
      <w:r>
        <w:rPr>
          <w:rFonts w:ascii="宋体" w:hAnsi="宋体" w:cs="宋体" w:eastAsia="宋体" w:hint="default"/>
          <w:b/>
          <w:bCs/>
          <w:sz w:val="28"/>
          <w:szCs w:val="28"/>
        </w:rPr>
        <w:t>0.50</w:t>
      </w:r>
      <w:r>
        <w:rPr>
          <w:rFonts w:ascii="宋体" w:hAnsi="宋体" w:cs="宋体" w:eastAsia="宋体" w:hint="default"/>
          <w:b/>
          <w:bCs/>
          <w:spacing w:val="-72"/>
          <w:sz w:val="28"/>
          <w:szCs w:val="28"/>
        </w:rPr>
        <w:t> </w:t>
      </w:r>
      <w:r>
        <w:rPr>
          <w:rFonts w:ascii="宋体" w:hAnsi="宋体" w:cs="宋体" w:eastAsia="宋体" w:hint="default"/>
          <w:b/>
          <w:bCs/>
          <w:spacing w:val="-36"/>
          <w:sz w:val="28"/>
          <w:szCs w:val="28"/>
        </w:rPr>
        <w:t>元（含</w:t>
      </w:r>
      <w:r>
        <w:rPr>
          <w:rFonts w:ascii="宋体" w:hAnsi="宋体" w:cs="宋体" w:eastAsia="宋体" w:hint="default"/>
          <w:spacing w:val="-36"/>
          <w:sz w:val="28"/>
          <w:szCs w:val="28"/>
        </w:rPr>
      </w:r>
    </w:p>
    <w:p>
      <w:pPr>
        <w:spacing w:line="240" w:lineRule="auto" w:before="9"/>
        <w:rPr>
          <w:rFonts w:ascii="宋体" w:hAnsi="宋体" w:cs="宋体" w:eastAsia="宋体" w:hint="default"/>
          <w:b/>
          <w:bCs/>
          <w:sz w:val="19"/>
          <w:szCs w:val="19"/>
        </w:rPr>
      </w:pPr>
    </w:p>
    <w:p>
      <w:pPr>
        <w:spacing w:line="475" w:lineRule="auto" w:before="0"/>
        <w:ind w:left="674"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70"/>
          <w:w w:val="99"/>
          <w:sz w:val="28"/>
          <w:szCs w:val="28"/>
        </w:rPr>
        <w:t> </w:t>
      </w:r>
      <w:r>
        <w:rPr>
          <w:rFonts w:ascii="宋体" w:hAnsi="宋体" w:cs="宋体" w:eastAsia="宋体" w:hint="default"/>
          <w:b/>
          <w:bCs/>
          <w:w w:val="99"/>
          <w:sz w:val="28"/>
          <w:szCs w:val="28"/>
        </w:rPr>
        <w:t>0</w:t>
      </w:r>
      <w:r>
        <w:rPr>
          <w:rFonts w:ascii="宋体" w:hAnsi="宋体" w:cs="宋体" w:eastAsia="宋体" w:hint="default"/>
          <w:b/>
          <w:bCs/>
          <w:spacing w:val="-70"/>
          <w:w w:val="99"/>
          <w:sz w:val="28"/>
          <w:szCs w:val="28"/>
        </w:rPr>
        <w:t> </w:t>
      </w:r>
      <w:r>
        <w:rPr>
          <w:rFonts w:ascii="宋体" w:hAnsi="宋体" w:cs="宋体" w:eastAsia="宋体" w:hint="default"/>
          <w:b/>
          <w:bCs/>
          <w:spacing w:val="-9"/>
          <w:w w:val="99"/>
          <w:sz w:val="28"/>
          <w:szCs w:val="28"/>
        </w:rPr>
        <w:t>股（含税），以资本公积金向全体股东每</w:t>
      </w:r>
      <w:r>
        <w:rPr>
          <w:rFonts w:ascii="宋体" w:hAnsi="宋体" w:cs="宋体" w:eastAsia="宋体" w:hint="default"/>
          <w:b/>
          <w:bCs/>
          <w:spacing w:val="-72"/>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70"/>
          <w:w w:val="99"/>
          <w:sz w:val="28"/>
          <w:szCs w:val="28"/>
        </w:rPr>
        <w:t> </w:t>
      </w:r>
      <w:r>
        <w:rPr>
          <w:rFonts w:ascii="宋体" w:hAnsi="宋体" w:cs="宋体" w:eastAsia="宋体" w:hint="default"/>
          <w:b/>
          <w:bCs/>
          <w:spacing w:val="-1"/>
          <w:w w:val="99"/>
          <w:sz w:val="28"/>
          <w:szCs w:val="28"/>
        </w:rPr>
        <w:t>股转增</w:t>
      </w:r>
      <w:r>
        <w:rPr>
          <w:rFonts w:ascii="宋体" w:hAnsi="宋体" w:cs="宋体" w:eastAsia="宋体" w:hint="default"/>
          <w:b/>
          <w:bCs/>
          <w:spacing w:val="-70"/>
          <w:w w:val="99"/>
          <w:sz w:val="28"/>
          <w:szCs w:val="28"/>
        </w:rPr>
        <w:t> </w:t>
      </w:r>
      <w:r>
        <w:rPr>
          <w:rFonts w:ascii="宋体" w:hAnsi="宋体" w:cs="宋体" w:eastAsia="宋体" w:hint="default"/>
          <w:b/>
          <w:bCs/>
          <w:w w:val="99"/>
          <w:sz w:val="28"/>
          <w:szCs w:val="28"/>
        </w:rPr>
        <w:t>2</w:t>
      </w:r>
      <w:r>
        <w:rPr>
          <w:rFonts w:ascii="宋体" w:hAnsi="宋体" w:cs="宋体" w:eastAsia="宋体" w:hint="default"/>
          <w:b/>
          <w:bCs/>
          <w:spacing w:val="-72"/>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3"/>
          <w:w w:val="99"/>
          <w:sz w:val="28"/>
          <w:szCs w:val="28"/>
        </w:rPr>
        <w:t> </w:t>
      </w:r>
      <w:r>
        <w:rPr>
          <w:rFonts w:ascii="宋体" w:hAnsi="宋体" w:cs="宋体" w:eastAsia="宋体" w:hint="default"/>
          <w:b/>
          <w:bCs/>
          <w:spacing w:val="-133"/>
          <w:w w:val="99"/>
          <w:sz w:val="28"/>
          <w:szCs w:val="28"/>
        </w:rPr>
      </w:r>
      <w:r>
        <w:rPr>
          <w:rFonts w:ascii="宋体" w:hAnsi="宋体" w:cs="宋体" w:eastAsia="宋体" w:hint="default"/>
          <w:b/>
          <w:bCs/>
          <w:spacing w:val="2"/>
          <w:sz w:val="28"/>
          <w:szCs w:val="28"/>
        </w:rPr>
        <w:t>公司负责人王中胜、主管会计工作负责人卢玉平及会计机构负责人（会计</w:t>
      </w:r>
      <w:r>
        <w:rPr>
          <w:rFonts w:ascii="宋体" w:hAnsi="宋体" w:cs="宋体" w:eastAsia="宋体" w:hint="default"/>
          <w:spacing w:val="2"/>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主管人员）诸黎明声明：保证年度报告中财务报告的真实、准确、完整。</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footerReference w:type="default" r:id="rId8"/>
          <w:pgSz w:w="11910" w:h="16840"/>
          <w:pgMar w:footer="978" w:header="746" w:top="1040" w:bottom="1160" w:left="1020" w:right="1020"/>
          <w:pgNumType w:start="2"/>
        </w:sectPr>
      </w:pPr>
    </w:p>
    <w:p>
      <w:pPr>
        <w:spacing w:line="240" w:lineRule="auto" w:before="6"/>
        <w:rPr>
          <w:rFonts w:ascii="宋体" w:hAnsi="宋体" w:cs="宋体" w:eastAsia="宋体" w:hint="default"/>
          <w:b/>
          <w:bCs/>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719" w:val="left" w:leader="none"/>
        </w:tabs>
        <w:spacing w:line="460" w:lineRule="exact" w:before="0"/>
        <w:ind w:left="0" w:right="1"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42" w:val="right" w:leader="dot"/>
            </w:tabs>
            <w:spacing w:line="240" w:lineRule="auto" w:before="496"/>
            <w:ind w:right="0"/>
            <w:jc w:val="left"/>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r>
            <w:r>
              <w:rPr/>
              <w:t>2</w:t>
            </w:r>
          </w:hyperlink>
        </w:p>
        <w:p>
          <w:pPr>
            <w:pStyle w:val="TOC1"/>
            <w:tabs>
              <w:tab w:pos="9742" w:val="right" w:leader="dot"/>
            </w:tabs>
            <w:spacing w:line="240" w:lineRule="auto"/>
            <w:ind w:right="0"/>
            <w:jc w:val="left"/>
          </w:pPr>
          <w:hyperlink w:history="true" w:anchor="_bookmark1">
            <w:r>
              <w:rPr/>
              <w:t>第二节 公司简介</w:t>
            </w:r>
            <w:r>
              <w:rPr>
                <w:rFonts w:ascii="Times New Roman" w:hAnsi="Times New Roman" w:cs="Times New Roman" w:eastAsia="Times New Roman" w:hint="default"/>
              </w:rPr>
              <w:tab/>
            </w:r>
            <w:r>
              <w:rPr/>
              <w:t>6</w:t>
            </w:r>
          </w:hyperlink>
        </w:p>
        <w:p>
          <w:pPr>
            <w:pStyle w:val="TOC1"/>
            <w:tabs>
              <w:tab w:pos="9742" w:val="right" w:leader="dot"/>
            </w:tabs>
            <w:spacing w:line="240" w:lineRule="auto" w:before="295"/>
            <w:ind w:right="0"/>
            <w:jc w:val="left"/>
          </w:pPr>
          <w:hyperlink w:history="true" w:anchor="_bookmark2">
            <w:r>
              <w:rPr/>
              <w:t>第三节 会计数据和财务指标摘要</w:t>
            </w:r>
            <w:r>
              <w:rPr>
                <w:rFonts w:ascii="Times New Roman" w:hAnsi="Times New Roman" w:cs="Times New Roman" w:eastAsia="Times New Roman" w:hint="default"/>
              </w:rPr>
              <w:tab/>
            </w:r>
            <w:r>
              <w:rPr/>
              <w:t>8</w:t>
            </w:r>
          </w:hyperlink>
        </w:p>
        <w:p>
          <w:pPr>
            <w:pStyle w:val="TOC1"/>
            <w:tabs>
              <w:tab w:pos="9742" w:val="right" w:leader="dot"/>
            </w:tabs>
            <w:spacing w:line="240" w:lineRule="auto"/>
            <w:ind w:right="0"/>
            <w:jc w:val="left"/>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t>10</w:t>
            </w:r>
          </w:hyperlink>
        </w:p>
        <w:p>
          <w:pPr>
            <w:pStyle w:val="TOC1"/>
            <w:tabs>
              <w:tab w:pos="9742" w:val="right" w:leader="dot"/>
            </w:tabs>
            <w:spacing w:line="240" w:lineRule="auto"/>
            <w:ind w:right="0"/>
            <w:jc w:val="left"/>
          </w:pPr>
          <w:hyperlink w:history="true" w:anchor="_bookmark4">
            <w:r>
              <w:rPr/>
              <w:t>第五节</w:t>
            </w:r>
            <w:r>
              <w:rPr>
                <w:spacing w:val="1"/>
              </w:rPr>
              <w:t> </w:t>
            </w:r>
            <w:r>
              <w:rPr/>
              <w:t>重要事项</w:t>
            </w:r>
            <w:r>
              <w:rPr>
                <w:rFonts w:ascii="Times New Roman" w:hAnsi="Times New Roman" w:cs="Times New Roman" w:eastAsia="Times New Roman" w:hint="default"/>
              </w:rPr>
              <w:tab/>
            </w:r>
            <w:r>
              <w:rPr/>
              <w:t>30</w:t>
            </w:r>
          </w:hyperlink>
        </w:p>
        <w:p>
          <w:pPr>
            <w:pStyle w:val="TOC1"/>
            <w:tabs>
              <w:tab w:pos="9742" w:val="right" w:leader="dot"/>
            </w:tabs>
            <w:spacing w:line="240" w:lineRule="auto" w:before="295"/>
            <w:ind w:right="0"/>
            <w:jc w:val="left"/>
          </w:pPr>
          <w:hyperlink w:history="true" w:anchor="_bookmark5">
            <w:r>
              <w:rPr/>
              <w:t>第六节 股份变动及股东情况</w:t>
            </w:r>
            <w:r>
              <w:rPr>
                <w:rFonts w:ascii="Times New Roman" w:hAnsi="Times New Roman" w:cs="Times New Roman" w:eastAsia="Times New Roman" w:hint="default"/>
              </w:rPr>
              <w:tab/>
            </w:r>
            <w:r>
              <w:rPr/>
              <w:t>38</w:t>
            </w:r>
          </w:hyperlink>
        </w:p>
        <w:p>
          <w:pPr>
            <w:pStyle w:val="TOC1"/>
            <w:tabs>
              <w:tab w:pos="9742" w:val="right" w:leader="dot"/>
            </w:tabs>
            <w:spacing w:line="240" w:lineRule="auto"/>
            <w:ind w:right="0"/>
            <w:jc w:val="left"/>
          </w:pPr>
          <w:hyperlink w:history="true" w:anchor="_bookmark6">
            <w:r>
              <w:rPr/>
              <w:t>第七节 优先股相关情况</w:t>
            </w:r>
            <w:r>
              <w:rPr>
                <w:rFonts w:ascii="Times New Roman" w:hAnsi="Times New Roman" w:cs="Times New Roman" w:eastAsia="Times New Roman" w:hint="default"/>
              </w:rPr>
              <w:tab/>
            </w:r>
            <w:r>
              <w:rPr/>
              <w:t>44</w:t>
            </w:r>
          </w:hyperlink>
        </w:p>
        <w:p>
          <w:pPr>
            <w:pStyle w:val="TOC1"/>
            <w:tabs>
              <w:tab w:pos="9742" w:val="right" w:leader="dot"/>
            </w:tabs>
            <w:spacing w:line="240" w:lineRule="auto"/>
            <w:ind w:right="0"/>
            <w:jc w:val="left"/>
          </w:pPr>
          <w:hyperlink w:history="true" w:anchor="_bookmark7">
            <w:r>
              <w:rPr/>
              <w:t>第八节 董事、监事、高级管理人员和员工情况</w:t>
            </w:r>
            <w:r>
              <w:rPr>
                <w:rFonts w:ascii="Times New Roman" w:hAnsi="Times New Roman" w:cs="Times New Roman" w:eastAsia="Times New Roman" w:hint="default"/>
              </w:rPr>
              <w:tab/>
            </w:r>
            <w:r>
              <w:rPr/>
              <w:t>45</w:t>
            </w:r>
          </w:hyperlink>
        </w:p>
        <w:p>
          <w:pPr>
            <w:pStyle w:val="TOC1"/>
            <w:tabs>
              <w:tab w:pos="9742" w:val="right" w:leader="dot"/>
            </w:tabs>
            <w:spacing w:line="240" w:lineRule="auto" w:before="295"/>
            <w:ind w:right="0"/>
            <w:jc w:val="left"/>
          </w:pPr>
          <w:hyperlink w:history="true" w:anchor="_bookmark8">
            <w:r>
              <w:rPr/>
              <w:t>第九节</w:t>
            </w:r>
            <w:r>
              <w:rPr>
                <w:spacing w:val="1"/>
              </w:rPr>
              <w:t> </w:t>
            </w:r>
            <w:r>
              <w:rPr/>
              <w:t>公司治理</w:t>
            </w:r>
            <w:r>
              <w:rPr>
                <w:rFonts w:ascii="Times New Roman" w:hAnsi="Times New Roman" w:cs="Times New Roman" w:eastAsia="Times New Roman" w:hint="default"/>
              </w:rPr>
              <w:tab/>
            </w:r>
            <w:r>
              <w:rPr/>
              <w:t>51</w:t>
            </w:r>
          </w:hyperlink>
        </w:p>
        <w:p>
          <w:pPr>
            <w:pStyle w:val="TOC1"/>
            <w:tabs>
              <w:tab w:pos="9742" w:val="right" w:leader="dot"/>
            </w:tabs>
            <w:spacing w:line="240" w:lineRule="auto"/>
            <w:ind w:right="0"/>
            <w:jc w:val="left"/>
          </w:pPr>
          <w:hyperlink w:history="true" w:anchor="_bookmark9">
            <w:r>
              <w:rPr/>
              <w:t>第十节</w:t>
            </w:r>
            <w:r>
              <w:rPr>
                <w:spacing w:val="1"/>
              </w:rPr>
              <w:t> </w:t>
            </w:r>
            <w:r>
              <w:rPr/>
              <w:t>内部控制</w:t>
            </w:r>
            <w:r>
              <w:rPr>
                <w:rFonts w:ascii="Times New Roman" w:hAnsi="Times New Roman" w:cs="Times New Roman" w:eastAsia="Times New Roman" w:hint="default"/>
              </w:rPr>
              <w:tab/>
            </w:r>
            <w:r>
              <w:rPr/>
              <w:t>56</w:t>
            </w:r>
          </w:hyperlink>
        </w:p>
        <w:p>
          <w:pPr>
            <w:pStyle w:val="TOC1"/>
            <w:tabs>
              <w:tab w:pos="9742" w:val="right" w:leader="dot"/>
            </w:tabs>
            <w:spacing w:line="240" w:lineRule="auto"/>
            <w:ind w:right="0"/>
            <w:jc w:val="left"/>
          </w:pPr>
          <w:hyperlink w:history="true" w:anchor="_bookmark10">
            <w:r>
              <w:rPr/>
              <w:t>第十一节</w:t>
            </w:r>
            <w:r>
              <w:rPr>
                <w:spacing w:val="-1"/>
              </w:rPr>
              <w:t> </w:t>
            </w:r>
            <w:r>
              <w:rPr/>
              <w:t>财务报告</w:t>
            </w:r>
            <w:r>
              <w:rPr>
                <w:rFonts w:ascii="Times New Roman" w:hAnsi="Times New Roman" w:cs="Times New Roman" w:eastAsia="Times New Roman" w:hint="default"/>
              </w:rPr>
              <w:tab/>
            </w:r>
            <w:r>
              <w:rPr/>
              <w:t>58</w:t>
            </w:r>
          </w:hyperlink>
        </w:p>
        <w:p>
          <w:pPr>
            <w:pStyle w:val="TOC1"/>
            <w:tabs>
              <w:tab w:pos="9742" w:val="right" w:leader="dot"/>
            </w:tabs>
            <w:spacing w:line="240" w:lineRule="auto" w:before="295"/>
            <w:ind w:right="0"/>
            <w:jc w:val="left"/>
          </w:pPr>
          <w:hyperlink w:history="true" w:anchor="_bookmark11">
            <w:r>
              <w:rPr/>
              <w:t>第十二节</w:t>
            </w:r>
            <w:r>
              <w:rPr>
                <w:spacing w:val="-2"/>
              </w:rPr>
              <w:t> </w:t>
            </w:r>
            <w:r>
              <w:rPr/>
              <w:t>备查文件目录</w:t>
            </w:r>
            <w:r>
              <w:rPr>
                <w:rFonts w:ascii="Times New Roman" w:hAnsi="Times New Roman" w:cs="Times New Roman" w:eastAsia="Times New Roman" w:hint="default"/>
              </w:rPr>
              <w:tab/>
            </w:r>
            <w:r>
              <w:rPr/>
              <w:t>164</w:t>
            </w:r>
          </w:hyperlink>
        </w:p>
        <w:p>
          <w:pPr/>
          <w:r>
            <w:fldChar w:fldCharType="end"/>
          </w:r>
        </w:p>
      </w:sdtContent>
    </w:sdt>
    <w:p>
      <w:pPr>
        <w:spacing w:after="0"/>
        <w:sectPr>
          <w:pgSz w:w="11910" w:h="16840"/>
          <w:pgMar w:header="746" w:footer="978" w:top="1040" w:bottom="1160" w:left="1020" w:right="1020"/>
        </w:sectPr>
      </w:pPr>
    </w:p>
    <w:p>
      <w:pPr>
        <w:spacing w:before="957"/>
        <w:ind w:left="514" w:right="51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本公司、公司、皖通科技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王中胜、杨世宁、杨新子</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保荐人、国元证券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会计师、大华会计师事务所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华东电子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汉高信息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天安怡和</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金飞博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甲子科技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玺朗传媒</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天津玺朗文化传媒有限公司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重庆皖通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皖通智能</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宏途科技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0"/>
        <w:ind w:left="3969" w:right="0" w:firstLine="0"/>
        <w:jc w:val="left"/>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408" w:lineRule="auto" w:before="223"/>
        <w:ind w:left="112" w:right="0" w:firstLine="561"/>
        <w:jc w:val="left"/>
        <w:rPr>
          <w:rFonts w:ascii="宋体" w:hAnsi="宋体" w:cs="宋体" w:eastAsia="宋体" w:hint="default"/>
          <w:sz w:val="28"/>
          <w:szCs w:val="28"/>
        </w:rPr>
      </w:pPr>
      <w:r>
        <w:rPr>
          <w:rFonts w:ascii="宋体" w:hAnsi="宋体" w:cs="宋体" w:eastAsia="宋体" w:hint="default"/>
          <w:b/>
          <w:bCs/>
          <w:spacing w:val="2"/>
          <w:sz w:val="28"/>
          <w:szCs w:val="28"/>
        </w:rPr>
        <w:t>敬请投资者关注第四节“董事会报告”中“八、公司未来发展的展望”之</w:t>
      </w:r>
      <w:r>
        <w:rPr>
          <w:rFonts w:ascii="宋体" w:hAnsi="宋体" w:cs="宋体" w:eastAsia="宋体" w:hint="default"/>
          <w:b/>
          <w:bCs/>
          <w:w w:val="99"/>
          <w:sz w:val="28"/>
          <w:szCs w:val="28"/>
        </w:rPr>
        <w:t> </w:t>
      </w:r>
      <w:r>
        <w:rPr>
          <w:rFonts w:ascii="宋体" w:hAnsi="宋体" w:cs="宋体" w:eastAsia="宋体" w:hint="default"/>
          <w:b/>
          <w:bCs/>
          <w:spacing w:val="-9"/>
          <w:w w:val="99"/>
          <w:sz w:val="28"/>
          <w:szCs w:val="28"/>
        </w:rPr>
        <w:t>“</w:t>
      </w:r>
      <w:r>
        <w:rPr>
          <w:rFonts w:ascii="Times New Roman" w:hAnsi="Times New Roman" w:cs="Times New Roman" w:eastAsia="Times New Roman" w:hint="default"/>
          <w:b/>
          <w:bCs/>
          <w:spacing w:val="-9"/>
          <w:w w:val="99"/>
          <w:sz w:val="28"/>
          <w:szCs w:val="28"/>
        </w:rPr>
        <w:t>3</w:t>
      </w:r>
      <w:r>
        <w:rPr>
          <w:rFonts w:ascii="宋体" w:hAnsi="宋体" w:cs="宋体" w:eastAsia="宋体" w:hint="default"/>
          <w:b/>
          <w:bCs/>
          <w:spacing w:val="-9"/>
          <w:w w:val="99"/>
          <w:sz w:val="28"/>
          <w:szCs w:val="28"/>
        </w:rPr>
        <w:t>、企业面临的风险及应对措施”。</w:t>
      </w:r>
      <w:r>
        <w:rPr>
          <w:rFonts w:ascii="宋体" w:hAnsi="宋体" w:cs="宋体" w:eastAsia="宋体" w:hint="default"/>
          <w:spacing w:val="-9"/>
          <w:sz w:val="28"/>
          <w:szCs w:val="28"/>
        </w:rPr>
      </w:r>
    </w:p>
    <w:p>
      <w:pPr>
        <w:spacing w:after="0" w:line="408" w:lineRule="auto"/>
        <w:jc w:val="left"/>
        <w:rPr>
          <w:rFonts w:ascii="宋体" w:hAnsi="宋体" w:cs="宋体" w:eastAsia="宋体" w:hint="default"/>
          <w:sz w:val="28"/>
          <w:szCs w:val="28"/>
        </w:rPr>
        <w:sectPr>
          <w:pgSz w:w="11910" w:h="16840"/>
          <w:pgMar w:header="746" w:footer="978" w:top="104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right="514"/>
        <w:jc w:val="center"/>
        <w:rPr>
          <w:b w:val="0"/>
          <w:bCs w:val="0"/>
        </w:rPr>
      </w:pPr>
      <w:bookmarkStart w:name="_bookmark1" w:id="2"/>
      <w:bookmarkEnd w:id="2"/>
      <w:r>
        <w:rPr>
          <w:b w:val="0"/>
          <w:bCs w:val="0"/>
        </w:rPr>
      </w:r>
      <w:r>
        <w:rPr/>
        <w:t>第二节</w:t>
      </w:r>
      <w:r>
        <w:rPr>
          <w:spacing w:val="-7"/>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207"/>
        <w:gridCol w:w="2730"/>
        <w:gridCol w:w="1456"/>
        <w:gridCol w:w="2176"/>
      </w:tblGrid>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皖通科技</w:t>
            </w:r>
          </w:p>
        </w:tc>
        <w:tc>
          <w:tcPr>
            <w:tcW w:w="1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002331</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3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皖通科技</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Anhui </w:t>
            </w:r>
            <w:r>
              <w:rPr>
                <w:rFonts w:ascii="Times New Roman"/>
                <w:spacing w:val="-3"/>
                <w:sz w:val="18"/>
              </w:rPr>
              <w:t>Wantong </w:t>
            </w:r>
            <w:r>
              <w:rPr>
                <w:rFonts w:ascii="Times New Roman"/>
                <w:sz w:val="18"/>
              </w:rPr>
              <w:t>Technology</w:t>
            </w:r>
            <w:r>
              <w:rPr>
                <w:rFonts w:ascii="Times New Roman"/>
                <w:spacing w:val="-21"/>
                <w:sz w:val="18"/>
              </w:rPr>
              <w:t> </w:t>
            </w:r>
            <w:r>
              <w:rPr>
                <w:rFonts w:ascii="Times New Roman"/>
                <w:sz w:val="18"/>
              </w:rPr>
              <w:t>Co.,Ltd.</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pacing w:val="-4"/>
                <w:sz w:val="18"/>
              </w:rPr>
              <w:t>WANTONG   </w:t>
            </w:r>
            <w:r>
              <w:rPr>
                <w:rFonts w:ascii="Times New Roman"/>
                <w:spacing w:val="8"/>
                <w:sz w:val="18"/>
              </w:rPr>
              <w:t> </w:t>
            </w:r>
            <w:r>
              <w:rPr>
                <w:rFonts w:ascii="Times New Roman"/>
                <w:sz w:val="18"/>
              </w:rPr>
              <w:t>TECH.</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230088</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230088</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hyperlink r:id="rId9">
              <w:r>
                <w:rPr>
                  <w:rFonts w:ascii="Times New Roman"/>
                  <w:sz w:val="18"/>
                </w:rPr>
                <w:t>www.wantong-tech.net</w:t>
              </w:r>
            </w:hyperlink>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wtkj@wantong-tech.net</w:t>
              </w:r>
            </w:hyperlink>
          </w:p>
        </w:tc>
      </w:tr>
    </w:tbl>
    <w:p>
      <w:pPr>
        <w:spacing w:line="240" w:lineRule="auto" w:before="13"/>
        <w:rPr>
          <w:rFonts w:ascii="宋体" w:hAnsi="宋体" w:cs="宋体" w:eastAsia="宋体" w:hint="default"/>
          <w:b/>
          <w:bCs/>
          <w:sz w:val="17"/>
          <w:szCs w:val="17"/>
        </w:rPr>
      </w:pPr>
    </w:p>
    <w:p>
      <w:pPr>
        <w:pStyle w:val="Heading3"/>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潘大圣</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0551-62969206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0551-62969206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0551-62969207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0551-62969207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wtkj@wantong-tech.net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dspan@wantong-tech.net</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5"/>
        <w:rPr>
          <w:rFonts w:ascii="宋体" w:hAnsi="宋体" w:cs="宋体" w:eastAsia="宋体" w:hint="default"/>
          <w:b/>
          <w:bCs/>
          <w:sz w:val="24"/>
          <w:szCs w:val="24"/>
        </w:rPr>
      </w:pPr>
    </w:p>
    <w:p>
      <w:pPr>
        <w:pStyle w:val="Heading3"/>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0"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安徽省合肥市长江 西路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地块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3401061000193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340104711761244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71176124-4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安徽省合肥市高新 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340106000003814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340104711761244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71176124-4</w:t>
            </w: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1"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6"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日，安徽皖通高速公路股份有限公司为</w:t>
            </w:r>
          </w:p>
        </w:tc>
      </w:tr>
      <w:tr>
        <w:trPr>
          <w:trHeight w:val="33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公司控股股东，持股比例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r>
      <w:tr>
        <w:trPr>
          <w:trHeight w:val="33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日，安徽皖通高速公路股份有限公司为</w:t>
            </w:r>
          </w:p>
        </w:tc>
      </w:tr>
      <w:tr>
        <w:trPr>
          <w:trHeight w:val="664"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公司控股股东，持股比例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75.5%</w:t>
            </w:r>
            <w:r>
              <w:rPr>
                <w:rFonts w:ascii="宋体" w:hAnsi="宋体" w:cs="宋体" w:eastAsia="宋体" w:hint="default"/>
                <w:sz w:val="18"/>
                <w:szCs w:val="18"/>
              </w:rPr>
              <w:t>；</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日，安徽国元信托投资有限责任公司为公</w:t>
            </w:r>
          </w:p>
        </w:tc>
      </w:tr>
      <w:tr>
        <w:trPr>
          <w:trHeight w:val="33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司控股股东，持股比例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75.5%</w:t>
            </w:r>
            <w:r>
              <w:rPr>
                <w:rFonts w:ascii="宋体" w:hAnsi="宋体" w:cs="宋体" w:eastAsia="宋体" w:hint="default"/>
                <w:sz w:val="18"/>
                <w:szCs w:val="18"/>
              </w:rPr>
              <w:t>；</w:t>
            </w:r>
          </w:p>
        </w:tc>
      </w:tr>
      <w:tr>
        <w:trPr>
          <w:trHeight w:val="331"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2005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日至今，王中胜、杨世宁和杨新子为公司实际控制人；截至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p>
        </w:tc>
      </w:tr>
      <w:tr>
        <w:trPr>
          <w:trHeight w:val="353"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6"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25.86%</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吕勇军</w:t>
            </w:r>
            <w:r>
              <w:rPr>
                <w:rFonts w:ascii="宋体" w:hAnsi="宋体" w:cs="宋体" w:eastAsia="宋体" w:hint="default"/>
                <w:spacing w:val="1"/>
                <w:sz w:val="18"/>
                <w:szCs w:val="18"/>
              </w:rPr>
              <w:t> </w:t>
            </w:r>
            <w:r>
              <w:rPr>
                <w:rFonts w:ascii="宋体" w:hAnsi="宋体" w:cs="宋体" w:eastAsia="宋体" w:hint="default"/>
                <w:sz w:val="18"/>
                <w:szCs w:val="18"/>
              </w:rPr>
              <w:t>王原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82"/>
        <w:gridCol w:w="2535"/>
        <w:gridCol w:w="2160"/>
        <w:gridCol w:w="2191"/>
      </w:tblGrid>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55"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343" w:right="226" w:hanging="116"/>
              <w:jc w:val="left"/>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安徽国际金融中心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胡伟</w:t>
            </w:r>
            <w:r>
              <w:rPr>
                <w:rFonts w:ascii="宋体" w:hAnsi="宋体" w:cs="宋体" w:eastAsia="宋体" w:hint="default"/>
                <w:spacing w:val="90"/>
                <w:sz w:val="18"/>
                <w:szCs w:val="18"/>
              </w:rPr>
              <w:t> </w:t>
            </w:r>
            <w:r>
              <w:rPr>
                <w:rFonts w:ascii="宋体" w:hAnsi="宋体" w:cs="宋体" w:eastAsia="宋体" w:hint="default"/>
                <w:sz w:val="18"/>
                <w:szCs w:val="18"/>
              </w:rPr>
              <w:t>束学岭</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2966" w:right="703"/>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3"/>
        <w:spacing w:line="240" w:lineRule="auto"/>
        <w:ind w:left="472" w:right="703"/>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472" w:right="703"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472" w:right="7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360"/>
        <w:gridCol w:w="1375"/>
        <w:gridCol w:w="1353"/>
        <w:gridCol w:w="1353"/>
        <w:gridCol w:w="1201"/>
        <w:gridCol w:w="1354"/>
        <w:gridCol w:w="1354"/>
      </w:tblGrid>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3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4" w:right="54" w:hanging="449"/>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7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3D3D3"/>
          </w:tcPr>
          <w:p>
            <w:pPr/>
          </w:p>
        </w:tc>
        <w:tc>
          <w:tcPr>
            <w:tcW w:w="1375" w:type="dxa"/>
            <w:vMerge/>
            <w:tcBorders>
              <w:left w:val="single" w:sz="4" w:space="0" w:color="000000"/>
              <w:bottom w:val="single" w:sz="4" w:space="0" w:color="000000"/>
              <w:right w:val="single" w:sz="4" w:space="0" w:color="000000"/>
            </w:tcBorders>
            <w:shd w:val="clear" w:color="auto" w:fill="D3D3D3"/>
          </w:tcPr>
          <w:p>
            <w:pPr/>
          </w:p>
        </w:tc>
        <w:tc>
          <w:tcPr>
            <w:tcW w:w="1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781,300,863.63</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794,848,110.65</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794,848,110.65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660,944,646.11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660,944,646.11</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57,132,485.37</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70,763,819.33</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70,763,819.33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65,669,178.85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65,669,178.85</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45,167,852.06</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52,782,871.62</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52,782,871.62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54,831,192.77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54,831,192.77</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-9,092,586.42</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54,869,611.66</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54,869,611.66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-116.57%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41,002,428.47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41,002,428.47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0.2579</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0.3303</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0.3303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-21.92%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0.3065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0.3065</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0.2579</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0.3303</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0.3303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0.3065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0.3065</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6.54%</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9.72%</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9.72%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9.72%</w:t>
            </w:r>
          </w:p>
        </w:tc>
      </w:tr>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3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4" w:right="54" w:hanging="269"/>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7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3D3D3"/>
          </w:tcPr>
          <w:p>
            <w:pPr/>
          </w:p>
        </w:tc>
        <w:tc>
          <w:tcPr>
            <w:tcW w:w="1375" w:type="dxa"/>
            <w:vMerge/>
            <w:tcBorders>
              <w:left w:val="single" w:sz="4" w:space="0" w:color="000000"/>
              <w:bottom w:val="single" w:sz="4" w:space="0" w:color="000000"/>
              <w:right w:val="single" w:sz="4" w:space="0" w:color="000000"/>
            </w:tcBorders>
            <w:shd w:val="clear" w:color="auto" w:fill="D3D3D3"/>
          </w:tcPr>
          <w:p>
            <w:pPr/>
          </w:p>
        </w:tc>
        <w:tc>
          <w:tcPr>
            <w:tcW w:w="1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1,568,372,663.06</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1,226,046,484.96</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1,226,046,484.96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1,144,533,044.11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1,144,533,044.11</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1,172,344,855.64</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757,547,514.15</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757,547,514.15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700,174,733.62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700,174,733.62</w:t>
            </w:r>
          </w:p>
        </w:tc>
      </w:tr>
    </w:tbl>
    <w:p>
      <w:pPr>
        <w:spacing w:line="240" w:lineRule="auto" w:before="1"/>
        <w:rPr>
          <w:rFonts w:ascii="宋体" w:hAnsi="宋体" w:cs="宋体" w:eastAsia="宋体" w:hint="default"/>
          <w:sz w:val="18"/>
          <w:szCs w:val="18"/>
        </w:rPr>
      </w:pPr>
    </w:p>
    <w:p>
      <w:pPr>
        <w:pStyle w:val="Heading3"/>
        <w:spacing w:line="240" w:lineRule="auto" w:before="26"/>
        <w:ind w:left="472" w:right="703"/>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72" w:right="70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472" w:right="7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left="472" w:right="70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472" w:right="1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after="0" w:line="338" w:lineRule="auto"/>
        <w:jc w:val="left"/>
        <w:rPr>
          <w:rFonts w:ascii="宋体" w:hAnsi="宋体" w:cs="宋体" w:eastAsia="宋体" w:hint="default"/>
          <w:sz w:val="18"/>
          <w:szCs w:val="18"/>
        </w:rPr>
        <w:sectPr>
          <w:pgSz w:w="11910" w:h="16840"/>
          <w:pgMar w:header="746" w:footer="978" w:top="1040" w:bottom="1160" w:left="660" w:right="660"/>
        </w:sectPr>
      </w:pPr>
    </w:p>
    <w:p>
      <w:pPr>
        <w:spacing w:line="240" w:lineRule="auto" w:before="5"/>
        <w:rPr>
          <w:rFonts w:ascii="宋体" w:hAnsi="宋体" w:cs="宋体" w:eastAsia="宋体" w:hint="default"/>
          <w:sz w:val="24"/>
          <w:szCs w:val="24"/>
        </w:rPr>
      </w:pPr>
    </w:p>
    <w:p>
      <w:pPr>
        <w:pStyle w:val="Heading3"/>
        <w:spacing w:line="240" w:lineRule="auto" w:before="26"/>
        <w:ind w:right="0"/>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16,099,286.63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648,830.03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10,327,966.05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5,587,792.00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11,980,535.67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本期获得政府补助增 多所致</w:t>
            </w: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4,329,434.70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-17,345.20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14,857.19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102,420.47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2,172,661.70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3,255,314.12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1,807,872.38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353,760.54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465,673.99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85,927.71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11,964,633.31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17,980,947.71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10,837,986.08</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50"/>
        <w:ind w:left="11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112" w:firstLine="0"/>
        <w:jc w:val="both"/>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both"/>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552" w:right="3652"/>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right="202"/>
        <w:jc w:val="left"/>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202" w:firstLine="480"/>
        <w:jc w:val="left"/>
      </w:pPr>
      <w:r>
        <w:rPr>
          <w:spacing w:val="-2"/>
        </w:rPr>
        <w:t>报告期内，公司在全面把握宏观产业政策和行业发展趋势的基础上，紧密围绕董事会年初制定的战略</w:t>
      </w:r>
      <w:r>
        <w:rPr>
          <w:w w:val="99"/>
        </w:rPr>
        <w:t> </w:t>
      </w:r>
      <w:r>
        <w:rPr/>
        <w:t>规划，坚持“抓效益</w:t>
      </w:r>
      <w:r>
        <w:rPr>
          <w:spacing w:val="-11"/>
        </w:rPr>
        <w:t> </w:t>
      </w:r>
      <w:r>
        <w:rPr/>
        <w:t>保增长”的工作主线，推进技术创新，力拓行业市场，精细内部管理，圆满完成了</w:t>
      </w:r>
      <w:r>
        <w:rPr>
          <w:w w:val="99"/>
        </w:rPr>
        <w:t> </w:t>
      </w:r>
      <w:r>
        <w:rPr/>
        <w:t>年初制定的各项工作目标，保持了企业稳中向好的发展态势。</w:t>
      </w:r>
    </w:p>
    <w:p>
      <w:pPr>
        <w:pStyle w:val="BodyText"/>
        <w:spacing w:line="273" w:lineRule="auto"/>
        <w:ind w:right="210" w:firstLine="420"/>
        <w:jc w:val="both"/>
      </w:pPr>
      <w:r>
        <w:rPr>
          <w:w w:val="95"/>
        </w:rPr>
        <w:t>报告期内，公司积极参与行业大型会议和互动论坛，在掌握行业最新技术动态的同时，持续推广公司</w:t>
      </w:r>
      <w:r>
        <w:rPr>
          <w:spacing w:val="-97"/>
          <w:w w:val="95"/>
        </w:rPr>
        <w:t> </w:t>
      </w:r>
      <w:r>
        <w:rPr>
          <w:spacing w:val="-97"/>
          <w:w w:val="95"/>
        </w:rPr>
      </w:r>
      <w:r>
        <w:rPr/>
        <w:t>品牌，荣获</w:t>
      </w:r>
      <w:r>
        <w:rPr>
          <w:spacing w:val="-20"/>
        </w:rPr>
        <w:t> </w:t>
      </w:r>
      <w:r>
        <w:rPr>
          <w:spacing w:val="2"/>
        </w:rPr>
        <w:t>“2014中国IT运维服务优秀品牌”、“中国智能交通协会2014年度优秀单位会员”、“2014</w:t>
      </w:r>
      <w:r>
        <w:rPr>
          <w:w w:val="99"/>
        </w:rPr>
        <w:t> </w:t>
      </w:r>
      <w:r>
        <w:rPr>
          <w:spacing w:val="2"/>
        </w:rPr>
        <w:t>年度安徽省软件企业20强”、</w:t>
      </w:r>
      <w:r>
        <w:rPr>
          <w:spacing w:val="-19"/>
        </w:rPr>
        <w:t> </w:t>
      </w:r>
      <w:r>
        <w:rPr>
          <w:spacing w:val="2"/>
        </w:rPr>
        <w:t>“安徽省重点软件企业”、“合肥市高校毕业生就业见习单位”等称号，</w:t>
      </w:r>
      <w:r>
        <w:rPr>
          <w:w w:val="99"/>
        </w:rPr>
        <w:t> </w:t>
      </w:r>
      <w:r>
        <w:rPr/>
        <w:t>为提升行业知名度和市场占有率奠定了坚实基础。</w:t>
      </w:r>
    </w:p>
    <w:p>
      <w:pPr>
        <w:spacing w:line="240" w:lineRule="auto" w:before="10"/>
        <w:rPr>
          <w:rFonts w:ascii="宋体" w:hAnsi="宋体" w:cs="宋体" w:eastAsia="宋体" w:hint="default"/>
          <w:sz w:val="21"/>
          <w:szCs w:val="21"/>
        </w:rPr>
      </w:pPr>
    </w:p>
    <w:p>
      <w:pPr>
        <w:pStyle w:val="Heading3"/>
        <w:spacing w:line="240" w:lineRule="auto"/>
        <w:ind w:right="202"/>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0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02" w:firstLine="480"/>
        <w:jc w:val="left"/>
      </w:pPr>
      <w:r>
        <w:rPr>
          <w:spacing w:val="-1"/>
          <w:w w:val="95"/>
        </w:rPr>
        <w:t>报告期内，公司实现营业收入781,300,863.63元，比上年同期减少1.7%；利润总额72,446,574.33元，</w:t>
      </w:r>
      <w:r>
        <w:rPr>
          <w:w w:val="99"/>
        </w:rPr>
        <w:t> </w:t>
      </w:r>
      <w:r>
        <w:rPr/>
        <w:t>比上年同期减少15.23%；归属于上市公司股东的净利润57,132,485.37元，比上年同期减少19.26%。</w:t>
      </w:r>
    </w:p>
    <w:p>
      <w:pPr>
        <w:pStyle w:val="BodyText"/>
        <w:spacing w:line="273" w:lineRule="auto"/>
        <w:ind w:right="212" w:firstLine="480"/>
        <w:jc w:val="both"/>
      </w:pPr>
      <w:r>
        <w:rPr>
          <w:spacing w:val="-2"/>
        </w:rPr>
        <w:t>报告期内，公司继续保持在交通信息化领域的领先地位，同时依托技术和品牌优势，瞄准行业细分市</w:t>
      </w:r>
      <w:r>
        <w:rPr>
          <w:w w:val="99"/>
        </w:rPr>
        <w:t> </w:t>
      </w:r>
      <w:r>
        <w:rPr/>
        <w:t>场需求，持续创新业务模式，抢占行业信息化发展新的高地。其中：</w:t>
      </w:r>
    </w:p>
    <w:p>
      <w:pPr>
        <w:pStyle w:val="BodyText"/>
        <w:spacing w:line="273" w:lineRule="auto"/>
        <w:ind w:right="212" w:firstLine="480"/>
        <w:jc w:val="both"/>
      </w:pPr>
      <w:r>
        <w:rPr/>
        <w:t>高速公路信息化领域，以ETC全国联网为契机，积极跟进相关新建及改造升级项目，巩固了在高速公</w:t>
      </w:r>
      <w:r>
        <w:rPr>
          <w:w w:val="99"/>
        </w:rPr>
        <w:t> </w:t>
      </w:r>
      <w:r>
        <w:rPr>
          <w:w w:val="95"/>
        </w:rPr>
        <w:t>路联网收费领域的行业龙头地位；同时凭借高效的市场响应机制和丰富的项目建设管理经验，成功涉足特</w:t>
      </w:r>
      <w:r>
        <w:rPr>
          <w:spacing w:val="40"/>
          <w:w w:val="95"/>
        </w:rPr>
        <w:t> </w:t>
      </w:r>
      <w:r>
        <w:rPr>
          <w:spacing w:val="40"/>
          <w:w w:val="95"/>
        </w:rPr>
      </w:r>
      <w:r>
        <w:rPr/>
        <w:t>长隧道信息化和国省干线公路信息化领域，有效拓展企业市场空间，大幅提升市场管控能力；</w:t>
      </w:r>
    </w:p>
    <w:p>
      <w:pPr>
        <w:pStyle w:val="BodyText"/>
        <w:spacing w:line="273" w:lineRule="auto"/>
        <w:ind w:right="108" w:firstLine="480"/>
        <w:jc w:val="left"/>
      </w:pPr>
      <w:r>
        <w:rPr>
          <w:spacing w:val="-4"/>
          <w:w w:val="95"/>
        </w:rPr>
        <w:t>港口航运信息化领域，在稳步拓展国内市场的同时，加快海外项目的实施进度，逐步形成“立足国内，</w:t>
      </w:r>
      <w:r>
        <w:rPr>
          <w:w w:val="99"/>
        </w:rPr>
        <w:t> </w:t>
      </w:r>
      <w:r>
        <w:rPr/>
        <w:t>走向海外”的市场辐射效应；同时加大基于TD-LTE技术的企业网通讯终端的产品研发和市场推广力度，积</w:t>
      </w:r>
      <w:r>
        <w:rPr>
          <w:w w:val="99"/>
        </w:rPr>
        <w:t> </w:t>
      </w:r>
      <w:r>
        <w:rPr/>
        <w:t>极推进港口物流软件及信息服务平台升级换代，有效提升公司技术服务能力；</w:t>
      </w:r>
    </w:p>
    <w:p>
      <w:pPr>
        <w:pStyle w:val="BodyText"/>
        <w:spacing w:line="273" w:lineRule="auto"/>
        <w:ind w:right="212" w:firstLine="480"/>
        <w:jc w:val="both"/>
      </w:pPr>
      <w:r>
        <w:rPr>
          <w:spacing w:val="-2"/>
        </w:rPr>
        <w:t>城市智能交通领域，紧跟“智慧城市”建设热潮，以合肥市及周边地级市场为基础，充分利用本地化</w:t>
      </w:r>
      <w:r>
        <w:rPr>
          <w:w w:val="99"/>
        </w:rPr>
        <w:t> </w:t>
      </w:r>
      <w:r>
        <w:rPr>
          <w:w w:val="95"/>
        </w:rPr>
        <w:t>管理优势，持续扩大市场份额；以“城市智能交通管理平台”为技术支撑，不断挖掘并引导用户需求，撬</w:t>
      </w:r>
      <w:r>
        <w:rPr>
          <w:spacing w:val="40"/>
          <w:w w:val="95"/>
        </w:rPr>
        <w:t> </w:t>
      </w:r>
      <w:r>
        <w:rPr>
          <w:spacing w:val="40"/>
          <w:w w:val="95"/>
        </w:rPr>
      </w:r>
      <w:r>
        <w:rPr/>
        <w:t>动该领域大型系统集成项目市场；</w:t>
      </w:r>
    </w:p>
    <w:p>
      <w:pPr>
        <w:pStyle w:val="BodyText"/>
        <w:spacing w:line="273" w:lineRule="auto"/>
        <w:ind w:right="212" w:firstLine="480"/>
        <w:jc w:val="both"/>
      </w:pPr>
      <w:r>
        <w:rPr>
          <w:spacing w:val="-2"/>
        </w:rPr>
        <w:t>智能安防领域，不断完善并积极推广司法信息化业已成熟的技术平台，同时积极引进市场营销和项目</w:t>
      </w:r>
      <w:r>
        <w:rPr>
          <w:w w:val="99"/>
        </w:rPr>
        <w:t> </w:t>
      </w:r>
      <w:r>
        <w:rPr>
          <w:w w:val="95"/>
        </w:rPr>
        <w:t>管理人才，大幅拓展商业园区信息化、教育信息化市场，在培育利润增长点的同时，为公司探索行业信息</w:t>
      </w:r>
      <w:r>
        <w:rPr>
          <w:spacing w:val="41"/>
          <w:w w:val="95"/>
        </w:rPr>
        <w:t> </w:t>
      </w:r>
      <w:r>
        <w:rPr>
          <w:spacing w:val="41"/>
          <w:w w:val="95"/>
        </w:rPr>
      </w:r>
      <w:r>
        <w:rPr/>
        <w:t>化领域提供了新的思路。</w:t>
      </w:r>
    </w:p>
    <w:p>
      <w:pPr>
        <w:pStyle w:val="BodyText"/>
        <w:spacing w:line="273" w:lineRule="auto"/>
        <w:ind w:right="210" w:firstLine="420"/>
        <w:jc w:val="both"/>
      </w:pPr>
      <w:r>
        <w:rPr>
          <w:w w:val="95"/>
        </w:rPr>
        <w:t>报告期内，公司鼓励以市场为导向的科技创新工作，致力于构建产学研一体的技术研发体系，同时高</w:t>
      </w:r>
      <w:r>
        <w:rPr>
          <w:w w:val="99"/>
        </w:rPr>
        <w:t> </w:t>
      </w:r>
      <w:r>
        <w:rPr>
          <w:w w:val="95"/>
        </w:rPr>
        <w:t>度重视研发成果的知识产权保护，共取得“智能路网综合指挥调度系统”、“路面治超管理系统”、“自</w:t>
      </w:r>
      <w:r>
        <w:rPr>
          <w:spacing w:val="43"/>
          <w:w w:val="95"/>
        </w:rPr>
        <w:t> </w:t>
      </w:r>
      <w:r>
        <w:rPr>
          <w:spacing w:val="43"/>
          <w:w w:val="95"/>
        </w:rPr>
      </w:r>
      <w:r>
        <w:rPr>
          <w:w w:val="95"/>
        </w:rPr>
        <w:t>动化码头系统”等20项软件著作权和“一种车联网路侧信息采集与服务系统”、“一种高速公路交通事故</w:t>
      </w:r>
      <w:r>
        <w:rPr>
          <w:spacing w:val="36"/>
          <w:w w:val="95"/>
        </w:rPr>
        <w:t> </w:t>
      </w:r>
      <w:r>
        <w:rPr>
          <w:spacing w:val="36"/>
          <w:w w:val="95"/>
        </w:rPr>
      </w:r>
      <w:r>
        <w:rPr>
          <w:w w:val="95"/>
        </w:rPr>
        <w:t>主动防控系统”、“一种图形化多通讯方式车载终端设备”等24项实用新型专利，以及“基于片区建模的</w:t>
      </w:r>
      <w:r>
        <w:rPr>
          <w:spacing w:val="40"/>
          <w:w w:val="95"/>
        </w:rPr>
        <w:t> </w:t>
      </w:r>
      <w:r>
        <w:rPr>
          <w:spacing w:val="40"/>
          <w:w w:val="95"/>
        </w:rPr>
      </w:r>
      <w:r>
        <w:rPr>
          <w:spacing w:val="2"/>
          <w:w w:val="95"/>
        </w:rPr>
        <w:t>高速公路多路径通行费拆分方法”1项发明专利。另外，公司自主研发的“高速公路路面养护决策系统”</w:t>
      </w:r>
      <w:r>
        <w:rPr>
          <w:spacing w:val="49"/>
          <w:w w:val="95"/>
        </w:rPr>
        <w:t> </w:t>
      </w:r>
      <w:r>
        <w:rPr>
          <w:spacing w:val="49"/>
          <w:w w:val="95"/>
        </w:rPr>
      </w:r>
      <w:r>
        <w:rPr/>
        <w:t>获“2014年安徽省重点新产品”殊荣。</w:t>
      </w:r>
    </w:p>
    <w:p>
      <w:pPr>
        <w:spacing w:before="71"/>
        <w:ind w:left="112" w:right="202"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273" w:lineRule="auto" w:before="92"/>
        <w:ind w:right="215" w:firstLine="480"/>
        <w:jc w:val="both"/>
      </w:pPr>
      <w:r>
        <w:rPr>
          <w:spacing w:val="-2"/>
        </w:rPr>
        <w:t>报告期内，公司顺利完成非公开发行股票工作，为后续的科技研发、市场开拓和业务发展提供了强有</w:t>
      </w:r>
      <w:r>
        <w:rPr>
          <w:w w:val="99"/>
        </w:rPr>
        <w:t> </w:t>
      </w:r>
      <w:r>
        <w:rPr>
          <w:w w:val="95"/>
        </w:rPr>
        <w:t>力的支撑；同时，加大资本运作力度，启动重大资产重组事项，并积极配合财务顾问、律师事务所、会计</w:t>
      </w:r>
      <w:r>
        <w:rPr>
          <w:spacing w:val="37"/>
          <w:w w:val="95"/>
        </w:rPr>
        <w:t> </w:t>
      </w:r>
      <w:r>
        <w:rPr>
          <w:spacing w:val="37"/>
          <w:w w:val="95"/>
        </w:rPr>
      </w:r>
      <w:r>
        <w:rPr/>
        <w:t>师事务所、资产评估机构开展工作，稳步推进重组进程。</w:t>
      </w:r>
    </w:p>
    <w:p>
      <w:pPr>
        <w:spacing w:after="0" w:line="273" w:lineRule="auto"/>
        <w:jc w:val="both"/>
        <w:sectPr>
          <w:footerReference w:type="default" r:id="rId13"/>
          <w:pgSz w:w="11910" w:h="16840"/>
          <w:pgMar w:footer="978" w:header="746" w:top="1040" w:bottom="1160" w:left="1020" w:right="920"/>
          <w:pgNumType w:start="1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76"/>
        <w:ind w:left="0" w:right="3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312" w:type="dxa"/>
        <w:tblLayout w:type="fixed"/>
        <w:tblCellMar>
          <w:top w:w="0" w:type="dxa"/>
          <w:left w:w="0" w:type="dxa"/>
          <w:bottom w:w="0" w:type="dxa"/>
          <w:right w:w="0" w:type="dxa"/>
        </w:tblCellMar>
        <w:tblLook w:val="01E0"/>
      </w:tblPr>
      <w:tblGrid>
        <w:gridCol w:w="2402"/>
        <w:gridCol w:w="1706"/>
        <w:gridCol w:w="1705"/>
        <w:gridCol w:w="1706"/>
        <w:gridCol w:w="1706"/>
      </w:tblGrid>
      <w:tr>
        <w:trPr>
          <w:trHeight w:val="347" w:hRule="exact"/>
        </w:trPr>
        <w:tc>
          <w:tcPr>
            <w:tcW w:w="2402"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tabs>
                <w:tab w:pos="451"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11"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2"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2402"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7" w:hRule="exact"/>
        </w:trPr>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781,070,522.93</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617,110,861.08</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794,070,544.30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622,083,114.81</w:t>
            </w:r>
          </w:p>
        </w:tc>
      </w:tr>
      <w:tr>
        <w:trPr>
          <w:trHeight w:val="347" w:hRule="exact"/>
        </w:trPr>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230,340.70</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430,309.76</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777,566.35</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649,304.60</w:t>
            </w:r>
          </w:p>
        </w:tc>
      </w:tr>
      <w:tr>
        <w:trPr>
          <w:trHeight w:val="347" w:hRule="exact"/>
        </w:trPr>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781,300,863.63</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617,541,170.84</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794,848,110.65</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622,732,419.41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7"/>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 公司重大的在手订单情况</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532" w:right="0"/>
        <w:jc w:val="left"/>
      </w:pPr>
      <w:r>
        <w:rPr/>
        <w:t>福建省漳州至永安高速公路龙岩段机电工程隧道通风、照明、消防及沿线供配电系统供货与安装合同</w:t>
      </w:r>
    </w:p>
    <w:p>
      <w:pPr>
        <w:pStyle w:val="BodyText"/>
        <w:spacing w:line="240" w:lineRule="auto" w:before="37"/>
        <w:ind w:right="0"/>
        <w:jc w:val="left"/>
      </w:pPr>
      <w:r>
        <w:rPr/>
        <w:t>（</w:t>
      </w:r>
      <w:r>
        <w:rPr>
          <w:rFonts w:ascii="Times New Roman" w:hAnsi="Times New Roman" w:cs="Times New Roman" w:eastAsia="Times New Roman" w:hint="default"/>
        </w:rPr>
        <w:t>ED1</w:t>
      </w:r>
      <w:r>
        <w:rPr/>
        <w:t>合同段），合同额：</w:t>
      </w:r>
      <w:r>
        <w:rPr>
          <w:rFonts w:ascii="Times New Roman" w:hAnsi="Times New Roman" w:cs="Times New Roman" w:eastAsia="Times New Roman" w:hint="default"/>
        </w:rPr>
        <w:t>85,735,501.53</w:t>
      </w:r>
      <w:r>
        <w:rPr/>
        <w:t>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日，结算额：</w:t>
      </w:r>
      <w:r>
        <w:rPr>
          <w:rFonts w:ascii="Times New Roman" w:hAnsi="Times New Roman" w:cs="Times New Roman" w:eastAsia="Times New Roman" w:hint="default"/>
        </w:rPr>
        <w:t>10,397,251.00</w:t>
      </w:r>
      <w:r>
        <w:rPr/>
        <w:t>元。</w:t>
      </w:r>
    </w:p>
    <w:p>
      <w:pPr>
        <w:spacing w:before="87"/>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公司报告期内产品或服务发生重大变化或调整有关情况</w:t>
      </w:r>
    </w:p>
    <w:p>
      <w:pPr>
        <w:spacing w:line="340" w:lineRule="auto" w:before="115"/>
        <w:ind w:left="112" w:right="7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公司主要销售客户情况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149,009,336.86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53,951,561.76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32,032,502.41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23,182,843.04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20,056,389.00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19,786,040.65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149,009,336.86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19.07%</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1"/>
        <w:gridCol w:w="1418"/>
        <w:gridCol w:w="2693"/>
        <w:gridCol w:w="2693"/>
        <w:gridCol w:w="1066"/>
      </w:tblGrid>
      <w:tr>
        <w:trPr>
          <w:trHeight w:val="400"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01"/>
        <w:gridCol w:w="1418"/>
        <w:gridCol w:w="1276"/>
        <w:gridCol w:w="1417"/>
        <w:gridCol w:w="1276"/>
        <w:gridCol w:w="1417"/>
        <w:gridCol w:w="1066"/>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外购材料和劳务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582,429,451.85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589,709,364.70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17,511,700.26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 w:right="0"/>
              <w:jc w:val="center"/>
              <w:rPr>
                <w:rFonts w:ascii="Times New Roman" w:hAnsi="Times New Roman" w:cs="Times New Roman" w:eastAsia="Times New Roman" w:hint="default"/>
                <w:sz w:val="18"/>
                <w:szCs w:val="18"/>
              </w:rPr>
            </w:pPr>
            <w:r>
              <w:rPr>
                <w:rFonts w:ascii="Times New Roman"/>
                <w:sz w:val="18"/>
              </w:rPr>
              <w:t>14,785,755.49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17,169,708.97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 w:right="0"/>
              <w:jc w:val="center"/>
              <w:rPr>
                <w:rFonts w:ascii="Times New Roman" w:hAnsi="Times New Roman" w:cs="Times New Roman" w:eastAsia="Times New Roman" w:hint="default"/>
                <w:sz w:val="18"/>
                <w:szCs w:val="18"/>
              </w:rPr>
            </w:pPr>
            <w:r>
              <w:rPr>
                <w:rFonts w:ascii="Times New Roman"/>
                <w:sz w:val="18"/>
              </w:rPr>
              <w:t>17,587,994.59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617,110,861.08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Times New Roman" w:hAnsi="Times New Roman" w:cs="Times New Roman" w:eastAsia="Times New Roman" w:hint="default"/>
                <w:sz w:val="18"/>
                <w:szCs w:val="18"/>
              </w:rPr>
            </w:pPr>
            <w:r>
              <w:rPr>
                <w:rFonts w:ascii="Times New Roman"/>
                <w:sz w:val="18"/>
              </w:rPr>
              <w:t>622,083,114.78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1743"/>
        <w:gridCol w:w="1367"/>
        <w:gridCol w:w="1367"/>
        <w:gridCol w:w="1367"/>
        <w:gridCol w:w="1367"/>
        <w:gridCol w:w="1367"/>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7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993" w:type="dxa"/>
            <w:vMerge/>
            <w:tcBorders>
              <w:left w:val="single" w:sz="4" w:space="0" w:color="000000"/>
              <w:bottom w:val="single" w:sz="4" w:space="0" w:color="000000"/>
              <w:right w:val="single" w:sz="4" w:space="0" w:color="000000"/>
            </w:tcBorders>
            <w:shd w:val="clear" w:color="auto" w:fill="D3D3D3"/>
          </w:tcPr>
          <w:p>
            <w:pPr/>
          </w:p>
        </w:tc>
        <w:tc>
          <w:tcPr>
            <w:tcW w:w="1743"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494,623,758.02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505,086,272.79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8,624,059.26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5,521,152.76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12,494,122.33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11,806,835.79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515,741,939.61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522,414,261.34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87,430,736.72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81,973,685.29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4,488,058.71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7,979,237.76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4,443,374.11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5,776,248.50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96,362,169.54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95,729,171.55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技术转让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374,957.11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1,184,037.44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-41.24%</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技术转让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4,399,582.29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1,240,664.97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36.81%</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技术转让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232,212.53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4.44%</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技术转让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5,006,751.93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2,429,612.71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1,465,369.18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-97.04%</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1,510,069.18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57" w:lineRule="auto" w:before="50"/>
        <w:ind w:left="112" w:right="5054" w:firstLine="0"/>
        <w:jc w:val="left"/>
        <w:rPr>
          <w:rFonts w:ascii="宋体" w:hAnsi="宋体" w:cs="宋体" w:eastAsia="宋体" w:hint="default"/>
          <w:sz w:val="18"/>
          <w:szCs w:val="18"/>
        </w:rPr>
      </w:pPr>
      <w:r>
        <w:rPr>
          <w:rFonts w:ascii="宋体" w:hAnsi="宋体" w:cs="宋体" w:eastAsia="宋体" w:hint="default"/>
          <w:sz w:val="18"/>
          <w:szCs w:val="18"/>
        </w:rPr>
        <w:t>说明 本年度成本的主要构成项目占比与上年同期相比基本持平。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73,089,372.75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19.92%</w:t>
            </w:r>
          </w:p>
        </w:tc>
      </w:tr>
    </w:tbl>
    <w:p>
      <w:pPr>
        <w:spacing w:before="7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16,824,423.00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4.59%</w:t>
            </w:r>
          </w:p>
        </w:tc>
      </w:tr>
      <w:tr>
        <w:trPr>
          <w:trHeight w:val="400"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14,840,352.83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14,696,868.34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13,734,418.54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12,993,310.04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73,089,372.75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19.92%</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44"/>
        <w:ind w:left="0" w:right="48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080"/>
        <w:gridCol w:w="905"/>
        <w:gridCol w:w="850"/>
        <w:gridCol w:w="851"/>
        <w:gridCol w:w="1701"/>
        <w:gridCol w:w="2410"/>
        <w:gridCol w:w="1599"/>
      </w:tblGrid>
      <w:tr>
        <w:trPr>
          <w:trHeight w:val="347" w:hRule="exact"/>
        </w:trPr>
        <w:tc>
          <w:tcPr>
            <w:tcW w:w="108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90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85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70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right="61"/>
              <w:jc w:val="center"/>
              <w:rPr>
                <w:rFonts w:ascii="宋体" w:hAnsi="宋体" w:cs="宋体" w:eastAsia="宋体" w:hint="default"/>
                <w:sz w:val="18"/>
                <w:szCs w:val="18"/>
              </w:rPr>
            </w:pPr>
            <w:r>
              <w:rPr>
                <w:rFonts w:ascii="宋体" w:hAnsi="宋体" w:cs="宋体" w:eastAsia="宋体" w:hint="default"/>
                <w:sz w:val="18"/>
                <w:szCs w:val="18"/>
              </w:rPr>
              <w:t>本年比上年增减幅度</w:t>
            </w:r>
          </w:p>
        </w:tc>
        <w:tc>
          <w:tcPr>
            <w:tcW w:w="241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的原因</w:t>
            </w:r>
          </w:p>
        </w:tc>
        <w:tc>
          <w:tcPr>
            <w:tcW w:w="159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占营业收入的比例</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7"/>
              <w:jc w:val="right"/>
              <w:rPr>
                <w:rFonts w:ascii="Times New Roman" w:hAnsi="Times New Roman" w:cs="Times New Roman" w:eastAsia="Times New Roman" w:hint="default"/>
                <w:sz w:val="18"/>
                <w:szCs w:val="18"/>
              </w:rPr>
            </w:pPr>
            <w:r>
              <w:rPr>
                <w:rFonts w:ascii="Times New Roman"/>
                <w:spacing w:val="-1"/>
                <w:sz w:val="18"/>
              </w:rPr>
              <w:t>2,630.06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2,619.39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2,551.05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0.41%</w:t>
            </w:r>
          </w:p>
        </w:tc>
        <w:tc>
          <w:tcPr>
            <w:tcW w:w="2410"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3.37%</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7"/>
              <w:jc w:val="right"/>
              <w:rPr>
                <w:rFonts w:ascii="Times New Roman" w:hAnsi="Times New Roman" w:cs="Times New Roman" w:eastAsia="Times New Roman" w:hint="default"/>
                <w:sz w:val="18"/>
                <w:szCs w:val="18"/>
              </w:rPr>
            </w:pPr>
            <w:r>
              <w:rPr>
                <w:rFonts w:ascii="Times New Roman"/>
                <w:spacing w:val="-1"/>
                <w:sz w:val="18"/>
              </w:rPr>
              <w:t>6,800.10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6,368.05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5,158.76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6.78%</w:t>
            </w:r>
          </w:p>
        </w:tc>
        <w:tc>
          <w:tcPr>
            <w:tcW w:w="2410"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8.70%</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2" w:right="0"/>
              <w:jc w:val="left"/>
              <w:rPr>
                <w:rFonts w:ascii="Times New Roman" w:hAnsi="Times New Roman" w:cs="Times New Roman" w:eastAsia="Times New Roman" w:hint="default"/>
                <w:sz w:val="18"/>
                <w:szCs w:val="18"/>
              </w:rPr>
            </w:pPr>
            <w:r>
              <w:rPr>
                <w:rFonts w:ascii="Times New Roman"/>
                <w:sz w:val="18"/>
              </w:rPr>
              <w:t>-92.19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7"/>
              <w:jc w:val="right"/>
              <w:rPr>
                <w:rFonts w:ascii="Times New Roman" w:hAnsi="Times New Roman" w:cs="Times New Roman" w:eastAsia="Times New Roman" w:hint="default"/>
                <w:sz w:val="18"/>
                <w:szCs w:val="18"/>
              </w:rPr>
            </w:pPr>
            <w:r>
              <w:rPr>
                <w:rFonts w:ascii="Times New Roman"/>
                <w:spacing w:val="-1"/>
                <w:sz w:val="18"/>
              </w:rPr>
              <w:t>-278.44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9"/>
              <w:jc w:val="right"/>
              <w:rPr>
                <w:rFonts w:ascii="Times New Roman" w:hAnsi="Times New Roman" w:cs="Times New Roman" w:eastAsia="Times New Roman" w:hint="default"/>
                <w:sz w:val="18"/>
                <w:szCs w:val="18"/>
              </w:rPr>
            </w:pPr>
            <w:r>
              <w:rPr>
                <w:rFonts w:ascii="Times New Roman"/>
                <w:spacing w:val="-1"/>
                <w:sz w:val="18"/>
              </w:rPr>
              <w:t>-297.94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-66.89%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7" w:right="0"/>
              <w:jc w:val="left"/>
              <w:rPr>
                <w:rFonts w:ascii="宋体" w:hAnsi="宋体" w:cs="宋体" w:eastAsia="宋体" w:hint="default"/>
                <w:sz w:val="18"/>
                <w:szCs w:val="18"/>
              </w:rPr>
            </w:pPr>
            <w:r>
              <w:rPr>
                <w:rFonts w:ascii="宋体" w:hAnsi="宋体" w:cs="宋体" w:eastAsia="宋体" w:hint="default"/>
                <w:sz w:val="18"/>
                <w:szCs w:val="18"/>
              </w:rPr>
              <w:t>利息收入减少所致</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9" w:right="0"/>
              <w:jc w:val="left"/>
              <w:rPr>
                <w:rFonts w:ascii="Times New Roman" w:hAnsi="Times New Roman" w:cs="Times New Roman" w:eastAsia="Times New Roman" w:hint="default"/>
                <w:sz w:val="18"/>
                <w:szCs w:val="18"/>
              </w:rPr>
            </w:pPr>
            <w:r>
              <w:rPr>
                <w:rFonts w:ascii="Times New Roman"/>
                <w:sz w:val="18"/>
              </w:rPr>
              <w:t>-0.12%</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7"/>
              <w:jc w:val="right"/>
              <w:rPr>
                <w:rFonts w:ascii="Times New Roman" w:hAnsi="Times New Roman" w:cs="Times New Roman" w:eastAsia="Times New Roman" w:hint="default"/>
                <w:sz w:val="18"/>
                <w:szCs w:val="18"/>
              </w:rPr>
            </w:pPr>
            <w:r>
              <w:rPr>
                <w:rFonts w:ascii="Times New Roman"/>
                <w:spacing w:val="-1"/>
                <w:sz w:val="18"/>
              </w:rPr>
              <w:t>1,174.41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1,156.82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1,233.56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1.52%</w:t>
            </w:r>
          </w:p>
        </w:tc>
        <w:tc>
          <w:tcPr>
            <w:tcW w:w="2410"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1.50%</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1"/>
                <w:sz w:val="18"/>
              </w:rPr>
              <w:t>10,512.39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9,865.82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8,645.43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6.55%</w:t>
            </w:r>
          </w:p>
        </w:tc>
        <w:tc>
          <w:tcPr>
            <w:tcW w:w="2410"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5" w:right="0"/>
              <w:jc w:val="left"/>
              <w:rPr>
                <w:rFonts w:ascii="Times New Roman" w:hAnsi="Times New Roman" w:cs="Times New Roman" w:eastAsia="Times New Roman" w:hint="default"/>
                <w:sz w:val="18"/>
                <w:szCs w:val="18"/>
              </w:rPr>
            </w:pPr>
            <w:r>
              <w:rPr>
                <w:rFonts w:ascii="Times New Roman"/>
                <w:sz w:val="18"/>
              </w:rPr>
              <w:t>13.45%</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before="44"/>
        <w:ind w:left="0" w:right="48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226" w:type="dxa"/>
        <w:tblLayout w:type="fixed"/>
        <w:tblCellMar>
          <w:top w:w="0" w:type="dxa"/>
          <w:left w:w="0" w:type="dxa"/>
          <w:bottom w:w="0" w:type="dxa"/>
          <w:right w:w="0" w:type="dxa"/>
        </w:tblCellMar>
        <w:tblLook w:val="01E0"/>
      </w:tblPr>
      <w:tblGrid>
        <w:gridCol w:w="1865"/>
        <w:gridCol w:w="1417"/>
        <w:gridCol w:w="1418"/>
        <w:gridCol w:w="567"/>
        <w:gridCol w:w="1276"/>
        <w:gridCol w:w="1559"/>
        <w:gridCol w:w="1295"/>
      </w:tblGrid>
      <w:tr>
        <w:trPr>
          <w:trHeight w:val="347" w:hRule="exact"/>
        </w:trPr>
        <w:tc>
          <w:tcPr>
            <w:tcW w:w="1865"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1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6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本期转出数</w:t>
            </w:r>
          </w:p>
        </w:tc>
        <w:tc>
          <w:tcPr>
            <w:tcW w:w="1295"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20"/>
              <w:ind w:left="2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1865" w:type="dxa"/>
            <w:vMerge/>
            <w:tcBorders>
              <w:left w:val="single" w:sz="6" w:space="0" w:color="000000"/>
              <w:bottom w:val="single" w:sz="6" w:space="0" w:color="000000"/>
              <w:right w:val="single" w:sz="6" w:space="0" w:color="000000"/>
            </w:tcBorders>
            <w:shd w:val="clear" w:color="auto" w:fill="D8D8D8"/>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8D8D8"/>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56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计入当期损益</w:t>
            </w:r>
          </w:p>
        </w:tc>
        <w:tc>
          <w:tcPr>
            <w:tcW w:w="155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确认为无形资产</w:t>
            </w:r>
          </w:p>
        </w:tc>
        <w:tc>
          <w:tcPr>
            <w:tcW w:w="1295" w:type="dxa"/>
            <w:vMerge/>
            <w:tcBorders>
              <w:left w:val="single" w:sz="6" w:space="0" w:color="000000"/>
              <w:bottom w:val="single" w:sz="6" w:space="0" w:color="000000"/>
              <w:right w:val="single" w:sz="6" w:space="0" w:color="000000"/>
            </w:tcBorders>
            <w:shd w:val="clear" w:color="auto" w:fill="D8D8D8"/>
          </w:tcPr>
          <w:p>
            <w:pPr/>
          </w:p>
        </w:tc>
      </w:tr>
      <w:tr>
        <w:trPr>
          <w:trHeight w:val="348" w:hRule="exact"/>
        </w:trPr>
        <w:tc>
          <w:tcPr>
            <w:tcW w:w="186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高速公路系统开发项目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20,205,213.03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37,289,853.72</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12,756,707.25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14,532,849.02</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30,205,510.48</w:t>
            </w: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监狱系统项目开发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3,217,674.83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1,022,735.86</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28,975.59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4,211,435.10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港口生产调度等开发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1,953,794.85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5,446,501.00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3,602,456.30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3,797,839.55</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25,376,682.71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43,759,090.58</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16,388,139.14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22,542,123.67</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30,205,510.48</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2"/>
        <w:gridCol w:w="2232"/>
        <w:gridCol w:w="2392"/>
        <w:gridCol w:w="2392"/>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892,777,452.71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965,425,548.93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-7.52%</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901,870,039.13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910,555,937.27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-0.95%</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-9,092,586.42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54,869,611.66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-116.57%</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571,804,034.62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284,755.45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200,705.30%</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715,106,309.93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39,849,319.84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1,694.53%</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-143,302,275.31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-39,564,564.39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238.36%</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374,719,048.93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14,853,593.19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2,422.75%</w:t>
            </w:r>
          </w:p>
        </w:tc>
      </w:tr>
      <w:tr>
        <w:trPr>
          <w:trHeight w:val="400"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21,634,502.14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18,786,470.94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15.16%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552"/>
        <w:gridCol w:w="2232"/>
        <w:gridCol w:w="2392"/>
        <w:gridCol w:w="2392"/>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353,084,546.79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-3,932,877.75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9,249.07%</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200,339,314.53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11,417,283.95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1,654.70%</w:t>
            </w:r>
          </w:p>
        </w:tc>
      </w:tr>
    </w:tbl>
    <w:p>
      <w:pPr>
        <w:spacing w:before="50"/>
        <w:ind w:left="112" w:right="0" w:firstLine="0"/>
        <w:jc w:val="both"/>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472" w:right="1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）经营活动产生的现金流量净额较上期大幅减少，主要是本期新开工项目增多，支付货款所致；</w:t>
      </w:r>
    </w:p>
    <w:p>
      <w:pPr>
        <w:spacing w:line="300" w:lineRule="auto" w:before="63"/>
        <w:ind w:left="112" w:right="18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）投资活动现金流出小计较上期大幅增加，主要是全资子公司烟台华东软件技术有限公司用暂时闲置资金购买保本 型理财产品所致；</w:t>
      </w:r>
    </w:p>
    <w:p>
      <w:pPr>
        <w:spacing w:line="300" w:lineRule="auto" w:before="31"/>
        <w:ind w:left="112" w:right="18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）投资活动现金流入小计较上期大幅增加，主要是全资子公司烟台华东软件技术有限公司用暂时闲置资金购买保本 型理财产品到期赎回所致；</w:t>
      </w:r>
    </w:p>
    <w:p>
      <w:pPr>
        <w:spacing w:line="338" w:lineRule="auto" w:before="31"/>
        <w:ind w:left="112" w:right="198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）筹资活动现金流入小计较上期大幅增加，主要是本期非公开发行股票募集资金到账所致。 报告期内公司经营活动的现金流量与本年度净利润存在重大差异的原因说明</w:t>
      </w:r>
    </w:p>
    <w:p>
      <w:pPr>
        <w:spacing w:line="340" w:lineRule="auto" w:before="43"/>
        <w:ind w:left="472" w:right="9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报告期内公司经营活动产生的现金流量净额与本年度净利润存在较大差异，主要是由两方面引起，一是根据合同约定，</w:t>
      </w:r>
    </w:p>
    <w:p>
      <w:pPr>
        <w:spacing w:line="316" w:lineRule="auto" w:before="1"/>
        <w:ind w:left="112" w:right="192" w:firstLine="0"/>
        <w:jc w:val="both"/>
        <w:rPr>
          <w:rFonts w:ascii="宋体" w:hAnsi="宋体" w:cs="宋体" w:eastAsia="宋体" w:hint="default"/>
          <w:sz w:val="18"/>
          <w:szCs w:val="18"/>
        </w:rPr>
      </w:pPr>
      <w:r>
        <w:rPr>
          <w:rFonts w:ascii="宋体" w:hAnsi="宋体" w:cs="宋体" w:eastAsia="宋体" w:hint="default"/>
          <w:spacing w:val="-2"/>
          <w:sz w:val="18"/>
          <w:szCs w:val="18"/>
        </w:rPr>
        <w:t>工程项目延长了质量保证期限，同时，公司项目结算主要集中在第四季度，所以造成报告期内未能及时收回结算款，使经营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性活动现金流入额大幅减少；二是报告期新开工项目增多，需要提前支付项目材料款，造成报告期经营性活动产生现金流出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的大幅增加。</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6"/>
        <w:gridCol w:w="1366"/>
        <w:gridCol w:w="1366"/>
        <w:gridCol w:w="137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8"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8"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8"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461,951,111.75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371,296,781.51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142,814,549.38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92,950,950.19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-11.73%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56,424,291.60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47,439,362.13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93,129,979.40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80,628,261.60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26,750,590.80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24,795,505.65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781,070,522.93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617,110,861.08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602,059,650.45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515,963,616.80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146,143,355.83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96,140,492.35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32,867,516.65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5,006,751.93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-6.82%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781,070,522.93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617,110,861.08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360,713,793.19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288,461,990.63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-1.50%</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420,356,729.74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328,648,870.45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94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6"/>
        <w:gridCol w:w="1366"/>
        <w:gridCol w:w="1366"/>
        <w:gridCol w:w="1370"/>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9" w:right="0"/>
              <w:jc w:val="left"/>
              <w:rPr>
                <w:rFonts w:ascii="Times New Roman" w:hAnsi="Times New Roman" w:cs="Times New Roman" w:eastAsia="Times New Roman" w:hint="default"/>
                <w:sz w:val="18"/>
                <w:szCs w:val="18"/>
              </w:rPr>
            </w:pPr>
            <w:r>
              <w:rPr>
                <w:rFonts w:ascii="Times New Roman"/>
                <w:sz w:val="18"/>
              </w:rPr>
              <w:t>781,070,522.93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617,110,861.08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20.99%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0" w:right="0"/>
              <w:jc w:val="left"/>
              <w:rPr>
                <w:rFonts w:ascii="Times New Roman" w:hAnsi="Times New Roman" w:cs="Times New Roman" w:eastAsia="Times New Roman" w:hint="default"/>
                <w:sz w:val="18"/>
                <w:szCs w:val="18"/>
              </w:rPr>
            </w:pPr>
            <w:r>
              <w:rPr>
                <w:rFonts w:ascii="Times New Roman"/>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0" w:right="0"/>
              <w:jc w:val="left"/>
              <w:rPr>
                <w:rFonts w:ascii="Times New Roman" w:hAnsi="Times New Roman" w:cs="Times New Roman" w:eastAsia="Times New Roman" w:hint="default"/>
                <w:sz w:val="18"/>
                <w:szCs w:val="18"/>
              </w:rPr>
            </w:pPr>
            <w:r>
              <w:rPr>
                <w:rFonts w:ascii="Times New Roman"/>
                <w:sz w:val="18"/>
              </w:rPr>
              <w:t>-0.80%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4" w:right="0"/>
              <w:jc w:val="left"/>
              <w:rPr>
                <w:rFonts w:ascii="Times New Roman" w:hAnsi="Times New Roman" w:cs="Times New Roman" w:eastAsia="Times New Roman" w:hint="default"/>
                <w:sz w:val="18"/>
                <w:szCs w:val="18"/>
              </w:rPr>
            </w:pPr>
            <w:r>
              <w:rPr>
                <w:rFonts w:ascii="Times New Roman"/>
                <w:sz w:val="18"/>
              </w:rPr>
              <w:t>-0.67%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467"/>
        <w:gridCol w:w="1276"/>
        <w:gridCol w:w="1418"/>
        <w:gridCol w:w="1559"/>
        <w:gridCol w:w="1134"/>
        <w:gridCol w:w="134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7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single" w:sz="4" w:space="0" w:color="000000"/>
              <w:right w:val="single" w:sz="4" w:space="0" w:color="000000"/>
            </w:tcBorders>
            <w:shd w:val="clear" w:color="auto" w:fill="D3D3D3"/>
          </w:tcPr>
          <w:p>
            <w:pPr/>
          </w:p>
        </w:tc>
        <w:tc>
          <w:tcPr>
            <w:tcW w:w="134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569,000,171.04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364,311,101.49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268,259,344.63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193,195,934.37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162,592,296.62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176,035,155.96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1,553,996.80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1,829,818.69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6,503,548.97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7,363,056.72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130,616,875.99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133,632,488.86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1,026,727.45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346,078.29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3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368"/>
        <w:gridCol w:w="1184"/>
        <w:gridCol w:w="1276"/>
        <w:gridCol w:w="1134"/>
        <w:gridCol w:w="1275"/>
        <w:gridCol w:w="851"/>
        <w:gridCol w:w="248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1" w:type="dxa"/>
            <w:vMerge/>
            <w:tcBorders>
              <w:left w:val="single" w:sz="4" w:space="0" w:color="000000"/>
              <w:bottom w:val="single" w:sz="4" w:space="0" w:color="000000"/>
              <w:right w:val="single" w:sz="4" w:space="0" w:color="000000"/>
            </w:tcBorders>
            <w:shd w:val="clear" w:color="auto" w:fill="D3D3D3"/>
          </w:tcPr>
          <w:p>
            <w:pPr/>
          </w:p>
        </w:tc>
        <w:tc>
          <w:tcPr>
            <w:tcW w:w="24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0.41%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0.23%</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5"/>
              <w:jc w:val="left"/>
              <w:rPr>
                <w:rFonts w:ascii="宋体" w:hAnsi="宋体" w:cs="宋体" w:eastAsia="宋体" w:hint="default"/>
                <w:sz w:val="18"/>
                <w:szCs w:val="18"/>
              </w:rPr>
            </w:pPr>
            <w:r>
              <w:rPr>
                <w:rFonts w:ascii="宋体" w:hAnsi="宋体" w:cs="宋体" w:eastAsia="宋体" w:hint="default"/>
                <w:sz w:val="18"/>
                <w:szCs w:val="18"/>
              </w:rPr>
              <w:t>全部系控股子公司安徽汉高信 息科技有限公司借款</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五、核心竞争力分析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92" w:right="102" w:hanging="480"/>
        <w:jc w:val="left"/>
      </w:pPr>
      <w:r>
        <w:rPr>
          <w:rFonts w:ascii="宋体" w:hAnsi="宋体" w:cs="宋体" w:eastAsia="宋体" w:hint="default"/>
          <w:b/>
          <w:bCs/>
        </w:rPr>
        <w:t>（一）技术平台优势</w:t>
      </w:r>
      <w:r>
        <w:rPr>
          <w:rFonts w:ascii="宋体" w:hAnsi="宋体" w:cs="宋体" w:eastAsia="宋体" w:hint="default"/>
          <w:b/>
          <w:bCs/>
          <w:w w:val="99"/>
        </w:rPr>
        <w:t> </w:t>
      </w:r>
      <w:r>
        <w:rPr>
          <w:spacing w:val="-2"/>
        </w:rPr>
        <w:t>作为优秀的高新技术企业，公司高度重视自主研发和科技创新工作，以开放高效的研发机制和科学合</w:t>
      </w:r>
    </w:p>
    <w:p>
      <w:pPr>
        <w:pStyle w:val="BodyText"/>
        <w:spacing w:line="273" w:lineRule="auto"/>
        <w:ind w:right="0"/>
        <w:jc w:val="left"/>
      </w:pPr>
      <w:r>
        <w:rPr>
          <w:w w:val="95"/>
        </w:rPr>
        <w:t>理的薪酬体系，多渠道引进优秀技术人才，凝聚了一支勤于研发、勇于创新的技术团队，为持续提升公司</w:t>
      </w:r>
      <w:r>
        <w:rPr>
          <w:spacing w:val="41"/>
          <w:w w:val="95"/>
        </w:rPr>
        <w:t> </w:t>
      </w:r>
      <w:r>
        <w:rPr>
          <w:spacing w:val="41"/>
          <w:w w:val="95"/>
        </w:rPr>
      </w:r>
      <w:r>
        <w:rPr/>
        <w:t>科研实力奠定良好基础。</w:t>
      </w:r>
    </w:p>
    <w:p>
      <w:pPr>
        <w:pStyle w:val="BodyText"/>
        <w:spacing w:line="273" w:lineRule="auto"/>
        <w:ind w:right="112" w:firstLine="480"/>
        <w:jc w:val="both"/>
      </w:pPr>
      <w:r>
        <w:rPr>
          <w:spacing w:val="-2"/>
        </w:rPr>
        <w:t>公司崇尚“创新与实用并重”的研发理念，紧密贴合行业需求，参照国内外先进技术标准进行针对性</w:t>
      </w:r>
      <w:r>
        <w:rPr>
          <w:w w:val="99"/>
        </w:rPr>
        <w:t> </w:t>
      </w:r>
      <w:r>
        <w:rPr>
          <w:w w:val="95"/>
        </w:rPr>
        <w:t>的产品和系统开发，在提升研发效率的同时，高度关注产品的实用性、稳定性和可靠性，并在实践中不断</w:t>
      </w:r>
      <w:r>
        <w:rPr>
          <w:spacing w:val="40"/>
          <w:w w:val="95"/>
        </w:rPr>
        <w:t> </w:t>
      </w:r>
      <w:r>
        <w:rPr>
          <w:spacing w:val="40"/>
          <w:w w:val="95"/>
        </w:rPr>
      </w:r>
      <w:r>
        <w:rPr/>
        <w:t>完善产品性能，着力构建产学研一体的研发和生产模式，不断提升产品的市场竞争力。</w:t>
      </w:r>
    </w:p>
    <w:p>
      <w:pPr>
        <w:spacing w:after="0" w:line="273" w:lineRule="auto"/>
        <w:jc w:val="both"/>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296" w:firstLine="420"/>
        <w:jc w:val="both"/>
      </w:pPr>
      <w:r>
        <w:rPr>
          <w:w w:val="95"/>
        </w:rPr>
        <w:t>目前，公司已拥有百余项软件著作权、20余项实用新型专利和1项发明专利，承担国家及省市级研发</w:t>
      </w:r>
      <w:r>
        <w:rPr>
          <w:spacing w:val="-85"/>
          <w:w w:val="95"/>
        </w:rPr>
        <w:t> </w:t>
      </w:r>
      <w:r>
        <w:rPr>
          <w:spacing w:val="-85"/>
          <w:w w:val="95"/>
        </w:rPr>
      </w:r>
      <w:r>
        <w:rPr/>
        <w:t>与产业化项目近30项，公司的信息化产品多次荣获“安徽省重点新产品”称号。</w:t>
      </w:r>
    </w:p>
    <w:p>
      <w:pPr>
        <w:pStyle w:val="Heading4"/>
        <w:spacing w:line="240" w:lineRule="auto" w:before="7"/>
        <w:ind w:right="202"/>
        <w:jc w:val="left"/>
        <w:rPr>
          <w:b w:val="0"/>
          <w:bCs w:val="0"/>
        </w:rPr>
      </w:pPr>
      <w:r>
        <w:rPr/>
        <w:t>（二）市场开拓和基地建设优势</w:t>
      </w:r>
      <w:r>
        <w:rPr>
          <w:b w:val="0"/>
          <w:bCs w:val="0"/>
        </w:rPr>
      </w:r>
    </w:p>
    <w:p>
      <w:pPr>
        <w:pStyle w:val="BodyText"/>
        <w:spacing w:line="273" w:lineRule="auto" w:before="37"/>
        <w:ind w:right="215" w:firstLine="480"/>
        <w:jc w:val="both"/>
      </w:pPr>
      <w:r>
        <w:rPr/>
        <w:t>公司秉承“立足安徽</w:t>
      </w:r>
      <w:r>
        <w:rPr>
          <w:spacing w:val="-15"/>
        </w:rPr>
        <w:t> </w:t>
      </w:r>
      <w:r>
        <w:rPr/>
        <w:t>走向全国”的市场战略，牢牢把握在高速公路、港口航运信息化领域的竞争优</w:t>
      </w:r>
      <w:r>
        <w:rPr>
          <w:w w:val="99"/>
        </w:rPr>
        <w:t> </w:t>
      </w:r>
      <w:r>
        <w:rPr>
          <w:w w:val="95"/>
        </w:rPr>
        <w:t>势，密切关注全国各地行业信息化建设需求，依靠已建成的营销网络，打造核心市场基地，并以此为中心</w:t>
      </w:r>
      <w:r>
        <w:rPr>
          <w:spacing w:val="38"/>
          <w:w w:val="95"/>
        </w:rPr>
        <w:t> </w:t>
      </w:r>
      <w:r>
        <w:rPr>
          <w:spacing w:val="38"/>
          <w:w w:val="95"/>
        </w:rPr>
      </w:r>
      <w:r>
        <w:rPr/>
        <w:t>形成辐射效应，开拓周边区域市场。</w:t>
      </w:r>
    </w:p>
    <w:p>
      <w:pPr>
        <w:pStyle w:val="BodyText"/>
        <w:spacing w:line="273" w:lineRule="auto"/>
        <w:ind w:right="215" w:firstLine="480"/>
        <w:jc w:val="both"/>
      </w:pPr>
      <w:r>
        <w:rPr>
          <w:spacing w:val="-2"/>
        </w:rPr>
        <w:t>公司通过外部引进、内部培养等方式建立了一支业务素质高、执行能力强的市场营销团队，以丰厚的</w:t>
      </w:r>
      <w:r>
        <w:rPr>
          <w:w w:val="99"/>
        </w:rPr>
        <w:t> </w:t>
      </w:r>
      <w:r>
        <w:rPr/>
        <w:t>人才资源储备，大幅提升公司市场管控能力，积极构建覆盖全国的营销体系。</w:t>
      </w:r>
    </w:p>
    <w:p>
      <w:pPr>
        <w:pStyle w:val="BodyText"/>
        <w:spacing w:line="273" w:lineRule="auto"/>
        <w:ind w:right="212" w:firstLine="480"/>
        <w:jc w:val="both"/>
      </w:pPr>
      <w:r>
        <w:rPr>
          <w:spacing w:val="-2"/>
        </w:rPr>
        <w:t>目前，公司的市场范围已发展至海外，服务的客户遍布多个行业，有效拓展了企业发展空间，为公司</w:t>
      </w:r>
      <w:r>
        <w:rPr>
          <w:w w:val="99"/>
        </w:rPr>
        <w:t> </w:t>
      </w:r>
      <w:r>
        <w:rPr/>
        <w:t>业务持续发展提供强有力的支撑。</w:t>
      </w:r>
    </w:p>
    <w:p>
      <w:pPr>
        <w:spacing w:line="273" w:lineRule="auto" w:before="7"/>
        <w:ind w:left="592" w:right="108" w:hanging="480"/>
        <w:jc w:val="left"/>
        <w:rPr>
          <w:rFonts w:ascii="宋体" w:hAnsi="宋体" w:cs="宋体" w:eastAsia="宋体" w:hint="default"/>
          <w:sz w:val="21"/>
          <w:szCs w:val="21"/>
        </w:rPr>
      </w:pPr>
      <w:r>
        <w:rPr>
          <w:rFonts w:ascii="宋体" w:hAnsi="宋体" w:cs="宋体" w:eastAsia="宋体" w:hint="default"/>
          <w:b/>
          <w:bCs/>
          <w:sz w:val="21"/>
          <w:szCs w:val="21"/>
        </w:rPr>
        <w:t>（三）资源整合和业务协同优势</w:t>
      </w:r>
      <w:r>
        <w:rPr>
          <w:rFonts w:ascii="宋体" w:hAnsi="宋体" w:cs="宋体" w:eastAsia="宋体" w:hint="default"/>
          <w:b/>
          <w:bCs/>
          <w:w w:val="99"/>
          <w:sz w:val="21"/>
          <w:szCs w:val="21"/>
        </w:rPr>
        <w:t> </w:t>
      </w:r>
      <w:r>
        <w:rPr>
          <w:rFonts w:ascii="宋体" w:hAnsi="宋体" w:cs="宋体" w:eastAsia="宋体" w:hint="default"/>
          <w:spacing w:val="-4"/>
          <w:w w:val="99"/>
          <w:sz w:val="21"/>
          <w:szCs w:val="21"/>
        </w:rPr>
        <w:t>公司充分发挥科技型企业优势，立足既有的技术和市场资源优势，利用资本市场整合上下游企业资源，</w:t>
      </w:r>
      <w:r>
        <w:rPr>
          <w:rFonts w:ascii="宋体" w:hAnsi="宋体" w:cs="宋体" w:eastAsia="宋体" w:hint="default"/>
          <w:spacing w:val="-4"/>
          <w:sz w:val="21"/>
          <w:szCs w:val="21"/>
        </w:rPr>
      </w:r>
    </w:p>
    <w:p>
      <w:pPr>
        <w:pStyle w:val="BodyText"/>
        <w:spacing w:line="273" w:lineRule="auto"/>
        <w:ind w:right="202"/>
        <w:jc w:val="left"/>
      </w:pPr>
      <w:r>
        <w:rPr>
          <w:w w:val="95"/>
        </w:rPr>
        <w:t>完善现有业务体系，已经形成了“以高速公路与港口航运信息化为龙头，其他行业信息化综合发展”的业</w:t>
      </w:r>
      <w:r>
        <w:rPr>
          <w:spacing w:val="37"/>
          <w:w w:val="95"/>
        </w:rPr>
        <w:t> </w:t>
      </w:r>
      <w:r>
        <w:rPr>
          <w:spacing w:val="37"/>
          <w:w w:val="95"/>
        </w:rPr>
      </w:r>
      <w:r>
        <w:rPr/>
        <w:t>务结构。</w:t>
      </w:r>
    </w:p>
    <w:p>
      <w:pPr>
        <w:pStyle w:val="BodyText"/>
        <w:spacing w:line="273" w:lineRule="auto"/>
        <w:ind w:right="215" w:firstLine="480"/>
        <w:jc w:val="both"/>
      </w:pPr>
      <w:r>
        <w:rPr>
          <w:spacing w:val="-2"/>
        </w:rPr>
        <w:t>持续优化的业务结构不仅能够推动公司在行业信息化领域深入发展，为企业增添新的盈利渠道，有效</w:t>
      </w:r>
      <w:r>
        <w:rPr>
          <w:w w:val="99"/>
        </w:rPr>
        <w:t> </w:t>
      </w:r>
      <w:r>
        <w:rPr>
          <w:w w:val="95"/>
        </w:rPr>
        <w:t>分散经营风险，更有助于形成各行业细分市场相辅相成的共赢效应和协同效应，打造产业集群优势，提升</w:t>
      </w:r>
      <w:r>
        <w:rPr>
          <w:spacing w:val="38"/>
          <w:w w:val="95"/>
        </w:rPr>
        <w:t> </w:t>
      </w:r>
      <w:r>
        <w:rPr>
          <w:spacing w:val="38"/>
          <w:w w:val="95"/>
        </w:rPr>
      </w:r>
      <w:r>
        <w:rPr/>
        <w:t>集团整体竞争力。</w:t>
      </w:r>
    </w:p>
    <w:p>
      <w:pPr>
        <w:spacing w:line="240" w:lineRule="auto" w:before="10"/>
        <w:rPr>
          <w:rFonts w:ascii="宋体" w:hAnsi="宋体" w:cs="宋体" w:eastAsia="宋体" w:hint="default"/>
          <w:sz w:val="21"/>
          <w:szCs w:val="21"/>
        </w:rPr>
      </w:pPr>
    </w:p>
    <w:p>
      <w:pPr>
        <w:pStyle w:val="Heading3"/>
        <w:spacing w:line="240" w:lineRule="auto"/>
        <w:ind w:right="202"/>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02"/>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02"/>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7"/>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w:t>
            </w:r>
          </w:p>
        </w:tc>
      </w:tr>
    </w:tbl>
    <w:p>
      <w:pPr>
        <w:spacing w:line="240" w:lineRule="auto" w:before="4"/>
        <w:rPr>
          <w:rFonts w:ascii="宋体" w:hAnsi="宋体" w:cs="宋体" w:eastAsia="宋体" w:hint="default"/>
          <w:sz w:val="19"/>
          <w:szCs w:val="19"/>
        </w:rPr>
      </w:pPr>
    </w:p>
    <w:p>
      <w:pPr>
        <w:pStyle w:val="Heading4"/>
        <w:spacing w:line="240" w:lineRule="auto" w:before="34"/>
        <w:ind w:right="202"/>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公司报告期未持有金融企业股权。</w:t>
      </w:r>
    </w:p>
    <w:p>
      <w:pPr>
        <w:spacing w:line="240" w:lineRule="auto" w:before="1"/>
        <w:rPr>
          <w:rFonts w:ascii="宋体" w:hAnsi="宋体" w:cs="宋体" w:eastAsia="宋体" w:hint="default"/>
          <w:sz w:val="21"/>
          <w:szCs w:val="21"/>
        </w:rPr>
      </w:pPr>
    </w:p>
    <w:p>
      <w:pPr>
        <w:pStyle w:val="Heading4"/>
        <w:spacing w:line="240" w:lineRule="auto"/>
        <w:ind w:right="202"/>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公司报告期不存在证券投资。</w:t>
      </w:r>
    </w:p>
    <w:p>
      <w:pPr>
        <w:spacing w:after="0" w:line="340" w:lineRule="auto"/>
        <w:jc w:val="left"/>
        <w:rPr>
          <w:rFonts w:ascii="宋体" w:hAnsi="宋体" w:cs="宋体" w:eastAsia="宋体" w:hint="default"/>
          <w:sz w:val="18"/>
          <w:szCs w:val="18"/>
        </w:rPr>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Heading4"/>
        <w:spacing w:line="240" w:lineRule="auto" w:before="34"/>
        <w:ind w:left="272" w:right="5563"/>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272" w:right="55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公司报告期未持有其他上市公司股权。</w:t>
      </w:r>
    </w:p>
    <w:p>
      <w:pPr>
        <w:spacing w:line="240" w:lineRule="auto" w:before="1"/>
        <w:rPr>
          <w:rFonts w:ascii="宋体" w:hAnsi="宋体" w:cs="宋体" w:eastAsia="宋体" w:hint="default"/>
          <w:sz w:val="21"/>
          <w:szCs w:val="21"/>
        </w:rPr>
      </w:pPr>
    </w:p>
    <w:p>
      <w:pPr>
        <w:pStyle w:val="Heading4"/>
        <w:spacing w:line="240" w:lineRule="auto"/>
        <w:ind w:left="272" w:right="5563"/>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72" w:right="556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before="44"/>
        <w:ind w:left="272" w:right="55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2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971"/>
        <w:gridCol w:w="476"/>
        <w:gridCol w:w="709"/>
        <w:gridCol w:w="709"/>
        <w:gridCol w:w="708"/>
        <w:gridCol w:w="963"/>
        <w:gridCol w:w="993"/>
        <w:gridCol w:w="850"/>
        <w:gridCol w:w="992"/>
        <w:gridCol w:w="1019"/>
        <w:gridCol w:w="796"/>
        <w:gridCol w:w="784"/>
      </w:tblGrid>
      <w:tr>
        <w:trPr>
          <w:trHeight w:val="1026" w:hRule="exact"/>
        </w:trPr>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3" w:right="5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8" w:right="7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0" w:right="77"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16"/>
              <w:jc w:val="right"/>
              <w:rPr>
                <w:rFonts w:ascii="宋体" w:hAnsi="宋体" w:cs="宋体" w:eastAsia="宋体" w:hint="default"/>
                <w:sz w:val="18"/>
                <w:szCs w:val="18"/>
              </w:rPr>
            </w:pPr>
            <w:r>
              <w:rPr>
                <w:rFonts w:ascii="宋体" w:hAnsi="宋体" w:cs="宋体" w:eastAsia="宋体" w:hint="default"/>
                <w:sz w:val="18"/>
                <w:szCs w:val="18"/>
              </w:rPr>
              <w:t>起始日期</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0"/>
              <w:jc w:val="right"/>
              <w:rPr>
                <w:rFonts w:ascii="宋体" w:hAnsi="宋体" w:cs="宋体" w:eastAsia="宋体" w:hint="default"/>
                <w:sz w:val="18"/>
                <w:szCs w:val="18"/>
              </w:rPr>
            </w:pPr>
            <w:r>
              <w:rPr>
                <w:rFonts w:ascii="宋体" w:hAnsi="宋体" w:cs="宋体" w:eastAsia="宋体" w:hint="default"/>
                <w:sz w:val="18"/>
                <w:szCs w:val="18"/>
              </w:rPr>
              <w:t>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40"/>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 w:right="53"/>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37.03</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光大银行莱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13.56</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755</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光大银行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10.83</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34.51</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w:t>
            </w:r>
          </w:p>
        </w:tc>
      </w:tr>
      <w:tr>
        <w:trPr>
          <w:trHeight w:val="1026"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both"/>
              <w:rPr>
                <w:rFonts w:ascii="宋体" w:hAnsi="宋体" w:cs="宋体" w:eastAsia="宋体" w:hint="default"/>
                <w:sz w:val="18"/>
                <w:szCs w:val="18"/>
              </w:rPr>
            </w:pPr>
            <w:r>
              <w:rPr>
                <w:rFonts w:ascii="宋体" w:hAnsi="宋体" w:cs="宋体" w:eastAsia="宋体" w:hint="default"/>
                <w:sz w:val="18"/>
                <w:szCs w:val="18"/>
              </w:rPr>
              <w:t>非保本 浮动利 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15.65</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0.74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3,516.1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3,516.1</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r>
      <w:tr>
        <w:trPr>
          <w:trHeight w:val="400"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农业银行莱</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860" w:right="840"/>
        </w:sectPr>
      </w:pPr>
    </w:p>
    <w:p>
      <w:pPr>
        <w:spacing w:line="240" w:lineRule="auto" w:before="2"/>
        <w:rPr>
          <w:rFonts w:ascii="宋体" w:hAnsi="宋体" w:cs="宋体" w:eastAsia="宋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971"/>
        <w:gridCol w:w="476"/>
        <w:gridCol w:w="709"/>
        <w:gridCol w:w="709"/>
        <w:gridCol w:w="708"/>
        <w:gridCol w:w="963"/>
        <w:gridCol w:w="993"/>
        <w:gridCol w:w="850"/>
        <w:gridCol w:w="992"/>
        <w:gridCol w:w="1019"/>
        <w:gridCol w:w="796"/>
        <w:gridCol w:w="784"/>
      </w:tblGrid>
      <w:tr>
        <w:trPr>
          <w:trHeight w:val="362"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动利率</w:t>
            </w:r>
          </w:p>
        </w:tc>
        <w:tc>
          <w:tcPr>
            <w:tcW w:w="70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11.21</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48.63</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7.75</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33.09</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13.94</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保本浮 动利率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w:t>
            </w: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4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5"/>
              <w:jc w:val="left"/>
              <w:rPr>
                <w:rFonts w:ascii="宋体" w:hAnsi="宋体" w:cs="宋体" w:eastAsia="宋体" w:hint="default"/>
                <w:sz w:val="18"/>
                <w:szCs w:val="18"/>
              </w:rPr>
            </w:pPr>
            <w:r>
              <w:rPr>
                <w:rFonts w:ascii="宋体" w:hAnsi="宋体" w:cs="宋体" w:eastAsia="宋体" w:hint="default"/>
                <w:sz w:val="18"/>
                <w:szCs w:val="18"/>
              </w:rPr>
              <w:t>保证收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36.05</w:t>
            </w:r>
          </w:p>
        </w:tc>
      </w:tr>
      <w:tr>
        <w:trPr>
          <w:trHeight w:val="402"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53,890</w:t>
            </w:r>
          </w:p>
        </w:tc>
        <w:tc>
          <w:tcPr>
            <w:tcW w:w="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53,890</w:t>
            </w:r>
          </w:p>
        </w:tc>
        <w:tc>
          <w:tcPr>
            <w:tcW w:w="101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298.61</w:t>
            </w:r>
          </w:p>
        </w:tc>
      </w:tr>
      <w:tr>
        <w:trPr>
          <w:trHeight w:val="402"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71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7105" w:type="dxa"/>
            <w:gridSpan w:val="8"/>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7105"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4"/>
        <w:ind w:left="272" w:right="556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7"/>
        <w:rPr>
          <w:rFonts w:ascii="宋体" w:hAnsi="宋体" w:cs="宋体" w:eastAsia="宋体" w:hint="default"/>
          <w:b/>
          <w:bCs/>
          <w:sz w:val="26"/>
          <w:szCs w:val="26"/>
        </w:rPr>
      </w:pPr>
    </w:p>
    <w:p>
      <w:pPr>
        <w:spacing w:before="0"/>
        <w:ind w:left="272" w:right="55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860" w:right="84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公司报告期不存在衍生品投资。</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36,195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4,363.81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4,363.81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64"/>
        <w:gridCol w:w="775"/>
        <w:gridCol w:w="776"/>
        <w:gridCol w:w="776"/>
        <w:gridCol w:w="781"/>
        <w:gridCol w:w="782"/>
        <w:gridCol w:w="782"/>
        <w:gridCol w:w="935"/>
        <w:gridCol w:w="628"/>
        <w:gridCol w:w="782"/>
        <w:gridCol w:w="787"/>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7" w:right="66"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82" w:right="8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2" w:right="10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7"/>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港口物流软件及信息 服务平台建设项目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09"/>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TD-LTE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 企业网通讯终端产业 化建设项目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智能路网管理系统建 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6,692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交通运输智慧信息服 务平台建设项目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764"/>
        <w:gridCol w:w="775"/>
        <w:gridCol w:w="776"/>
        <w:gridCol w:w="776"/>
        <w:gridCol w:w="781"/>
        <w:gridCol w:w="782"/>
        <w:gridCol w:w="782"/>
        <w:gridCol w:w="935"/>
        <w:gridCol w:w="628"/>
        <w:gridCol w:w="782"/>
        <w:gridCol w:w="787"/>
      </w:tblGrid>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9"/>
              <w:jc w:val="left"/>
              <w:rPr>
                <w:rFonts w:ascii="宋体" w:hAnsi="宋体" w:cs="宋体" w:eastAsia="宋体" w:hint="default"/>
                <w:sz w:val="18"/>
                <w:szCs w:val="18"/>
              </w:rPr>
            </w:pPr>
            <w:r>
              <w:rPr>
                <w:rFonts w:ascii="宋体" w:hAnsi="宋体" w:cs="宋体" w:eastAsia="宋体" w:hint="default"/>
                <w:sz w:val="18"/>
                <w:szCs w:val="18"/>
              </w:rPr>
              <w:t>市场营销和服务网络 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w:t>
            </w:r>
          </w:p>
        </w:tc>
        <w:tc>
          <w:tcPr>
            <w:tcW w:w="935"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4,363.81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4,363.81</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4,363.81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4,363.81</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 w:right="109"/>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29" w:firstLine="360"/>
              <w:jc w:val="both"/>
              <w:rPr>
                <w:rFonts w:ascii="宋体" w:hAnsi="宋体" w:cs="宋体" w:eastAsia="宋体" w:hint="default"/>
                <w:sz w:val="18"/>
                <w:szCs w:val="18"/>
              </w:rPr>
            </w:pPr>
            <w:r>
              <w:rPr>
                <w:rFonts w:ascii="宋体" w:hAnsi="宋体" w:cs="宋体" w:eastAsia="宋体" w:hint="default"/>
                <w:sz w:val="18"/>
                <w:szCs w:val="18"/>
              </w:rPr>
              <w:t>在公司非公开发行股票募集资金到位以前，为保障募集资金投资项目的顺利进行，部分募集资 金投资项目已由公司利用自筹资金先行投入。先行投入的自筹资金金额已经大华会计师事务所（特 殊普通合伙）鉴证，并出具了《安徽皖通科技股份有限公司以自筹资金预先投入募集资金投资项目 </w:t>
            </w:r>
            <w:r>
              <w:rPr>
                <w:rFonts w:ascii="宋体" w:hAnsi="宋体" w:cs="宋体" w:eastAsia="宋体" w:hint="default"/>
                <w:spacing w:val="-4"/>
                <w:sz w:val="18"/>
                <w:szCs w:val="18"/>
              </w:rPr>
              <w:t>的鉴证报告》（大华核字</w:t>
            </w:r>
            <w:r>
              <w:rPr>
                <w:rFonts w:ascii="Times New Roman" w:hAnsi="Times New Roman" w:cs="Times New Roman" w:eastAsia="Times New Roman" w:hint="default"/>
                <w:spacing w:val="-4"/>
                <w:sz w:val="18"/>
                <w:szCs w:val="18"/>
              </w:rPr>
              <w:t>[2014]005008</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号）。依据该鉴证报告，公司用募集资金置换先期自筹资金共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1,203.90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2" w:firstLine="360"/>
              <w:jc w:val="both"/>
              <w:rPr>
                <w:rFonts w:ascii="宋体" w:hAnsi="宋体" w:cs="宋体" w:eastAsia="宋体" w:hint="default"/>
                <w:sz w:val="18"/>
                <w:szCs w:val="18"/>
              </w:rPr>
            </w:pPr>
            <w:r>
              <w:rPr>
                <w:rFonts w:ascii="宋体" w:hAnsi="宋体" w:cs="宋体" w:eastAsia="宋体" w:hint="default"/>
                <w:sz w:val="18"/>
                <w:szCs w:val="18"/>
              </w:rPr>
              <w:t>根据公司第三届董事会第十四次会议决议，根据募集资金建设项目进度安排，将当前闲置募集 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万元暂时用于补充流动资金，用于在公司中标项目实施过程中，提供前期设备采购资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金和支付相关应付账款。</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 w:right="10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尚未使用的募集资金将用于完成募投项目，其存放于募投资金三方监管专户。</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9"/>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4"/>
          <w:pgSz w:w="11910" w:h="16840"/>
          <w:pgMar w:footer="978" w:header="746" w:top="1040" w:bottom="1160" w:left="1020" w:right="1020"/>
          <w:pgNumType w:start="20"/>
        </w:sectPr>
      </w:pPr>
    </w:p>
    <w:p>
      <w:pPr>
        <w:spacing w:line="240" w:lineRule="auto" w:before="0"/>
        <w:rPr>
          <w:rFonts w:ascii="Times New Roman" w:hAnsi="Times New Roman" w:cs="Times New Roman" w:eastAsia="Times New Roman" w:hint="default"/>
          <w:sz w:val="29"/>
          <w:szCs w:val="29"/>
        </w:rPr>
      </w:pPr>
    </w:p>
    <w:p>
      <w:pPr>
        <w:pStyle w:val="Heading4"/>
        <w:spacing w:line="240" w:lineRule="auto" w:before="34"/>
        <w:ind w:left="272" w:right="556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272" w:right="6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公司报告期不存在募集资金变更项目情况。</w:t>
      </w:r>
    </w:p>
    <w:p>
      <w:pPr>
        <w:spacing w:line="240" w:lineRule="auto" w:before="1"/>
        <w:rPr>
          <w:rFonts w:ascii="宋体" w:hAnsi="宋体" w:cs="宋体" w:eastAsia="宋体" w:hint="default"/>
          <w:sz w:val="21"/>
          <w:szCs w:val="21"/>
        </w:rPr>
      </w:pPr>
    </w:p>
    <w:p>
      <w:pPr>
        <w:pStyle w:val="Heading4"/>
        <w:spacing w:line="240" w:lineRule="auto"/>
        <w:ind w:left="272" w:right="5563"/>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40" w:bottom="1160" w:left="860" w:right="840"/>
        </w:sectPr>
      </w:pPr>
    </w:p>
    <w:p>
      <w:pPr>
        <w:spacing w:line="340" w:lineRule="auto" w:before="44"/>
        <w:ind w:left="2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27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60" w:left="860" w:right="840"/>
          <w:cols w:num="2" w:equalWidth="0">
            <w:col w:w="2433" w:space="6485"/>
            <w:col w:w="1292"/>
          </w:cols>
        </w:sectPr>
      </w:pPr>
    </w:p>
    <w:p>
      <w:pPr>
        <w:spacing w:line="240" w:lineRule="auto" w:before="3"/>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960"/>
        <w:gridCol w:w="458"/>
        <w:gridCol w:w="567"/>
        <w:gridCol w:w="850"/>
        <w:gridCol w:w="1134"/>
        <w:gridCol w:w="1276"/>
        <w:gridCol w:w="1230"/>
        <w:gridCol w:w="1277"/>
        <w:gridCol w:w="1109"/>
        <w:gridCol w:w="1109"/>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4" w:right="4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8" w:right="97"/>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50" w:right="59"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both"/>
              <w:rPr>
                <w:rFonts w:ascii="宋体" w:hAnsi="宋体" w:cs="宋体" w:eastAsia="宋体" w:hint="default"/>
                <w:sz w:val="18"/>
                <w:szCs w:val="18"/>
              </w:rPr>
            </w:pPr>
            <w:r>
              <w:rPr>
                <w:rFonts w:ascii="宋体" w:hAnsi="宋体" w:cs="宋体" w:eastAsia="宋体" w:hint="default"/>
                <w:sz w:val="18"/>
                <w:szCs w:val="18"/>
              </w:rPr>
              <w:t>烟台华东电 子软件技术 有限公司</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3" w:right="41" w:hanging="89"/>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软件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电子与信 息等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55,000,000.00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218,582,991.64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175,676,867.29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144,105,576.21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15,580,336.13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20,984,544.45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5"/>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3" w:right="41" w:hanging="89"/>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软件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电子与信 息等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50,500,000.00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124,279,877.88</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52,006,274.13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108,062,728.34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7,870,239.92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7,676,367.22</w:t>
            </w:r>
          </w:p>
        </w:tc>
      </w:tr>
    </w:tbl>
    <w:p>
      <w:pPr>
        <w:spacing w:line="360" w:lineRule="auto" w:before="49"/>
        <w:ind w:left="272" w:right="7214"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7"/>
        <w:ind w:left="272" w:right="55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272" w:right="5563"/>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272" w:right="6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公司报告期无非募集资金投资的重大项目。</w:t>
      </w:r>
    </w:p>
    <w:p>
      <w:pPr>
        <w:spacing w:line="240" w:lineRule="auto" w:before="4"/>
        <w:rPr>
          <w:rFonts w:ascii="宋体" w:hAnsi="宋体" w:cs="宋体" w:eastAsia="宋体" w:hint="default"/>
          <w:sz w:val="19"/>
          <w:szCs w:val="19"/>
        </w:rPr>
      </w:pPr>
    </w:p>
    <w:p>
      <w:pPr>
        <w:pStyle w:val="Heading3"/>
        <w:spacing w:line="240" w:lineRule="auto"/>
        <w:ind w:left="272" w:right="5563"/>
        <w:jc w:val="left"/>
        <w:rPr>
          <w:b w:val="0"/>
          <w:bCs w:val="0"/>
        </w:rPr>
      </w:pP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spacing w:before="0"/>
        <w:ind w:left="272" w:right="55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272" w:right="5563"/>
        <w:jc w:val="left"/>
        <w:rPr>
          <w:b w:val="0"/>
          <w:bCs w:val="0"/>
        </w:rPr>
      </w:pPr>
      <w:r>
        <w:rPr/>
        <w:t>八、公司未来发展的展望</w:t>
      </w:r>
      <w:r>
        <w:rPr>
          <w:b w:val="0"/>
          <w:bCs w:val="0"/>
        </w:rPr>
      </w:r>
    </w:p>
    <w:p>
      <w:pPr>
        <w:pStyle w:val="Heading4"/>
        <w:spacing w:line="570" w:lineRule="atLeast" w:before="25"/>
        <w:ind w:left="755" w:right="3956" w:hanging="483"/>
        <w:jc w:val="left"/>
        <w:rPr>
          <w:b w:val="0"/>
          <w:bCs w:val="0"/>
        </w:rPr>
      </w:pPr>
      <w:r>
        <w:rPr/>
        <w:t>（一）行业宏观环境和发展趋势</w:t>
      </w:r>
      <w:r>
        <w:rPr>
          <w:w w:val="99"/>
        </w:rPr>
        <w:t> </w:t>
      </w:r>
      <w:r>
        <w:rPr/>
        <w:t>1、国家着力构建综合交通运输体系</w:t>
      </w:r>
      <w:r>
        <w:rPr>
          <w:spacing w:val="-8"/>
        </w:rPr>
        <w:t> </w:t>
      </w:r>
      <w:r>
        <w:rPr/>
        <w:t>交通行业发展稳中向好</w:t>
      </w:r>
      <w:r>
        <w:rPr>
          <w:b w:val="0"/>
          <w:bCs w:val="0"/>
        </w:rPr>
      </w:r>
    </w:p>
    <w:p>
      <w:pPr>
        <w:pStyle w:val="BodyText"/>
        <w:spacing w:line="273" w:lineRule="auto" w:before="37"/>
        <w:ind w:left="272" w:right="272" w:firstLine="480"/>
        <w:jc w:val="both"/>
      </w:pPr>
      <w:r>
        <w:rPr>
          <w:spacing w:val="-2"/>
        </w:rPr>
        <w:t>2014年全国交通运输工作会议提出，2015年，国家将坚持以提高交通运输发展质量和效益为中心，着</w:t>
      </w:r>
      <w:r>
        <w:rPr>
          <w:w w:val="99"/>
        </w:rPr>
        <w:t> </w:t>
      </w:r>
      <w:r>
        <w:rPr>
          <w:w w:val="95"/>
        </w:rPr>
        <w:t>力推进综合交通运输体系深度融合，全面完成“十二五”规划目标，科学谋划“十三五”规划蓝图，加快</w:t>
      </w:r>
      <w:r>
        <w:rPr>
          <w:spacing w:val="37"/>
          <w:w w:val="95"/>
        </w:rPr>
        <w:t> </w:t>
      </w:r>
      <w:r>
        <w:rPr>
          <w:spacing w:val="37"/>
          <w:w w:val="95"/>
        </w:rPr>
      </w:r>
      <w:r>
        <w:rPr>
          <w:w w:val="95"/>
        </w:rPr>
        <w:t>推进综合交通、智慧交通、绿色交通、平安交通等“四个交通”迈上新台阶；将坚持以经济建设为中心，</w:t>
      </w:r>
      <w:r>
        <w:rPr>
          <w:spacing w:val="61"/>
          <w:w w:val="95"/>
        </w:rPr>
        <w:t> </w:t>
      </w:r>
      <w:r>
        <w:rPr>
          <w:spacing w:val="61"/>
          <w:w w:val="95"/>
        </w:rPr>
      </w:r>
      <w:r>
        <w:rPr>
          <w:w w:val="95"/>
        </w:rPr>
        <w:t>充分发挥交通基础设施建设对稳增长的关键作用，新形势下交通运输固定资产投资将继续保持较高增速。</w:t>
      </w:r>
      <w:r>
        <w:rPr/>
      </w:r>
    </w:p>
    <w:p>
      <w:pPr>
        <w:pStyle w:val="BodyText"/>
        <w:spacing w:line="273" w:lineRule="auto"/>
        <w:ind w:left="272" w:right="0" w:firstLine="480"/>
        <w:jc w:val="left"/>
      </w:pPr>
      <w:r>
        <w:rPr>
          <w:spacing w:val="-4"/>
          <w:w w:val="95"/>
        </w:rPr>
        <w:t>2015年，政府将围绕“一带一路”、京津冀协同发展、长江经济带“三大战略”，不断优化投资结构，</w:t>
      </w:r>
      <w:r>
        <w:rPr>
          <w:w w:val="99"/>
        </w:rPr>
        <w:t> </w:t>
      </w:r>
      <w:r>
        <w:rPr/>
        <w:t>通过投资政策引导，率先启动交通基础设施重大项目，重点推进国家高速公路网建设，加大国省干线改造</w:t>
      </w:r>
      <w:r>
        <w:rPr>
          <w:w w:val="99"/>
        </w:rPr>
        <w:t> </w:t>
      </w:r>
      <w:r>
        <w:rPr/>
        <w:t>力度，加快“断头路”和“瓶颈”路段建设，加快干线铁路网、内河航道网和港口集疏运体系建设。</w:t>
      </w:r>
    </w:p>
    <w:p>
      <w:pPr>
        <w:spacing w:after="0" w:line="273" w:lineRule="auto"/>
        <w:jc w:val="left"/>
        <w:sectPr>
          <w:type w:val="continuous"/>
          <w:pgSz w:w="11910" w:h="16840"/>
          <w:pgMar w:top="1040" w:bottom="1160" w:left="860" w:right="840"/>
        </w:sectPr>
      </w:pPr>
    </w:p>
    <w:p>
      <w:pPr>
        <w:spacing w:line="240" w:lineRule="auto" w:before="6"/>
        <w:rPr>
          <w:rFonts w:ascii="宋体" w:hAnsi="宋体" w:cs="宋体" w:eastAsia="宋体" w:hint="default"/>
          <w:sz w:val="25"/>
          <w:szCs w:val="25"/>
        </w:rPr>
      </w:pPr>
    </w:p>
    <w:p>
      <w:pPr>
        <w:pStyle w:val="BodyText"/>
        <w:spacing w:line="273" w:lineRule="auto" w:before="34"/>
        <w:ind w:right="192" w:firstLine="480"/>
        <w:jc w:val="left"/>
      </w:pPr>
      <w:r>
        <w:rPr>
          <w:spacing w:val="-2"/>
        </w:rPr>
        <w:t>另外，根据《安徽省高速公路网规划》，到2020年，安徽将建成“四纵八横”格局的高速公路网，总</w:t>
      </w:r>
      <w:r>
        <w:rPr>
          <w:w w:val="99"/>
        </w:rPr>
        <w:t> </w:t>
      </w:r>
      <w:r>
        <w:rPr>
          <w:w w:val="95"/>
        </w:rPr>
        <w:t>里程达5500公里，密度为3.9公里/百平方公里，覆盖全省17个省辖市，基本上实现从县城出发半小时内上</w:t>
      </w:r>
      <w:r>
        <w:rPr>
          <w:spacing w:val="40"/>
          <w:w w:val="95"/>
        </w:rPr>
        <w:t> </w:t>
      </w:r>
      <w:r>
        <w:rPr>
          <w:spacing w:val="40"/>
          <w:w w:val="95"/>
        </w:rPr>
      </w:r>
      <w:r>
        <w:rPr>
          <w:w w:val="95"/>
        </w:rPr>
        <w:t>高速公路，从乡镇驱车两小时内上高速公路，形成“两沿、三纵、六横、九连”。同时将加快跨越长江、</w:t>
      </w:r>
      <w:r>
        <w:rPr>
          <w:spacing w:val="61"/>
          <w:w w:val="95"/>
        </w:rPr>
        <w:t> </w:t>
      </w:r>
      <w:r>
        <w:rPr>
          <w:spacing w:val="61"/>
          <w:w w:val="95"/>
        </w:rPr>
      </w:r>
      <w:r>
        <w:rPr/>
        <w:t>淮河通道建设，皖江地区建成6-7座路网功能跨江大桥。未来，安徽省将致力于打造“承东启西、连接南</w:t>
      </w:r>
      <w:r>
        <w:rPr>
          <w:w w:val="99"/>
        </w:rPr>
        <w:t> </w:t>
      </w:r>
      <w:r>
        <w:rPr/>
        <w:t>北、结构合理、协调配套、高效快捷的现代化高速公路网络体系”。</w:t>
      </w:r>
    </w:p>
    <w:p>
      <w:pPr>
        <w:spacing w:line="273" w:lineRule="auto" w:before="7"/>
        <w:ind w:left="592" w:right="202" w:firstLine="2"/>
        <w:jc w:val="left"/>
        <w:rPr>
          <w:rFonts w:ascii="宋体" w:hAnsi="宋体" w:cs="宋体" w:eastAsia="宋体" w:hint="default"/>
          <w:sz w:val="21"/>
          <w:szCs w:val="21"/>
        </w:rPr>
      </w:pPr>
      <w:r>
        <w:rPr>
          <w:rFonts w:ascii="宋体" w:hAnsi="宋体" w:cs="宋体" w:eastAsia="宋体" w:hint="default"/>
          <w:b/>
          <w:bCs/>
          <w:sz w:val="21"/>
          <w:szCs w:val="21"/>
        </w:rPr>
        <w:t>2、新常态下交通运输发展呈现新特点</w:t>
      </w:r>
      <w:r>
        <w:rPr>
          <w:rFonts w:ascii="宋体" w:hAnsi="宋体" w:cs="宋体" w:eastAsia="宋体" w:hint="default"/>
          <w:b/>
          <w:bCs/>
          <w:spacing w:val="1"/>
          <w:sz w:val="21"/>
          <w:szCs w:val="21"/>
        </w:rPr>
        <w:t> </w:t>
      </w:r>
      <w:r>
        <w:rPr>
          <w:rFonts w:ascii="宋体" w:hAnsi="宋体" w:cs="宋体" w:eastAsia="宋体" w:hint="default"/>
          <w:b/>
          <w:bCs/>
          <w:sz w:val="21"/>
          <w:szCs w:val="21"/>
        </w:rPr>
        <w:t>信息化助力行业转型升级</w:t>
      </w:r>
      <w:r>
        <w:rPr>
          <w:rFonts w:ascii="宋体" w:hAnsi="宋体" w:cs="宋体" w:eastAsia="宋体" w:hint="default"/>
          <w:b/>
          <w:bCs/>
          <w:w w:val="99"/>
          <w:sz w:val="21"/>
          <w:szCs w:val="21"/>
        </w:rPr>
        <w:t> </w:t>
      </w:r>
      <w:r>
        <w:rPr>
          <w:rFonts w:ascii="宋体" w:hAnsi="宋体" w:cs="宋体" w:eastAsia="宋体" w:hint="default"/>
          <w:spacing w:val="-2"/>
          <w:sz w:val="21"/>
          <w:szCs w:val="21"/>
        </w:rPr>
        <w:t>在经济发展新常态下，交通运输行业正呈现出新特点。随着资金、土地、资源、环境的刚性约束进一</w:t>
      </w:r>
    </w:p>
    <w:p>
      <w:pPr>
        <w:pStyle w:val="BodyText"/>
        <w:spacing w:line="273" w:lineRule="auto"/>
        <w:ind w:right="215"/>
        <w:jc w:val="both"/>
      </w:pPr>
      <w:r>
        <w:rPr>
          <w:w w:val="95"/>
        </w:rPr>
        <w:t>步增强，交通运输可持续发展面临严峻挑战，而新一代科技革命带来的技术进步则能够为交通运输提供充</w:t>
      </w:r>
      <w:r>
        <w:rPr>
          <w:spacing w:val="37"/>
          <w:w w:val="95"/>
        </w:rPr>
        <w:t> </w:t>
      </w:r>
      <w:r>
        <w:rPr>
          <w:spacing w:val="37"/>
          <w:w w:val="95"/>
        </w:rPr>
      </w:r>
      <w:r>
        <w:rPr>
          <w:w w:val="95"/>
        </w:rPr>
        <w:t>足的发展动力。近年来，“四个交通”理念不断深入人心，信息化、智能化不仅是提升交通运输服务水平</w:t>
      </w:r>
      <w:r>
        <w:rPr>
          <w:spacing w:val="39"/>
          <w:w w:val="95"/>
        </w:rPr>
        <w:t> </w:t>
      </w:r>
      <w:r>
        <w:rPr>
          <w:spacing w:val="39"/>
          <w:w w:val="95"/>
        </w:rPr>
      </w:r>
      <w:r>
        <w:rPr/>
        <w:t>的有效途径，更将成为推进行业转型升级的重要支撑。</w:t>
      </w:r>
    </w:p>
    <w:p>
      <w:pPr>
        <w:pStyle w:val="BodyText"/>
        <w:spacing w:line="273" w:lineRule="auto"/>
        <w:ind w:right="108" w:firstLine="480"/>
        <w:jc w:val="both"/>
      </w:pPr>
      <w:r>
        <w:rPr>
          <w:w w:val="95"/>
        </w:rPr>
        <w:t>2015年，国家将围绕“四个交通”目标，把智慧交通建设作为主战场，大力提升交通运输信息化智能</w:t>
      </w:r>
      <w:r>
        <w:rPr>
          <w:w w:val="99"/>
        </w:rPr>
        <w:t> </w:t>
      </w:r>
      <w:r>
        <w:rPr/>
        <w:t>化水平，把云计算、大数据、物联网等现代信息技术的研发、推广、应用作为主攻方向，通过开展重大基</w:t>
      </w:r>
      <w:r>
        <w:rPr>
          <w:w w:val="99"/>
        </w:rPr>
        <w:t> </w:t>
      </w:r>
      <w:r>
        <w:rPr>
          <w:spacing w:val="-3"/>
        </w:rPr>
        <w:t>础性、前瞻性、关键性技术研发，完善科技成果转化和产业化机制，以信息化智能化引领交通运输现代化。</w:t>
      </w:r>
    </w:p>
    <w:p>
      <w:pPr>
        <w:pStyle w:val="BodyText"/>
        <w:spacing w:line="273" w:lineRule="auto"/>
        <w:ind w:right="215" w:firstLine="480"/>
        <w:jc w:val="both"/>
      </w:pPr>
      <w:r>
        <w:rPr/>
        <w:t>2014年8月，国家发布《国务院关于促进海运业健康发展的若干意见》（以下简称“《意见》”），</w:t>
      </w:r>
      <w:r>
        <w:rPr>
          <w:w w:val="99"/>
        </w:rPr>
        <w:t> </w:t>
      </w:r>
      <w:r>
        <w:rPr>
          <w:w w:val="95"/>
        </w:rPr>
        <w:t>提出到2020年，基本建成安全、便捷、高效、绿色、具有国际竞争力的现代海运体系，适应国民经济安全</w:t>
      </w:r>
      <w:r>
        <w:rPr>
          <w:spacing w:val="37"/>
          <w:w w:val="95"/>
        </w:rPr>
        <w:t> </w:t>
      </w:r>
      <w:r>
        <w:rPr>
          <w:spacing w:val="37"/>
          <w:w w:val="95"/>
        </w:rPr>
      </w:r>
      <w:r>
        <w:rPr/>
        <w:t>运行和对外贸易发展需要，标志着航运业上升为国家战略。</w:t>
      </w:r>
    </w:p>
    <w:p>
      <w:pPr>
        <w:pStyle w:val="BodyText"/>
        <w:spacing w:line="273" w:lineRule="auto"/>
        <w:ind w:right="215" w:firstLine="480"/>
        <w:jc w:val="both"/>
      </w:pPr>
      <w:r>
        <w:rPr>
          <w:spacing w:val="-2"/>
        </w:rPr>
        <w:t>《意见》提出，将加大对海运业科技、教育、信息化建设等方面的投入，构建海运业综合信息服务平</w:t>
      </w:r>
      <w:r>
        <w:rPr>
          <w:w w:val="99"/>
        </w:rPr>
        <w:t> </w:t>
      </w:r>
      <w:r>
        <w:rPr>
          <w:w w:val="95"/>
        </w:rPr>
        <w:t>台，切实提高自主创新能力和教育水平，提高智能化水平。航运信息化作为发展现代航运服务业和促进航</w:t>
      </w:r>
      <w:r>
        <w:rPr>
          <w:spacing w:val="37"/>
          <w:w w:val="95"/>
        </w:rPr>
        <w:t> </w:t>
      </w:r>
      <w:r>
        <w:rPr>
          <w:spacing w:val="37"/>
          <w:w w:val="95"/>
        </w:rPr>
      </w:r>
      <w:r>
        <w:rPr/>
        <w:t>运业转型升级的重要举措，将面临巨大的发展机遇。</w:t>
      </w:r>
    </w:p>
    <w:p>
      <w:pPr>
        <w:pStyle w:val="Heading4"/>
        <w:spacing w:line="240" w:lineRule="auto" w:before="7"/>
        <w:ind w:left="595" w:right="202"/>
        <w:jc w:val="left"/>
        <w:rPr>
          <w:b w:val="0"/>
          <w:bCs w:val="0"/>
        </w:rPr>
      </w:pPr>
      <w:r>
        <w:rPr/>
        <w:t>3、新型城镇化引爆智慧城市发展热潮</w:t>
      </w:r>
      <w:r>
        <w:rPr>
          <w:spacing w:val="-10"/>
        </w:rPr>
        <w:t> </w:t>
      </w:r>
      <w:r>
        <w:rPr/>
        <w:t>智能交通应用市场需求旺盛</w:t>
      </w:r>
      <w:r>
        <w:rPr>
          <w:b w:val="0"/>
          <w:bCs w:val="0"/>
        </w:rPr>
      </w:r>
    </w:p>
    <w:p>
      <w:pPr>
        <w:pStyle w:val="BodyText"/>
        <w:spacing w:line="273" w:lineRule="auto" w:before="37"/>
        <w:ind w:right="212" w:firstLine="480"/>
        <w:jc w:val="both"/>
      </w:pPr>
      <w:r>
        <w:rPr>
          <w:spacing w:val="-2"/>
        </w:rPr>
        <w:t>2014年3月，国务院发布《国家新型城镇化规划（2014-2020年）》，明确提出将以综合交通网络和信</w:t>
      </w:r>
      <w:r>
        <w:rPr>
          <w:w w:val="99"/>
        </w:rPr>
        <w:t> </w:t>
      </w:r>
      <w:r>
        <w:rPr>
          <w:w w:val="95"/>
        </w:rPr>
        <w:t>息网络为依托，推动物联网、云计算、大数据等新一代信息技术创新应用，推广智能化信息应用和新型信</w:t>
      </w:r>
      <w:r>
        <w:rPr>
          <w:spacing w:val="41"/>
          <w:w w:val="95"/>
        </w:rPr>
        <w:t> </w:t>
      </w:r>
      <w:r>
        <w:rPr>
          <w:spacing w:val="41"/>
          <w:w w:val="95"/>
        </w:rPr>
      </w:r>
      <w:r>
        <w:rPr>
          <w:w w:val="95"/>
        </w:rPr>
        <w:t>息服务，加快智慧城市建设步伐。面对新形势，以构建综合交通运输体系为重点加快发展交通运输业，已</w:t>
      </w:r>
      <w:r>
        <w:rPr>
          <w:spacing w:val="42"/>
          <w:w w:val="95"/>
        </w:rPr>
        <w:t> </w:t>
      </w:r>
      <w:r>
        <w:rPr>
          <w:spacing w:val="42"/>
          <w:w w:val="95"/>
        </w:rPr>
      </w:r>
      <w:r>
        <w:rPr/>
        <w:t>经成为引导和支撑城镇化发展的重要战略。</w:t>
      </w:r>
    </w:p>
    <w:p>
      <w:pPr>
        <w:pStyle w:val="BodyText"/>
        <w:spacing w:line="273" w:lineRule="auto"/>
        <w:ind w:right="192" w:firstLine="480"/>
        <w:jc w:val="both"/>
      </w:pPr>
      <w:r>
        <w:rPr/>
        <w:t>2014年9月，国务院颁布《关于促进智慧城市健康发展的指导意见》，明确了新技术新业态对于智慧</w:t>
      </w:r>
      <w:r>
        <w:rPr>
          <w:w w:val="99"/>
        </w:rPr>
        <w:t> </w:t>
      </w:r>
      <w:r>
        <w:rPr>
          <w:w w:val="95"/>
        </w:rPr>
        <w:t>城市建设的重要意义，并将智能交通系统应用列入重点建设领域，指出将搭建交通诱导、出行信息服务、</w:t>
      </w:r>
      <w:r>
        <w:rPr>
          <w:spacing w:val="61"/>
          <w:w w:val="95"/>
        </w:rPr>
        <w:t> </w:t>
      </w:r>
      <w:r>
        <w:rPr>
          <w:spacing w:val="61"/>
          <w:w w:val="95"/>
        </w:rPr>
      </w:r>
      <w:r>
        <w:rPr>
          <w:w w:val="95"/>
        </w:rPr>
        <w:t>公共交通、综合客运枢纽、综合运行协调指挥等智能系统，推进北斗导航卫星地基增强系统建设，发展差</w:t>
      </w:r>
      <w:r>
        <w:rPr>
          <w:spacing w:val="40"/>
          <w:w w:val="95"/>
        </w:rPr>
        <w:t> </w:t>
      </w:r>
      <w:r>
        <w:rPr>
          <w:spacing w:val="40"/>
          <w:w w:val="95"/>
        </w:rPr>
      </w:r>
      <w:r>
        <w:rPr/>
        <w:t>异化交通信息增值服务。</w:t>
      </w:r>
    </w:p>
    <w:p>
      <w:pPr>
        <w:pStyle w:val="BodyText"/>
        <w:spacing w:line="273" w:lineRule="auto"/>
        <w:ind w:right="212" w:firstLine="480"/>
        <w:jc w:val="both"/>
      </w:pPr>
      <w:r>
        <w:rPr>
          <w:spacing w:val="-2"/>
        </w:rPr>
        <w:t>随着新一代信息技术的深入融合和投融资机制的不断完善，智慧城市建设将迎来新一轮热潮，并将形</w:t>
      </w:r>
      <w:r>
        <w:rPr>
          <w:w w:val="99"/>
        </w:rPr>
        <w:t> </w:t>
      </w:r>
      <w:r>
        <w:rPr/>
        <w:t>成辐射效应带动整个产业链发展。</w:t>
      </w:r>
    </w:p>
    <w:p>
      <w:pPr>
        <w:pStyle w:val="BodyText"/>
        <w:spacing w:line="273" w:lineRule="auto"/>
        <w:ind w:right="236" w:firstLine="480"/>
        <w:jc w:val="both"/>
      </w:pPr>
      <w:r>
        <w:rPr>
          <w:color w:val="212121"/>
          <w:w w:val="95"/>
        </w:rPr>
        <w:t>据互联网数据中心预测，未来10年，智慧城市建设相关投资将超过2万亿元，而智能交通作为智慧城</w:t>
      </w:r>
      <w:r>
        <w:rPr>
          <w:color w:val="212121"/>
          <w:w w:val="99"/>
        </w:rPr>
        <w:t> </w:t>
      </w:r>
      <w:r>
        <w:rPr>
          <w:color w:val="212121"/>
        </w:rPr>
        <w:t>市建设的排头兵，将成为首批政策红利的惠及者。据测算，2008-2013年，中国智能交通市场年均增速达</w:t>
      </w:r>
      <w:r>
        <w:rPr>
          <w:color w:val="212121"/>
          <w:w w:val="99"/>
        </w:rPr>
        <w:t> </w:t>
      </w:r>
      <w:r>
        <w:rPr>
          <w:color w:val="212121"/>
        </w:rPr>
        <w:t>到20%，预计未来10年，投资规模将达到1700亿元。</w:t>
      </w:r>
      <w:r>
        <w:rPr/>
      </w:r>
    </w:p>
    <w:p>
      <w:pPr>
        <w:spacing w:line="273" w:lineRule="auto" w:before="7"/>
        <w:ind w:left="592" w:right="202" w:firstLine="2"/>
        <w:jc w:val="left"/>
        <w:rPr>
          <w:rFonts w:ascii="宋体" w:hAnsi="宋体" w:cs="宋体" w:eastAsia="宋体" w:hint="default"/>
          <w:sz w:val="21"/>
          <w:szCs w:val="21"/>
        </w:rPr>
      </w:pPr>
      <w:r>
        <w:rPr>
          <w:rFonts w:ascii="宋体" w:hAnsi="宋体" w:cs="宋体" w:eastAsia="宋体" w:hint="default"/>
          <w:b/>
          <w:bCs/>
          <w:sz w:val="21"/>
          <w:szCs w:val="21"/>
        </w:rPr>
        <w:t>4、智能安防科技创新积极性高涨</w:t>
      </w:r>
      <w:r>
        <w:rPr>
          <w:rFonts w:ascii="宋体" w:hAnsi="宋体" w:cs="宋体" w:eastAsia="宋体" w:hint="default"/>
          <w:b/>
          <w:bCs/>
          <w:spacing w:val="1"/>
          <w:sz w:val="21"/>
          <w:szCs w:val="21"/>
        </w:rPr>
        <w:t> </w:t>
      </w:r>
      <w:r>
        <w:rPr>
          <w:rFonts w:ascii="宋体" w:hAnsi="宋体" w:cs="宋体" w:eastAsia="宋体" w:hint="default"/>
          <w:b/>
          <w:bCs/>
          <w:sz w:val="21"/>
          <w:szCs w:val="21"/>
        </w:rPr>
        <w:t>行业应用深入开展</w:t>
      </w:r>
      <w:r>
        <w:rPr>
          <w:rFonts w:ascii="宋体" w:hAnsi="宋体" w:cs="宋体" w:eastAsia="宋体" w:hint="default"/>
          <w:b/>
          <w:bCs/>
          <w:w w:val="99"/>
          <w:sz w:val="21"/>
          <w:szCs w:val="21"/>
        </w:rPr>
        <w:t> </w:t>
      </w:r>
      <w:r>
        <w:rPr>
          <w:rFonts w:ascii="宋体" w:hAnsi="宋体" w:cs="宋体" w:eastAsia="宋体" w:hint="default"/>
          <w:spacing w:val="-2"/>
          <w:sz w:val="21"/>
          <w:szCs w:val="21"/>
        </w:rPr>
        <w:t>根据《中国安防行业“十二五”发展规划》，到“十二五”末期，中国安防将实现产业规模翻一番的</w:t>
      </w:r>
    </w:p>
    <w:p>
      <w:pPr>
        <w:pStyle w:val="BodyText"/>
        <w:spacing w:line="273" w:lineRule="auto"/>
        <w:ind w:left="592" w:right="202" w:hanging="480"/>
        <w:jc w:val="left"/>
      </w:pPr>
      <w:r>
        <w:rPr/>
        <w:t>总体目标，年增长率达到20%，2015年总产值达到5000亿元，增加值为1600亿元。</w:t>
      </w:r>
      <w:r>
        <w:rPr>
          <w:w w:val="99"/>
        </w:rPr>
        <w:t> </w:t>
      </w:r>
      <w:r>
        <w:rPr>
          <w:spacing w:val="-4"/>
          <w:w w:val="95"/>
        </w:rPr>
        <w:t>随着安防技术的进步和行业解决方案的逐步成熟，较早运用智能安防技术的行业领域（如金融、交通、</w:t>
      </w:r>
      <w:r>
        <w:rPr>
          <w:spacing w:val="-4"/>
        </w:rPr>
      </w:r>
    </w:p>
    <w:p>
      <w:pPr>
        <w:pStyle w:val="BodyText"/>
        <w:spacing w:line="273" w:lineRule="auto"/>
        <w:ind w:right="212"/>
        <w:jc w:val="both"/>
      </w:pPr>
      <w:r>
        <w:rPr>
          <w:w w:val="95"/>
        </w:rPr>
        <w:t>政府机关）开始了新一轮的系统升级和深度应用，一些新的行业也开始普及安防产品，智能安防被更多地</w:t>
      </w:r>
      <w:r>
        <w:rPr>
          <w:spacing w:val="37"/>
          <w:w w:val="95"/>
        </w:rPr>
        <w:t> </w:t>
      </w:r>
      <w:r>
        <w:rPr>
          <w:spacing w:val="37"/>
          <w:w w:val="95"/>
        </w:rPr>
      </w:r>
      <w:r>
        <w:rPr>
          <w:w w:val="95"/>
        </w:rPr>
        <w:t>融合进业务拓展和管理领域，发展空间日益广阔。据《中国安防》对行业景气监测数据表明，中国安防行</w:t>
      </w:r>
      <w:r>
        <w:rPr>
          <w:spacing w:val="40"/>
          <w:w w:val="95"/>
        </w:rPr>
        <w:t> </w:t>
      </w:r>
      <w:r>
        <w:rPr>
          <w:spacing w:val="40"/>
          <w:w w:val="95"/>
        </w:rPr>
      </w:r>
      <w:r>
        <w:rPr/>
        <w:t>业科研投入占销售收入的比值达到了5%以上，保持在“较强景气区间”。</w:t>
      </w:r>
    </w:p>
    <w:p>
      <w:pPr>
        <w:pStyle w:val="BodyText"/>
        <w:spacing w:line="273" w:lineRule="auto"/>
        <w:ind w:right="105" w:firstLine="480"/>
        <w:jc w:val="left"/>
      </w:pPr>
      <w:r>
        <w:rPr>
          <w:color w:val="212121"/>
          <w:w w:val="95"/>
        </w:rPr>
        <w:t>面对如此庞大的市场机遇，公司作为交通信息化建设领域成熟的系统集成商，</w:t>
      </w:r>
      <w:r>
        <w:rPr>
          <w:w w:val="95"/>
        </w:rPr>
        <w:t>兼具软件平台开发和系</w:t>
      </w:r>
      <w:r>
        <w:rPr>
          <w:w w:val="99"/>
        </w:rPr>
        <w:t> </w:t>
      </w:r>
      <w:r>
        <w:rPr>
          <w:spacing w:val="-3"/>
        </w:rPr>
        <w:t>统集成能力，</w:t>
      </w:r>
      <w:r>
        <w:rPr>
          <w:color w:val="212121"/>
          <w:spacing w:val="-3"/>
        </w:rPr>
        <w:t>凭借丰富的项目经验和技术基础，将</w:t>
      </w:r>
      <w:r>
        <w:rPr>
          <w:spacing w:val="-3"/>
        </w:rPr>
        <w:t>更容易把握行业发展趋势，研发出切合用户需求的产品，</w:t>
      </w:r>
      <w:r>
        <w:rPr>
          <w:w w:val="99"/>
        </w:rPr>
        <w:t> </w:t>
      </w:r>
      <w:r>
        <w:rPr>
          <w:color w:val="212121"/>
        </w:rPr>
        <w:t>在激烈的市场竞争中脱颖而出，获得更大的市场份额。</w:t>
      </w:r>
      <w:r>
        <w:rPr/>
      </w:r>
    </w:p>
    <w:p>
      <w:pPr>
        <w:spacing w:after="0" w:line="273"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Heading4"/>
        <w:spacing w:line="240" w:lineRule="auto" w:before="34"/>
        <w:ind w:right="0"/>
        <w:jc w:val="both"/>
        <w:rPr>
          <w:b w:val="0"/>
          <w:bCs w:val="0"/>
        </w:rPr>
      </w:pPr>
      <w:r>
        <w:rPr/>
        <w:t>（二）2015年经营计划</w:t>
      </w:r>
      <w:r>
        <w:rPr>
          <w:b w:val="0"/>
          <w:bCs w:val="0"/>
        </w:rPr>
      </w:r>
    </w:p>
    <w:p>
      <w:pPr>
        <w:spacing w:line="240" w:lineRule="auto" w:before="9"/>
        <w:rPr>
          <w:rFonts w:ascii="宋体" w:hAnsi="宋体" w:cs="宋体" w:eastAsia="宋体" w:hint="default"/>
          <w:b/>
          <w:bCs/>
          <w:sz w:val="22"/>
          <w:szCs w:val="22"/>
        </w:rPr>
      </w:pPr>
    </w:p>
    <w:p>
      <w:pPr>
        <w:pStyle w:val="BodyText"/>
        <w:spacing w:line="273" w:lineRule="auto" w:before="0"/>
        <w:ind w:right="212" w:firstLine="480"/>
        <w:jc w:val="both"/>
      </w:pPr>
      <w:r>
        <w:rPr>
          <w:spacing w:val="-2"/>
        </w:rPr>
        <w:t>2015年，国民经济发展方式进入从规模速度型粗放增长转向质量效率型集约增长的新常态，公司将积</w:t>
      </w:r>
      <w:r>
        <w:rPr>
          <w:w w:val="99"/>
        </w:rPr>
        <w:t> </w:t>
      </w:r>
      <w:r>
        <w:rPr>
          <w:w w:val="95"/>
        </w:rPr>
        <w:t>极响应国家“全面深化交通运输改革”、“推进交通运输科学发展”的新思路，积极融入新一代信息技术</w:t>
      </w:r>
      <w:r>
        <w:rPr>
          <w:spacing w:val="40"/>
          <w:w w:val="95"/>
        </w:rPr>
        <w:t> </w:t>
      </w:r>
      <w:r>
        <w:rPr>
          <w:spacing w:val="40"/>
          <w:w w:val="95"/>
        </w:rPr>
      </w:r>
      <w:r>
        <w:rPr>
          <w:w w:val="95"/>
        </w:rPr>
        <w:t>发展浪潮，推进智能路网、智慧港口等新技术、新产品的研发，稳步拓展市场，加强内控管理，持续增强</w:t>
      </w:r>
      <w:r>
        <w:rPr>
          <w:spacing w:val="37"/>
          <w:w w:val="95"/>
        </w:rPr>
        <w:t> </w:t>
      </w:r>
      <w:r>
        <w:rPr>
          <w:spacing w:val="37"/>
          <w:w w:val="95"/>
        </w:rPr>
      </w:r>
      <w:r>
        <w:rPr/>
        <w:t>公司发展实力。</w:t>
      </w:r>
    </w:p>
    <w:p>
      <w:pPr>
        <w:spacing w:line="273" w:lineRule="auto" w:before="7"/>
        <w:ind w:left="592" w:right="202" w:firstLine="2"/>
        <w:jc w:val="left"/>
        <w:rPr>
          <w:rFonts w:ascii="宋体" w:hAnsi="宋体" w:cs="宋体" w:eastAsia="宋体" w:hint="default"/>
          <w:sz w:val="21"/>
          <w:szCs w:val="21"/>
        </w:rPr>
      </w:pPr>
      <w:r>
        <w:rPr>
          <w:rFonts w:ascii="宋体" w:hAnsi="宋体" w:cs="宋体" w:eastAsia="宋体" w:hint="default"/>
          <w:b/>
          <w:bCs/>
          <w:sz w:val="21"/>
          <w:szCs w:val="21"/>
        </w:rPr>
        <w:t>1、加大技术研发力度，提升公司发展品质</w:t>
      </w:r>
      <w:r>
        <w:rPr>
          <w:rFonts w:ascii="宋体" w:hAnsi="宋体" w:cs="宋体" w:eastAsia="宋体" w:hint="default"/>
          <w:b/>
          <w:bCs/>
          <w:w w:val="99"/>
          <w:sz w:val="21"/>
          <w:szCs w:val="21"/>
        </w:rPr>
        <w:t> </w:t>
      </w:r>
      <w:r>
        <w:rPr>
          <w:rFonts w:ascii="宋体" w:hAnsi="宋体" w:cs="宋体" w:eastAsia="宋体" w:hint="default"/>
          <w:spacing w:val="-2"/>
          <w:sz w:val="21"/>
          <w:szCs w:val="21"/>
        </w:rPr>
        <w:t>公司将以公路网管理智能化为核心，继续开展物联网、移动互联等技术和交通运输监测感知等先进设</w:t>
      </w:r>
    </w:p>
    <w:p>
      <w:pPr>
        <w:pStyle w:val="BodyText"/>
        <w:spacing w:line="273" w:lineRule="auto"/>
        <w:ind w:right="212"/>
        <w:jc w:val="both"/>
      </w:pPr>
      <w:r>
        <w:rPr>
          <w:w w:val="95"/>
        </w:rPr>
        <w:t>备的研究，研发整合路网监测监控、视频联网监控、路网日常营运、路网运行管理、智能协同指挥、公众</w:t>
      </w:r>
      <w:r>
        <w:rPr>
          <w:spacing w:val="37"/>
          <w:w w:val="95"/>
        </w:rPr>
        <w:t> </w:t>
      </w:r>
      <w:r>
        <w:rPr>
          <w:spacing w:val="37"/>
          <w:w w:val="95"/>
        </w:rPr>
      </w:r>
      <w:r>
        <w:rPr>
          <w:w w:val="95"/>
        </w:rPr>
        <w:t>信息服务和辅助决策分析等公路网管理系统，建立“智能路网”管理体系，在提升公路网运行监测和营运</w:t>
      </w:r>
      <w:r>
        <w:rPr>
          <w:spacing w:val="40"/>
          <w:w w:val="95"/>
        </w:rPr>
        <w:t> </w:t>
      </w:r>
      <w:r>
        <w:rPr>
          <w:spacing w:val="40"/>
          <w:w w:val="95"/>
        </w:rPr>
      </w:r>
      <w:r>
        <w:rPr/>
        <w:t>管理水平的同时，为交通参与者提供全方位、多样化、个性化、互动式的智慧化信息服务。</w:t>
      </w:r>
    </w:p>
    <w:p>
      <w:pPr>
        <w:pStyle w:val="BodyText"/>
        <w:spacing w:line="273" w:lineRule="auto"/>
        <w:ind w:right="202" w:firstLine="480"/>
        <w:jc w:val="left"/>
      </w:pPr>
      <w:r>
        <w:rPr>
          <w:spacing w:val="-2"/>
        </w:rPr>
        <w:t>积极响应交通运输部“加快港口信息化应用、提升港口装备智能化水平、促进智慧型港口建设”的号</w:t>
      </w:r>
      <w:r>
        <w:rPr>
          <w:w w:val="99"/>
        </w:rPr>
        <w:t> </w:t>
      </w:r>
      <w:r>
        <w:rPr>
          <w:w w:val="95"/>
        </w:rPr>
        <w:t>召，以无线互联网技术、卫星导航技术、地理信息系统(GIS)、射频标识技术(RFID)、自动导引小车(AGV)</w:t>
      </w:r>
      <w:r>
        <w:rPr>
          <w:spacing w:val="41"/>
          <w:w w:val="95"/>
        </w:rPr>
        <w:t> </w:t>
      </w:r>
      <w:r>
        <w:rPr>
          <w:spacing w:val="41"/>
          <w:w w:val="95"/>
        </w:rPr>
      </w:r>
      <w:r>
        <w:rPr/>
        <w:t>技术、搬运机器人(Robot</w:t>
      </w:r>
      <w:r>
        <w:rPr>
          <w:spacing w:val="-11"/>
        </w:rPr>
        <w:t> </w:t>
      </w:r>
      <w:r>
        <w:rPr/>
        <w:t>System)技术、电子识别和电子跟踪技术、智能运输系统(ITS)等为基础手段，</w:t>
      </w:r>
      <w:r>
        <w:rPr>
          <w:w w:val="99"/>
        </w:rPr>
        <w:t> </w:t>
      </w:r>
      <w:r>
        <w:rPr>
          <w:w w:val="95"/>
        </w:rPr>
        <w:t>加快集装箱、散杂货等码头操作系统的研发和升级，通过提供SaaS化相关应用服务，进一步提高港口作业</w:t>
      </w:r>
      <w:r>
        <w:rPr>
          <w:spacing w:val="40"/>
          <w:w w:val="95"/>
        </w:rPr>
        <w:t> </w:t>
      </w:r>
      <w:r>
        <w:rPr>
          <w:spacing w:val="40"/>
          <w:w w:val="95"/>
        </w:rPr>
      </w:r>
      <w:r>
        <w:rPr>
          <w:w w:val="95"/>
        </w:rPr>
        <w:t>效率和服务水平，形成高度整合的“大物流”平台，为打造技术密集型的“智能港”和“虚拟物流链控制</w:t>
      </w:r>
      <w:r>
        <w:rPr>
          <w:spacing w:val="40"/>
          <w:w w:val="95"/>
        </w:rPr>
        <w:t> </w:t>
      </w:r>
      <w:r>
        <w:rPr>
          <w:spacing w:val="40"/>
          <w:w w:val="95"/>
        </w:rPr>
      </w:r>
      <w:r>
        <w:rPr/>
        <w:t>中心”提供先进的、可靠的技术支撑，推动我国港口向国际化、规模化、系统化的第四代港口发展。</w:t>
      </w:r>
    </w:p>
    <w:p>
      <w:pPr>
        <w:pStyle w:val="BodyText"/>
        <w:spacing w:line="273" w:lineRule="auto"/>
        <w:ind w:right="212" w:firstLine="480"/>
        <w:jc w:val="both"/>
      </w:pPr>
      <w:r>
        <w:rPr>
          <w:spacing w:val="-3"/>
        </w:rPr>
        <w:t>同时，公司将充分发掘</w:t>
      </w:r>
      <w:r>
        <w:rPr>
          <w:spacing w:val="-58"/>
        </w:rPr>
        <w:t> </w:t>
      </w:r>
      <w:r>
        <w:rPr/>
        <w:t>“中国港口网”（</w:t>
      </w:r>
      <w:r>
        <w:rPr>
          <w:color w:val="0000FF"/>
        </w:rPr>
      </w:r>
      <w:hyperlink r:id="rId16">
        <w:r>
          <w:rPr>
            <w:color w:val="0000FF"/>
            <w:u w:val="single" w:color="0000FF"/>
          </w:rPr>
          <w:t>http://www.chinaports.com</w:t>
        </w:r>
        <w:r>
          <w:rPr>
            <w:color w:val="0000FF"/>
          </w:rPr>
        </w:r>
      </w:hyperlink>
      <w:r>
        <w:rPr/>
        <w:t>）作为互联网综合运营平台的</w:t>
      </w:r>
      <w:r>
        <w:rPr>
          <w:w w:val="99"/>
        </w:rPr>
        <w:t> </w:t>
      </w:r>
      <w:r>
        <w:rPr>
          <w:w w:val="95"/>
        </w:rPr>
        <w:t>商业价值，加大对系统研发、网站运营、客户开发等方面的资源投入，通过对平台汇集的大量港口物流信</w:t>
      </w:r>
      <w:r>
        <w:rPr>
          <w:spacing w:val="41"/>
          <w:w w:val="95"/>
        </w:rPr>
        <w:t> </w:t>
      </w:r>
      <w:r>
        <w:rPr>
          <w:spacing w:val="41"/>
          <w:w w:val="95"/>
        </w:rPr>
      </w:r>
      <w:r>
        <w:rPr>
          <w:w w:val="95"/>
        </w:rPr>
        <w:t>息资源进行挖掘、提炼和整合，形成既能够为港口物流企业内部核心业务管理提供数据支撑和辅助决策支</w:t>
      </w:r>
      <w:r>
        <w:rPr>
          <w:spacing w:val="37"/>
          <w:w w:val="95"/>
        </w:rPr>
        <w:t> </w:t>
      </w:r>
      <w:r>
        <w:rPr>
          <w:spacing w:val="37"/>
          <w:w w:val="95"/>
        </w:rPr>
      </w:r>
      <w:r>
        <w:rPr>
          <w:w w:val="95"/>
        </w:rPr>
        <w:t>持，又能够为所有港航物流参与企业提供业务协作集成化的信息平台，在为各业务、跨区域、跨部门的协</w:t>
      </w:r>
      <w:r>
        <w:rPr>
          <w:spacing w:val="41"/>
          <w:w w:val="95"/>
        </w:rPr>
        <w:t> </w:t>
      </w:r>
      <w:r>
        <w:rPr>
          <w:spacing w:val="41"/>
          <w:w w:val="95"/>
        </w:rPr>
      </w:r>
      <w:r>
        <w:rPr/>
        <w:t>同管理提供多元化的综合服务的基础上，不断探索互联网经济下新的经营和盈利模式。</w:t>
      </w:r>
    </w:p>
    <w:p>
      <w:pPr>
        <w:spacing w:line="273" w:lineRule="auto" w:before="7"/>
        <w:ind w:left="592" w:right="202" w:firstLine="2"/>
        <w:jc w:val="left"/>
        <w:rPr>
          <w:rFonts w:ascii="宋体" w:hAnsi="宋体" w:cs="宋体" w:eastAsia="宋体" w:hint="default"/>
          <w:sz w:val="21"/>
          <w:szCs w:val="21"/>
        </w:rPr>
      </w:pPr>
      <w:r>
        <w:rPr>
          <w:rFonts w:ascii="宋体" w:hAnsi="宋体" w:cs="宋体" w:eastAsia="宋体" w:hint="default"/>
          <w:b/>
          <w:bCs/>
          <w:sz w:val="21"/>
          <w:szCs w:val="21"/>
        </w:rPr>
        <w:t>2、加强集团化战略布局</w:t>
      </w:r>
      <w:r>
        <w:rPr>
          <w:rFonts w:ascii="宋体" w:hAnsi="宋体" w:cs="宋体" w:eastAsia="宋体" w:hint="default"/>
          <w:b/>
          <w:bCs/>
          <w:spacing w:val="1"/>
          <w:sz w:val="21"/>
          <w:szCs w:val="21"/>
        </w:rPr>
        <w:t> </w:t>
      </w:r>
      <w:r>
        <w:rPr>
          <w:rFonts w:ascii="宋体" w:hAnsi="宋体" w:cs="宋体" w:eastAsia="宋体" w:hint="default"/>
          <w:b/>
          <w:bCs/>
          <w:sz w:val="21"/>
          <w:szCs w:val="21"/>
        </w:rPr>
        <w:t>推进业务深度融合</w:t>
      </w:r>
      <w:r>
        <w:rPr>
          <w:rFonts w:ascii="宋体" w:hAnsi="宋体" w:cs="宋体" w:eastAsia="宋体" w:hint="default"/>
          <w:b/>
          <w:bCs/>
          <w:w w:val="99"/>
          <w:sz w:val="21"/>
          <w:szCs w:val="21"/>
        </w:rPr>
        <w:t> </w:t>
      </w:r>
      <w:r>
        <w:rPr>
          <w:rFonts w:ascii="宋体" w:hAnsi="宋体" w:cs="宋体" w:eastAsia="宋体" w:hint="default"/>
          <w:spacing w:val="-2"/>
          <w:sz w:val="21"/>
          <w:szCs w:val="21"/>
        </w:rPr>
        <w:t>公司将依托雄厚的软件开发实力和对市场敏锐的洞察力，结合自身业务特点和外部市场环境，强化顶</w:t>
      </w:r>
    </w:p>
    <w:p>
      <w:pPr>
        <w:pStyle w:val="BodyText"/>
        <w:spacing w:line="273" w:lineRule="auto"/>
        <w:ind w:right="192"/>
        <w:jc w:val="both"/>
      </w:pPr>
      <w:r>
        <w:rPr>
          <w:w w:val="95"/>
        </w:rPr>
        <w:t>层设计和整体规划，通过资源优化整合，将现有各项业务深度融合进集团产业链当中，加快集团业务战略</w:t>
      </w:r>
      <w:r>
        <w:rPr>
          <w:spacing w:val="37"/>
          <w:w w:val="95"/>
        </w:rPr>
        <w:t> </w:t>
      </w:r>
      <w:r>
        <w:rPr>
          <w:spacing w:val="37"/>
          <w:w w:val="95"/>
        </w:rPr>
      </w:r>
      <w:r>
        <w:rPr>
          <w:w w:val="95"/>
        </w:rPr>
        <w:t>布局。在稳步发展的同时，不断开发新的产品和开辟新的服务领域，加速推进公司业务和盈利模式创新，</w:t>
      </w:r>
      <w:r>
        <w:rPr>
          <w:spacing w:val="61"/>
          <w:w w:val="95"/>
        </w:rPr>
        <w:t> </w:t>
      </w:r>
      <w:r>
        <w:rPr>
          <w:spacing w:val="61"/>
          <w:w w:val="95"/>
        </w:rPr>
      </w:r>
      <w:r>
        <w:rPr/>
        <w:t>有效激活企业内生动力和发展合力，促进公司整体业务和利润可持续增长。</w:t>
      </w:r>
    </w:p>
    <w:p>
      <w:pPr>
        <w:spacing w:line="273" w:lineRule="auto" w:before="7"/>
        <w:ind w:left="532" w:right="202" w:firstLine="0"/>
        <w:jc w:val="left"/>
        <w:rPr>
          <w:rFonts w:ascii="宋体" w:hAnsi="宋体" w:cs="宋体" w:eastAsia="宋体" w:hint="default"/>
          <w:sz w:val="21"/>
          <w:szCs w:val="21"/>
        </w:rPr>
      </w:pPr>
      <w:r>
        <w:rPr>
          <w:rFonts w:ascii="宋体" w:hAnsi="宋体" w:cs="宋体" w:eastAsia="宋体" w:hint="default"/>
          <w:b/>
          <w:bCs/>
          <w:sz w:val="21"/>
          <w:szCs w:val="21"/>
        </w:rPr>
        <w:t>3、完善营销网络体系</w:t>
      </w:r>
      <w:r>
        <w:rPr>
          <w:rFonts w:ascii="宋体" w:hAnsi="宋体" w:cs="宋体" w:eastAsia="宋体" w:hint="default"/>
          <w:b/>
          <w:bCs/>
          <w:spacing w:val="1"/>
          <w:sz w:val="21"/>
          <w:szCs w:val="21"/>
        </w:rPr>
        <w:t> </w:t>
      </w:r>
      <w:r>
        <w:rPr>
          <w:rFonts w:ascii="宋体" w:hAnsi="宋体" w:cs="宋体" w:eastAsia="宋体" w:hint="default"/>
          <w:b/>
          <w:bCs/>
          <w:sz w:val="21"/>
          <w:szCs w:val="21"/>
        </w:rPr>
        <w:t>着力培养优秀市场人才</w:t>
      </w:r>
      <w:r>
        <w:rPr>
          <w:rFonts w:ascii="宋体" w:hAnsi="宋体" w:cs="宋体" w:eastAsia="宋体" w:hint="default"/>
          <w:b/>
          <w:bCs/>
          <w:w w:val="99"/>
          <w:sz w:val="21"/>
          <w:szCs w:val="21"/>
        </w:rPr>
        <w:t> </w:t>
      </w:r>
      <w:r>
        <w:rPr>
          <w:rFonts w:ascii="宋体" w:hAnsi="宋体" w:cs="宋体" w:eastAsia="宋体" w:hint="default"/>
          <w:w w:val="95"/>
          <w:sz w:val="21"/>
          <w:szCs w:val="21"/>
        </w:rPr>
        <w:t>公司将以现有重点区域市场为根据地，充分利用分、子公司的辐射带动作用，拓展潜在区域市场的发</w:t>
      </w:r>
      <w:r>
        <w:rPr>
          <w:rFonts w:ascii="宋体" w:hAnsi="宋体" w:cs="宋体" w:eastAsia="宋体" w:hint="default"/>
          <w:sz w:val="21"/>
          <w:szCs w:val="21"/>
        </w:rPr>
      </w:r>
    </w:p>
    <w:p>
      <w:pPr>
        <w:pStyle w:val="BodyText"/>
        <w:spacing w:line="273" w:lineRule="auto"/>
        <w:ind w:right="105"/>
        <w:jc w:val="left"/>
      </w:pPr>
      <w:r>
        <w:rPr>
          <w:spacing w:val="-3"/>
        </w:rPr>
        <w:t>展空间，完成全国市场布局。通过大力培训和引进优秀的营销专业人才，建立相对完善的专业化市场营销、</w:t>
      </w:r>
      <w:r>
        <w:rPr>
          <w:w w:val="99"/>
        </w:rPr>
        <w:t> </w:t>
      </w:r>
      <w:r>
        <w:rPr/>
        <w:t>技术支持和售后服务体系，并逐步将营销和售后服务职能由公司总部转移到各区域营销服务中心，实现本</w:t>
      </w:r>
      <w:r>
        <w:rPr>
          <w:w w:val="99"/>
        </w:rPr>
        <w:t> </w:t>
      </w:r>
      <w:r>
        <w:rPr/>
        <w:t>地化管理，以更为高效和贴近的服务提升客户满意度，增强公司市场竞争力。</w:t>
      </w:r>
    </w:p>
    <w:p>
      <w:pPr>
        <w:spacing w:line="273" w:lineRule="auto" w:before="7"/>
        <w:ind w:left="592" w:right="202" w:firstLine="0"/>
        <w:jc w:val="left"/>
        <w:rPr>
          <w:rFonts w:ascii="宋体" w:hAnsi="宋体" w:cs="宋体" w:eastAsia="宋体" w:hint="default"/>
          <w:sz w:val="21"/>
          <w:szCs w:val="21"/>
        </w:rPr>
      </w:pPr>
      <w:r>
        <w:rPr>
          <w:rFonts w:ascii="宋体" w:hAnsi="宋体" w:cs="宋体" w:eastAsia="宋体" w:hint="default"/>
          <w:b/>
          <w:bCs/>
          <w:sz w:val="21"/>
          <w:szCs w:val="21"/>
        </w:rPr>
        <w:t>4、强化风险管控</w:t>
      </w:r>
      <w:r>
        <w:rPr>
          <w:rFonts w:ascii="宋体" w:hAnsi="宋体" w:cs="宋体" w:eastAsia="宋体" w:hint="default"/>
          <w:b/>
          <w:bCs/>
          <w:spacing w:val="1"/>
          <w:sz w:val="21"/>
          <w:szCs w:val="21"/>
        </w:rPr>
        <w:t> </w:t>
      </w:r>
      <w:r>
        <w:rPr>
          <w:rFonts w:ascii="宋体" w:hAnsi="宋体" w:cs="宋体" w:eastAsia="宋体" w:hint="default"/>
          <w:b/>
          <w:bCs/>
          <w:sz w:val="21"/>
          <w:szCs w:val="21"/>
        </w:rPr>
        <w:t>精细内部管理</w:t>
      </w:r>
      <w:r>
        <w:rPr>
          <w:rFonts w:ascii="宋体" w:hAnsi="宋体" w:cs="宋体" w:eastAsia="宋体" w:hint="default"/>
          <w:b/>
          <w:bCs/>
          <w:w w:val="99"/>
          <w:sz w:val="21"/>
          <w:szCs w:val="21"/>
        </w:rPr>
        <w:t> </w:t>
      </w:r>
      <w:r>
        <w:rPr>
          <w:rFonts w:ascii="宋体" w:hAnsi="宋体" w:cs="宋体" w:eastAsia="宋体" w:hint="default"/>
          <w:spacing w:val="-2"/>
          <w:sz w:val="21"/>
          <w:szCs w:val="21"/>
        </w:rPr>
        <w:t>公司将进一步强化内部控制的风险评估工作，持续进行风险的识别和分析，加强应对策略研究，实现</w:t>
      </w:r>
    </w:p>
    <w:p>
      <w:pPr>
        <w:pStyle w:val="BodyText"/>
        <w:spacing w:line="273" w:lineRule="auto"/>
        <w:ind w:right="192"/>
        <w:jc w:val="both"/>
      </w:pPr>
      <w:r>
        <w:rPr>
          <w:w w:val="95"/>
        </w:rPr>
        <w:t>有效的风险控制；组织公司管理层和广大员工学习内控管理相关制度，广泛提升员工内控规范意识，并在</w:t>
      </w:r>
      <w:r>
        <w:rPr>
          <w:spacing w:val="43"/>
          <w:w w:val="95"/>
        </w:rPr>
        <w:t> </w:t>
      </w:r>
      <w:r>
        <w:rPr>
          <w:spacing w:val="43"/>
          <w:w w:val="95"/>
        </w:rPr>
      </w:r>
      <w:r>
        <w:rPr>
          <w:w w:val="95"/>
        </w:rPr>
        <w:t>日常经营管理活动中有效贯彻；持续完善公司各项内控制度，通过定期或不定期开展内部综合治理检查，</w:t>
      </w:r>
      <w:r>
        <w:rPr>
          <w:spacing w:val="61"/>
          <w:w w:val="95"/>
        </w:rPr>
        <w:t> </w:t>
      </w:r>
      <w:r>
        <w:rPr>
          <w:spacing w:val="61"/>
          <w:w w:val="95"/>
        </w:rPr>
      </w:r>
      <w:r>
        <w:rPr/>
        <w:t>督导制度执行情况，保障内控体系运行有效，为公司发展战略和经营目标的实现提供合理保证。</w:t>
      </w:r>
    </w:p>
    <w:p>
      <w:pPr>
        <w:spacing w:line="273" w:lineRule="auto" w:before="7"/>
        <w:ind w:left="592" w:right="202" w:firstLine="2"/>
        <w:jc w:val="left"/>
        <w:rPr>
          <w:rFonts w:ascii="宋体" w:hAnsi="宋体" w:cs="宋体" w:eastAsia="宋体" w:hint="default"/>
          <w:sz w:val="21"/>
          <w:szCs w:val="21"/>
        </w:rPr>
      </w:pPr>
      <w:r>
        <w:rPr>
          <w:rFonts w:ascii="宋体" w:hAnsi="宋体" w:cs="宋体" w:eastAsia="宋体" w:hint="default"/>
          <w:b/>
          <w:bCs/>
          <w:sz w:val="21"/>
          <w:szCs w:val="21"/>
        </w:rPr>
        <w:t>5、加快募投项目建设</w:t>
      </w:r>
      <w:r>
        <w:rPr>
          <w:rFonts w:ascii="宋体" w:hAnsi="宋体" w:cs="宋体" w:eastAsia="宋体" w:hint="default"/>
          <w:b/>
          <w:bCs/>
          <w:spacing w:val="1"/>
          <w:sz w:val="21"/>
          <w:szCs w:val="21"/>
        </w:rPr>
        <w:t> </w:t>
      </w:r>
      <w:r>
        <w:rPr>
          <w:rFonts w:ascii="宋体" w:hAnsi="宋体" w:cs="宋体" w:eastAsia="宋体" w:hint="default"/>
          <w:b/>
          <w:bCs/>
          <w:sz w:val="21"/>
          <w:szCs w:val="21"/>
        </w:rPr>
        <w:t>持续深化资本运作</w:t>
      </w:r>
      <w:r>
        <w:rPr>
          <w:rFonts w:ascii="宋体" w:hAnsi="宋体" w:cs="宋体" w:eastAsia="宋体" w:hint="default"/>
          <w:b/>
          <w:bCs/>
          <w:w w:val="99"/>
          <w:sz w:val="21"/>
          <w:szCs w:val="21"/>
        </w:rPr>
        <w:t> </w:t>
      </w:r>
      <w:r>
        <w:rPr>
          <w:rFonts w:ascii="宋体" w:hAnsi="宋体" w:cs="宋体" w:eastAsia="宋体" w:hint="default"/>
          <w:spacing w:val="-2"/>
          <w:sz w:val="21"/>
          <w:szCs w:val="21"/>
        </w:rPr>
        <w:t>持续推动募投资金建设项目的实施工作，加快“港口物流软件及信息服务平台”、“交通运输智慧信</w:t>
      </w:r>
    </w:p>
    <w:p>
      <w:pPr>
        <w:pStyle w:val="BodyText"/>
        <w:spacing w:line="273" w:lineRule="auto"/>
        <w:ind w:right="212"/>
        <w:jc w:val="both"/>
      </w:pPr>
      <w:r>
        <w:rPr>
          <w:w w:val="95"/>
        </w:rPr>
        <w:t>息服务平台”、“基于TD-LTE技术的企业网通讯终端”等技术平台和产品的研发进度，并结合公司主营业</w:t>
      </w:r>
      <w:r>
        <w:rPr>
          <w:spacing w:val="37"/>
          <w:w w:val="95"/>
        </w:rPr>
        <w:t> </w:t>
      </w:r>
      <w:r>
        <w:rPr>
          <w:spacing w:val="37"/>
          <w:w w:val="95"/>
        </w:rPr>
      </w:r>
      <w:r>
        <w:rPr>
          <w:w w:val="95"/>
        </w:rPr>
        <w:t>务开展实践将研发成果推向市场，加速产业化进程，以优良的业绩表现回报广大投资者。同时，公司将利</w:t>
      </w:r>
      <w:r>
        <w:rPr>
          <w:spacing w:val="39"/>
          <w:w w:val="95"/>
        </w:rPr>
        <w:t> </w:t>
      </w:r>
      <w:r>
        <w:rPr>
          <w:spacing w:val="39"/>
          <w:w w:val="95"/>
        </w:rPr>
      </w:r>
      <w:r>
        <w:rPr>
          <w:w w:val="95"/>
        </w:rPr>
        <w:t>用资本平台市场，稳步推进重大资产重组事项，增强公司市场竞争、组织运营和抗风险能力，为企业可持</w:t>
      </w:r>
      <w:r>
        <w:rPr>
          <w:spacing w:val="41"/>
          <w:w w:val="95"/>
        </w:rPr>
        <w:t> </w:t>
      </w:r>
      <w:r>
        <w:rPr>
          <w:spacing w:val="41"/>
          <w:w w:val="95"/>
        </w:rPr>
      </w:r>
      <w:r>
        <w:rPr/>
        <w:t>续发展提供有力支撑。</w:t>
      </w:r>
    </w:p>
    <w:p>
      <w:pPr>
        <w:spacing w:line="240" w:lineRule="auto" w:before="5"/>
        <w:rPr>
          <w:rFonts w:ascii="宋体" w:hAnsi="宋体" w:cs="宋体" w:eastAsia="宋体" w:hint="default"/>
          <w:sz w:val="20"/>
          <w:szCs w:val="20"/>
        </w:rPr>
      </w:pPr>
    </w:p>
    <w:p>
      <w:pPr>
        <w:pStyle w:val="Heading4"/>
        <w:spacing w:line="240" w:lineRule="auto"/>
        <w:ind w:right="0"/>
        <w:jc w:val="both"/>
        <w:rPr>
          <w:b w:val="0"/>
          <w:bCs w:val="0"/>
        </w:rPr>
      </w:pPr>
      <w:r>
        <w:rPr/>
        <w:t>（三）企业面临的风险及应对措施</w:t>
      </w:r>
      <w:r>
        <w:rPr>
          <w:b w:val="0"/>
          <w:bCs w:val="0"/>
        </w:rPr>
      </w:r>
    </w:p>
    <w:p>
      <w:pPr>
        <w:spacing w:after="0" w:line="240" w:lineRule="auto"/>
        <w:jc w:val="both"/>
        <w:sectPr>
          <w:footerReference w:type="default" r:id="rId15"/>
          <w:pgSz w:w="11910" w:h="16840"/>
          <w:pgMar w:footer="978" w:header="746" w:top="1040" w:bottom="1160" w:left="1020" w:right="920"/>
          <w:pgNumType w:start="23"/>
        </w:sectPr>
      </w:pPr>
    </w:p>
    <w:p>
      <w:pPr>
        <w:spacing w:line="240" w:lineRule="auto" w:before="6"/>
        <w:rPr>
          <w:rFonts w:ascii="宋体" w:hAnsi="宋体" w:cs="宋体" w:eastAsia="宋体" w:hint="default"/>
          <w:b/>
          <w:bCs/>
          <w:sz w:val="25"/>
          <w:szCs w:val="25"/>
        </w:rPr>
      </w:pPr>
    </w:p>
    <w:p>
      <w:pPr>
        <w:pStyle w:val="BodyText"/>
        <w:spacing w:line="273" w:lineRule="auto" w:before="34"/>
        <w:ind w:left="592" w:right="202" w:firstLine="2"/>
        <w:jc w:val="left"/>
      </w:pPr>
      <w:r>
        <w:rPr>
          <w:rFonts w:ascii="宋体" w:hAnsi="宋体" w:cs="宋体" w:eastAsia="宋体" w:hint="default"/>
          <w:b/>
          <w:bCs/>
        </w:rPr>
        <w:t>1、人才流失风险</w:t>
      </w:r>
      <w:r>
        <w:rPr>
          <w:rFonts w:ascii="宋体" w:hAnsi="宋体" w:cs="宋体" w:eastAsia="宋体" w:hint="default"/>
          <w:b/>
          <w:bCs/>
          <w:w w:val="99"/>
        </w:rPr>
        <w:t> </w:t>
      </w:r>
      <w:r>
        <w:rPr>
          <w:spacing w:val="-2"/>
        </w:rPr>
        <w:t>高新技术产业作为知识密集型和人才密集型行业的典型代表，需要大量优秀的人才为企业发展提供有</w:t>
      </w:r>
    </w:p>
    <w:p>
      <w:pPr>
        <w:pStyle w:val="BodyText"/>
        <w:spacing w:line="273" w:lineRule="auto"/>
        <w:ind w:right="212"/>
        <w:jc w:val="both"/>
      </w:pPr>
      <w:r>
        <w:rPr>
          <w:w w:val="95"/>
        </w:rPr>
        <w:t>效支撑。目前公司正处于高速发展阶段，对高素质的技术、管理、营销人才的需求不断加大，而随着行业</w:t>
      </w:r>
      <w:r>
        <w:rPr>
          <w:spacing w:val="41"/>
          <w:w w:val="95"/>
        </w:rPr>
        <w:t> </w:t>
      </w:r>
      <w:r>
        <w:rPr>
          <w:spacing w:val="41"/>
          <w:w w:val="95"/>
        </w:rPr>
      </w:r>
      <w:r>
        <w:rPr>
          <w:w w:val="95"/>
        </w:rPr>
        <w:t>从业人员的年轻化和竞争格局的不断演化，人才的流动却日渐频繁，如何留住现有核心员工、吸引外来优</w:t>
      </w:r>
      <w:r>
        <w:rPr>
          <w:spacing w:val="40"/>
          <w:w w:val="95"/>
        </w:rPr>
        <w:t> </w:t>
      </w:r>
      <w:r>
        <w:rPr>
          <w:spacing w:val="40"/>
          <w:w w:val="95"/>
        </w:rPr>
      </w:r>
      <w:r>
        <w:rPr/>
        <w:t>秀人才成为公司发展的必修课。</w:t>
      </w:r>
    </w:p>
    <w:p>
      <w:pPr>
        <w:pStyle w:val="BodyText"/>
        <w:spacing w:line="273" w:lineRule="auto"/>
        <w:ind w:right="105" w:firstLine="480"/>
        <w:jc w:val="left"/>
      </w:pPr>
      <w:r>
        <w:rPr>
          <w:w w:val="95"/>
        </w:rPr>
        <w:t>公司将通过科学的价值评价系统、完善的薪酬福利体系、周密的员工培训计划，为员工搭建稳健的工</w:t>
      </w:r>
      <w:r>
        <w:rPr>
          <w:w w:val="99"/>
        </w:rPr>
        <w:t> </w:t>
      </w:r>
      <w:r>
        <w:rPr>
          <w:spacing w:val="-3"/>
        </w:rPr>
        <w:t>作和发展平台，并积极与高校、科研院所对接，构建畅通的人才输送和联合培养机制，建立起一支素质高、</w:t>
      </w:r>
      <w:r>
        <w:rPr>
          <w:w w:val="99"/>
        </w:rPr>
        <w:t> </w:t>
      </w:r>
      <w:r>
        <w:rPr/>
        <w:t>基础稳、善钻研、会管理的人才梯队，为企业发展提供强劲动力。</w:t>
      </w:r>
    </w:p>
    <w:p>
      <w:pPr>
        <w:spacing w:line="273" w:lineRule="auto" w:before="7"/>
        <w:ind w:left="592" w:right="202" w:firstLine="2"/>
        <w:jc w:val="left"/>
        <w:rPr>
          <w:rFonts w:ascii="宋体" w:hAnsi="宋体" w:cs="宋体" w:eastAsia="宋体" w:hint="default"/>
          <w:sz w:val="21"/>
          <w:szCs w:val="21"/>
        </w:rPr>
      </w:pPr>
      <w:r>
        <w:rPr>
          <w:rFonts w:ascii="宋体" w:hAnsi="宋体" w:cs="宋体" w:eastAsia="宋体" w:hint="default"/>
          <w:b/>
          <w:bCs/>
          <w:sz w:val="21"/>
          <w:szCs w:val="21"/>
        </w:rPr>
        <w:t>2、企业扩张带来的管理风险</w:t>
      </w:r>
      <w:r>
        <w:rPr>
          <w:rFonts w:ascii="宋体" w:hAnsi="宋体" w:cs="宋体" w:eastAsia="宋体" w:hint="default"/>
          <w:b/>
          <w:bCs/>
          <w:w w:val="99"/>
          <w:sz w:val="21"/>
          <w:szCs w:val="21"/>
        </w:rPr>
        <w:t> </w:t>
      </w:r>
      <w:r>
        <w:rPr>
          <w:rFonts w:ascii="宋体" w:hAnsi="宋体" w:cs="宋体" w:eastAsia="宋体" w:hint="default"/>
          <w:spacing w:val="-2"/>
          <w:sz w:val="21"/>
          <w:szCs w:val="21"/>
        </w:rPr>
        <w:t>随着公司资产规模、营运规模的扩大以及子公司不断发展，集团内部各公司的文化差异、经营场所的</w:t>
      </w:r>
    </w:p>
    <w:p>
      <w:pPr>
        <w:pStyle w:val="BodyText"/>
        <w:spacing w:line="273" w:lineRule="auto"/>
        <w:ind w:left="592" w:right="202" w:hanging="480"/>
        <w:jc w:val="left"/>
      </w:pPr>
      <w:r>
        <w:rPr/>
        <w:t>分散无形中延伸了公司的管理跨度，对企业经营管理、组织协调及风险控制能力提出了更高要求。</w:t>
      </w:r>
      <w:r>
        <w:rPr>
          <w:w w:val="99"/>
        </w:rPr>
        <w:t> </w:t>
      </w:r>
      <w:r>
        <w:rPr>
          <w:spacing w:val="-2"/>
        </w:rPr>
        <w:t>公司将在运营管理、科技研发、营销方式、人力资源、风险控制等方面着手，创新管理模式，提升人</w:t>
      </w:r>
    </w:p>
    <w:p>
      <w:pPr>
        <w:pStyle w:val="BodyText"/>
        <w:spacing w:line="273" w:lineRule="auto"/>
        <w:ind w:right="192"/>
        <w:jc w:val="both"/>
      </w:pPr>
      <w:r>
        <w:rPr>
          <w:w w:val="95"/>
        </w:rPr>
        <w:t>力资源的整体素质及企业经营管理水平，全面降低公司的管理成本和经营风险；同时调整完善组织架构，</w:t>
      </w:r>
      <w:r>
        <w:rPr>
          <w:spacing w:val="61"/>
          <w:w w:val="95"/>
        </w:rPr>
        <w:t> </w:t>
      </w:r>
      <w:r>
        <w:rPr>
          <w:spacing w:val="61"/>
          <w:w w:val="95"/>
        </w:rPr>
      </w:r>
      <w:r>
        <w:rPr/>
        <w:t>建立迅速高效的市场反应机制，最大限度地发挥集团协同效应，推动公司健康持续发展。</w:t>
      </w:r>
    </w:p>
    <w:p>
      <w:pPr>
        <w:pStyle w:val="BodyText"/>
        <w:spacing w:line="273" w:lineRule="auto"/>
        <w:ind w:left="592" w:right="202" w:firstLine="2"/>
        <w:jc w:val="left"/>
      </w:pPr>
      <w:r>
        <w:rPr>
          <w:rFonts w:ascii="宋体" w:hAnsi="宋体" w:cs="宋体" w:eastAsia="宋体" w:hint="default"/>
          <w:b/>
          <w:bCs/>
        </w:rPr>
        <w:t>3、应收账款风险</w:t>
      </w:r>
      <w:r>
        <w:rPr>
          <w:rFonts w:ascii="宋体" w:hAnsi="宋体" w:cs="宋体" w:eastAsia="宋体" w:hint="default"/>
          <w:b/>
          <w:bCs/>
          <w:w w:val="99"/>
        </w:rPr>
        <w:t> </w:t>
      </w:r>
      <w:r>
        <w:rPr>
          <w:w w:val="95"/>
        </w:rPr>
        <w:t>随着公司销售收入的增长和市场开拓力度的加大，各区域市场差异化明显，应收账款余额相应增加，</w:t>
      </w:r>
      <w:r>
        <w:rPr/>
      </w:r>
    </w:p>
    <w:p>
      <w:pPr>
        <w:pStyle w:val="BodyText"/>
        <w:spacing w:line="273" w:lineRule="auto"/>
        <w:ind w:right="215"/>
        <w:jc w:val="both"/>
      </w:pPr>
      <w:r>
        <w:rPr>
          <w:w w:val="95"/>
        </w:rPr>
        <w:t>清收和管理难度也有所提高。公司承建的项目大多具有“建设周期较长、合同金额大”的特点，审批及结</w:t>
      </w:r>
      <w:r>
        <w:rPr>
          <w:spacing w:val="37"/>
          <w:w w:val="95"/>
        </w:rPr>
        <w:t> </w:t>
      </w:r>
      <w:r>
        <w:rPr>
          <w:spacing w:val="37"/>
          <w:w w:val="95"/>
        </w:rPr>
      </w:r>
      <w:r>
        <w:rPr/>
        <w:t>算流程较为繁琐复杂，这也间接影响了应收账款的清收速度。</w:t>
      </w:r>
    </w:p>
    <w:p>
      <w:pPr>
        <w:pStyle w:val="BodyText"/>
        <w:spacing w:line="273" w:lineRule="auto"/>
        <w:ind w:right="215" w:firstLine="480"/>
        <w:jc w:val="both"/>
      </w:pPr>
      <w:r>
        <w:rPr>
          <w:spacing w:val="-2"/>
        </w:rPr>
        <w:t>公司将更加注重客户的资信评价，加大对项目的甄选力度，提升项目履约和管理能力；同时不断完善</w:t>
      </w:r>
      <w:r>
        <w:rPr>
          <w:w w:val="99"/>
        </w:rPr>
        <w:t> </w:t>
      </w:r>
      <w:r>
        <w:rPr>
          <w:w w:val="95"/>
        </w:rPr>
        <w:t>公司应收账款管理制度，通过加强对项目团队的管理，时刻了解客户需求，掌握项目实施进度，强化回款</w:t>
      </w:r>
      <w:r>
        <w:rPr>
          <w:spacing w:val="38"/>
          <w:w w:val="95"/>
        </w:rPr>
        <w:t> </w:t>
      </w:r>
      <w:r>
        <w:rPr>
          <w:spacing w:val="38"/>
          <w:w w:val="95"/>
        </w:rPr>
      </w:r>
      <w:r>
        <w:rPr/>
        <w:t>流程的执行力度，有效控制应收账款坏账风险。</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Heading4"/>
        <w:spacing w:line="240" w:lineRule="auto" w:before="78"/>
        <w:ind w:right="0"/>
        <w:jc w:val="both"/>
        <w:rPr>
          <w:b w:val="0"/>
          <w:bCs w:val="0"/>
        </w:rPr>
      </w:pPr>
      <w:r>
        <w:rPr/>
        <w:t>（一）会计估计变更概述</w:t>
      </w:r>
      <w:r>
        <w:rPr>
          <w:b w:val="0"/>
          <w:bCs w:val="0"/>
        </w:rPr>
      </w:r>
    </w:p>
    <w:p>
      <w:pPr>
        <w:pStyle w:val="Heading4"/>
        <w:spacing w:line="240" w:lineRule="auto" w:before="37"/>
        <w:ind w:left="640" w:right="202"/>
        <w:jc w:val="left"/>
        <w:rPr>
          <w:b w:val="0"/>
          <w:bCs w:val="0"/>
        </w:rPr>
      </w:pPr>
      <w:r>
        <w:rPr>
          <w:rFonts w:ascii="Times New Roman" w:hAnsi="Times New Roman" w:cs="Times New Roman" w:eastAsia="Times New Roman" w:hint="default"/>
        </w:rPr>
        <w:t>1</w:t>
      </w:r>
      <w:r>
        <w:rPr/>
        <w:t>、会计估计变更概述</w:t>
      </w:r>
      <w:r>
        <w:rPr>
          <w:b w:val="0"/>
          <w:bCs w:val="0"/>
        </w:rPr>
      </w:r>
    </w:p>
    <w:p>
      <w:pPr>
        <w:pStyle w:val="BodyText"/>
        <w:spacing w:line="240" w:lineRule="auto" w:before="21"/>
        <w:ind w:left="532" w:right="202"/>
        <w:jc w:val="left"/>
      </w:pPr>
      <w:r>
        <w:rPr/>
        <w:t>（</w:t>
      </w:r>
      <w:r>
        <w:rPr>
          <w:rFonts w:ascii="Times New Roman" w:hAnsi="Times New Roman" w:cs="Times New Roman" w:eastAsia="Times New Roman" w:hint="default"/>
        </w:rPr>
        <w:t>1</w:t>
      </w:r>
      <w:r>
        <w:rPr/>
        <w:t>）变更日期：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pStyle w:val="BodyText"/>
        <w:spacing w:line="256" w:lineRule="auto" w:before="21"/>
        <w:ind w:left="532" w:right="202"/>
        <w:jc w:val="left"/>
      </w:pPr>
      <w:r>
        <w:rPr/>
        <w:t>（</w:t>
      </w:r>
      <w:r>
        <w:rPr>
          <w:rFonts w:ascii="Times New Roman" w:hAnsi="Times New Roman" w:cs="Times New Roman" w:eastAsia="Times New Roman" w:hint="default"/>
        </w:rPr>
        <w:t>2</w:t>
      </w:r>
      <w:r>
        <w:rPr/>
        <w:t>）变更原因</w:t>
      </w:r>
      <w:r>
        <w:rPr>
          <w:w w:val="99"/>
        </w:rPr>
        <w:t> </w:t>
      </w:r>
      <w:r>
        <w:rPr>
          <w:w w:val="95"/>
        </w:rPr>
        <w:t>随着公司业务规模的不断扩大，承建的大额合同项目占公司合同总额的比重明显增加，由于合同的建</w:t>
      </w:r>
      <w:r>
        <w:rPr/>
      </w:r>
    </w:p>
    <w:p>
      <w:pPr>
        <w:pStyle w:val="BodyText"/>
        <w:spacing w:line="273" w:lineRule="auto" w:before="22"/>
        <w:ind w:right="210"/>
        <w:jc w:val="both"/>
      </w:pPr>
      <w:r>
        <w:rPr>
          <w:w w:val="95"/>
        </w:rPr>
        <w:t>设方主要系大型国有控股企业和政府部门，信用等级高，发生坏账的可能性小，因此公司综合评估了应收</w:t>
      </w:r>
      <w:r>
        <w:rPr>
          <w:spacing w:val="40"/>
          <w:w w:val="95"/>
        </w:rPr>
        <w:t> </w:t>
      </w:r>
      <w:r>
        <w:rPr>
          <w:spacing w:val="40"/>
          <w:w w:val="95"/>
        </w:rPr>
      </w:r>
      <w:r>
        <w:rPr>
          <w:w w:val="95"/>
        </w:rPr>
        <w:t>款项的构成、安全性以及近年来应收款项的回款管理及坏账核销情况后，为了能够更加公允、恰当地反映</w:t>
      </w:r>
      <w:r>
        <w:rPr>
          <w:spacing w:val="40"/>
          <w:w w:val="95"/>
        </w:rPr>
        <w:t> </w:t>
      </w:r>
      <w:r>
        <w:rPr>
          <w:spacing w:val="40"/>
          <w:w w:val="95"/>
        </w:rPr>
      </w:r>
      <w:r>
        <w:rPr>
          <w:w w:val="95"/>
        </w:rPr>
        <w:t>公司的财务状况和经营成果，对应收款项（包括应收账款和其他应收款）按账龄分析法计提坏账准备的比</w:t>
      </w:r>
      <w:r>
        <w:rPr>
          <w:spacing w:val="43"/>
          <w:w w:val="95"/>
        </w:rPr>
        <w:t> </w:t>
      </w:r>
      <w:r>
        <w:rPr>
          <w:spacing w:val="43"/>
          <w:w w:val="95"/>
        </w:rPr>
      </w:r>
      <w:r>
        <w:rPr/>
        <w:t>例进行变更。</w:t>
      </w:r>
    </w:p>
    <w:p>
      <w:pPr>
        <w:pStyle w:val="BodyText"/>
        <w:spacing w:line="256" w:lineRule="auto"/>
        <w:ind w:left="532" w:right="2440"/>
        <w:jc w:val="left"/>
      </w:pPr>
      <w:r>
        <w:rPr/>
        <w:t>（</w:t>
      </w:r>
      <w:r>
        <w:rPr>
          <w:rFonts w:ascii="Times New Roman" w:hAnsi="Times New Roman" w:cs="Times New Roman" w:eastAsia="Times New Roman" w:hint="default"/>
        </w:rPr>
        <w:t>3</w:t>
      </w:r>
      <w:r>
        <w:rPr/>
        <w:t>）本次变更前的会计估计</w:t>
      </w:r>
      <w:r>
        <w:rPr>
          <w:w w:val="99"/>
        </w:rPr>
        <w:t> </w:t>
      </w:r>
      <w:r>
        <w:rPr>
          <w:w w:val="95"/>
        </w:rPr>
        <w:t>变更前，公司采用账龄分析法计提坏账准备如下：</w:t>
      </w:r>
      <w:r>
        <w:rPr/>
      </w:r>
    </w:p>
    <w:p>
      <w:pPr>
        <w:spacing w:line="240" w:lineRule="auto" w:before="12"/>
        <w:rPr>
          <w:rFonts w:ascii="宋体" w:hAnsi="宋体" w:cs="宋体" w:eastAsia="宋体" w:hint="default"/>
          <w:sz w:val="2"/>
          <w:szCs w:val="2"/>
        </w:rPr>
      </w:pPr>
    </w:p>
    <w:tbl>
      <w:tblPr>
        <w:tblW w:w="0" w:type="auto"/>
        <w:jc w:val="left"/>
        <w:tblInd w:w="767" w:type="dxa"/>
        <w:tblLayout w:type="fixed"/>
        <w:tblCellMar>
          <w:top w:w="0" w:type="dxa"/>
          <w:left w:w="0" w:type="dxa"/>
          <w:bottom w:w="0" w:type="dxa"/>
          <w:right w:w="0" w:type="dxa"/>
        </w:tblCellMar>
        <w:tblLook w:val="01E0"/>
      </w:tblPr>
      <w:tblGrid>
        <w:gridCol w:w="2540"/>
        <w:gridCol w:w="2970"/>
        <w:gridCol w:w="2805"/>
      </w:tblGrid>
      <w:tr>
        <w:trPr>
          <w:trHeight w:val="347" w:hRule="exact"/>
        </w:trPr>
        <w:tc>
          <w:tcPr>
            <w:tcW w:w="254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7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0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254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r>
      <w:tr>
        <w:trPr>
          <w:trHeight w:val="347" w:hRule="exact"/>
        </w:trPr>
        <w:tc>
          <w:tcPr>
            <w:tcW w:w="254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w:t>
            </w:r>
          </w:p>
        </w:tc>
      </w:tr>
      <w:tr>
        <w:trPr>
          <w:trHeight w:val="345" w:hRule="exact"/>
        </w:trPr>
        <w:tc>
          <w:tcPr>
            <w:tcW w:w="254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sz w:val="21"/>
              </w:rPr>
              <w:t>20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sz w:val="21"/>
              </w:rPr>
              <w:t>20</w:t>
            </w:r>
          </w:p>
        </w:tc>
      </w:tr>
    </w:tbl>
    <w:p>
      <w:pPr>
        <w:spacing w:after="0" w:line="240" w:lineRule="auto"/>
        <w:jc w:val="center"/>
        <w:rPr>
          <w:rFonts w:ascii="Times New Roman" w:hAnsi="Times New Roman" w:cs="Times New Roman" w:eastAsia="Times New Roman" w:hint="default"/>
          <w:sz w:val="21"/>
          <w:szCs w:val="21"/>
        </w:rPr>
        <w:sectPr>
          <w:pgSz w:w="11910" w:h="16840"/>
          <w:pgMar w:header="746" w:footer="978" w:top="1040" w:bottom="1160" w:left="1020" w:right="920"/>
        </w:sectPr>
      </w:pPr>
    </w:p>
    <w:p>
      <w:pPr>
        <w:spacing w:line="240" w:lineRule="auto" w:before="2"/>
        <w:rPr>
          <w:rFonts w:ascii="宋体" w:hAnsi="宋体" w:cs="宋体" w:eastAsia="宋体" w:hint="default"/>
          <w:sz w:val="29"/>
          <w:szCs w:val="29"/>
        </w:rPr>
      </w:pPr>
    </w:p>
    <w:tbl>
      <w:tblPr>
        <w:tblW w:w="0" w:type="auto"/>
        <w:jc w:val="left"/>
        <w:tblInd w:w="767" w:type="dxa"/>
        <w:tblLayout w:type="fixed"/>
        <w:tblCellMar>
          <w:top w:w="0" w:type="dxa"/>
          <w:left w:w="0" w:type="dxa"/>
          <w:bottom w:w="0" w:type="dxa"/>
          <w:right w:w="0" w:type="dxa"/>
        </w:tblCellMar>
        <w:tblLook w:val="01E0"/>
      </w:tblPr>
      <w:tblGrid>
        <w:gridCol w:w="2540"/>
        <w:gridCol w:w="2970"/>
        <w:gridCol w:w="2805"/>
      </w:tblGrid>
      <w:tr>
        <w:trPr>
          <w:trHeight w:val="347" w:hRule="exact"/>
        </w:trPr>
        <w:tc>
          <w:tcPr>
            <w:tcW w:w="254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30</w:t>
            </w:r>
          </w:p>
        </w:tc>
      </w:tr>
      <w:tr>
        <w:trPr>
          <w:trHeight w:val="347" w:hRule="exact"/>
        </w:trPr>
        <w:tc>
          <w:tcPr>
            <w:tcW w:w="254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40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40</w:t>
            </w:r>
          </w:p>
        </w:tc>
      </w:tr>
      <w:tr>
        <w:trPr>
          <w:trHeight w:val="347" w:hRule="exact"/>
        </w:trPr>
        <w:tc>
          <w:tcPr>
            <w:tcW w:w="254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77" w:lineRule="exact" w:before="0"/>
        <w:ind w:left="429" w:right="202"/>
        <w:jc w:val="left"/>
      </w:pPr>
      <w:r>
        <w:rPr/>
        <w:t>（</w:t>
      </w:r>
      <w:r>
        <w:rPr>
          <w:rFonts w:ascii="Times New Roman" w:hAnsi="Times New Roman" w:cs="Times New Roman" w:eastAsia="Times New Roman" w:hint="default"/>
        </w:rPr>
        <w:t>4</w:t>
      </w:r>
      <w:r>
        <w:rPr/>
        <w:t>）本次变更后的会计估计</w:t>
      </w:r>
    </w:p>
    <w:p>
      <w:pPr>
        <w:pStyle w:val="BodyText"/>
        <w:spacing w:line="240" w:lineRule="auto" w:before="21"/>
        <w:ind w:left="532" w:right="202"/>
        <w:jc w:val="left"/>
      </w:pPr>
      <w:r>
        <w:rPr/>
        <w:t>变更后，公司采用账龄分析法计提坏账准备如下：</w:t>
      </w:r>
    </w:p>
    <w:p>
      <w:pPr>
        <w:spacing w:line="240" w:lineRule="auto" w:before="12"/>
        <w:rPr>
          <w:rFonts w:ascii="宋体" w:hAnsi="宋体" w:cs="宋体" w:eastAsia="宋体" w:hint="default"/>
          <w:sz w:val="3"/>
          <w:szCs w:val="3"/>
        </w:rPr>
      </w:pPr>
    </w:p>
    <w:tbl>
      <w:tblPr>
        <w:tblW w:w="0" w:type="auto"/>
        <w:jc w:val="left"/>
        <w:tblInd w:w="767" w:type="dxa"/>
        <w:tblLayout w:type="fixed"/>
        <w:tblCellMar>
          <w:top w:w="0" w:type="dxa"/>
          <w:left w:w="0" w:type="dxa"/>
          <w:bottom w:w="0" w:type="dxa"/>
          <w:right w:w="0" w:type="dxa"/>
        </w:tblCellMar>
        <w:tblLook w:val="01E0"/>
      </w:tblPr>
      <w:tblGrid>
        <w:gridCol w:w="2924"/>
        <w:gridCol w:w="2586"/>
        <w:gridCol w:w="2805"/>
      </w:tblGrid>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86"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6"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0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6"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个月以内（包含</w:t>
            </w:r>
            <w:r>
              <w:rPr>
                <w:rFonts w:ascii="Times New Roman" w:hAnsi="Times New Roman" w:cs="Times New Roman" w:eastAsia="Times New Roman" w:hint="default"/>
                <w:sz w:val="21"/>
                <w:szCs w:val="21"/>
              </w:rPr>
              <w:t>6</w:t>
            </w:r>
            <w:r>
              <w:rPr>
                <w:rFonts w:ascii="宋体" w:hAnsi="宋体" w:cs="宋体" w:eastAsia="宋体" w:hint="default"/>
                <w:sz w:val="21"/>
                <w:szCs w:val="21"/>
              </w:rPr>
              <w:t>个月）</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20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2" w:right="0"/>
              <w:jc w:val="center"/>
              <w:rPr>
                <w:rFonts w:ascii="Times New Roman" w:hAnsi="Times New Roman" w:cs="Times New Roman" w:eastAsia="Times New Roman" w:hint="default"/>
                <w:sz w:val="21"/>
                <w:szCs w:val="21"/>
              </w:rPr>
            </w:pPr>
            <w:r>
              <w:rPr>
                <w:rFonts w:ascii="Times New Roman"/>
                <w:sz w:val="21"/>
              </w:rPr>
              <w:t>20</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center"/>
              <w:rPr>
                <w:rFonts w:ascii="Times New Roman" w:hAnsi="Times New Roman" w:cs="Times New Roman" w:eastAsia="Times New Roman" w:hint="default"/>
                <w:sz w:val="21"/>
                <w:szCs w:val="21"/>
              </w:rPr>
            </w:pPr>
            <w:r>
              <w:rPr>
                <w:rFonts w:ascii="Times New Roman"/>
                <w:sz w:val="21"/>
              </w:rPr>
              <w:t>30</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40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2" w:right="0"/>
              <w:jc w:val="center"/>
              <w:rPr>
                <w:rFonts w:ascii="Times New Roman" w:hAnsi="Times New Roman" w:cs="Times New Roman" w:eastAsia="Times New Roman" w:hint="default"/>
                <w:sz w:val="21"/>
                <w:szCs w:val="21"/>
              </w:rPr>
            </w:pPr>
            <w:r>
              <w:rPr>
                <w:rFonts w:ascii="Times New Roman"/>
                <w:sz w:val="21"/>
              </w:rPr>
              <w:t>40</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8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78" w:lineRule="exact" w:before="0"/>
        <w:ind w:left="532" w:right="202"/>
        <w:jc w:val="left"/>
      </w:pPr>
      <w:r>
        <w:rPr/>
        <w:t>（</w:t>
      </w:r>
      <w:r>
        <w:rPr>
          <w:rFonts w:ascii="Times New Roman" w:hAnsi="Times New Roman" w:cs="Times New Roman" w:eastAsia="Times New Roman" w:hint="default"/>
        </w:rPr>
        <w:t>5</w:t>
      </w:r>
      <w:r>
        <w:rPr/>
        <w:t>）审批程序</w:t>
      </w:r>
    </w:p>
    <w:p>
      <w:pPr>
        <w:pStyle w:val="BodyText"/>
        <w:spacing w:line="264" w:lineRule="auto" w:before="21"/>
        <w:ind w:right="192" w:firstLine="420"/>
        <w:jc w:val="both"/>
      </w:pPr>
      <w:r>
        <w:rPr>
          <w:w w:val="95"/>
        </w:rPr>
        <w:t>根据《深圳证券交易所股票上市规则》、《深圳证券交易所中小企业板信息披露业务备忘录第</w:t>
      </w:r>
      <w:r>
        <w:rPr>
          <w:rFonts w:ascii="Times New Roman" w:hAnsi="Times New Roman" w:cs="Times New Roman" w:eastAsia="Times New Roman" w:hint="default"/>
          <w:w w:val="95"/>
        </w:rPr>
        <w:t>13</w:t>
      </w:r>
      <w:r>
        <w:rPr>
          <w:w w:val="95"/>
        </w:rPr>
        <w:t>号：</w:t>
      </w:r>
      <w:r>
        <w:rPr>
          <w:spacing w:val="-79"/>
          <w:w w:val="95"/>
        </w:rPr>
        <w:t> </w:t>
      </w:r>
      <w:r>
        <w:rPr>
          <w:spacing w:val="-79"/>
          <w:w w:val="95"/>
        </w:rPr>
      </w:r>
      <w:r>
        <w:rPr>
          <w:w w:val="95"/>
        </w:rPr>
        <w:t>会计政策及会计估计变更》以及《公司章程》的有关规定，本次会计估计变更无需提交股东大会审议。经</w:t>
      </w:r>
      <w:r>
        <w:rPr>
          <w:spacing w:val="44"/>
          <w:w w:val="95"/>
        </w:rPr>
        <w:t> </w:t>
      </w:r>
      <w:r>
        <w:rPr>
          <w:spacing w:val="44"/>
          <w:w w:val="95"/>
        </w:rPr>
      </w:r>
      <w:r>
        <w:rPr/>
        <w:t>公司董事会和监事会审议通过，独立董事对此发表独立意见后，自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w:t>
      </w:r>
    </w:p>
    <w:p>
      <w:pPr>
        <w:pStyle w:val="Heading4"/>
        <w:spacing w:line="289" w:lineRule="exact"/>
        <w:ind w:left="640" w:right="202"/>
        <w:jc w:val="left"/>
        <w:rPr>
          <w:b w:val="0"/>
          <w:bCs w:val="0"/>
        </w:rPr>
      </w:pPr>
      <w:r>
        <w:rPr>
          <w:rFonts w:ascii="Times New Roman" w:hAnsi="Times New Roman" w:cs="Times New Roman" w:eastAsia="Times New Roman" w:hint="default"/>
        </w:rPr>
        <w:t>2</w:t>
      </w:r>
      <w:r>
        <w:rPr/>
        <w:t>、会计估计变更对公司的影响</w:t>
      </w:r>
      <w:r>
        <w:rPr>
          <w:b w:val="0"/>
          <w:bCs w:val="0"/>
        </w:rPr>
      </w:r>
    </w:p>
    <w:p>
      <w:pPr>
        <w:pStyle w:val="BodyText"/>
        <w:spacing w:line="264" w:lineRule="auto" w:before="21"/>
        <w:ind w:right="212" w:firstLine="420"/>
        <w:jc w:val="both"/>
      </w:pPr>
      <w:r>
        <w:rPr>
          <w:spacing w:val="2"/>
          <w:w w:val="95"/>
        </w:rPr>
        <w:t>（</w:t>
      </w:r>
      <w:r>
        <w:rPr>
          <w:rFonts w:ascii="Times New Roman" w:hAnsi="Times New Roman" w:cs="Times New Roman" w:eastAsia="Times New Roman" w:hint="default"/>
          <w:spacing w:val="2"/>
          <w:w w:val="95"/>
        </w:rPr>
        <w:t>1</w:t>
      </w:r>
      <w:r>
        <w:rPr>
          <w:spacing w:val="2"/>
          <w:w w:val="95"/>
        </w:rPr>
        <w:t>）根据《企业会计准则第</w:t>
      </w:r>
      <w:r>
        <w:rPr>
          <w:rFonts w:ascii="Times New Roman" w:hAnsi="Times New Roman" w:cs="Times New Roman" w:eastAsia="Times New Roman" w:hint="default"/>
          <w:spacing w:val="2"/>
          <w:w w:val="95"/>
        </w:rPr>
        <w:t>28</w:t>
      </w:r>
      <w:r>
        <w:rPr>
          <w:spacing w:val="2"/>
          <w:w w:val="95"/>
        </w:rPr>
        <w:t>号</w:t>
      </w:r>
      <w:r>
        <w:rPr>
          <w:rFonts w:ascii="Times New Roman" w:hAnsi="Times New Roman" w:cs="Times New Roman" w:eastAsia="Times New Roman" w:hint="default"/>
          <w:spacing w:val="2"/>
          <w:w w:val="95"/>
        </w:rPr>
        <w:t>——</w:t>
      </w:r>
      <w:r>
        <w:rPr>
          <w:spacing w:val="2"/>
          <w:w w:val="95"/>
        </w:rPr>
        <w:t>会计政策、会计估计变更和差错更正》的规定，公司对此次会</w:t>
      </w:r>
      <w:r>
        <w:rPr>
          <w:spacing w:val="-87"/>
          <w:w w:val="95"/>
        </w:rPr>
        <w:t> </w:t>
      </w:r>
      <w:r>
        <w:rPr>
          <w:spacing w:val="-87"/>
          <w:w w:val="95"/>
        </w:rPr>
      </w:r>
      <w:r>
        <w:rPr>
          <w:w w:val="95"/>
        </w:rPr>
        <w:t>计估计变更采用未来适用法进行会计处理。对公司以往各年度财务状况和经营成果不会产生影响，对公司</w:t>
      </w:r>
      <w:r>
        <w:rPr>
          <w:spacing w:val="40"/>
          <w:w w:val="95"/>
        </w:rPr>
        <w:t> </w:t>
      </w:r>
      <w:r>
        <w:rPr>
          <w:spacing w:val="40"/>
          <w:w w:val="95"/>
        </w:rPr>
      </w:r>
      <w:r>
        <w:rPr/>
        <w:t>已披露的财务报表不会产生影响，因此本次会计估计变更无需对已披露的财务报告进行追溯调整。</w:t>
      </w:r>
    </w:p>
    <w:p>
      <w:pPr>
        <w:pStyle w:val="BodyText"/>
        <w:spacing w:line="256" w:lineRule="auto" w:before="16"/>
        <w:ind w:right="210" w:firstLine="420"/>
        <w:jc w:val="both"/>
      </w:pPr>
      <w:r>
        <w:rPr>
          <w:spacing w:val="-2"/>
        </w:rPr>
        <w:t>（</w:t>
      </w:r>
      <w:r>
        <w:rPr>
          <w:rFonts w:ascii="Times New Roman" w:hAnsi="Times New Roman" w:cs="Times New Roman" w:eastAsia="Times New Roman" w:hint="default"/>
          <w:spacing w:val="-2"/>
        </w:rPr>
        <w:t>2</w:t>
      </w:r>
      <w:r>
        <w:rPr>
          <w:spacing w:val="-2"/>
        </w:rPr>
        <w:t>）本次会计估计变更对公司的净利润、所有者权益的影响比例不超过</w:t>
      </w:r>
      <w:r>
        <w:rPr>
          <w:rFonts w:ascii="Times New Roman" w:hAnsi="Times New Roman" w:cs="Times New Roman" w:eastAsia="Times New Roman" w:hint="default"/>
          <w:spacing w:val="-2"/>
        </w:rPr>
        <w:t>50%</w:t>
      </w:r>
      <w:r>
        <w:rPr>
          <w:spacing w:val="-2"/>
        </w:rPr>
        <w:t>，也不会致使公司的盈亏</w:t>
      </w:r>
      <w:r>
        <w:rPr>
          <w:w w:val="99"/>
        </w:rPr>
        <w:t> </w:t>
      </w:r>
      <w:r>
        <w:rPr/>
        <w:t>性质发生变化。</w:t>
      </w:r>
    </w:p>
    <w:p>
      <w:pPr>
        <w:pStyle w:val="Heading4"/>
        <w:spacing w:line="240" w:lineRule="auto" w:before="22"/>
        <w:ind w:right="0"/>
        <w:jc w:val="both"/>
        <w:rPr>
          <w:b w:val="0"/>
          <w:bCs w:val="0"/>
        </w:rPr>
      </w:pPr>
      <w:r>
        <w:rPr/>
        <w:t>（二）会计政策变更的概述</w:t>
      </w:r>
      <w:r>
        <w:rPr>
          <w:b w:val="0"/>
          <w:bCs w:val="0"/>
        </w:rPr>
      </w:r>
    </w:p>
    <w:p>
      <w:pPr>
        <w:pStyle w:val="Heading4"/>
        <w:spacing w:line="240" w:lineRule="auto" w:before="37"/>
        <w:ind w:left="640" w:right="202"/>
        <w:jc w:val="left"/>
        <w:rPr>
          <w:b w:val="0"/>
          <w:bCs w:val="0"/>
        </w:rPr>
      </w:pPr>
      <w:r>
        <w:rPr>
          <w:rFonts w:ascii="Times New Roman" w:hAnsi="Times New Roman" w:cs="Times New Roman" w:eastAsia="Times New Roman" w:hint="default"/>
        </w:rPr>
        <w:t>1</w:t>
      </w:r>
      <w:r>
        <w:rPr/>
        <w:t>、会计政策变更的概述</w:t>
      </w:r>
      <w:r>
        <w:rPr>
          <w:b w:val="0"/>
          <w:bCs w:val="0"/>
        </w:rPr>
      </w:r>
    </w:p>
    <w:p>
      <w:pPr>
        <w:pStyle w:val="BodyText"/>
        <w:spacing w:line="256" w:lineRule="auto" w:before="21"/>
        <w:ind w:left="532" w:right="2440"/>
        <w:jc w:val="left"/>
      </w:pPr>
      <w:r>
        <w:rPr/>
        <w:t>（</w:t>
      </w:r>
      <w:r>
        <w:rPr>
          <w:rFonts w:ascii="Times New Roman" w:hAnsi="Times New Roman" w:cs="Times New Roman" w:eastAsia="Times New Roman" w:hint="default"/>
        </w:rPr>
        <w:t>1</w:t>
      </w:r>
      <w:r>
        <w:rPr/>
        <w:t>）变更日期</w:t>
      </w:r>
      <w:r>
        <w:rPr>
          <w:w w:val="99"/>
        </w:rPr>
        <w:t> </w:t>
      </w:r>
      <w:r>
        <w:rPr>
          <w:w w:val="95"/>
        </w:rPr>
        <w:t>公司以财政部</w:t>
      </w:r>
      <w:r>
        <w:rPr>
          <w:rFonts w:ascii="Times New Roman" w:hAnsi="Times New Roman" w:cs="Times New Roman" w:eastAsia="Times New Roman" w:hint="default"/>
          <w:w w:val="95"/>
        </w:rPr>
        <w:t>2014</w:t>
      </w:r>
      <w:r>
        <w:rPr>
          <w:w w:val="95"/>
        </w:rPr>
        <w:t>年颁布或修订的企业会计准则规定的起始日开始执行。</w:t>
      </w:r>
      <w:r>
        <w:rPr/>
      </w:r>
    </w:p>
    <w:p>
      <w:pPr>
        <w:pStyle w:val="BodyText"/>
        <w:spacing w:line="240" w:lineRule="auto" w:before="5"/>
        <w:ind w:left="532" w:right="202"/>
        <w:jc w:val="left"/>
      </w:pPr>
      <w:r>
        <w:rPr/>
        <w:t>（</w:t>
      </w:r>
      <w:r>
        <w:rPr>
          <w:rFonts w:ascii="Times New Roman" w:hAnsi="Times New Roman" w:cs="Times New Roman" w:eastAsia="Times New Roman" w:hint="default"/>
        </w:rPr>
        <w:t>2</w:t>
      </w:r>
      <w:r>
        <w:rPr/>
        <w:t>）变更原因</w:t>
      </w:r>
    </w:p>
    <w:p>
      <w:pPr>
        <w:pStyle w:val="BodyText"/>
        <w:spacing w:line="240" w:lineRule="auto" w:before="21"/>
        <w:ind w:left="532" w:right="108"/>
        <w:jc w:val="left"/>
      </w:pPr>
      <w:r>
        <w:rPr>
          <w:rFonts w:ascii="Times New Roman" w:hAnsi="Times New Roman" w:cs="Times New Roman" w:eastAsia="Times New Roman" w:hint="default"/>
        </w:rPr>
        <w:t>2014</w:t>
      </w:r>
      <w:r>
        <w:rPr/>
        <w:t>年财政部修订了《企业会计准则第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p>
    <w:p>
      <w:pPr>
        <w:pStyle w:val="BodyText"/>
        <w:spacing w:line="256" w:lineRule="auto" w:before="21"/>
        <w:ind w:right="210"/>
        <w:jc w:val="both"/>
      </w:pPr>
      <w:r>
        <w:rPr>
          <w:w w:val="95"/>
        </w:rPr>
        <w:t>《企业会计准则第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财务报表列报》、《企业会计准则第</w:t>
      </w:r>
      <w:r>
        <w:rPr>
          <w:rFonts w:ascii="Times New Roman" w:hAnsi="Times New Roman" w:cs="Times New Roman" w:eastAsia="Times New Roman" w:hint="default"/>
          <w:w w:val="95"/>
        </w:rPr>
        <w:t>33</w:t>
      </w:r>
      <w:r>
        <w:rPr>
          <w:w w:val="95"/>
        </w:rPr>
        <w:t>号</w:t>
      </w:r>
      <w:r>
        <w:rPr>
          <w:rFonts w:ascii="Times New Roman" w:hAnsi="Times New Roman" w:cs="Times New Roman" w:eastAsia="Times New Roman" w:hint="default"/>
          <w:w w:val="95"/>
        </w:rPr>
        <w:t>—</w:t>
      </w:r>
      <w:r>
        <w:rPr>
          <w:w w:val="95"/>
        </w:rPr>
        <w:t>合并财务报表》，以及颁布了《企业</w:t>
      </w:r>
      <w:r>
        <w:rPr>
          <w:spacing w:val="42"/>
          <w:w w:val="95"/>
        </w:rPr>
        <w:t> </w:t>
      </w:r>
      <w:r>
        <w:rPr>
          <w:spacing w:val="42"/>
          <w:w w:val="95"/>
        </w:rPr>
      </w:r>
      <w:r>
        <w:rPr>
          <w:w w:val="95"/>
        </w:rPr>
        <w:t>会计准则第</w:t>
      </w:r>
      <w:r>
        <w:rPr>
          <w:rFonts w:ascii="Times New Roman" w:hAnsi="Times New Roman" w:cs="Times New Roman" w:eastAsia="Times New Roman" w:hint="default"/>
          <w:w w:val="95"/>
        </w:rPr>
        <w:t>39</w:t>
      </w:r>
      <w:r>
        <w:rPr>
          <w:w w:val="95"/>
        </w:rPr>
        <w:t>号</w:t>
      </w:r>
      <w:r>
        <w:rPr>
          <w:rFonts w:ascii="Times New Roman" w:hAnsi="Times New Roman" w:cs="Times New Roman" w:eastAsia="Times New Roman" w:hint="default"/>
          <w:w w:val="95"/>
        </w:rPr>
        <w:t>—</w:t>
      </w:r>
      <w:r>
        <w:rPr>
          <w:w w:val="95"/>
        </w:rPr>
        <w:t>公允价值计量》、《企业会计准则第</w:t>
      </w:r>
      <w:r>
        <w:rPr>
          <w:rFonts w:ascii="Times New Roman" w:hAnsi="Times New Roman" w:cs="Times New Roman" w:eastAsia="Times New Roman" w:hint="default"/>
          <w:w w:val="95"/>
        </w:rPr>
        <w:t>40</w:t>
      </w:r>
      <w:r>
        <w:rPr>
          <w:w w:val="95"/>
        </w:rPr>
        <w:t>号</w:t>
      </w:r>
      <w:r>
        <w:rPr>
          <w:rFonts w:ascii="Times New Roman" w:hAnsi="Times New Roman" w:cs="Times New Roman" w:eastAsia="Times New Roman" w:hint="default"/>
          <w:w w:val="95"/>
        </w:rPr>
        <w:t>—</w:t>
      </w:r>
      <w:r>
        <w:rPr>
          <w:w w:val="95"/>
        </w:rPr>
        <w:t>合营安排》、《企业会计准则第</w:t>
      </w:r>
      <w:r>
        <w:rPr>
          <w:rFonts w:ascii="Times New Roman" w:hAnsi="Times New Roman" w:cs="Times New Roman" w:eastAsia="Times New Roman" w:hint="default"/>
          <w:w w:val="95"/>
        </w:rPr>
        <w:t>41</w:t>
      </w:r>
      <w:r>
        <w:rPr>
          <w:w w:val="95"/>
        </w:rPr>
        <w:t>号</w:t>
      </w:r>
      <w:r>
        <w:rPr>
          <w:rFonts w:ascii="Times New Roman" w:hAnsi="Times New Roman" w:cs="Times New Roman" w:eastAsia="Times New Roman" w:hint="default"/>
          <w:w w:val="95"/>
        </w:rPr>
        <w:t>—</w:t>
      </w:r>
      <w:r>
        <w:rPr>
          <w:w w:val="95"/>
        </w:rPr>
        <w:t>在其</w:t>
      </w:r>
      <w:r>
        <w:rPr>
          <w:spacing w:val="42"/>
          <w:w w:val="95"/>
        </w:rPr>
        <w:t> </w:t>
      </w:r>
      <w:r>
        <w:rPr>
          <w:spacing w:val="42"/>
          <w:w w:val="95"/>
        </w:rPr>
      </w:r>
      <w:r>
        <w:rPr>
          <w:spacing w:val="-2"/>
          <w:w w:val="95"/>
        </w:rPr>
        <w:t>他主体中权益的披露》等具体准则（以下简称</w:t>
      </w:r>
      <w:r>
        <w:rPr>
          <w:rFonts w:ascii="Times New Roman" w:hAnsi="Times New Roman" w:cs="Times New Roman" w:eastAsia="Times New Roman" w:hint="default"/>
          <w:spacing w:val="-2"/>
          <w:w w:val="95"/>
        </w:rPr>
        <w:t>“</w:t>
      </w:r>
      <w:r>
        <w:rPr>
          <w:spacing w:val="-2"/>
          <w:w w:val="95"/>
        </w:rPr>
        <w:t>新会计准则</w:t>
      </w:r>
      <w:r>
        <w:rPr>
          <w:rFonts w:ascii="Times New Roman" w:hAnsi="Times New Roman" w:cs="Times New Roman" w:eastAsia="Times New Roman" w:hint="default"/>
          <w:spacing w:val="-2"/>
          <w:w w:val="95"/>
        </w:rPr>
        <w:t>”</w:t>
      </w:r>
      <w:r>
        <w:rPr>
          <w:spacing w:val="-2"/>
          <w:w w:val="95"/>
        </w:rPr>
        <w:t>）。根据财政部的要求，新会计准则自</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7</w:t>
      </w:r>
      <w:r>
        <w:rPr>
          <w:rFonts w:ascii="Times New Roman" w:hAnsi="Times New Roman" w:cs="Times New Roman" w:eastAsia="Times New Roman" w:hint="default"/>
          <w:spacing w:val="15"/>
          <w:w w:val="95"/>
        </w:rPr>
        <w:t> </w:t>
      </w:r>
      <w:r>
        <w:rPr/>
        <w:t>月</w:t>
      </w:r>
      <w:r>
        <w:rPr>
          <w:rFonts w:ascii="Times New Roman" w:hAnsi="Times New Roman" w:cs="Times New Roman" w:eastAsia="Times New Roman" w:hint="default"/>
        </w:rPr>
        <w:t>1</w:t>
      </w:r>
      <w:r>
        <w:rPr/>
        <w:t>日起在所有执行企业会计准则的企业范围内施行。</w:t>
      </w:r>
    </w:p>
    <w:p>
      <w:pPr>
        <w:pStyle w:val="BodyText"/>
        <w:spacing w:line="256" w:lineRule="auto" w:before="5"/>
        <w:ind w:right="212" w:firstLine="420"/>
        <w:jc w:val="both"/>
      </w:pP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20</w:t>
      </w:r>
      <w:r>
        <w:rPr>
          <w:spacing w:val="2"/>
          <w:w w:val="95"/>
        </w:rPr>
        <w:t>日，财政部修订了《企业会计准则第</w:t>
      </w:r>
      <w:r>
        <w:rPr>
          <w:rFonts w:ascii="Times New Roman" w:hAnsi="Times New Roman" w:cs="Times New Roman" w:eastAsia="Times New Roman" w:hint="default"/>
          <w:spacing w:val="2"/>
          <w:w w:val="95"/>
        </w:rPr>
        <w:t>37</w:t>
      </w:r>
      <w:r>
        <w:rPr>
          <w:spacing w:val="2"/>
          <w:w w:val="95"/>
        </w:rPr>
        <w:t>号</w:t>
      </w:r>
      <w:r>
        <w:rPr>
          <w:rFonts w:ascii="Times New Roman" w:hAnsi="Times New Roman" w:cs="Times New Roman" w:eastAsia="Times New Roman" w:hint="default"/>
          <w:spacing w:val="2"/>
          <w:w w:val="95"/>
        </w:rPr>
        <w:t>—</w:t>
      </w:r>
      <w:r>
        <w:rPr>
          <w:spacing w:val="2"/>
          <w:w w:val="95"/>
        </w:rPr>
        <w:t>金融工具列报》，要求执行企业会计准则的</w:t>
      </w:r>
      <w:r>
        <w:rPr>
          <w:spacing w:val="-90"/>
          <w:w w:val="95"/>
        </w:rPr>
        <w:t> </w:t>
      </w:r>
      <w:r>
        <w:rPr>
          <w:spacing w:val="-90"/>
          <w:w w:val="95"/>
        </w:rPr>
      </w:r>
      <w:r>
        <w:rPr/>
        <w:t>企业应当在</w:t>
      </w:r>
      <w:r>
        <w:rPr>
          <w:rFonts w:ascii="Times New Roman" w:hAnsi="Times New Roman" w:cs="Times New Roman" w:eastAsia="Times New Roman" w:hint="default"/>
        </w:rPr>
        <w:t>2014</w:t>
      </w:r>
      <w:r>
        <w:rPr/>
        <w:t>年度以后期间的财务报告中按照本准则要求对金融工具进行列报。</w:t>
      </w:r>
    </w:p>
    <w:p>
      <w:pPr>
        <w:pStyle w:val="BodyText"/>
        <w:spacing w:line="256" w:lineRule="auto" w:before="5"/>
        <w:ind w:right="212"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日，财政部发布《财政部关于修改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的决定》，要求自公布之</w:t>
      </w:r>
      <w:r>
        <w:rPr>
          <w:w w:val="99"/>
        </w:rPr>
        <w:t> </w:t>
      </w:r>
      <w:r>
        <w:rPr/>
        <w:t>日起施行。</w:t>
      </w:r>
    </w:p>
    <w:p>
      <w:pPr>
        <w:pStyle w:val="BodyText"/>
        <w:spacing w:line="256" w:lineRule="auto" w:before="22"/>
        <w:ind w:left="532" w:right="202"/>
        <w:jc w:val="left"/>
      </w:pPr>
      <w:r>
        <w:rPr/>
        <w:t>（</w:t>
      </w:r>
      <w:r>
        <w:rPr>
          <w:rFonts w:ascii="Times New Roman" w:hAnsi="Times New Roman" w:cs="Times New Roman" w:eastAsia="Times New Roman" w:hint="default"/>
        </w:rPr>
        <w:t>3</w:t>
      </w:r>
      <w:r>
        <w:rPr/>
        <w:t>）本次变更前采用的会计政策</w:t>
      </w:r>
      <w:r>
        <w:rPr>
          <w:w w:val="99"/>
        </w:rPr>
        <w:t> </w:t>
      </w:r>
      <w:r>
        <w:rPr>
          <w:spacing w:val="2"/>
          <w:w w:val="95"/>
        </w:rPr>
        <w:t>本次变更前，公司执行财政部于</w:t>
      </w:r>
      <w:r>
        <w:rPr>
          <w:rFonts w:ascii="Times New Roman" w:hAnsi="Times New Roman" w:cs="Times New Roman" w:eastAsia="Times New Roman" w:hint="default"/>
          <w:spacing w:val="2"/>
          <w:w w:val="95"/>
        </w:rPr>
        <w:t>2006</w:t>
      </w:r>
      <w:r>
        <w:rPr>
          <w:spacing w:val="2"/>
          <w:w w:val="95"/>
        </w:rPr>
        <w:t>年</w:t>
      </w:r>
      <w:r>
        <w:rPr>
          <w:rFonts w:ascii="Times New Roman" w:hAnsi="Times New Roman" w:cs="Times New Roman" w:eastAsia="Times New Roman" w:hint="default"/>
          <w:spacing w:val="2"/>
          <w:w w:val="95"/>
        </w:rPr>
        <w:t>2</w:t>
      </w:r>
      <w:r>
        <w:rPr>
          <w:spacing w:val="2"/>
          <w:w w:val="95"/>
        </w:rPr>
        <w:t>月</w:t>
      </w:r>
      <w:r>
        <w:rPr>
          <w:rFonts w:ascii="Times New Roman" w:hAnsi="Times New Roman" w:cs="Times New Roman" w:eastAsia="Times New Roman" w:hint="default"/>
          <w:spacing w:val="2"/>
          <w:w w:val="95"/>
        </w:rPr>
        <w:t>15</w:t>
      </w:r>
      <w:r>
        <w:rPr>
          <w:spacing w:val="2"/>
          <w:w w:val="95"/>
        </w:rPr>
        <w:t>日颁布的《企业会计准则</w:t>
      </w:r>
      <w:r>
        <w:rPr>
          <w:rFonts w:ascii="Times New Roman" w:hAnsi="Times New Roman" w:cs="Times New Roman" w:eastAsia="Times New Roman" w:hint="default"/>
          <w:spacing w:val="2"/>
          <w:w w:val="95"/>
        </w:rPr>
        <w:t>—</w:t>
      </w:r>
      <w:r>
        <w:rPr>
          <w:spacing w:val="2"/>
          <w:w w:val="95"/>
        </w:rPr>
        <w:t>基本准则》和</w:t>
      </w:r>
      <w:r>
        <w:rPr>
          <w:rFonts w:ascii="Times New Roman" w:hAnsi="Times New Roman" w:cs="Times New Roman" w:eastAsia="Times New Roman" w:hint="default"/>
          <w:spacing w:val="2"/>
          <w:w w:val="95"/>
        </w:rPr>
        <w:t>38</w:t>
      </w:r>
      <w:r>
        <w:rPr>
          <w:spacing w:val="2"/>
          <w:w w:val="95"/>
        </w:rPr>
        <w:t>项具体会计</w:t>
      </w:r>
      <w:r>
        <w:rPr>
          <w:spacing w:val="2"/>
        </w:rPr>
      </w:r>
    </w:p>
    <w:p>
      <w:pPr>
        <w:pStyle w:val="BodyText"/>
        <w:spacing w:line="240" w:lineRule="auto" w:before="5"/>
        <w:ind w:right="0"/>
        <w:jc w:val="both"/>
      </w:pPr>
      <w:r>
        <w:rPr/>
        <w:t>准则、企业会计准则应用指南、企业会计准则解释公告以及其他相关规定。</w:t>
      </w:r>
    </w:p>
    <w:p>
      <w:pPr>
        <w:pStyle w:val="BodyText"/>
        <w:spacing w:line="256" w:lineRule="auto" w:before="37"/>
        <w:ind w:left="532" w:right="202"/>
        <w:jc w:val="left"/>
      </w:pPr>
      <w:r>
        <w:rPr/>
        <w:t>（</w:t>
      </w:r>
      <w:r>
        <w:rPr>
          <w:rFonts w:ascii="Times New Roman" w:hAnsi="Times New Roman" w:cs="Times New Roman" w:eastAsia="Times New Roman" w:hint="default"/>
        </w:rPr>
        <w:t>4</w:t>
      </w:r>
      <w:r>
        <w:rPr/>
        <w:t>）本次变更后采用的会计政策</w:t>
      </w:r>
      <w:r>
        <w:rPr>
          <w:w w:val="99"/>
        </w:rPr>
        <w:t> </w:t>
      </w:r>
      <w:r>
        <w:rPr>
          <w:spacing w:val="2"/>
          <w:w w:val="95"/>
        </w:rPr>
        <w:t>本次变更后，公司执行财政部于</w:t>
      </w:r>
      <w:r>
        <w:rPr>
          <w:rFonts w:ascii="Times New Roman" w:hAnsi="Times New Roman" w:cs="Times New Roman" w:eastAsia="Times New Roman" w:hint="default"/>
          <w:spacing w:val="2"/>
          <w:w w:val="95"/>
        </w:rPr>
        <w:t>2006</w:t>
      </w:r>
      <w:r>
        <w:rPr>
          <w:spacing w:val="2"/>
          <w:w w:val="95"/>
        </w:rPr>
        <w:t>年</w:t>
      </w:r>
      <w:r>
        <w:rPr>
          <w:rFonts w:ascii="Times New Roman" w:hAnsi="Times New Roman" w:cs="Times New Roman" w:eastAsia="Times New Roman" w:hint="default"/>
          <w:spacing w:val="2"/>
          <w:w w:val="95"/>
        </w:rPr>
        <w:t>2</w:t>
      </w:r>
      <w:r>
        <w:rPr>
          <w:spacing w:val="2"/>
          <w:w w:val="95"/>
        </w:rPr>
        <w:t>月</w:t>
      </w:r>
      <w:r>
        <w:rPr>
          <w:rFonts w:ascii="Times New Roman" w:hAnsi="Times New Roman" w:cs="Times New Roman" w:eastAsia="Times New Roman" w:hint="default"/>
          <w:spacing w:val="2"/>
          <w:w w:val="95"/>
        </w:rPr>
        <w:t>15</w:t>
      </w:r>
      <w:r>
        <w:rPr>
          <w:spacing w:val="2"/>
          <w:w w:val="95"/>
        </w:rPr>
        <w:t>日颁布的《企业会计准则</w:t>
      </w:r>
      <w:r>
        <w:rPr>
          <w:rFonts w:ascii="Times New Roman" w:hAnsi="Times New Roman" w:cs="Times New Roman" w:eastAsia="Times New Roman" w:hint="default"/>
          <w:spacing w:val="2"/>
          <w:w w:val="95"/>
        </w:rPr>
        <w:t>—</w:t>
      </w:r>
      <w:r>
        <w:rPr>
          <w:spacing w:val="2"/>
          <w:w w:val="95"/>
        </w:rPr>
        <w:t>基本准则》和</w:t>
      </w:r>
      <w:r>
        <w:rPr>
          <w:rFonts w:ascii="Times New Roman" w:hAnsi="Times New Roman" w:cs="Times New Roman" w:eastAsia="Times New Roman" w:hint="default"/>
          <w:spacing w:val="2"/>
          <w:w w:val="95"/>
        </w:rPr>
        <w:t>38</w:t>
      </w:r>
      <w:r>
        <w:rPr>
          <w:spacing w:val="2"/>
          <w:w w:val="95"/>
        </w:rPr>
        <w:t>项具体会计</w:t>
      </w:r>
      <w:r>
        <w:rPr>
          <w:spacing w:val="2"/>
        </w:rPr>
      </w:r>
    </w:p>
    <w:p>
      <w:pPr>
        <w:pStyle w:val="BodyText"/>
        <w:spacing w:line="240" w:lineRule="auto" w:before="5"/>
        <w:ind w:right="0"/>
        <w:jc w:val="both"/>
      </w:pPr>
      <w:r>
        <w:rPr>
          <w:spacing w:val="-3"/>
        </w:rPr>
        <w:t>准则（不含本次被替换的具体准则）、企业会计准则应用指南、企业会计准则解释公告以及其他相关规定。</w:t>
      </w:r>
    </w:p>
    <w:p>
      <w:pPr>
        <w:spacing w:after="0" w:line="240" w:lineRule="auto"/>
        <w:jc w:val="both"/>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56" w:lineRule="auto" w:before="34"/>
        <w:ind w:right="207"/>
        <w:jc w:val="both"/>
      </w:pP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1</w:t>
      </w:r>
      <w:r>
        <w:rPr>
          <w:spacing w:val="2"/>
          <w:w w:val="95"/>
        </w:rPr>
        <w:t>月</w:t>
      </w:r>
      <w:r>
        <w:rPr>
          <w:rFonts w:ascii="Times New Roman" w:hAnsi="Times New Roman" w:cs="Times New Roman" w:eastAsia="Times New Roman" w:hint="default"/>
          <w:spacing w:val="2"/>
          <w:w w:val="95"/>
        </w:rPr>
        <w:t>26</w:t>
      </w:r>
      <w:r>
        <w:rPr>
          <w:spacing w:val="2"/>
          <w:w w:val="95"/>
        </w:rPr>
        <w:t>日起财政部陆续颁布的《企业会计准则第</w:t>
      </w:r>
      <w:r>
        <w:rPr>
          <w:rFonts w:ascii="Times New Roman" w:hAnsi="Times New Roman" w:cs="Times New Roman" w:eastAsia="Times New Roman" w:hint="default"/>
          <w:spacing w:val="2"/>
          <w:w w:val="95"/>
        </w:rPr>
        <w:t>2</w:t>
      </w:r>
      <w:r>
        <w:rPr>
          <w:spacing w:val="2"/>
          <w:w w:val="95"/>
        </w:rPr>
        <w:t>号</w:t>
      </w:r>
      <w:r>
        <w:rPr>
          <w:rFonts w:ascii="Times New Roman" w:hAnsi="Times New Roman" w:cs="Times New Roman" w:eastAsia="Times New Roman" w:hint="default"/>
          <w:spacing w:val="2"/>
          <w:w w:val="95"/>
        </w:rPr>
        <w:t>—</w:t>
      </w:r>
      <w:r>
        <w:rPr>
          <w:spacing w:val="2"/>
          <w:w w:val="95"/>
        </w:rPr>
        <w:t>长期股权投资》、《企业会计准则第</w:t>
      </w:r>
      <w:r>
        <w:rPr>
          <w:rFonts w:ascii="Times New Roman" w:hAnsi="Times New Roman" w:cs="Times New Roman" w:eastAsia="Times New Roman" w:hint="default"/>
          <w:spacing w:val="2"/>
          <w:w w:val="95"/>
        </w:rPr>
        <w:t>9</w:t>
      </w:r>
      <w:r>
        <w:rPr>
          <w:spacing w:val="2"/>
          <w:w w:val="95"/>
        </w:rPr>
        <w:t>号</w:t>
      </w:r>
      <w:r>
        <w:rPr>
          <w:rFonts w:ascii="Times New Roman" w:hAnsi="Times New Roman" w:cs="Times New Roman" w:eastAsia="Times New Roman" w:hint="default"/>
          <w:spacing w:val="2"/>
          <w:w w:val="95"/>
        </w:rPr>
        <w:t>—</w:t>
      </w:r>
      <w:r>
        <w:rPr>
          <w:spacing w:val="2"/>
          <w:w w:val="95"/>
        </w:rPr>
        <w:t>职</w:t>
      </w:r>
      <w:r>
        <w:rPr>
          <w:spacing w:val="41"/>
          <w:w w:val="95"/>
        </w:rPr>
        <w:t> </w:t>
      </w:r>
      <w:r>
        <w:rPr>
          <w:w w:val="95"/>
        </w:rPr>
        <w:t>工薪酬》、《企业会计准则第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财务报表列报》、《企业会计准则第</w:t>
      </w:r>
      <w:r>
        <w:rPr>
          <w:rFonts w:ascii="Times New Roman" w:hAnsi="Times New Roman" w:cs="Times New Roman" w:eastAsia="Times New Roman" w:hint="default"/>
          <w:w w:val="95"/>
        </w:rPr>
        <w:t>33</w:t>
      </w:r>
      <w:r>
        <w:rPr>
          <w:w w:val="95"/>
        </w:rPr>
        <w:t>号</w:t>
      </w:r>
      <w:r>
        <w:rPr>
          <w:rFonts w:ascii="Times New Roman" w:hAnsi="Times New Roman" w:cs="Times New Roman" w:eastAsia="Times New Roman" w:hint="default"/>
          <w:w w:val="95"/>
        </w:rPr>
        <w:t>—</w:t>
      </w:r>
      <w:r>
        <w:rPr>
          <w:w w:val="95"/>
        </w:rPr>
        <w:t>合并财务报表》、《企业</w:t>
      </w:r>
      <w:r>
        <w:rPr>
          <w:spacing w:val="45"/>
          <w:w w:val="95"/>
        </w:rPr>
        <w:t> </w:t>
      </w:r>
      <w:r>
        <w:rPr>
          <w:spacing w:val="45"/>
          <w:w w:val="95"/>
        </w:rPr>
      </w:r>
      <w:r>
        <w:rPr>
          <w:w w:val="95"/>
        </w:rPr>
        <w:t>会计准则第</w:t>
      </w:r>
      <w:r>
        <w:rPr>
          <w:rFonts w:ascii="Times New Roman" w:hAnsi="Times New Roman" w:cs="Times New Roman" w:eastAsia="Times New Roman" w:hint="default"/>
          <w:w w:val="95"/>
        </w:rPr>
        <w:t>37</w:t>
      </w:r>
      <w:r>
        <w:rPr>
          <w:w w:val="95"/>
        </w:rPr>
        <w:t>号</w:t>
      </w:r>
      <w:r>
        <w:rPr>
          <w:rFonts w:ascii="Times New Roman" w:hAnsi="Times New Roman" w:cs="Times New Roman" w:eastAsia="Times New Roman" w:hint="default"/>
          <w:w w:val="95"/>
        </w:rPr>
        <w:t>—</w:t>
      </w:r>
      <w:r>
        <w:rPr>
          <w:w w:val="95"/>
        </w:rPr>
        <w:t>金融工具列报》、《企业会计准则第</w:t>
      </w:r>
      <w:r>
        <w:rPr>
          <w:rFonts w:ascii="Times New Roman" w:hAnsi="Times New Roman" w:cs="Times New Roman" w:eastAsia="Times New Roman" w:hint="default"/>
          <w:w w:val="95"/>
        </w:rPr>
        <w:t>39</w:t>
      </w:r>
      <w:r>
        <w:rPr>
          <w:w w:val="95"/>
        </w:rPr>
        <w:t>号</w:t>
      </w:r>
      <w:r>
        <w:rPr>
          <w:rFonts w:ascii="Times New Roman" w:hAnsi="Times New Roman" w:cs="Times New Roman" w:eastAsia="Times New Roman" w:hint="default"/>
          <w:w w:val="95"/>
        </w:rPr>
        <w:t>—</w:t>
      </w:r>
      <w:r>
        <w:rPr>
          <w:w w:val="95"/>
        </w:rPr>
        <w:t>公允价值计量》、《企业会计准则第</w:t>
      </w:r>
      <w:r>
        <w:rPr>
          <w:rFonts w:ascii="Times New Roman" w:hAnsi="Times New Roman" w:cs="Times New Roman" w:eastAsia="Times New Roman" w:hint="default"/>
          <w:w w:val="95"/>
        </w:rPr>
        <w:t>40</w:t>
      </w:r>
      <w:r>
        <w:rPr>
          <w:w w:val="95"/>
        </w:rPr>
        <w:t>号</w:t>
      </w:r>
      <w:r>
        <w:rPr>
          <w:rFonts w:ascii="Times New Roman" w:hAnsi="Times New Roman" w:cs="Times New Roman" w:eastAsia="Times New Roman" w:hint="default"/>
          <w:w w:val="95"/>
        </w:rPr>
        <w:t>—</w:t>
      </w:r>
      <w:r>
        <w:rPr>
          <w:rFonts w:ascii="Times New Roman" w:hAnsi="Times New Roman" w:cs="Times New Roman" w:eastAsia="Times New Roman" w:hint="default"/>
          <w:spacing w:val="42"/>
          <w:w w:val="95"/>
        </w:rPr>
        <w:t> </w:t>
      </w:r>
      <w:r>
        <w:rPr>
          <w:spacing w:val="2"/>
          <w:w w:val="95"/>
        </w:rPr>
        <w:t>合营安排》、《企业会计准则第</w:t>
      </w:r>
      <w:r>
        <w:rPr>
          <w:rFonts w:ascii="Times New Roman" w:hAnsi="Times New Roman" w:cs="Times New Roman" w:eastAsia="Times New Roman" w:hint="default"/>
          <w:spacing w:val="2"/>
          <w:w w:val="95"/>
        </w:rPr>
        <w:t>41</w:t>
      </w:r>
      <w:r>
        <w:rPr>
          <w:spacing w:val="2"/>
          <w:w w:val="95"/>
        </w:rPr>
        <w:t>号</w:t>
      </w:r>
      <w:r>
        <w:rPr>
          <w:rFonts w:ascii="Times New Roman" w:hAnsi="Times New Roman" w:cs="Times New Roman" w:eastAsia="Times New Roman" w:hint="default"/>
          <w:spacing w:val="2"/>
          <w:w w:val="95"/>
        </w:rPr>
        <w:t>—</w:t>
      </w:r>
      <w:r>
        <w:rPr>
          <w:spacing w:val="2"/>
          <w:w w:val="95"/>
        </w:rPr>
        <w:t>在其他主体中权益的披露》及</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23</w:t>
      </w:r>
      <w:r>
        <w:rPr>
          <w:spacing w:val="2"/>
          <w:w w:val="95"/>
        </w:rPr>
        <w:t>日修改的《企业会计准</w:t>
      </w:r>
      <w:r>
        <w:rPr>
          <w:spacing w:val="41"/>
          <w:w w:val="95"/>
        </w:rPr>
        <w:t> </w:t>
      </w:r>
      <w:r>
        <w:rPr>
          <w:spacing w:val="41"/>
          <w:w w:val="95"/>
        </w:rPr>
      </w:r>
      <w:r>
        <w:rPr/>
        <w:t>则</w:t>
      </w:r>
      <w:r>
        <w:rPr>
          <w:rFonts w:ascii="Times New Roman" w:hAnsi="Times New Roman" w:cs="Times New Roman" w:eastAsia="Times New Roman" w:hint="default"/>
        </w:rPr>
        <w:t>—</w:t>
      </w:r>
      <w:r>
        <w:rPr/>
        <w:t>基本准则》等具体准则构成对前述相关准则的替换和补充，公司一并执行。</w:t>
      </w:r>
    </w:p>
    <w:p>
      <w:pPr>
        <w:pStyle w:val="Heading4"/>
        <w:spacing w:line="240" w:lineRule="auto" w:before="5"/>
        <w:ind w:left="640" w:right="202"/>
        <w:jc w:val="left"/>
        <w:rPr>
          <w:b w:val="0"/>
          <w:bCs w:val="0"/>
        </w:rPr>
      </w:pPr>
      <w:r>
        <w:rPr>
          <w:rFonts w:ascii="Times New Roman" w:hAnsi="Times New Roman" w:cs="Times New Roman" w:eastAsia="Times New Roman" w:hint="default"/>
        </w:rPr>
        <w:t>2</w:t>
      </w:r>
      <w:r>
        <w:rPr/>
        <w:t>、会计政策变更对公司的影响</w:t>
      </w:r>
      <w:r>
        <w:rPr>
          <w:b w:val="0"/>
          <w:bCs w:val="0"/>
        </w:rPr>
      </w:r>
    </w:p>
    <w:p>
      <w:pPr>
        <w:pStyle w:val="BodyText"/>
        <w:spacing w:line="256" w:lineRule="auto" w:before="21"/>
        <w:ind w:left="532" w:right="112"/>
        <w:jc w:val="left"/>
      </w:pPr>
      <w:r>
        <w:rPr/>
        <w:t>（</w:t>
      </w:r>
      <w:r>
        <w:rPr>
          <w:rFonts w:ascii="Times New Roman" w:hAnsi="Times New Roman" w:cs="Times New Roman" w:eastAsia="Times New Roman" w:hint="default"/>
        </w:rPr>
        <w:t>1</w:t>
      </w: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长期股权投资》的相关情况</w:t>
      </w:r>
      <w:r>
        <w:rPr>
          <w:w w:val="99"/>
        </w:rPr>
        <w:t> </w:t>
      </w:r>
      <w:r>
        <w:rPr/>
        <w:t>公司根据《财政部关于印发修订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[2014]14</w:t>
      </w:r>
      <w:r>
        <w:rPr/>
        <w:t>号），</w:t>
      </w:r>
    </w:p>
    <w:p>
      <w:pPr>
        <w:pStyle w:val="BodyText"/>
        <w:spacing w:line="256" w:lineRule="auto" w:before="5"/>
        <w:ind w:right="192"/>
        <w:jc w:val="both"/>
      </w:pPr>
      <w:r>
        <w:rPr>
          <w:spacing w:val="2"/>
        </w:rPr>
        <w:t>执行《企业会计准则</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长期股权投资》，公司对持有的不具有控制、共同控制、重大影响且其公允价</w:t>
      </w:r>
      <w:r>
        <w:rPr>
          <w:w w:val="99"/>
        </w:rPr>
        <w:t> </w:t>
      </w:r>
      <w:r>
        <w:rPr>
          <w:w w:val="95"/>
        </w:rPr>
        <w:t>值不能可靠计量的股权投资，作为按成本计量的可供出售金融资产进行核算，不作为长期股权投资核算。</w:t>
      </w:r>
      <w:r>
        <w:rPr/>
      </w:r>
    </w:p>
    <w:p>
      <w:pPr>
        <w:pStyle w:val="BodyText"/>
        <w:spacing w:line="240" w:lineRule="auto" w:before="22"/>
        <w:ind w:left="532" w:right="202"/>
        <w:jc w:val="left"/>
      </w:pPr>
      <w:r>
        <w:rPr/>
        <w:t>根据规定，上述会计政策变更采用追溯调整法进行会计处理，其对公司会计报表影响如下：</w:t>
      </w:r>
    </w:p>
    <w:p>
      <w:pPr>
        <w:spacing w:line="240" w:lineRule="auto" w:before="9"/>
        <w:rPr>
          <w:rFonts w:ascii="宋体" w:hAnsi="宋体" w:cs="宋体" w:eastAsia="宋体" w:hint="default"/>
          <w:sz w:val="26"/>
          <w:szCs w:val="26"/>
        </w:rPr>
      </w:pPr>
    </w:p>
    <w:p>
      <w:pPr>
        <w:pStyle w:val="BodyText"/>
        <w:spacing w:line="240" w:lineRule="auto" w:before="0"/>
        <w:ind w:left="0" w:right="613"/>
        <w:jc w:val="right"/>
      </w:pPr>
      <w:r>
        <w:rPr>
          <w:w w:val="95"/>
        </w:rPr>
        <w:t>单位：元</w:t>
      </w:r>
      <w:r>
        <w:rPr/>
      </w:r>
    </w:p>
    <w:p>
      <w:pPr>
        <w:spacing w:line="240" w:lineRule="auto" w:before="12"/>
        <w:rPr>
          <w:rFonts w:ascii="宋体" w:hAnsi="宋体" w:cs="宋体" w:eastAsia="宋体" w:hint="default"/>
          <w:sz w:val="3"/>
          <w:szCs w:val="3"/>
        </w:rPr>
      </w:pPr>
    </w:p>
    <w:tbl>
      <w:tblPr>
        <w:tblW w:w="0" w:type="auto"/>
        <w:jc w:val="left"/>
        <w:tblInd w:w="478" w:type="dxa"/>
        <w:tblLayout w:type="fixed"/>
        <w:tblCellMar>
          <w:top w:w="0" w:type="dxa"/>
          <w:left w:w="0" w:type="dxa"/>
          <w:bottom w:w="0" w:type="dxa"/>
          <w:right w:w="0" w:type="dxa"/>
        </w:tblCellMar>
        <w:tblLook w:val="01E0"/>
      </w:tblPr>
      <w:tblGrid>
        <w:gridCol w:w="2316"/>
        <w:gridCol w:w="2132"/>
        <w:gridCol w:w="2132"/>
        <w:gridCol w:w="2314"/>
      </w:tblGrid>
      <w:tr>
        <w:trPr>
          <w:trHeight w:val="347" w:hRule="exact"/>
        </w:trPr>
        <w:tc>
          <w:tcPr>
            <w:tcW w:w="2316" w:type="dxa"/>
            <w:vMerge w:val="restart"/>
            <w:tcBorders>
              <w:top w:val="single" w:sz="6" w:space="0" w:color="000000"/>
              <w:left w:val="single" w:sz="6" w:space="0" w:color="000000"/>
              <w:right w:val="single" w:sz="6" w:space="0" w:color="000000"/>
            </w:tcBorders>
            <w:shd w:val="clear" w:color="auto" w:fill="D8D8D8"/>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6578" w:type="dxa"/>
            <w:gridSpan w:val="3"/>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2013年12月31日</w:t>
            </w:r>
          </w:p>
        </w:tc>
      </w:tr>
      <w:tr>
        <w:trPr>
          <w:trHeight w:val="347" w:hRule="exact"/>
        </w:trPr>
        <w:tc>
          <w:tcPr>
            <w:tcW w:w="2316" w:type="dxa"/>
            <w:vMerge/>
            <w:tcBorders>
              <w:left w:val="single" w:sz="6" w:space="0" w:color="000000"/>
              <w:bottom w:val="single" w:sz="6" w:space="0" w:color="000000"/>
              <w:right w:val="single" w:sz="6" w:space="0" w:color="000000"/>
            </w:tcBorders>
            <w:shd w:val="clear" w:color="auto" w:fill="D8D8D8"/>
          </w:tcPr>
          <w:p>
            <w:pPr/>
          </w:p>
        </w:tc>
        <w:tc>
          <w:tcPr>
            <w:tcW w:w="2132"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132"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231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影响额</w:t>
            </w:r>
          </w:p>
        </w:tc>
      </w:tr>
      <w:tr>
        <w:trPr>
          <w:trHeight w:val="347" w:hRule="exact"/>
        </w:trPr>
        <w:tc>
          <w:tcPr>
            <w:tcW w:w="2316"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w w:val="95"/>
                <w:sz w:val="21"/>
              </w:rPr>
              <w:t>9,463,199.69</w:t>
            </w:r>
            <w:r>
              <w:rPr>
                <w:rFonts w:ascii="宋体"/>
                <w:sz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w w:val="95"/>
                <w:sz w:val="21"/>
              </w:rPr>
              <w:t>9,463,199.69</w:t>
            </w:r>
            <w:r>
              <w:rPr>
                <w:rFonts w:ascii="宋体"/>
                <w:sz w:val="21"/>
              </w:rPr>
            </w:r>
          </w:p>
        </w:tc>
      </w:tr>
      <w:tr>
        <w:trPr>
          <w:trHeight w:val="347" w:hRule="exact"/>
        </w:trPr>
        <w:tc>
          <w:tcPr>
            <w:tcW w:w="2316"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7,363,056.72</w:t>
            </w:r>
            <w:r>
              <w:rPr>
                <w:rFonts w:ascii="宋体"/>
                <w:sz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w w:val="95"/>
                <w:sz w:val="21"/>
              </w:rPr>
              <w:t>16,826,256.41</w:t>
            </w:r>
            <w:r>
              <w:rPr>
                <w:rFonts w:ascii="宋体"/>
                <w:sz w:val="21"/>
              </w:rPr>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w w:val="95"/>
                <w:sz w:val="21"/>
              </w:rPr>
              <w:t>-9,463,199.69</w:t>
            </w:r>
            <w:r>
              <w:rPr>
                <w:rFonts w:ascii="宋体"/>
                <w:sz w:val="21"/>
              </w:rPr>
            </w:r>
          </w:p>
        </w:tc>
      </w:tr>
    </w:tbl>
    <w:p>
      <w:pPr>
        <w:pStyle w:val="BodyText"/>
        <w:spacing w:line="276" w:lineRule="exact" w:before="0"/>
        <w:ind w:left="532" w:right="202"/>
        <w:jc w:val="left"/>
      </w:pPr>
      <w:r>
        <w:rPr/>
        <w:t>（</w:t>
      </w:r>
      <w:r>
        <w:rPr>
          <w:rFonts w:ascii="Times New Roman" w:hAnsi="Times New Roman" w:cs="Times New Roman" w:eastAsia="Times New Roman" w:hint="default"/>
        </w:rPr>
        <w:t>2</w:t>
      </w:r>
      <w:r>
        <w:rPr/>
        <w:t>）执行《企业会计准则第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财务报表列报》的相关情况</w:t>
      </w:r>
    </w:p>
    <w:p>
      <w:pPr>
        <w:pStyle w:val="BodyText"/>
        <w:spacing w:line="256" w:lineRule="auto" w:before="21"/>
        <w:ind w:right="202" w:firstLine="420"/>
        <w:jc w:val="left"/>
      </w:pPr>
      <w:r>
        <w:rPr>
          <w:w w:val="95"/>
        </w:rPr>
        <w:t>公司根据修订后的《企业会计准则第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财务报表列报》，根据列报要求将递延收益单独列报，并</w:t>
      </w:r>
      <w:r>
        <w:rPr>
          <w:spacing w:val="-96"/>
          <w:w w:val="95"/>
        </w:rPr>
        <w:t> </w:t>
      </w:r>
      <w:r>
        <w:rPr>
          <w:spacing w:val="-96"/>
          <w:w w:val="95"/>
        </w:rPr>
      </w:r>
      <w:r>
        <w:rPr/>
        <w:t>对年初数采用追溯调整法进行调整列报，追溯调整影响如下：</w:t>
      </w:r>
    </w:p>
    <w:p>
      <w:pPr>
        <w:spacing w:line="240" w:lineRule="auto" w:before="7"/>
        <w:rPr>
          <w:rFonts w:ascii="宋体" w:hAnsi="宋体" w:cs="宋体" w:eastAsia="宋体" w:hint="default"/>
          <w:sz w:val="25"/>
          <w:szCs w:val="25"/>
        </w:rPr>
      </w:pPr>
    </w:p>
    <w:p>
      <w:pPr>
        <w:pStyle w:val="BodyText"/>
        <w:spacing w:line="240" w:lineRule="auto" w:before="0"/>
        <w:ind w:right="202"/>
        <w:jc w:val="left"/>
      </w:pPr>
      <w:r>
        <w:rPr/>
        <w:t>单位：元</w:t>
      </w:r>
    </w:p>
    <w:p>
      <w:pPr>
        <w:spacing w:line="240" w:lineRule="auto" w:before="0"/>
        <w:rPr>
          <w:rFonts w:ascii="宋体" w:hAnsi="宋体" w:cs="宋体" w:eastAsia="宋体" w:hint="default"/>
          <w:sz w:val="4"/>
          <w:szCs w:val="4"/>
        </w:rPr>
      </w:pPr>
    </w:p>
    <w:tbl>
      <w:tblPr>
        <w:tblW w:w="0" w:type="auto"/>
        <w:jc w:val="left"/>
        <w:tblInd w:w="546" w:type="dxa"/>
        <w:tblLayout w:type="fixed"/>
        <w:tblCellMar>
          <w:top w:w="0" w:type="dxa"/>
          <w:left w:w="0" w:type="dxa"/>
          <w:bottom w:w="0" w:type="dxa"/>
          <w:right w:w="0" w:type="dxa"/>
        </w:tblCellMar>
        <w:tblLook w:val="01E0"/>
      </w:tblPr>
      <w:tblGrid>
        <w:gridCol w:w="1944"/>
        <w:gridCol w:w="1663"/>
        <w:gridCol w:w="1723"/>
        <w:gridCol w:w="1717"/>
        <w:gridCol w:w="1710"/>
      </w:tblGrid>
      <w:tr>
        <w:trPr>
          <w:trHeight w:val="347" w:hRule="exact"/>
        </w:trPr>
        <w:tc>
          <w:tcPr>
            <w:tcW w:w="194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86"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2" w:lineRule="exact"/>
              <w:ind w:left="1056" w:right="0"/>
              <w:jc w:val="left"/>
              <w:rPr>
                <w:rFonts w:ascii="宋体" w:hAnsi="宋体" w:cs="宋体" w:eastAsia="宋体" w:hint="default"/>
                <w:sz w:val="21"/>
                <w:szCs w:val="21"/>
              </w:rPr>
            </w:pPr>
            <w:r>
              <w:rPr>
                <w:rFonts w:ascii="宋体" w:hAnsi="宋体" w:cs="宋体" w:eastAsia="宋体" w:hint="default"/>
                <w:sz w:val="21"/>
                <w:szCs w:val="21"/>
              </w:rPr>
              <w:t>2013年1月1日</w:t>
            </w:r>
          </w:p>
        </w:tc>
        <w:tc>
          <w:tcPr>
            <w:tcW w:w="3427"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2" w:lineRule="exact"/>
              <w:ind w:left="970" w:right="0"/>
              <w:jc w:val="left"/>
              <w:rPr>
                <w:rFonts w:ascii="宋体" w:hAnsi="宋体" w:cs="宋体" w:eastAsia="宋体" w:hint="default"/>
                <w:sz w:val="21"/>
                <w:szCs w:val="21"/>
              </w:rPr>
            </w:pPr>
            <w:r>
              <w:rPr>
                <w:rFonts w:ascii="宋体" w:hAnsi="宋体" w:cs="宋体" w:eastAsia="宋体" w:hint="default"/>
                <w:sz w:val="21"/>
                <w:szCs w:val="21"/>
              </w:rPr>
              <w:t>2013年12月31日</w:t>
            </w:r>
          </w:p>
        </w:tc>
      </w:tr>
      <w:tr>
        <w:trPr>
          <w:trHeight w:val="347" w:hRule="exact"/>
        </w:trPr>
        <w:tc>
          <w:tcPr>
            <w:tcW w:w="1944" w:type="dxa"/>
            <w:tcBorders>
              <w:top w:val="single" w:sz="6" w:space="0" w:color="000000"/>
              <w:left w:val="single" w:sz="6" w:space="0" w:color="000000"/>
              <w:bottom w:val="single" w:sz="6" w:space="0" w:color="000000"/>
              <w:right w:val="single" w:sz="6" w:space="0" w:color="000000"/>
            </w:tcBorders>
            <w:shd w:val="clear" w:color="auto" w:fill="D8D8D8"/>
          </w:tcPr>
          <w:p>
            <w:pP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0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3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3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3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47" w:hRule="exact"/>
        </w:trPr>
        <w:tc>
          <w:tcPr>
            <w:tcW w:w="194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663"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1,300,000.00</w:t>
            </w:r>
            <w:r>
              <w:rPr>
                <w:rFonts w:ascii="宋体"/>
                <w:sz w:val="21"/>
              </w:rPr>
            </w:r>
          </w:p>
        </w:tc>
        <w:tc>
          <w:tcPr>
            <w:tcW w:w="1717"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1,557,600.00</w:t>
            </w:r>
            <w:r>
              <w:rPr>
                <w:rFonts w:ascii="宋体"/>
                <w:sz w:val="21"/>
              </w:rPr>
            </w:r>
          </w:p>
        </w:tc>
      </w:tr>
      <w:tr>
        <w:trPr>
          <w:trHeight w:val="347" w:hRule="exact"/>
        </w:trPr>
        <w:tc>
          <w:tcPr>
            <w:tcW w:w="194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right"/>
              <w:rPr>
                <w:rFonts w:ascii="宋体" w:hAnsi="宋体" w:cs="宋体" w:eastAsia="宋体" w:hint="default"/>
                <w:sz w:val="21"/>
                <w:szCs w:val="21"/>
              </w:rPr>
            </w:pPr>
            <w:r>
              <w:rPr>
                <w:rFonts w:ascii="宋体"/>
                <w:w w:val="95"/>
                <w:sz w:val="21"/>
              </w:rPr>
              <w:t>1,300,000.00</w:t>
            </w:r>
            <w:r>
              <w:rPr>
                <w:rFonts w:ascii="宋体"/>
                <w:sz w:val="21"/>
              </w:rPr>
            </w:r>
          </w:p>
        </w:tc>
        <w:tc>
          <w:tcPr>
            <w:tcW w:w="1723" w:type="dxa"/>
            <w:tcBorders>
              <w:top w:val="single" w:sz="6" w:space="0" w:color="000000"/>
              <w:left w:val="single" w:sz="6" w:space="0" w:color="000000"/>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95"/>
                <w:sz w:val="21"/>
              </w:rPr>
              <w:t>1,557,600.00</w:t>
            </w:r>
            <w:r>
              <w:rPr>
                <w:rFonts w:ascii="宋体"/>
                <w:sz w:val="21"/>
              </w:rPr>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4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w w:val="95"/>
                <w:sz w:val="21"/>
              </w:rPr>
              <w:t>1,300,000.00</w:t>
            </w:r>
            <w:r>
              <w:rPr>
                <w:rFonts w:ascii="宋体"/>
                <w:sz w:val="21"/>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1,300,000.00</w:t>
            </w:r>
            <w:r>
              <w:rPr>
                <w:rFonts w:ascii="宋体"/>
                <w:sz w:val="21"/>
              </w:rPr>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1,557,600.00</w:t>
            </w:r>
            <w:r>
              <w:rPr>
                <w:rFonts w:ascii="宋体"/>
                <w:sz w:val="21"/>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1,557,600.00</w:t>
            </w:r>
            <w:r>
              <w:rPr>
                <w:rFonts w:ascii="宋体"/>
                <w:sz w:val="21"/>
              </w:rPr>
            </w:r>
          </w:p>
        </w:tc>
      </w:tr>
    </w:tbl>
    <w:p>
      <w:pPr>
        <w:pStyle w:val="BodyText"/>
        <w:spacing w:line="256" w:lineRule="auto" w:before="0"/>
        <w:ind w:right="210" w:firstLine="420"/>
        <w:jc w:val="both"/>
      </w:pPr>
      <w:r>
        <w:rPr>
          <w:w w:val="95"/>
        </w:rPr>
        <w:t>（</w:t>
      </w:r>
      <w:r>
        <w:rPr>
          <w:rFonts w:ascii="Times New Roman" w:hAnsi="Times New Roman" w:cs="Times New Roman" w:eastAsia="Times New Roman" w:hint="default"/>
          <w:w w:val="95"/>
        </w:rPr>
        <w:t>3</w:t>
      </w:r>
      <w:r>
        <w:rPr>
          <w:w w:val="95"/>
        </w:rPr>
        <w:t>）执行《企业会计准则第</w:t>
      </w:r>
      <w:r>
        <w:rPr>
          <w:rFonts w:ascii="Times New Roman" w:hAnsi="Times New Roman" w:cs="Times New Roman" w:eastAsia="Times New Roman" w:hint="default"/>
          <w:w w:val="95"/>
        </w:rPr>
        <w:t>9</w:t>
      </w:r>
      <w:r>
        <w:rPr>
          <w:w w:val="95"/>
        </w:rPr>
        <w:t>号</w:t>
      </w:r>
      <w:r>
        <w:rPr>
          <w:rFonts w:ascii="Times New Roman" w:hAnsi="Times New Roman" w:cs="Times New Roman" w:eastAsia="Times New Roman" w:hint="default"/>
          <w:w w:val="95"/>
        </w:rPr>
        <w:t>—</w:t>
      </w:r>
      <w:r>
        <w:rPr>
          <w:w w:val="95"/>
        </w:rPr>
        <w:t>职工薪酬》、《企业会计准则第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财务报表列报》、《企业会</w:t>
      </w:r>
      <w:r>
        <w:rPr>
          <w:w w:val="99"/>
        </w:rPr>
        <w:t> </w:t>
      </w:r>
      <w:r>
        <w:rPr>
          <w:w w:val="95"/>
        </w:rPr>
        <w:t>计准则第</w:t>
      </w:r>
      <w:r>
        <w:rPr>
          <w:rFonts w:ascii="Times New Roman" w:hAnsi="Times New Roman" w:cs="Times New Roman" w:eastAsia="Times New Roman" w:hint="default"/>
          <w:w w:val="95"/>
        </w:rPr>
        <w:t>33</w:t>
      </w:r>
      <w:r>
        <w:rPr>
          <w:w w:val="95"/>
        </w:rPr>
        <w:t>号</w:t>
      </w:r>
      <w:r>
        <w:rPr>
          <w:rFonts w:ascii="Times New Roman" w:hAnsi="Times New Roman" w:cs="Times New Roman" w:eastAsia="Times New Roman" w:hint="default"/>
          <w:w w:val="95"/>
        </w:rPr>
        <w:t>—</w:t>
      </w:r>
      <w:r>
        <w:rPr>
          <w:w w:val="95"/>
        </w:rPr>
        <w:t>合并财务报表》、《企业会计准则第</w:t>
      </w:r>
      <w:r>
        <w:rPr>
          <w:rFonts w:ascii="Times New Roman" w:hAnsi="Times New Roman" w:cs="Times New Roman" w:eastAsia="Times New Roman" w:hint="default"/>
          <w:w w:val="95"/>
        </w:rPr>
        <w:t>39</w:t>
      </w:r>
      <w:r>
        <w:rPr>
          <w:w w:val="95"/>
        </w:rPr>
        <w:t>号</w:t>
      </w:r>
      <w:r>
        <w:rPr>
          <w:rFonts w:ascii="Times New Roman" w:hAnsi="Times New Roman" w:cs="Times New Roman" w:eastAsia="Times New Roman" w:hint="default"/>
          <w:w w:val="95"/>
        </w:rPr>
        <w:t>—</w:t>
      </w:r>
      <w:r>
        <w:rPr>
          <w:w w:val="95"/>
        </w:rPr>
        <w:t>公允价值计量》、《企业会计准则第</w:t>
      </w:r>
      <w:r>
        <w:rPr>
          <w:rFonts w:ascii="Times New Roman" w:hAnsi="Times New Roman" w:cs="Times New Roman" w:eastAsia="Times New Roman" w:hint="default"/>
          <w:w w:val="95"/>
        </w:rPr>
        <w:t>40</w:t>
      </w:r>
      <w:r>
        <w:rPr>
          <w:w w:val="95"/>
        </w:rPr>
        <w:t>号</w:t>
      </w:r>
      <w:r>
        <w:rPr>
          <w:rFonts w:ascii="Times New Roman" w:hAnsi="Times New Roman" w:cs="Times New Roman" w:eastAsia="Times New Roman" w:hint="default"/>
          <w:w w:val="95"/>
        </w:rPr>
        <w:t>—</w:t>
      </w:r>
      <w:r>
        <w:rPr>
          <w:w w:val="95"/>
        </w:rPr>
        <w:t>合</w:t>
      </w:r>
      <w:r>
        <w:rPr>
          <w:spacing w:val="43"/>
          <w:w w:val="95"/>
        </w:rPr>
        <w:t> </w:t>
      </w:r>
      <w:r>
        <w:rPr/>
        <w:t>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在其他主体中权益的披露》的相关情况。</w:t>
      </w:r>
    </w:p>
    <w:p>
      <w:pPr>
        <w:pStyle w:val="BodyText"/>
        <w:spacing w:line="264" w:lineRule="auto" w:before="5"/>
        <w:ind w:right="99" w:firstLine="420"/>
        <w:jc w:val="left"/>
      </w:pPr>
      <w:r>
        <w:rPr>
          <w:spacing w:val="-3"/>
        </w:rPr>
        <w:t>公司本次会计政策变更之前财务报表中关于职工薪酬、财务报表列报、合并财务报表、公允价值计量、</w:t>
      </w:r>
      <w:r>
        <w:rPr>
          <w:w w:val="99"/>
        </w:rPr>
        <w:t> </w:t>
      </w:r>
      <w:r>
        <w:rPr>
          <w:spacing w:val="4"/>
        </w:rPr>
        <w:t>合营安排及与在其他主体中权益的相关业务及事项，自</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w:t>
      </w:r>
      <w:r>
        <w:rPr>
          <w:spacing w:val="4"/>
        </w:rPr>
        <w:t>日起按上述准则的规定进行核算与披</w:t>
      </w:r>
      <w:r>
        <w:rPr>
          <w:w w:val="99"/>
        </w:rPr>
        <w:t> </w:t>
      </w:r>
      <w:r>
        <w:rPr/>
        <w:t>露，新准则的实施不会对会计政策变更之前财务报表项目金额产生影响。</w:t>
      </w:r>
    </w:p>
    <w:p>
      <w:pPr>
        <w:spacing w:line="240" w:lineRule="auto" w:before="5"/>
        <w:rPr>
          <w:rFonts w:ascii="宋体" w:hAnsi="宋体" w:cs="宋体" w:eastAsia="宋体" w:hint="default"/>
          <w:sz w:val="22"/>
          <w:szCs w:val="22"/>
        </w:rPr>
      </w:pPr>
    </w:p>
    <w:p>
      <w:pPr>
        <w:pStyle w:val="Heading3"/>
        <w:spacing w:line="240" w:lineRule="auto"/>
        <w:ind w:right="202"/>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202"/>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532" w:right="202"/>
        <w:jc w:val="left"/>
      </w:pPr>
      <w:r>
        <w:rPr/>
        <w:t>本期全资子公司烟台华东电子软件技术有限公司新设一全资子公司烟台华东电子科技有限公司纳入</w:t>
      </w:r>
    </w:p>
    <w:p>
      <w:pPr>
        <w:spacing w:after="0" w:line="240"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40" w:lineRule="auto" w:before="34"/>
        <w:ind w:right="202"/>
        <w:jc w:val="left"/>
      </w:pPr>
      <w:r>
        <w:rPr/>
        <w:t>合并，除此之外未发生其他原因导致的合并范围变动。</w:t>
      </w:r>
    </w:p>
    <w:p>
      <w:pPr>
        <w:spacing w:line="240" w:lineRule="auto" w:before="0"/>
        <w:rPr>
          <w:rFonts w:ascii="宋体" w:hAnsi="宋体" w:cs="宋体" w:eastAsia="宋体" w:hint="default"/>
          <w:sz w:val="24"/>
          <w:szCs w:val="24"/>
        </w:rPr>
      </w:pPr>
    </w:p>
    <w:p>
      <w:pPr>
        <w:pStyle w:val="Heading3"/>
        <w:spacing w:line="240" w:lineRule="auto"/>
        <w:ind w:right="202"/>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7"/>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1" w:lineRule="auto" w:before="78"/>
        <w:ind w:right="105" w:firstLine="420"/>
        <w:jc w:val="left"/>
      </w:pPr>
      <w:r>
        <w:rPr/>
        <w:t>根据中国证监会《关于进一步落实上市公司现金分红有关事项的通知》和中国证监会安徽监管局《关</w:t>
      </w:r>
      <w:r>
        <w:rPr>
          <w:w w:val="99"/>
        </w:rPr>
        <w:t> </w:t>
      </w:r>
      <w:r>
        <w:rPr>
          <w:spacing w:val="-3"/>
        </w:rPr>
        <w:t>于认真贯彻落实〈关于进一步落实上市公司现金分红相关事项的通知〉有关要求的通知》等相关文件要求，</w:t>
      </w:r>
      <w:r>
        <w:rPr>
          <w:w w:val="99"/>
        </w:rPr>
        <w:t> </w:t>
      </w:r>
      <w:r>
        <w:rPr/>
        <w:t>公司结合实际情况，就股东回报规划及利润分配政策制定等事项与独立董事及部分流通股东充分沟通，并</w:t>
      </w:r>
      <w:r>
        <w:rPr>
          <w:w w:val="99"/>
        </w:rPr>
        <w:t> </w:t>
      </w:r>
      <w:r>
        <w:rPr/>
        <w:t>听取意见，从股东回报规划安排、利润分配尤其是现金分红事项决策程序和机制的完善上做了专项研究论</w:t>
      </w:r>
      <w:r>
        <w:rPr>
          <w:w w:val="99"/>
        </w:rPr>
        <w:t> </w:t>
      </w:r>
      <w:r>
        <w:rPr/>
        <w:t>证，同时通过专线电话方式听取中小股东的意见和诉求，确认适合公司未来发展的现金分红事项的决策程</w:t>
      </w:r>
      <w:r>
        <w:rPr>
          <w:w w:val="99"/>
        </w:rPr>
        <w:t> </w:t>
      </w:r>
      <w:r>
        <w:rPr/>
        <w:t>序，在此基础上，公司制订了修正案，并提交公司第一届董事会第十八次会议审议通过，独立董事发表了</w:t>
      </w:r>
      <w:r>
        <w:rPr>
          <w:w w:val="99"/>
        </w:rPr>
        <w:t> </w:t>
      </w:r>
      <w:r>
        <w:rPr/>
        <w:t>独立意见。为进一步征求中小股东诉求，保障中小股东的合法权益，公司于</w:t>
      </w:r>
      <w:r>
        <w:rPr>
          <w:rFonts w:ascii="Times New Roman" w:hAnsi="Times New Roman" w:cs="Times New Roman" w:eastAsia="Times New Roman" w:hint="default"/>
        </w:rPr>
        <w:t>2012</w:t>
      </w:r>
      <w:r>
        <w:rPr/>
        <w:t>年第一次临时股东大会上</w:t>
      </w:r>
      <w:r>
        <w:rPr>
          <w:w w:val="99"/>
        </w:rPr>
        <w:t> </w:t>
      </w:r>
      <w:r>
        <w:rPr/>
        <w:t>提交审议了《公司章程》修正案。公司现行利润分配政策现行《公司章程》第一百五十五条明确规定了公</w:t>
      </w:r>
      <w:r>
        <w:rPr>
          <w:w w:val="99"/>
        </w:rPr>
        <w:t> </w:t>
      </w:r>
      <w:r>
        <w:rPr/>
        <w:t>司的利润分配政策的原则、利润分配的形式、现金分配的条件、现金分配的比例、利润分配的期间、股票</w:t>
      </w:r>
      <w:r>
        <w:rPr>
          <w:w w:val="99"/>
        </w:rPr>
        <w:t> </w:t>
      </w:r>
      <w:r>
        <w:rPr/>
        <w:t>股利分配的条件、利润分配的决策程序和机制、有关利润分配的信息披露事项、利润分配政策的调整原则</w:t>
      </w:r>
      <w:r>
        <w:rPr>
          <w:w w:val="99"/>
        </w:rPr>
        <w:t> </w:t>
      </w:r>
      <w:r>
        <w:rPr/>
        <w:t>等，公司将严格按照《公司章程》的规定，实施利润分配政策，强化回报股东意识，满足股东的合理投资</w:t>
      </w:r>
      <w:r>
        <w:rPr>
          <w:w w:val="99"/>
        </w:rPr>
        <w:t> </w:t>
      </w:r>
      <w:r>
        <w:rPr/>
        <w:t>回报和公司长远发展的要求。</w:t>
      </w:r>
    </w:p>
    <w:p>
      <w:pPr>
        <w:spacing w:line="240" w:lineRule="auto" w:before="1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5472"/>
        <w:gridCol w:w="409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3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 充分保护：</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0"/>
        <w:ind w:left="112" w:right="202"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40" w:lineRule="auto" w:before="78"/>
        <w:ind w:left="532" w:right="202"/>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t>年年度利润分配方案为：以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133,910,388</w:t>
      </w:r>
      <w:r>
        <w:rPr/>
        <w:t>股为基数，向全体股东每</w:t>
      </w:r>
    </w:p>
    <w:p>
      <w:pPr>
        <w:pStyle w:val="BodyText"/>
        <w:spacing w:line="256" w:lineRule="auto" w:before="21"/>
        <w:ind w:right="202"/>
        <w:jc w:val="left"/>
      </w:pPr>
      <w:r>
        <w:rPr>
          <w:rFonts w:ascii="Times New Roman" w:hAnsi="Times New Roman" w:cs="Times New Roman" w:eastAsia="Times New Roman" w:hint="default"/>
          <w:w w:val="95"/>
        </w:rPr>
        <w:t>10</w:t>
      </w:r>
      <w:r>
        <w:rPr>
          <w:w w:val="95"/>
        </w:rPr>
        <w:t>股派发现金红利人民币</w:t>
      </w:r>
      <w:r>
        <w:rPr>
          <w:rFonts w:ascii="Times New Roman" w:hAnsi="Times New Roman" w:cs="Times New Roman" w:eastAsia="Times New Roman" w:hint="default"/>
          <w:w w:val="95"/>
        </w:rPr>
        <w:t>1.0</w:t>
      </w:r>
      <w:r>
        <w:rPr>
          <w:w w:val="95"/>
        </w:rPr>
        <w:t>元（含税）；同时用资本公积金转增股本，向全体股东每</w:t>
      </w:r>
      <w:r>
        <w:rPr>
          <w:rFonts w:ascii="Times New Roman" w:hAnsi="Times New Roman" w:cs="Times New Roman" w:eastAsia="Times New Roman" w:hint="default"/>
          <w:w w:val="95"/>
        </w:rPr>
        <w:t>10</w:t>
      </w:r>
      <w:r>
        <w:rPr>
          <w:w w:val="95"/>
        </w:rPr>
        <w:t>股转增</w:t>
      </w:r>
      <w:r>
        <w:rPr>
          <w:rFonts w:ascii="Times New Roman" w:hAnsi="Times New Roman" w:cs="Times New Roman" w:eastAsia="Times New Roman" w:hint="default"/>
          <w:w w:val="95"/>
        </w:rPr>
        <w:t>6</w:t>
      </w:r>
      <w:r>
        <w:rPr>
          <w:w w:val="95"/>
        </w:rPr>
        <w:t>股，不送</w:t>
      </w:r>
      <w:r>
        <w:rPr>
          <w:spacing w:val="55"/>
          <w:w w:val="95"/>
        </w:rPr>
        <w:t> </w:t>
      </w:r>
      <w:r>
        <w:rPr>
          <w:spacing w:val="55"/>
          <w:w w:val="95"/>
        </w:rPr>
      </w:r>
      <w:r>
        <w:rPr/>
        <w:t>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日实施完毕；</w:t>
      </w:r>
    </w:p>
    <w:p>
      <w:pPr>
        <w:pStyle w:val="BodyText"/>
        <w:spacing w:line="256" w:lineRule="auto" w:before="5"/>
        <w:ind w:right="296" w:firstLine="420"/>
        <w:jc w:val="both"/>
      </w:pPr>
      <w:r>
        <w:rPr>
          <w:rFonts w:ascii="Times New Roman" w:hAnsi="Times New Roman" w:cs="Times New Roman" w:eastAsia="Times New Roman" w:hint="default"/>
          <w:w w:val="95"/>
        </w:rPr>
        <w:t>2</w:t>
      </w:r>
      <w:r>
        <w:rPr>
          <w:w w:val="95"/>
        </w:rPr>
        <w:t>、公司</w:t>
      </w:r>
      <w:r>
        <w:rPr>
          <w:rFonts w:ascii="Times New Roman" w:hAnsi="Times New Roman" w:cs="Times New Roman" w:eastAsia="Times New Roman" w:hint="default"/>
          <w:w w:val="95"/>
        </w:rPr>
        <w:t>2013</w:t>
      </w:r>
      <w:r>
        <w:rPr>
          <w:w w:val="95"/>
        </w:rPr>
        <w:t>年年度利润分配方案为：以公司</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日总股本</w:t>
      </w:r>
      <w:r>
        <w:rPr>
          <w:rFonts w:ascii="Times New Roman" w:hAnsi="Times New Roman" w:cs="Times New Roman" w:eastAsia="Times New Roman" w:hint="default"/>
          <w:w w:val="95"/>
        </w:rPr>
        <w:t>214,256,620</w:t>
      </w:r>
      <w:r>
        <w:rPr>
          <w:w w:val="95"/>
        </w:rPr>
        <w:t>股为基数，向全体股</w:t>
      </w:r>
      <w:r>
        <w:rPr>
          <w:spacing w:val="-85"/>
          <w:w w:val="95"/>
        </w:rPr>
        <w:t> </w:t>
      </w:r>
      <w:r>
        <w:rPr>
          <w:spacing w:val="-85"/>
          <w:w w:val="95"/>
        </w:rPr>
      </w:r>
      <w:r>
        <w:rPr/>
        <w:t>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0.2</w:t>
      </w:r>
      <w:r>
        <w:rPr/>
        <w:t>元（含税）；不转增不送股。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日实施完毕；</w:t>
      </w:r>
    </w:p>
    <w:p>
      <w:pPr>
        <w:pStyle w:val="BodyText"/>
        <w:spacing w:line="256" w:lineRule="auto" w:before="5"/>
        <w:ind w:right="243" w:firstLine="420"/>
        <w:jc w:val="both"/>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年年度利润分配预案为：拟以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243,282,678</w:t>
      </w:r>
      <w:r>
        <w:rPr/>
        <w:t>股为基数，向全体股东</w:t>
      </w:r>
      <w:r>
        <w:rPr>
          <w:w w:val="99"/>
        </w:rPr>
        <w:t> </w:t>
      </w:r>
      <w:r>
        <w:rPr>
          <w:w w:val="95"/>
        </w:rPr>
        <w:t>每</w:t>
      </w:r>
      <w:r>
        <w:rPr>
          <w:rFonts w:ascii="Times New Roman" w:hAnsi="Times New Roman" w:cs="Times New Roman" w:eastAsia="Times New Roman" w:hint="default"/>
          <w:w w:val="95"/>
        </w:rPr>
        <w:t>10</w:t>
      </w:r>
      <w:r>
        <w:rPr>
          <w:w w:val="95"/>
        </w:rPr>
        <w:t>股派发现金红利人民币</w:t>
      </w:r>
      <w:r>
        <w:rPr>
          <w:rFonts w:ascii="Times New Roman" w:hAnsi="Times New Roman" w:cs="Times New Roman" w:eastAsia="Times New Roman" w:hint="default"/>
          <w:w w:val="95"/>
        </w:rPr>
        <w:t>0.5</w:t>
      </w:r>
      <w:r>
        <w:rPr>
          <w:w w:val="95"/>
        </w:rPr>
        <w:t>元（含税）；同时用资本公积金转增股本，向全体股东每</w:t>
      </w:r>
      <w:r>
        <w:rPr>
          <w:rFonts w:ascii="Times New Roman" w:hAnsi="Times New Roman" w:cs="Times New Roman" w:eastAsia="Times New Roman" w:hint="default"/>
          <w:w w:val="95"/>
        </w:rPr>
        <w:t>10</w:t>
      </w:r>
      <w:r>
        <w:rPr>
          <w:w w:val="95"/>
        </w:rPr>
        <w:t>股转增</w:t>
      </w:r>
      <w:r>
        <w:rPr>
          <w:rFonts w:ascii="Times New Roman" w:hAnsi="Times New Roman" w:cs="Times New Roman" w:eastAsia="Times New Roman" w:hint="default"/>
          <w:w w:val="95"/>
        </w:rPr>
        <w:t>2</w:t>
      </w:r>
      <w:r>
        <w:rPr>
          <w:w w:val="95"/>
        </w:rPr>
        <w:t>股，不  </w:t>
      </w:r>
      <w:r>
        <w:rPr>
          <w:spacing w:val="58"/>
          <w:w w:val="95"/>
        </w:rPr>
        <w:t> </w:t>
      </w:r>
      <w:r>
        <w:rPr>
          <w:spacing w:val="58"/>
          <w:w w:val="95"/>
        </w:rPr>
      </w:r>
      <w:r>
        <w:rPr/>
        <w:t>送股。</w:t>
      </w:r>
    </w:p>
    <w:p>
      <w:pPr>
        <w:spacing w:before="88"/>
        <w:ind w:left="112" w:right="202"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12,164,133.90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57,132,485.37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21.29%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9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4,285,132.40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70,763,819.33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13,391,038.80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65,669,178.85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16"/>
        <w:gridCol w:w="5852"/>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243,282,678</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12,164,133.90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170,309,902.16</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1"/>
                <w:sz w:val="18"/>
                <w:szCs w:val="18"/>
              </w:rPr>
              <w:t>公司发展阶段属成长期且有重大资金支出安排的，进行利润分配时，现金分红在本次利润分配中所占比例最低应达到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6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年年度利润分配预案为：拟以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243,282,678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股派发现 金红利人民币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元（含税）；同时用资本公积金转增股本，向全体股东每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股，不送股。</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532" w:right="0"/>
        <w:jc w:val="left"/>
      </w:pPr>
      <w:r>
        <w:rPr/>
        <w:t>《</w:t>
      </w:r>
      <w:r>
        <w:rPr>
          <w:spacing w:val="-73"/>
        </w:rPr>
        <w:t> </w:t>
      </w:r>
      <w:r>
        <w:rPr/>
        <w:t>安</w:t>
      </w:r>
      <w:r>
        <w:rPr>
          <w:spacing w:val="-75"/>
        </w:rPr>
        <w:t> </w:t>
      </w:r>
      <w:r>
        <w:rPr/>
        <w:t>徽</w:t>
      </w:r>
      <w:r>
        <w:rPr>
          <w:spacing w:val="-73"/>
        </w:rPr>
        <w:t> </w:t>
      </w:r>
      <w:r>
        <w:rPr/>
        <w:t>皖</w:t>
      </w:r>
      <w:r>
        <w:rPr>
          <w:spacing w:val="-75"/>
        </w:rPr>
        <w:t> </w:t>
      </w:r>
      <w:r>
        <w:rPr/>
        <w:t>通</w:t>
      </w:r>
      <w:r>
        <w:rPr>
          <w:spacing w:val="-73"/>
        </w:rPr>
        <w:t> </w:t>
      </w:r>
      <w:r>
        <w:rPr/>
        <w:t>科</w:t>
      </w:r>
      <w:r>
        <w:rPr>
          <w:spacing w:val="-73"/>
        </w:rPr>
        <w:t> </w:t>
      </w:r>
      <w:r>
        <w:rPr/>
        <w:t>技</w:t>
      </w:r>
      <w:r>
        <w:rPr>
          <w:spacing w:val="-75"/>
        </w:rPr>
        <w:t> </w:t>
      </w:r>
      <w:r>
        <w:rPr/>
        <w:t>股</w:t>
      </w:r>
      <w:r>
        <w:rPr>
          <w:spacing w:val="-73"/>
        </w:rPr>
        <w:t> </w:t>
      </w:r>
      <w:r>
        <w:rPr/>
        <w:t>份</w:t>
      </w:r>
      <w:r>
        <w:rPr>
          <w:spacing w:val="-73"/>
        </w:rPr>
        <w:t> </w:t>
      </w:r>
      <w:r>
        <w:rPr/>
        <w:t>有</w:t>
      </w:r>
      <w:r>
        <w:rPr>
          <w:spacing w:val="-75"/>
        </w:rPr>
        <w:t> </w:t>
      </w:r>
      <w:r>
        <w:rPr/>
        <w:t>限</w:t>
      </w:r>
      <w:r>
        <w:rPr>
          <w:spacing w:val="-73"/>
        </w:rPr>
        <w:t> </w:t>
      </w:r>
      <w:r>
        <w:rPr/>
        <w:t>公</w:t>
      </w:r>
      <w:r>
        <w:rPr>
          <w:spacing w:val="-75"/>
        </w:rPr>
        <w:t> </w:t>
      </w:r>
      <w:r>
        <w:rPr/>
        <w:t>司</w:t>
      </w:r>
      <w:r>
        <w:rPr>
          <w:spacing w:val="-7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w:t>
      </w:r>
      <w:r>
        <w:rPr>
          <w:spacing w:val="-73"/>
        </w:rPr>
        <w:t> </w:t>
      </w:r>
      <w:r>
        <w:rPr/>
        <w:t>度</w:t>
      </w:r>
      <w:r>
        <w:rPr>
          <w:spacing w:val="-75"/>
        </w:rPr>
        <w:t> </w:t>
      </w:r>
      <w:r>
        <w:rPr/>
        <w:t>社</w:t>
      </w:r>
      <w:r>
        <w:rPr>
          <w:spacing w:val="-73"/>
        </w:rPr>
        <w:t> </w:t>
      </w:r>
      <w:r>
        <w:rPr/>
        <w:t>会</w:t>
      </w:r>
      <w:r>
        <w:rPr>
          <w:spacing w:val="-75"/>
        </w:rPr>
        <w:t> </w:t>
      </w:r>
      <w:r>
        <w:rPr/>
        <w:t>责</w:t>
      </w:r>
      <w:r>
        <w:rPr>
          <w:spacing w:val="-73"/>
        </w:rPr>
        <w:t> </w:t>
      </w:r>
      <w:r>
        <w:rPr/>
        <w:t>任</w:t>
      </w:r>
      <w:r>
        <w:rPr>
          <w:spacing w:val="-73"/>
        </w:rPr>
        <w:t> </w:t>
      </w:r>
      <w:r>
        <w:rPr/>
        <w:t>报</w:t>
      </w:r>
      <w:r>
        <w:rPr>
          <w:spacing w:val="-75"/>
        </w:rPr>
        <w:t> </w:t>
      </w:r>
      <w:r>
        <w:rPr/>
        <w:t>告</w:t>
      </w:r>
      <w:r>
        <w:rPr>
          <w:spacing w:val="-73"/>
        </w:rPr>
        <w:t> </w:t>
      </w:r>
      <w:r>
        <w:rPr/>
        <w:t>》</w:t>
      </w:r>
      <w:r>
        <w:rPr>
          <w:spacing w:val="-73"/>
        </w:rPr>
        <w:t> </w:t>
      </w:r>
      <w:r>
        <w:rPr/>
        <w:t>刊</w:t>
      </w:r>
      <w:r>
        <w:rPr>
          <w:spacing w:val="-75"/>
        </w:rPr>
        <w:t> </w:t>
      </w:r>
      <w:r>
        <w:rPr/>
        <w:t>登</w:t>
      </w:r>
      <w:r>
        <w:rPr>
          <w:spacing w:val="-73"/>
        </w:rPr>
        <w:t> </w:t>
      </w:r>
      <w:r>
        <w:rPr/>
        <w:t>于</w:t>
      </w:r>
      <w:r>
        <w:rPr>
          <w:spacing w:val="-7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w:t>
      </w:r>
      <w:r>
        <w:rPr>
          <w:spacing w:val="-73"/>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w:t>
      </w:r>
      <w:r>
        <w:rPr>
          <w:spacing w:val="-73"/>
        </w:rPr>
        <w:t> </w:t>
      </w:r>
      <w:r>
        <w:rPr>
          <w:rFonts w:ascii="Times New Roman" w:hAnsi="Times New Roman" w:cs="Times New Roman" w:eastAsia="Times New Roman" w:hint="default"/>
        </w:rPr>
        <w:t>17</w:t>
      </w:r>
      <w:r>
        <w:rPr>
          <w:rFonts w:ascii="Times New Roman" w:hAnsi="Times New Roman" w:cs="Times New Roman" w:eastAsia="Times New Roman" w:hint="default"/>
          <w:spacing w:val="-24"/>
        </w:rPr>
        <w:t> </w:t>
      </w:r>
      <w:r>
        <w:rPr/>
        <w:t>日</w:t>
      </w:r>
      <w:r>
        <w:rPr>
          <w:spacing w:val="-73"/>
        </w:rPr>
        <w:t> </w:t>
      </w:r>
      <w:r>
        <w:rPr/>
        <w:t>巨</w:t>
      </w:r>
      <w:r>
        <w:rPr>
          <w:spacing w:val="-75"/>
        </w:rPr>
        <w:t> </w:t>
      </w:r>
      <w:r>
        <w:rPr/>
        <w:t>潮</w:t>
      </w:r>
      <w:r>
        <w:rPr>
          <w:spacing w:val="-73"/>
        </w:rPr>
        <w:t> </w:t>
      </w:r>
      <w:r>
        <w:rPr/>
        <w:t>资</w:t>
      </w:r>
      <w:r>
        <w:rPr>
          <w:spacing w:val="-75"/>
        </w:rPr>
        <w:t> </w:t>
      </w:r>
      <w:r>
        <w:rPr/>
        <w:t>讯</w:t>
      </w:r>
      <w:r>
        <w:rPr>
          <w:spacing w:val="-73"/>
        </w:rPr>
        <w:t> </w:t>
      </w:r>
      <w:r>
        <w:rPr/>
        <w:t>网</w:t>
      </w:r>
    </w:p>
    <w:p>
      <w:pPr>
        <w:pStyle w:val="BodyText"/>
        <w:spacing w:line="240" w:lineRule="auto" w:before="21"/>
        <w:ind w:right="0"/>
        <w:jc w:val="left"/>
      </w:pPr>
      <w:r>
        <w:rPr/>
        <w:t>（</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），请查阅。</w:t>
      </w:r>
    </w:p>
    <w:p>
      <w:pPr>
        <w:spacing w:before="87"/>
        <w:ind w:left="112"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40" w:lineRule="auto" w:before="115"/>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1"/>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十六、报告期内接待调研、沟通、采访等活动登记表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494"/>
        <w:gridCol w:w="882"/>
        <w:gridCol w:w="992"/>
        <w:gridCol w:w="1418"/>
        <w:gridCol w:w="2977"/>
        <w:gridCol w:w="1806"/>
      </w:tblGrid>
      <w:tr>
        <w:trPr>
          <w:trHeight w:val="712"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6" w:right="86" w:hanging="449"/>
              <w:jc w:val="left"/>
              <w:rPr>
                <w:rFonts w:ascii="宋体" w:hAnsi="宋体" w:cs="宋体" w:eastAsia="宋体" w:hint="default"/>
                <w:sz w:val="18"/>
                <w:szCs w:val="18"/>
              </w:rPr>
            </w:pPr>
            <w:r>
              <w:rPr>
                <w:rFonts w:ascii="宋体" w:hAnsi="宋体" w:cs="宋体" w:eastAsia="宋体" w:hint="default"/>
                <w:sz w:val="18"/>
                <w:szCs w:val="18"/>
              </w:rPr>
              <w:t>谈论的主要内容及提 供的资料</w:t>
            </w:r>
          </w:p>
        </w:tc>
      </w:tr>
    </w:tbl>
    <w:p>
      <w:pPr>
        <w:spacing w:after="0" w:line="316"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446.700012pt;margin-top:72.400024pt;width:90.05pt;height:35.450pt;mso-position-horizontal-relative:page;mso-position-vertical-relative:page;z-index:-846616" coordorigin="8934,1448" coordsize="1801,709">
            <v:shape style="position:absolute;left:8934;top:1448;width:1801;height:709" coordorigin="8934,1448" coordsize="1801,709" path="m8934,1448l10735,1448,10735,2157,8934,2157,8934,1448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1494"/>
        <w:gridCol w:w="882"/>
        <w:gridCol w:w="992"/>
        <w:gridCol w:w="1418"/>
        <w:gridCol w:w="2977"/>
        <w:gridCol w:w="1806"/>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312" w:right="111" w:hanging="291"/>
              <w:jc w:val="left"/>
              <w:rPr>
                <w:rFonts w:ascii="宋体" w:hAnsi="宋体" w:cs="宋体" w:eastAsia="宋体" w:hint="default"/>
                <w:sz w:val="18"/>
                <w:szCs w:val="18"/>
              </w:rPr>
            </w:pPr>
            <w:r>
              <w:rPr>
                <w:rFonts w:ascii="宋体" w:hAnsi="宋体" w:cs="宋体" w:eastAsia="宋体" w:hint="default"/>
                <w:spacing w:val="-3"/>
                <w:sz w:val="18"/>
                <w:szCs w:val="18"/>
              </w:rPr>
              <w:t>华宝信托、信达证券、珩生资产管理</w:t>
            </w:r>
            <w:r>
              <w:rPr>
                <w:rFonts w:ascii="宋体" w:hAnsi="宋体" w:cs="宋体" w:eastAsia="宋体" w:hint="default"/>
                <w:sz w:val="18"/>
                <w:szCs w:val="18"/>
              </w:rPr>
              <w:t> 上海嘉诚投资、上海九洋建设</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68" w:right="86" w:hanging="39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公司发展情况和非公</w:t>
            </w:r>
            <w:r>
              <w:rPr>
                <w:rFonts w:ascii="宋体" w:hAnsi="宋体" w:cs="宋体" w:eastAsia="宋体" w:hint="default"/>
                <w:sz w:val="18"/>
                <w:szCs w:val="18"/>
              </w:rPr>
              <w:t> 开发行股票情况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国联安基金、彤源投资</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国联证券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华富基金、盛宇基金、国金证券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国贸东方资本</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华鑫证券、浙商证券、浙商控股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东海基金、华泰证券、中海基金</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北部湾产业基金</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177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43" w:right="41" w:hanging="3"/>
              <w:jc w:val="center"/>
              <w:rPr>
                <w:rFonts w:ascii="宋体" w:hAnsi="宋体" w:cs="宋体" w:eastAsia="宋体" w:hint="default"/>
                <w:sz w:val="18"/>
                <w:szCs w:val="18"/>
              </w:rPr>
            </w:pPr>
            <w:r>
              <w:rPr>
                <w:rFonts w:ascii="宋体" w:hAnsi="宋体" w:cs="宋体" w:eastAsia="宋体" w:hint="default"/>
                <w:sz w:val="18"/>
                <w:szCs w:val="18"/>
              </w:rPr>
              <w:t>光大证券、国泰君安、银泰证券、 中信证券、易方达基金、国投瑞银、 华禾投资、源乘投资、东方证券、</w:t>
            </w:r>
          </w:p>
          <w:p>
            <w:pPr>
              <w:pStyle w:val="TableParagraph"/>
              <w:spacing w:line="357" w:lineRule="auto" w:before="43"/>
              <w:ind w:left="43" w:right="41" w:hanging="3"/>
              <w:jc w:val="center"/>
              <w:rPr>
                <w:rFonts w:ascii="宋体" w:hAnsi="宋体" w:cs="宋体" w:eastAsia="宋体" w:hint="default"/>
                <w:sz w:val="18"/>
                <w:szCs w:val="18"/>
              </w:rPr>
            </w:pPr>
            <w:r>
              <w:rPr>
                <w:rFonts w:ascii="宋体" w:hAnsi="宋体" w:cs="宋体" w:eastAsia="宋体" w:hint="default"/>
                <w:sz w:val="18"/>
                <w:szCs w:val="18"/>
              </w:rPr>
              <w:t>华宝基金、万家基金、睿谷投资、 腾业资本、华商基金、江苏汇鸿资产</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公司发展情况和非公 开发行股票情况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国海证券、珩生资产、冠亚投资</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公司发展情况</w:t>
            </w:r>
          </w:p>
        </w:tc>
      </w:tr>
      <w:tr>
        <w:trPr>
          <w:trHeight w:val="75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0"/>
              <w:ind w:left="672" w:right="673"/>
              <w:jc w:val="left"/>
              <w:rPr>
                <w:rFonts w:ascii="宋体" w:hAnsi="宋体" w:cs="宋体" w:eastAsia="宋体" w:hint="default"/>
                <w:sz w:val="18"/>
                <w:szCs w:val="18"/>
              </w:rPr>
            </w:pPr>
            <w:r>
              <w:rPr>
                <w:rFonts w:ascii="宋体" w:hAnsi="宋体" w:cs="宋体" w:eastAsia="宋体" w:hint="default"/>
                <w:sz w:val="18"/>
                <w:szCs w:val="18"/>
              </w:rPr>
              <w:t>浙商证券、东吴证券 金江实业、汇鸿资产</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公司发展情况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4"/>
              <w:jc w:val="righ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野村投资</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公司发展情况</w:t>
            </w:r>
          </w:p>
        </w:tc>
      </w:tr>
    </w:tbl>
    <w:p>
      <w:pPr>
        <w:spacing w:after="0" w:line="240" w:lineRule="auto"/>
        <w:jc w:val="center"/>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1"/>
        <w:spacing w:line="240" w:lineRule="auto"/>
        <w:ind w:right="514"/>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right="0"/>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3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公司报告期未收购资产。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公司报告期未出售资产。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公司报告期未发生企业合并情况。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7"/>
          <w:pgSz w:w="11910" w:h="16840"/>
          <w:pgMar w:footer="978" w:header="746" w:top="1040" w:bottom="1160" w:left="1020" w:right="1020"/>
          <w:pgNumType w:start="3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公司报告期无股权激励计划及其实施情况。</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七、重大关联交易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公司报告期未发生资产收购、出售的关联交易。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6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公司报告期无其他关联交易。</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公司报告期不存在承包情况。</w:t>
      </w:r>
    </w:p>
    <w:p>
      <w:pPr>
        <w:spacing w:after="0" w:line="338"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3"/>
        <w:gridCol w:w="942"/>
        <w:gridCol w:w="933"/>
        <w:gridCol w:w="1212"/>
        <w:gridCol w:w="1176"/>
        <w:gridCol w:w="1093"/>
        <w:gridCol w:w="1016"/>
        <w:gridCol w:w="806"/>
        <w:gridCol w:w="787"/>
      </w:tblGrid>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7"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0" w:right="148"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1"/>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安徽省交通物资有 限责任公司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7"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0" w:right="148"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0"/>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1"/>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安徽汉高信息科技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安徽汉高信息科技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7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3,315</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3,295</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3,315</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3,295</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5,315</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5,295</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5,315</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5,295</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0"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4690"/>
        <w:gridCol w:w="4878"/>
      </w:tblGrid>
      <w:tr>
        <w:trPr>
          <w:trHeight w:val="714"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公司报告期无违规对外担保情况。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公司报告期不存在其他重大交易。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pict>
          <v:group style="position:absolute;margin-left:418.350006pt;margin-top:73.321716pt;width:42.25pt;height:173.85pt;mso-position-horizontal-relative:page;mso-position-vertical-relative:paragraph;z-index:-846592" coordorigin="8367,1466" coordsize="845,3477">
            <v:shape style="position:absolute;left:8367;top:1466;width:845;height:3477" coordorigin="8367,1466" coordsize="845,3477" path="m8367,1466l9212,1466,9212,4943,8367,4943,8367,1466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8"/>
        <w:gridCol w:w="3061"/>
        <w:gridCol w:w="2751"/>
        <w:gridCol w:w="850"/>
        <w:gridCol w:w="992"/>
        <w:gridCol w:w="495"/>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2"/>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7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3061" w:type="dxa"/>
            <w:tcBorders>
              <w:top w:val="single" w:sz="4" w:space="0" w:color="000000"/>
              <w:left w:val="single" w:sz="4" w:space="0" w:color="000000"/>
              <w:bottom w:val="nil" w:sz="6" w:space="0" w:color="auto"/>
              <w:right w:val="single" w:sz="4" w:space="0" w:color="000000"/>
            </w:tcBorders>
          </w:tcPr>
          <w:p>
            <w:pPr/>
          </w:p>
        </w:tc>
        <w:tc>
          <w:tcPr>
            <w:tcW w:w="27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自皖通科技向烟台华东非公开发</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061" w:type="dxa"/>
            <w:tcBorders>
              <w:top w:val="nil" w:sz="6" w:space="0" w:color="auto"/>
              <w:left w:val="single" w:sz="4" w:space="0" w:color="000000"/>
              <w:bottom w:val="nil" w:sz="6" w:space="0" w:color="auto"/>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行股份结束之日起三十六个月内，</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061" w:type="dxa"/>
            <w:tcBorders>
              <w:top w:val="nil" w:sz="6" w:space="0" w:color="auto"/>
              <w:left w:val="single" w:sz="4" w:space="0" w:color="000000"/>
              <w:bottom w:val="nil" w:sz="6" w:space="0" w:color="auto"/>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不转让或者委托他人管理所持有</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061" w:type="dxa"/>
            <w:tcBorders>
              <w:top w:val="nil" w:sz="6" w:space="0" w:color="auto"/>
              <w:left w:val="single" w:sz="4" w:space="0" w:color="000000"/>
              <w:bottom w:val="nil" w:sz="6" w:space="0" w:color="auto"/>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的皖通科技股份，也不由皖通科技</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22" w:right="123"/>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3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pacing w:val="-4"/>
                <w:sz w:val="18"/>
                <w:szCs w:val="18"/>
              </w:rPr>
              <w:t>烟台华东电子科技有限公司（以下简称</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烟台华东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2" w:right="17"/>
              <w:jc w:val="both"/>
              <w:rPr>
                <w:rFonts w:ascii="宋体" w:hAnsi="宋体" w:cs="宋体" w:eastAsia="宋体" w:hint="default"/>
                <w:sz w:val="18"/>
                <w:szCs w:val="18"/>
              </w:rPr>
            </w:pPr>
            <w:r>
              <w:rPr>
                <w:rFonts w:ascii="宋体" w:hAnsi="宋体" w:cs="宋体" w:eastAsia="宋体" w:hint="default"/>
                <w:spacing w:val="-4"/>
                <w:sz w:val="18"/>
                <w:szCs w:val="18"/>
              </w:rPr>
              <w:t>回购该部分股份；烟台华东现有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名自然人股东（王志洁、程庆威、 刘钟禹、王浩、王夕众、刘永义、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00"/>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061" w:type="dxa"/>
            <w:tcBorders>
              <w:top w:val="nil" w:sz="6" w:space="0" w:color="auto"/>
              <w:left w:val="single" w:sz="4" w:space="0" w:color="000000"/>
              <w:bottom w:val="nil" w:sz="6" w:space="0" w:color="auto"/>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张安波、王广君、马术宏、李大林</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061" w:type="dxa"/>
            <w:tcBorders>
              <w:top w:val="nil" w:sz="6" w:space="0" w:color="auto"/>
              <w:left w:val="single" w:sz="4" w:space="0" w:color="000000"/>
              <w:bottom w:val="nil" w:sz="6" w:space="0" w:color="auto"/>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于明顺、王立春、彭山林、范广涛</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061" w:type="dxa"/>
            <w:tcBorders>
              <w:top w:val="nil" w:sz="6" w:space="0" w:color="auto"/>
              <w:left w:val="single" w:sz="4" w:space="0" w:color="000000"/>
              <w:bottom w:val="nil" w:sz="6" w:space="0" w:color="auto"/>
              <w:right w:val="single" w:sz="4" w:space="0" w:color="000000"/>
            </w:tcBorders>
          </w:tcPr>
          <w:p>
            <w:pP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刘培琳、曲华、侯燕、孙东升、王</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3061" w:type="dxa"/>
            <w:tcBorders>
              <w:top w:val="nil" w:sz="6" w:space="0" w:color="auto"/>
              <w:left w:val="single" w:sz="4" w:space="0" w:color="000000"/>
              <w:bottom w:val="single" w:sz="4" w:space="0" w:color="000000"/>
              <w:right w:val="single" w:sz="4" w:space="0" w:color="000000"/>
            </w:tcBorders>
          </w:tcPr>
          <w:p>
            <w:pPr/>
          </w:p>
        </w:tc>
        <w:tc>
          <w:tcPr>
            <w:tcW w:w="2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俊卿、刘桂滨、胡向平、刘峰、曲</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5"/>
        <w:rPr>
          <w:rFonts w:ascii="宋体" w:hAnsi="宋体" w:cs="宋体" w:eastAsia="宋体" w:hint="default"/>
          <w:sz w:val="27"/>
          <w:szCs w:val="27"/>
        </w:rPr>
      </w:pPr>
    </w:p>
    <w:p>
      <w:pPr>
        <w:spacing w:line="316" w:lineRule="auto" w:before="44"/>
        <w:ind w:left="4620" w:right="2526" w:firstLine="0"/>
        <w:jc w:val="left"/>
        <w:rPr>
          <w:rFonts w:ascii="宋体" w:hAnsi="宋体" w:cs="宋体" w:eastAsia="宋体" w:hint="default"/>
          <w:sz w:val="18"/>
          <w:szCs w:val="18"/>
        </w:rPr>
      </w:pPr>
      <w:r>
        <w:rPr>
          <w:rFonts w:ascii="宋体" w:hAnsi="宋体" w:cs="宋体" w:eastAsia="宋体" w:hint="default"/>
          <w:sz w:val="18"/>
          <w:szCs w:val="18"/>
        </w:rPr>
        <w:t>光辉、初雅萍、栾成鹰、陈志敏、 刘炼钢、郭斌、张堃、许栋涛）承 诺：自皖通科技向烟台华东非公开 发行股份结束之日起三十六个月 内，不转让或者委托他人管理所持 有的烟台华东股权，也不由烟台华 东收购该部分股权。</w:t>
      </w:r>
    </w:p>
    <w:p>
      <w:pPr>
        <w:spacing w:line="300" w:lineRule="atLeast" w:before="57"/>
        <w:ind w:left="1560" w:right="5226"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名自然人股东（王志洁、程庆 威、刘钟禹、王夕众、刘永义、王浩、</w:t>
      </w:r>
    </w:p>
    <w:p>
      <w:pPr>
        <w:spacing w:line="132" w:lineRule="exact" w:before="0"/>
        <w:ind w:left="4620" w:right="0" w:firstLine="0"/>
        <w:jc w:val="left"/>
        <w:rPr>
          <w:rFonts w:ascii="宋体" w:hAnsi="宋体" w:cs="宋体" w:eastAsia="宋体" w:hint="default"/>
          <w:sz w:val="18"/>
          <w:szCs w:val="18"/>
        </w:rPr>
      </w:pPr>
      <w:r>
        <w:rPr>
          <w:rFonts w:ascii="宋体" w:hAnsi="宋体" w:cs="宋体" w:eastAsia="宋体" w:hint="default"/>
          <w:sz w:val="18"/>
          <w:szCs w:val="18"/>
        </w:rPr>
        <w:t>自公司向烟台华东非公开发行股</w:t>
      </w:r>
    </w:p>
    <w:p>
      <w:pPr>
        <w:spacing w:after="0" w:line="132" w:lineRule="exact"/>
        <w:jc w:val="left"/>
        <w:rPr>
          <w:rFonts w:ascii="宋体" w:hAnsi="宋体" w:cs="宋体" w:eastAsia="宋体" w:hint="default"/>
          <w:sz w:val="18"/>
          <w:szCs w:val="18"/>
        </w:rPr>
        <w:sectPr>
          <w:pgSz w:w="11910" w:h="16840"/>
          <w:pgMar w:header="746" w:footer="978" w:top="1040" w:bottom="1160" w:left="1020" w:right="1020"/>
        </w:sectPr>
      </w:pPr>
    </w:p>
    <w:p>
      <w:pPr>
        <w:spacing w:line="180" w:lineRule="exact" w:before="0"/>
        <w:ind w:left="1560" w:right="-8" w:firstLine="0"/>
        <w:jc w:val="left"/>
        <w:rPr>
          <w:rFonts w:ascii="宋体" w:hAnsi="宋体" w:cs="宋体" w:eastAsia="宋体" w:hint="default"/>
          <w:sz w:val="18"/>
          <w:szCs w:val="18"/>
        </w:rPr>
      </w:pPr>
      <w:r>
        <w:rPr>
          <w:rFonts w:ascii="宋体" w:hAnsi="宋体" w:cs="宋体" w:eastAsia="宋体" w:hint="default"/>
          <w:spacing w:val="-4"/>
          <w:sz w:val="18"/>
          <w:szCs w:val="18"/>
        </w:rPr>
        <w:t>彭山林、王广君、范广涛、刘培琳、马</w:t>
      </w:r>
    </w:p>
    <w:p>
      <w:pPr>
        <w:spacing w:line="212" w:lineRule="exact" w:before="100"/>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份结束之日起三十六个月内，不转</w:t>
      </w:r>
    </w:p>
    <w:p>
      <w:pPr>
        <w:spacing w:after="0" w:line="212" w:lineRule="exact"/>
        <w:jc w:val="left"/>
        <w:rPr>
          <w:rFonts w:ascii="宋体" w:hAnsi="宋体" w:cs="宋体" w:eastAsia="宋体" w:hint="default"/>
          <w:sz w:val="18"/>
          <w:szCs w:val="18"/>
        </w:rPr>
        <w:sectPr>
          <w:type w:val="continuous"/>
          <w:pgSz w:w="11910" w:h="16840"/>
          <w:pgMar w:top="1040" w:bottom="1160" w:left="1020" w:right="1020"/>
          <w:cols w:num="2" w:equalWidth="0">
            <w:col w:w="4565" w:space="40"/>
            <w:col w:w="5265"/>
          </w:cols>
        </w:sectPr>
      </w:pPr>
    </w:p>
    <w:p>
      <w:pPr>
        <w:spacing w:line="140" w:lineRule="exact" w:before="0"/>
        <w:ind w:left="1560" w:right="155" w:firstLine="0"/>
        <w:jc w:val="left"/>
        <w:rPr>
          <w:rFonts w:ascii="宋体" w:hAnsi="宋体" w:cs="宋体" w:eastAsia="宋体" w:hint="default"/>
          <w:sz w:val="18"/>
          <w:szCs w:val="18"/>
        </w:rPr>
      </w:pPr>
      <w:r>
        <w:rPr>
          <w:rFonts w:ascii="宋体" w:hAnsi="宋体" w:cs="宋体" w:eastAsia="宋体" w:hint="default"/>
          <w:spacing w:val="-8"/>
          <w:sz w:val="18"/>
          <w:szCs w:val="18"/>
        </w:rPr>
        <w:t>术宏、张安波、王立春、侯燕、李大林、</w:t>
      </w:r>
    </w:p>
    <w:p>
      <w:pPr>
        <w:spacing w:line="158" w:lineRule="auto" w:before="31"/>
        <w:ind w:left="1560" w:right="155" w:firstLine="3060"/>
        <w:jc w:val="left"/>
        <w:rPr>
          <w:rFonts w:ascii="宋体" w:hAnsi="宋体" w:cs="宋体" w:eastAsia="宋体" w:hint="default"/>
          <w:sz w:val="18"/>
          <w:szCs w:val="18"/>
        </w:rPr>
      </w:pPr>
      <w:r>
        <w:rPr>
          <w:rFonts w:ascii="宋体" w:hAnsi="宋体" w:cs="宋体" w:eastAsia="宋体" w:hint="default"/>
          <w:sz w:val="18"/>
          <w:szCs w:val="18"/>
        </w:rPr>
        <w:t>让或者委托他人管理所持有的公 </w:t>
      </w:r>
      <w:r>
        <w:rPr>
          <w:rFonts w:ascii="宋体" w:hAnsi="宋体" w:cs="宋体" w:eastAsia="宋体" w:hint="default"/>
          <w:spacing w:val="-8"/>
          <w:sz w:val="18"/>
          <w:szCs w:val="18"/>
        </w:rPr>
        <w:t>于明顺、曲华、曲光辉、张堃、陈志敏、</w:t>
      </w:r>
    </w:p>
    <w:p>
      <w:pPr>
        <w:spacing w:line="141" w:lineRule="exact" w:before="0"/>
        <w:ind w:left="4620" w:right="-10" w:firstLine="0"/>
        <w:jc w:val="left"/>
        <w:rPr>
          <w:rFonts w:ascii="宋体" w:hAnsi="宋体" w:cs="宋体" w:eastAsia="宋体" w:hint="default"/>
          <w:sz w:val="18"/>
          <w:szCs w:val="18"/>
        </w:rPr>
      </w:pPr>
      <w:r>
        <w:rPr>
          <w:rFonts w:ascii="宋体" w:hAnsi="宋体" w:cs="宋体" w:eastAsia="宋体" w:hint="default"/>
          <w:spacing w:val="-1"/>
          <w:sz w:val="18"/>
          <w:szCs w:val="18"/>
        </w:rPr>
        <w:t>司股份，也不由公司回购该部分股</w:t>
      </w:r>
    </w:p>
    <w:p>
      <w:pPr>
        <w:spacing w:line="194" w:lineRule="exact" w:before="0"/>
        <w:ind w:left="17" w:right="-18"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spacing w:before="63"/>
        <w:ind w:left="17"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40" w:lineRule="exact" w:before="0"/>
        <w:ind w:left="100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严格</w:t>
      </w:r>
    </w:p>
    <w:p>
      <w:pPr>
        <w:spacing w:line="163" w:lineRule="exact" w:before="0"/>
        <w:ind w:left="1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line="189" w:lineRule="exact" w:before="0"/>
        <w:ind w:left="1007" w:right="0" w:firstLine="0"/>
        <w:jc w:val="left"/>
        <w:rPr>
          <w:rFonts w:ascii="宋体" w:hAnsi="宋体" w:cs="宋体" w:eastAsia="宋体" w:hint="default"/>
          <w:sz w:val="18"/>
          <w:szCs w:val="18"/>
        </w:rPr>
      </w:pPr>
      <w:r>
        <w:rPr>
          <w:rFonts w:ascii="宋体" w:hAnsi="宋体" w:cs="宋体" w:eastAsia="宋体" w:hint="default"/>
          <w:sz w:val="18"/>
          <w:szCs w:val="18"/>
        </w:rPr>
        <w:t>履行</w:t>
      </w:r>
    </w:p>
    <w:p>
      <w:pPr>
        <w:spacing w:after="0" w:line="189" w:lineRule="exact"/>
        <w:jc w:val="left"/>
        <w:rPr>
          <w:rFonts w:ascii="宋体" w:hAnsi="宋体" w:cs="宋体" w:eastAsia="宋体" w:hint="default"/>
          <w:sz w:val="18"/>
          <w:szCs w:val="18"/>
        </w:rPr>
        <w:sectPr>
          <w:type w:val="continuous"/>
          <w:pgSz w:w="11910" w:h="16840"/>
          <w:pgMar w:top="1040" w:bottom="1160" w:left="1020" w:right="1020"/>
          <w:cols w:num="3" w:equalWidth="0">
            <w:col w:w="7316" w:space="40"/>
            <w:col w:w="811" w:space="40"/>
            <w:col w:w="1663"/>
          </w:cols>
        </w:sectPr>
      </w:pPr>
    </w:p>
    <w:p>
      <w:pPr>
        <w:spacing w:line="140" w:lineRule="exact" w:before="0"/>
        <w:ind w:left="1560" w:right="0" w:firstLine="0"/>
        <w:jc w:val="left"/>
        <w:rPr>
          <w:rFonts w:ascii="宋体" w:hAnsi="宋体" w:cs="宋体" w:eastAsia="宋体" w:hint="default"/>
          <w:sz w:val="18"/>
          <w:szCs w:val="18"/>
        </w:rPr>
      </w:pPr>
      <w:r>
        <w:rPr>
          <w:rFonts w:ascii="宋体" w:hAnsi="宋体" w:cs="宋体" w:eastAsia="宋体" w:hint="default"/>
          <w:spacing w:val="-4"/>
          <w:sz w:val="18"/>
          <w:szCs w:val="18"/>
        </w:rPr>
        <w:t>刘炼钢、栾成鹰、初雅萍、孙东升、刘</w:t>
      </w:r>
    </w:p>
    <w:p>
      <w:pPr>
        <w:spacing w:line="172" w:lineRule="exact" w:before="0"/>
        <w:ind w:left="514" w:right="779" w:firstLine="0"/>
        <w:jc w:val="center"/>
        <w:rPr>
          <w:rFonts w:ascii="宋体" w:hAnsi="宋体" w:cs="宋体" w:eastAsia="宋体" w:hint="default"/>
          <w:sz w:val="18"/>
          <w:szCs w:val="18"/>
        </w:rPr>
      </w:pPr>
      <w:r>
        <w:rPr>
          <w:rFonts w:ascii="宋体" w:hAnsi="宋体" w:cs="宋体" w:eastAsia="宋体" w:hint="default"/>
          <w:sz w:val="18"/>
          <w:szCs w:val="18"/>
        </w:rPr>
        <w:t>份。</w:t>
      </w:r>
    </w:p>
    <w:p>
      <w:pPr>
        <w:spacing w:line="180" w:lineRule="exact" w:before="0"/>
        <w:ind w:left="1560" w:right="0" w:firstLine="0"/>
        <w:jc w:val="left"/>
        <w:rPr>
          <w:rFonts w:ascii="宋体" w:hAnsi="宋体" w:cs="宋体" w:eastAsia="宋体" w:hint="default"/>
          <w:sz w:val="18"/>
          <w:szCs w:val="18"/>
        </w:rPr>
      </w:pPr>
      <w:r>
        <w:rPr>
          <w:rFonts w:ascii="宋体" w:hAnsi="宋体" w:cs="宋体" w:eastAsia="宋体" w:hint="default"/>
          <w:spacing w:val="-8"/>
          <w:sz w:val="18"/>
          <w:szCs w:val="18"/>
        </w:rPr>
        <w:t>桂滨、郭斌、王俊卿、胡向平、许栋涛、</w:t>
      </w:r>
    </w:p>
    <w:p>
      <w:pPr>
        <w:spacing w:before="76"/>
        <w:ind w:left="1560" w:right="0" w:firstLine="0"/>
        <w:jc w:val="left"/>
        <w:rPr>
          <w:rFonts w:ascii="宋体" w:hAnsi="宋体" w:cs="宋体" w:eastAsia="宋体" w:hint="default"/>
          <w:sz w:val="18"/>
          <w:szCs w:val="18"/>
        </w:rPr>
      </w:pPr>
      <w:r>
        <w:rPr>
          <w:rFonts w:ascii="宋体" w:hAnsi="宋体" w:cs="宋体" w:eastAsia="宋体" w:hint="default"/>
          <w:sz w:val="18"/>
          <w:szCs w:val="18"/>
        </w:rPr>
        <w:t>刘峰）</w:t>
      </w:r>
    </w:p>
    <w:p>
      <w:pPr>
        <w:spacing w:line="240" w:lineRule="auto" w:before="5"/>
        <w:rPr>
          <w:rFonts w:ascii="宋体" w:hAnsi="宋体" w:cs="宋体" w:eastAsia="宋体" w:hint="default"/>
          <w:sz w:val="9"/>
          <w:szCs w:val="9"/>
        </w:rPr>
      </w:pPr>
    </w:p>
    <w:p>
      <w:pPr>
        <w:spacing w:line="196" w:lineRule="exact"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资产重组时所作</w:t>
      </w:r>
    </w:p>
    <w:p>
      <w:pPr>
        <w:spacing w:line="156" w:lineRule="exact" w:before="0"/>
        <w:ind w:left="156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196" w:lineRule="exact"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承诺</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60" w:left="1020" w:right="1020"/>
        </w:sectPr>
      </w:pPr>
    </w:p>
    <w:p>
      <w:pPr>
        <w:spacing w:line="316" w:lineRule="auto" w:before="44"/>
        <w:ind w:left="4620" w:right="-10" w:firstLine="0"/>
        <w:jc w:val="left"/>
        <w:rPr>
          <w:rFonts w:ascii="宋体" w:hAnsi="宋体" w:cs="宋体" w:eastAsia="宋体" w:hint="default"/>
          <w:sz w:val="18"/>
          <w:szCs w:val="18"/>
        </w:rPr>
      </w:pPr>
      <w:r>
        <w:rPr>
          <w:rFonts w:ascii="宋体" w:hAnsi="宋体" w:cs="宋体" w:eastAsia="宋体" w:hint="default"/>
          <w:sz w:val="18"/>
          <w:szCs w:val="18"/>
        </w:rPr>
        <w:t>自公司股票上市之日起三十六个 </w:t>
      </w:r>
      <w:r>
        <w:rPr>
          <w:rFonts w:ascii="宋体" w:hAnsi="宋体" w:cs="宋体" w:eastAsia="宋体" w:hint="default"/>
          <w:spacing w:val="-1"/>
          <w:sz w:val="18"/>
          <w:szCs w:val="18"/>
        </w:rPr>
        <w:t>月内，不转让或者委托他人管理其</w:t>
      </w:r>
    </w:p>
    <w:p>
      <w:pPr>
        <w:spacing w:line="256" w:lineRule="exact" w:before="0"/>
        <w:ind w:left="1560" w:right="-16"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、发行人实际控制人王中胜、杨世宁、</w:t>
      </w:r>
      <w:r>
        <w:rPr>
          <w:rFonts w:ascii="宋体" w:hAnsi="宋体" w:cs="宋体" w:eastAsia="宋体" w:hint="default"/>
          <w:spacing w:val="-3"/>
          <w:position w:val="-3"/>
          <w:sz w:val="18"/>
          <w:szCs w:val="18"/>
        </w:rPr>
        <w:t>持有的公司股份，也不由公司回购</w:t>
      </w:r>
      <w:r>
        <w:rPr>
          <w:rFonts w:ascii="宋体" w:hAnsi="宋体" w:cs="宋体" w:eastAsia="宋体" w:hint="default"/>
          <w:spacing w:val="-3"/>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73" w:lineRule="exact" w:before="118"/>
        <w:ind w:left="867"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36</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p>
      <w:pPr>
        <w:spacing w:after="0" w:line="173" w:lineRule="exact"/>
        <w:jc w:val="left"/>
        <w:rPr>
          <w:rFonts w:ascii="宋体" w:hAnsi="宋体" w:cs="宋体" w:eastAsia="宋体" w:hint="default"/>
          <w:sz w:val="18"/>
          <w:szCs w:val="18"/>
        </w:rPr>
        <w:sectPr>
          <w:type w:val="continuous"/>
          <w:pgSz w:w="11910" w:h="16840"/>
          <w:pgMar w:top="1040" w:bottom="1160" w:left="1020" w:right="1020"/>
          <w:cols w:num="2" w:equalWidth="0">
            <w:col w:w="7316" w:space="40"/>
            <w:col w:w="2514"/>
          </w:cols>
        </w:sectPr>
      </w:pPr>
    </w:p>
    <w:p>
      <w:pPr>
        <w:spacing w:line="180" w:lineRule="exact" w:before="0"/>
        <w:ind w:left="1560" w:right="-7" w:firstLine="0"/>
        <w:jc w:val="left"/>
        <w:rPr>
          <w:rFonts w:ascii="宋体" w:hAnsi="宋体" w:cs="宋体" w:eastAsia="宋体" w:hint="default"/>
          <w:sz w:val="18"/>
          <w:szCs w:val="18"/>
        </w:rPr>
      </w:pPr>
      <w:r>
        <w:rPr>
          <w:rFonts w:ascii="宋体" w:hAnsi="宋体" w:cs="宋体" w:eastAsia="宋体" w:hint="default"/>
          <w:sz w:val="18"/>
          <w:szCs w:val="18"/>
        </w:rPr>
        <w:t>杨新子；</w:t>
      </w:r>
    </w:p>
    <w:p>
      <w:pPr>
        <w:spacing w:before="115"/>
        <w:ind w:left="1560" w:right="-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、除上述股东外的其他股东；</w:t>
      </w:r>
    </w:p>
    <w:p>
      <w:pPr>
        <w:spacing w:before="103"/>
        <w:ind w:left="1560" w:right="-7"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、董事、监事、高级管理人员。</w:t>
      </w:r>
    </w:p>
    <w:p>
      <w:pPr>
        <w:spacing w:line="232" w:lineRule="exact" w:before="0"/>
        <w:ind w:left="411" w:right="-16"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该部分股份；三十六个月锁定期满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spacing w:line="312" w:lineRule="auto" w:before="63"/>
        <w:ind w:left="411" w:right="148" w:firstLine="0"/>
        <w:jc w:val="left"/>
        <w:rPr>
          <w:rFonts w:ascii="宋体" w:hAnsi="宋体" w:cs="宋体" w:eastAsia="宋体" w:hint="default"/>
          <w:sz w:val="18"/>
          <w:szCs w:val="18"/>
        </w:rPr>
      </w:pPr>
      <w:r>
        <w:rPr>
          <w:rFonts w:ascii="宋体" w:hAnsi="宋体" w:cs="宋体" w:eastAsia="宋体" w:hint="default"/>
          <w:sz w:val="18"/>
          <w:szCs w:val="18"/>
        </w:rPr>
        <w:t>后，在任职期间每年转让的公司股</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份不超过其所持有公司股份总数 的百分之二十五，在离职后半年 内，不转让所持有的公司股份。</w:t>
      </w:r>
    </w:p>
    <w:p>
      <w:pPr>
        <w:spacing w:line="179" w:lineRule="exact" w:before="0"/>
        <w:ind w:left="100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严格</w:t>
      </w:r>
    </w:p>
    <w:p>
      <w:pPr>
        <w:spacing w:line="163" w:lineRule="exact" w:before="0"/>
        <w:ind w:left="16"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p>
      <w:pPr>
        <w:spacing w:line="149" w:lineRule="exact" w:before="0"/>
        <w:ind w:left="1007" w:right="0" w:firstLine="0"/>
        <w:jc w:val="left"/>
        <w:rPr>
          <w:rFonts w:ascii="宋体" w:hAnsi="宋体" w:cs="宋体" w:eastAsia="宋体" w:hint="default"/>
          <w:sz w:val="18"/>
          <w:szCs w:val="18"/>
        </w:rPr>
      </w:pPr>
      <w:r>
        <w:rPr>
          <w:rFonts w:ascii="宋体" w:hAnsi="宋体" w:cs="宋体" w:eastAsia="宋体" w:hint="default"/>
          <w:sz w:val="18"/>
          <w:szCs w:val="18"/>
        </w:rPr>
        <w:t>履行</w:t>
      </w:r>
    </w:p>
    <w:p>
      <w:pPr>
        <w:spacing w:line="209" w:lineRule="exact" w:before="0"/>
        <w:ind w:left="16"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p>
      <w:pPr>
        <w:spacing w:after="0" w:line="209" w:lineRule="exact"/>
        <w:jc w:val="left"/>
        <w:rPr>
          <w:rFonts w:ascii="宋体" w:hAnsi="宋体" w:cs="宋体" w:eastAsia="宋体" w:hint="default"/>
          <w:sz w:val="18"/>
          <w:szCs w:val="18"/>
        </w:rPr>
        <w:sectPr>
          <w:type w:val="continuous"/>
          <w:pgSz w:w="11910" w:h="16840"/>
          <w:pgMar w:top="1040" w:bottom="1160" w:left="1020" w:right="1020"/>
          <w:cols w:num="3" w:equalWidth="0">
            <w:col w:w="4169" w:space="40"/>
            <w:col w:w="3958" w:space="40"/>
            <w:col w:w="1663"/>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41" w:right="-20" w:firstLine="0"/>
        <w:jc w:val="left"/>
        <w:rPr>
          <w:rFonts w:ascii="宋体" w:hAnsi="宋体" w:cs="宋体" w:eastAsia="宋体" w:hint="default"/>
          <w:sz w:val="18"/>
          <w:szCs w:val="18"/>
        </w:rPr>
      </w:pPr>
      <w:r>
        <w:rPr>
          <w:rFonts w:ascii="宋体" w:hAnsi="宋体" w:cs="宋体" w:eastAsia="宋体" w:hint="default"/>
          <w:sz w:val="18"/>
          <w:szCs w:val="18"/>
        </w:rPr>
        <w:t>首次公开发行或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6"/>
          <w:szCs w:val="26"/>
        </w:rPr>
      </w:pPr>
    </w:p>
    <w:p>
      <w:pPr>
        <w:spacing w:before="0"/>
        <w:ind w:left="118" w:right="-7" w:firstLine="0"/>
        <w:jc w:val="left"/>
        <w:rPr>
          <w:rFonts w:ascii="宋体" w:hAnsi="宋体" w:cs="宋体" w:eastAsia="宋体" w:hint="default"/>
          <w:sz w:val="18"/>
          <w:szCs w:val="18"/>
        </w:rPr>
      </w:pPr>
      <w:r>
        <w:rPr>
          <w:rFonts w:ascii="宋体" w:hAnsi="宋体" w:cs="宋体" w:eastAsia="宋体" w:hint="default"/>
          <w:spacing w:val="-4"/>
          <w:sz w:val="18"/>
          <w:szCs w:val="18"/>
        </w:rPr>
        <w:t>发行人实际控制人王中胜、杨世宁、杨</w:t>
      </w:r>
    </w:p>
    <w:p>
      <w:pPr>
        <w:spacing w:line="310" w:lineRule="atLeast" w:before="39"/>
        <w:ind w:left="15" w:right="-10" w:firstLine="0"/>
        <w:jc w:val="left"/>
        <w:rPr>
          <w:rFonts w:ascii="宋体" w:hAnsi="宋体" w:cs="宋体" w:eastAsia="宋体" w:hint="default"/>
          <w:sz w:val="18"/>
          <w:szCs w:val="18"/>
        </w:rPr>
      </w:pPr>
      <w:r>
        <w:rPr/>
        <w:br w:type="column"/>
      </w:r>
      <w:r>
        <w:rPr>
          <w:rFonts w:ascii="宋体" w:hAnsi="宋体" w:cs="宋体" w:eastAsia="宋体" w:hint="default"/>
          <w:sz w:val="18"/>
          <w:szCs w:val="18"/>
        </w:rPr>
        <w:t>王中胜、杨世宁和杨新子三人承 </w:t>
      </w:r>
      <w:r>
        <w:rPr>
          <w:rFonts w:ascii="宋体" w:hAnsi="宋体" w:cs="宋体" w:eastAsia="宋体" w:hint="default"/>
          <w:spacing w:val="-1"/>
          <w:sz w:val="18"/>
          <w:szCs w:val="18"/>
        </w:rPr>
        <w:t>诺：就皖通科技的股东大会、董事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会等重要会议的投票权和相关事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6"/>
          <w:szCs w:val="26"/>
        </w:rPr>
      </w:pPr>
    </w:p>
    <w:p>
      <w:pPr>
        <w:tabs>
          <w:tab w:pos="1858" w:val="left" w:leader="none"/>
        </w:tabs>
        <w:spacing w:before="0"/>
        <w:ind w:left="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截至到</w:t>
        <w:tab/>
        <w:t>严格</w:t>
      </w:r>
    </w:p>
    <w:p>
      <w:pPr>
        <w:spacing w:after="0"/>
        <w:jc w:val="left"/>
        <w:rPr>
          <w:rFonts w:ascii="宋体" w:hAnsi="宋体" w:cs="宋体" w:eastAsia="宋体" w:hint="default"/>
          <w:sz w:val="18"/>
          <w:szCs w:val="18"/>
        </w:rPr>
        <w:sectPr>
          <w:type w:val="continuous"/>
          <w:pgSz w:w="11910" w:h="16840"/>
          <w:pgMar w:top="1040" w:bottom="1160" w:left="1020" w:right="1020"/>
          <w:cols w:num="4" w:equalWidth="0">
            <w:col w:w="1402" w:space="40"/>
            <w:col w:w="3124" w:space="40"/>
            <w:col w:w="2711" w:space="40"/>
            <w:col w:w="2513"/>
          </w:cols>
        </w:sectPr>
      </w:pPr>
    </w:p>
    <w:p>
      <w:pPr>
        <w:spacing w:line="202" w:lineRule="exact" w:before="0"/>
        <w:ind w:left="141" w:right="-19" w:firstLine="0"/>
        <w:jc w:val="left"/>
        <w:rPr>
          <w:rFonts w:ascii="宋体" w:hAnsi="宋体" w:cs="宋体" w:eastAsia="宋体" w:hint="default"/>
          <w:sz w:val="18"/>
          <w:szCs w:val="18"/>
        </w:rPr>
      </w:pPr>
      <w:r>
        <w:rPr>
          <w:rFonts w:ascii="宋体" w:hAnsi="宋体" w:cs="宋体" w:eastAsia="宋体" w:hint="default"/>
          <w:sz w:val="18"/>
          <w:szCs w:val="18"/>
        </w:rPr>
        <w:t>再融资时所作承</w:t>
      </w:r>
      <w:r>
        <w:rPr>
          <w:rFonts w:ascii="宋体" w:hAnsi="宋体" w:cs="宋体" w:eastAsia="宋体" w:hint="default"/>
          <w:spacing w:val="68"/>
          <w:sz w:val="18"/>
          <w:szCs w:val="18"/>
        </w:rPr>
        <w:t> </w:t>
      </w:r>
      <w:r>
        <w:rPr>
          <w:rFonts w:ascii="宋体" w:hAnsi="宋体" w:cs="宋体" w:eastAsia="宋体" w:hint="default"/>
          <w:position w:val="5"/>
          <w:sz w:val="18"/>
          <w:szCs w:val="18"/>
        </w:rPr>
        <w:t>新子</w:t>
      </w:r>
      <w:r>
        <w:rPr>
          <w:rFonts w:ascii="宋体" w:hAnsi="宋体" w:cs="宋体" w:eastAsia="宋体" w:hint="default"/>
          <w:sz w:val="18"/>
          <w:szCs w:val="18"/>
        </w:rPr>
      </w:r>
    </w:p>
    <w:p>
      <w:pPr>
        <w:spacing w:before="76"/>
        <w:ind w:left="141" w:right="-19" w:firstLine="0"/>
        <w:jc w:val="left"/>
        <w:rPr>
          <w:rFonts w:ascii="宋体" w:hAnsi="宋体" w:cs="宋体" w:eastAsia="宋体" w:hint="default"/>
          <w:sz w:val="18"/>
          <w:szCs w:val="18"/>
        </w:rPr>
      </w:pPr>
      <w:r>
        <w:rPr>
          <w:rFonts w:ascii="宋体" w:hAnsi="宋体" w:cs="宋体" w:eastAsia="宋体" w:hint="default"/>
          <w:sz w:val="18"/>
          <w:szCs w:val="18"/>
        </w:rPr>
        <w:t>诺</w:t>
      </w:r>
    </w:p>
    <w:p>
      <w:pPr>
        <w:spacing w:line="316" w:lineRule="auto" w:before="76"/>
        <w:ind w:left="141" w:right="-1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宜等，按照一致行动人协议书约定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保持行动一致。</w:t>
      </w:r>
    </w:p>
    <w:p>
      <w:pPr>
        <w:spacing w:line="170" w:lineRule="exact" w:before="0"/>
        <w:ind w:left="17"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70" w:lineRule="exact" w:before="0"/>
        <w:ind w:left="14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9999-12-31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履行</w:t>
      </w:r>
    </w:p>
    <w:p>
      <w:pPr>
        <w:spacing w:after="0" w:line="170" w:lineRule="exact"/>
        <w:jc w:val="left"/>
        <w:rPr>
          <w:rFonts w:ascii="宋体" w:hAnsi="宋体" w:cs="宋体" w:eastAsia="宋体" w:hint="default"/>
          <w:sz w:val="18"/>
          <w:szCs w:val="18"/>
        </w:rPr>
        <w:sectPr>
          <w:type w:val="continuous"/>
          <w:pgSz w:w="11910" w:h="16840"/>
          <w:pgMar w:top="1040" w:bottom="1160" w:left="1020" w:right="1020"/>
          <w:cols w:num="4" w:equalWidth="0">
            <w:col w:w="1921" w:space="2558"/>
            <w:col w:w="2837" w:space="40"/>
            <w:col w:w="647" w:space="79"/>
            <w:col w:w="1788"/>
          </w:cols>
        </w:sect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spacing w:before="0"/>
        <w:ind w:left="1560" w:right="-8" w:firstLine="0"/>
        <w:jc w:val="left"/>
        <w:rPr>
          <w:rFonts w:ascii="宋体" w:hAnsi="宋体" w:cs="宋体" w:eastAsia="宋体" w:hint="default"/>
          <w:sz w:val="18"/>
          <w:szCs w:val="18"/>
        </w:rPr>
      </w:pPr>
      <w:r>
        <w:rPr>
          <w:rFonts w:ascii="宋体" w:hAnsi="宋体" w:cs="宋体" w:eastAsia="宋体" w:hint="default"/>
          <w:spacing w:val="-4"/>
          <w:sz w:val="18"/>
          <w:szCs w:val="18"/>
        </w:rPr>
        <w:t>发行人实际控制人王中胜、杨世宁、杨</w:t>
      </w:r>
    </w:p>
    <w:p>
      <w:pPr>
        <w:spacing w:line="312" w:lineRule="exact" w:before="68"/>
        <w:ind w:left="1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本人及本人控制的公司和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 经济组织目前未从事与皖通科技 及其下属子公司已生产经营或将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tabs>
          <w:tab w:pos="1983" w:val="left" w:leader="none"/>
        </w:tabs>
        <w:spacing w:before="0"/>
        <w:ind w:left="1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截止到</w:t>
        <w:tab/>
        <w:t>严格</w:t>
      </w:r>
    </w:p>
    <w:p>
      <w:pPr>
        <w:spacing w:after="0"/>
        <w:jc w:val="left"/>
        <w:rPr>
          <w:rFonts w:ascii="宋体" w:hAnsi="宋体" w:cs="宋体" w:eastAsia="宋体" w:hint="default"/>
          <w:sz w:val="18"/>
          <w:szCs w:val="18"/>
        </w:rPr>
        <w:sectPr>
          <w:type w:val="continuous"/>
          <w:pgSz w:w="11910" w:h="16840"/>
          <w:pgMar w:top="1040" w:bottom="1160" w:left="1020" w:right="1020"/>
          <w:cols w:num="3" w:equalWidth="0">
            <w:col w:w="4565" w:space="40"/>
            <w:col w:w="2586" w:space="40"/>
            <w:col w:w="2639"/>
          </w:cols>
        </w:sectPr>
      </w:pPr>
    </w:p>
    <w:p>
      <w:pPr>
        <w:spacing w:line="79" w:lineRule="exact" w:before="0"/>
        <w:ind w:left="1560" w:right="-20" w:firstLine="0"/>
        <w:jc w:val="left"/>
        <w:rPr>
          <w:rFonts w:ascii="宋体" w:hAnsi="宋体" w:cs="宋体" w:eastAsia="宋体" w:hint="default"/>
          <w:sz w:val="18"/>
          <w:szCs w:val="18"/>
        </w:rPr>
      </w:pPr>
      <w:r>
        <w:rPr>
          <w:rFonts w:ascii="宋体" w:hAnsi="宋体" w:cs="宋体" w:eastAsia="宋体" w:hint="default"/>
          <w:sz w:val="18"/>
          <w:szCs w:val="18"/>
        </w:rPr>
        <w:t>新子</w:t>
      </w:r>
    </w:p>
    <w:p>
      <w:pPr>
        <w:spacing w:line="196" w:lineRule="exact" w:before="0"/>
        <w:ind w:left="4620" w:right="-20" w:firstLine="0"/>
        <w:jc w:val="left"/>
        <w:rPr>
          <w:rFonts w:ascii="宋体" w:hAnsi="宋体" w:cs="宋体" w:eastAsia="宋体" w:hint="default"/>
          <w:sz w:val="18"/>
          <w:szCs w:val="18"/>
        </w:rPr>
      </w:pPr>
      <w:r>
        <w:rPr>
          <w:rFonts w:ascii="宋体" w:hAnsi="宋体" w:cs="宋体" w:eastAsia="宋体" w:hint="default"/>
          <w:sz w:val="18"/>
          <w:szCs w:val="18"/>
        </w:rPr>
        <w:t>生产经营的产品具有同业竞争或</w:t>
      </w:r>
    </w:p>
    <w:p>
      <w:pPr>
        <w:spacing w:before="76"/>
        <w:ind w:left="4620" w:right="-20" w:firstLine="0"/>
        <w:jc w:val="left"/>
        <w:rPr>
          <w:rFonts w:ascii="宋体" w:hAnsi="宋体" w:cs="宋体" w:eastAsia="宋体" w:hint="default"/>
          <w:sz w:val="18"/>
          <w:szCs w:val="18"/>
        </w:rPr>
      </w:pPr>
      <w:r>
        <w:rPr>
          <w:rFonts w:ascii="宋体" w:hAnsi="宋体" w:cs="宋体" w:eastAsia="宋体" w:hint="default"/>
          <w:sz w:val="18"/>
          <w:szCs w:val="18"/>
        </w:rPr>
        <w:t>潜在同业竞争的产品的生产经营。</w:t>
      </w:r>
    </w:p>
    <w:p>
      <w:pPr>
        <w:spacing w:line="133" w:lineRule="exact" w:before="0"/>
        <w:ind w:left="12"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33" w:lineRule="exact" w:before="0"/>
        <w:ind w:left="180"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9999-12-31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履行</w:t>
      </w:r>
    </w:p>
    <w:p>
      <w:pPr>
        <w:spacing w:after="0" w:line="133" w:lineRule="exact"/>
        <w:jc w:val="left"/>
        <w:rPr>
          <w:rFonts w:ascii="宋体" w:hAnsi="宋体" w:cs="宋体" w:eastAsia="宋体" w:hint="default"/>
          <w:sz w:val="18"/>
          <w:szCs w:val="18"/>
        </w:rPr>
        <w:sectPr>
          <w:type w:val="continuous"/>
          <w:pgSz w:w="11910" w:h="16840"/>
          <w:pgMar w:top="1040" w:bottom="1160" w:left="1020" w:right="1020"/>
          <w:cols w:num="3" w:equalWidth="0">
            <w:col w:w="7321" w:space="40"/>
            <w:col w:w="642" w:space="40"/>
            <w:col w:w="182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60" w:left="1020" w:right="1020"/>
        </w:sectPr>
      </w:pPr>
    </w:p>
    <w:p>
      <w:pPr>
        <w:spacing w:line="309" w:lineRule="auto" w:before="44"/>
        <w:ind w:left="1560" w:right="-15" w:firstLine="0"/>
        <w:jc w:val="left"/>
        <w:rPr>
          <w:rFonts w:ascii="宋体" w:hAnsi="宋体" w:cs="宋体" w:eastAsia="宋体" w:hint="default"/>
          <w:sz w:val="18"/>
          <w:szCs w:val="18"/>
        </w:rPr>
      </w:pPr>
      <w:r>
        <w:rPr>
          <w:rFonts w:ascii="宋体" w:hAnsi="宋体" w:cs="宋体" w:eastAsia="宋体" w:hint="default"/>
          <w:spacing w:val="-4"/>
          <w:sz w:val="18"/>
          <w:szCs w:val="18"/>
        </w:rPr>
        <w:t>易方达基金管理有限公司、财通基金管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理有限公司、招商财富资产管理有限公</w:t>
      </w:r>
      <w:r>
        <w:rPr>
          <w:rFonts w:ascii="宋体" w:hAnsi="宋体" w:cs="宋体" w:eastAsia="宋体" w:hint="default"/>
          <w:spacing w:val="-31"/>
          <w:sz w:val="18"/>
          <w:szCs w:val="18"/>
        </w:rPr>
        <w:t> </w:t>
      </w:r>
      <w:r>
        <w:rPr>
          <w:rFonts w:ascii="宋体" w:hAnsi="宋体" w:cs="宋体" w:eastAsia="宋体" w:hint="default"/>
          <w:sz w:val="18"/>
          <w:szCs w:val="18"/>
        </w:rPr>
        <w:t>自新增股份上市首日起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 </w:t>
      </w:r>
      <w:r>
        <w:rPr>
          <w:rFonts w:ascii="宋体" w:hAnsi="宋体" w:cs="宋体" w:eastAsia="宋体" w:hint="default"/>
          <w:spacing w:val="-4"/>
          <w:sz w:val="18"/>
          <w:szCs w:val="18"/>
        </w:rPr>
        <w:t>司、东海基金管理有限责任公司和常州</w:t>
      </w:r>
      <w:r>
        <w:rPr>
          <w:rFonts w:ascii="宋体" w:hAnsi="宋体" w:cs="宋体" w:eastAsia="宋体" w:hint="default"/>
          <w:spacing w:val="-23"/>
          <w:sz w:val="18"/>
          <w:szCs w:val="18"/>
        </w:rPr>
        <w:t> </w:t>
      </w:r>
      <w:r>
        <w:rPr>
          <w:rFonts w:ascii="宋体" w:hAnsi="宋体" w:cs="宋体" w:eastAsia="宋体" w:hint="default"/>
          <w:sz w:val="18"/>
          <w:szCs w:val="18"/>
        </w:rPr>
        <w:t>不转让。</w:t>
      </w:r>
    </w:p>
    <w:p>
      <w:pPr>
        <w:spacing w:before="24"/>
        <w:ind w:left="1560" w:right="-15" w:firstLine="0"/>
        <w:jc w:val="left"/>
        <w:rPr>
          <w:rFonts w:ascii="宋体" w:hAnsi="宋体" w:cs="宋体" w:eastAsia="宋体" w:hint="default"/>
          <w:sz w:val="18"/>
          <w:szCs w:val="18"/>
        </w:rPr>
      </w:pPr>
      <w:r>
        <w:rPr>
          <w:rFonts w:ascii="宋体" w:hAnsi="宋体" w:cs="宋体" w:eastAsia="宋体" w:hint="default"/>
          <w:sz w:val="18"/>
          <w:szCs w:val="18"/>
        </w:rPr>
        <w:t>投资集团有限公司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101"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spacing w:before="63"/>
        <w:ind w:left="101"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196" w:lineRule="exact" w:before="121"/>
        <w:ind w:left="1007" w:right="0" w:firstLine="0"/>
        <w:jc w:val="left"/>
        <w:rPr>
          <w:rFonts w:ascii="宋体" w:hAnsi="宋体" w:cs="宋体" w:eastAsia="宋体" w:hint="default"/>
          <w:sz w:val="18"/>
          <w:szCs w:val="18"/>
        </w:rPr>
      </w:pPr>
      <w:r>
        <w:rPr>
          <w:rFonts w:ascii="宋体" w:hAnsi="宋体" w:cs="宋体" w:eastAsia="宋体" w:hint="default"/>
          <w:sz w:val="18"/>
          <w:szCs w:val="18"/>
        </w:rPr>
        <w:t>严格</w:t>
      </w:r>
    </w:p>
    <w:p>
      <w:pPr>
        <w:spacing w:line="163" w:lineRule="exact" w:before="0"/>
        <w:ind w:left="1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spacing w:line="189" w:lineRule="exact" w:before="0"/>
        <w:ind w:left="1007" w:right="0" w:firstLine="0"/>
        <w:jc w:val="left"/>
        <w:rPr>
          <w:rFonts w:ascii="宋体" w:hAnsi="宋体" w:cs="宋体" w:eastAsia="宋体" w:hint="default"/>
          <w:sz w:val="18"/>
          <w:szCs w:val="18"/>
        </w:rPr>
      </w:pPr>
      <w:r>
        <w:rPr>
          <w:rFonts w:ascii="宋体" w:hAnsi="宋体" w:cs="宋体" w:eastAsia="宋体" w:hint="default"/>
          <w:sz w:val="18"/>
          <w:szCs w:val="18"/>
        </w:rPr>
        <w:t>履行</w:t>
      </w:r>
    </w:p>
    <w:p>
      <w:pPr>
        <w:spacing w:after="0" w:line="189" w:lineRule="exact"/>
        <w:jc w:val="left"/>
        <w:rPr>
          <w:rFonts w:ascii="宋体" w:hAnsi="宋体" w:cs="宋体" w:eastAsia="宋体" w:hint="default"/>
          <w:sz w:val="18"/>
          <w:szCs w:val="18"/>
        </w:rPr>
        <w:sectPr>
          <w:type w:val="continuous"/>
          <w:pgSz w:w="11910" w:h="16840"/>
          <w:pgMar w:top="1040" w:bottom="1160" w:left="1020" w:right="1020"/>
          <w:cols w:num="3" w:equalWidth="0">
            <w:col w:w="7232" w:space="40"/>
            <w:col w:w="895" w:space="40"/>
            <w:col w:w="1663"/>
          </w:cols>
        </w:sectPr>
      </w:pPr>
    </w:p>
    <w:p>
      <w:pPr>
        <w:spacing w:line="240" w:lineRule="auto" w:before="3"/>
        <w:rPr>
          <w:rFonts w:ascii="宋体" w:hAnsi="宋体" w:cs="宋体" w:eastAsia="宋体" w:hint="default"/>
          <w:sz w:val="9"/>
          <w:szCs w:val="9"/>
        </w:rPr>
      </w:pPr>
      <w:r>
        <w:rPr/>
        <w:pict>
          <v:group style="position:absolute;margin-left:56.220001pt;margin-top:71.760025pt;width:479.35pt;height:694.6pt;mso-position-horizontal-relative:page;mso-position-vertical-relative:page;z-index:-846568" coordorigin="1124,1435" coordsize="9587,13892">
            <v:group style="position:absolute;left:1137;top:1448;width:1413;height:4815" coordorigin="1137,1448" coordsize="1413,4815">
              <v:shape style="position:absolute;left:1137;top:1448;width:1413;height:4815" coordorigin="1137,1448" coordsize="1413,4815" path="m1137,1448l2550,1448,2550,6263,1137,6263,1137,1448xe" filled="true" fillcolor="#d3d3d3" stroked="false">
                <v:path arrowok="t"/>
                <v:fill type="solid"/>
              </v:shape>
            </v:group>
            <v:group style="position:absolute;left:1137;top:6268;width:1413;height:709" coordorigin="1137,6268" coordsize="1413,709">
              <v:shape style="position:absolute;left:1137;top:6268;width:1413;height:709" coordorigin="1137,6268" coordsize="1413,709" path="m1137,6268l2550,6268,2550,6977,1137,6977,1137,6268xe" filled="true" fillcolor="#d3d3d3" stroked="false">
                <v:path arrowok="t"/>
                <v:fill type="solid"/>
              </v:shape>
            </v:group>
            <v:group style="position:absolute;left:1137;top:6982;width:1413;height:7219" coordorigin="1137,6982" coordsize="1413,7219">
              <v:shape style="position:absolute;left:1137;top:6982;width:1413;height:7219" coordorigin="1137,6982" coordsize="1413,7219" path="m1137,6982l2550,6982,2550,14201,1137,14201,1137,6982xe" filled="true" fillcolor="#d3d3d3" stroked="false">
                <v:path arrowok="t"/>
                <v:fill type="solid"/>
              </v:shape>
            </v:group>
            <v:group style="position:absolute;left:1137;top:14206;width:1413;height:709" coordorigin="1137,14206" coordsize="1413,709">
              <v:shape style="position:absolute;left:1137;top:14206;width:1413;height:709" coordorigin="1137,14206" coordsize="1413,709" path="m1137,14206l2550,14206,2550,14915,1137,14915,1137,14206xe" filled="true" fillcolor="#d3d3d3" stroked="false">
                <v:path arrowok="t"/>
                <v:fill type="solid"/>
              </v:shape>
            </v:group>
            <v:group style="position:absolute;left:1137;top:14920;width:1413;height:397" coordorigin="1137,14920" coordsize="1413,397">
              <v:shape style="position:absolute;left:1137;top:14920;width:1413;height:397" coordorigin="1137,14920" coordsize="1413,397" path="m1137,14920l2550,14920,2550,15317,1137,15317,1137,14920xe" filled="true" fillcolor="#d3d3d3" stroked="false">
                <v:path arrowok="t"/>
                <v:fill type="solid"/>
              </v:shape>
            </v:group>
            <v:group style="position:absolute;left:1129;top:1445;width:9577;height:2" coordorigin="1129,1445" coordsize="9577,2">
              <v:shape style="position:absolute;left:1129;top:1445;width:9577;height:2" coordorigin="1129,1445" coordsize="9577,0" path="m1129,1445l10706,1445e" filled="false" stroked="true" strokeweight=".48pt" strokecolor="#000000">
                <v:path arrowok="t"/>
              </v:shape>
            </v:group>
            <v:group style="position:absolute;left:5616;top:3682;width:2746;height:2581" coordorigin="5616,3682" coordsize="2746,2581">
              <v:shape style="position:absolute;left:5616;top:3682;width:2746;height:2581" coordorigin="5616,3682" coordsize="2746,2581" path="m5616,3682l8362,3682,8362,6263,5616,6263,5616,3682xe" filled="true" fillcolor="#ffffff" stroked="false">
                <v:path arrowok="t"/>
                <v:fill type="solid"/>
              </v:shape>
            </v:group>
            <v:group style="position:absolute;left:2547;top:3679;width:8159;height:2" coordorigin="2547,3679" coordsize="8159,2">
              <v:shape style="position:absolute;left:2547;top:3679;width:8159;height:2" coordorigin="2547,3679" coordsize="8159,0" path="m2547,3679l10706,3679e" filled="false" stroked="true" strokeweight=".48pt" strokecolor="#000000">
                <v:path arrowok="t"/>
              </v:shape>
            </v:group>
            <v:group style="position:absolute;left:1129;top:6265;width:9577;height:2" coordorigin="1129,6265" coordsize="9577,2">
              <v:shape style="position:absolute;left:1129;top:6265;width:9577;height:2" coordorigin="1129,6265" coordsize="9577,0" path="m1129,6265l10706,6265e" filled="false" stroked="true" strokeweight=".48pt" strokecolor="#000000">
                <v:path arrowok="t"/>
              </v:shape>
            </v:group>
            <v:group style="position:absolute;left:5616;top:6982;width:2746;height:2581" coordorigin="5616,6982" coordsize="2746,2581">
              <v:shape style="position:absolute;left:5616;top:6982;width:2746;height:2581" coordorigin="5616,6982" coordsize="2746,2581" path="m5616,6982l8362,6982,8362,9563,5616,9563,5616,6982xe" filled="true" fillcolor="#ffffff" stroked="false">
                <v:path arrowok="t"/>
                <v:fill type="solid"/>
              </v:shape>
            </v:group>
            <v:group style="position:absolute;left:10209;top:6982;width:490;height:2581" coordorigin="10209,6982" coordsize="490,2581">
              <v:shape style="position:absolute;left:10209;top:6982;width:490;height:2581" coordorigin="10209,6982" coordsize="490,2581" path="m10209,6982l10699,6982,10699,9563,10209,9563,10209,6982xe" filled="true" fillcolor="#ffffff" stroked="false">
                <v:path arrowok="t"/>
                <v:fill type="solid"/>
              </v:shape>
            </v:group>
            <v:group style="position:absolute;left:1129;top:6979;width:9577;height:2" coordorigin="1129,6979" coordsize="9577,2">
              <v:shape style="position:absolute;left:1129;top:6979;width:9577;height:2" coordorigin="1129,6979" coordsize="9577,0" path="m1129,6979l10706,6979e" filled="false" stroked="true" strokeweight=".48pt" strokecolor="#000000">
                <v:path arrowok="t"/>
              </v:shape>
            </v:group>
            <v:group style="position:absolute;left:2547;top:9565;width:8159;height:2" coordorigin="2547,9565" coordsize="8159,2">
              <v:shape style="position:absolute;left:2547;top:9565;width:8159;height:2" coordorigin="2547,9565" coordsize="8159,0" path="m2547,9565l10706,9565e" filled="false" stroked="true" strokeweight=".48pt" strokecolor="#000000">
                <v:path arrowok="t"/>
              </v:shape>
            </v:group>
            <v:group style="position:absolute;left:2547;top:11215;width:8159;height:2" coordorigin="2547,11215" coordsize="8159,2">
              <v:shape style="position:absolute;left:2547;top:11215;width:8159;height:2" coordorigin="2547,11215" coordsize="8159,0" path="m2547,11215l10706,11215e" filled="false" stroked="true" strokeweight=".48pt" strokecolor="#000000">
                <v:path arrowok="t"/>
              </v:shape>
            </v:group>
            <v:group style="position:absolute;left:2547;top:12865;width:8159;height:2" coordorigin="2547,12865" coordsize="8159,2">
              <v:shape style="position:absolute;left:2547;top:12865;width:8159;height:2" coordorigin="2547,12865" coordsize="8159,0" path="m2547,12865l10706,12865e" filled="false" stroked="true" strokeweight=".48pt" strokecolor="#000000">
                <v:path arrowok="t"/>
              </v:shape>
            </v:group>
            <v:group style="position:absolute;left:1129;top:14203;width:9577;height:2" coordorigin="1129,14203" coordsize="9577,2">
              <v:shape style="position:absolute;left:1129;top:14203;width:9577;height:2" coordorigin="1129,14203" coordsize="9577,0" path="m1129,14203l10706,14203e" filled="false" stroked="true" strokeweight=".48pt" strokecolor="#000000">
                <v:path arrowok="t"/>
              </v:shape>
            </v:group>
            <v:group style="position:absolute;left:1129;top:14917;width:9577;height:2" coordorigin="1129,14917" coordsize="9577,2">
              <v:shape style="position:absolute;left:1129;top:14917;width:9577;height:2" coordorigin="1129,14917" coordsize="9577,0" path="m1129,14917l10706,14917e" filled="false" stroked="true" strokeweight=".48pt" strokecolor="#000000">
                <v:path arrowok="t"/>
              </v:shape>
            </v:group>
            <v:group style="position:absolute;left:1129;top:15317;width:9577;height:2" coordorigin="1129,15317" coordsize="9577,2">
              <v:shape style="position:absolute;left:1129;top:15317;width:9577;height:2" coordorigin="1129,15317" coordsize="9577,0" path="m1129,15317l10706,15317e" filled="false" stroked="true" strokeweight=".48pt" strokecolor="#000000">
                <v:path arrowok="t"/>
              </v:shape>
            </v:group>
            <v:group style="position:absolute;left:1134;top:1440;width:2;height:13882" coordorigin="1134,1440" coordsize="2,13882">
              <v:shape style="position:absolute;left:1134;top:1440;width:2;height:13882" coordorigin="1134,1440" coordsize="0,13882" path="m1134,1440l1134,15322e" filled="false" stroked="true" strokeweight=".48pt" strokecolor="#000000">
                <v:path arrowok="t"/>
              </v:shape>
            </v:group>
            <v:group style="position:absolute;left:2552;top:1440;width:2;height:13872" coordorigin="2552,1440" coordsize="2,13872">
              <v:shape style="position:absolute;left:2552;top:1440;width:2;height:13872" coordorigin="2552,1440" coordsize="0,13872" path="m2552,1440l2552,15312e" filled="false" stroked="true" strokeweight=".48pt" strokecolor="#000000">
                <v:path arrowok="t"/>
              </v:shape>
            </v:group>
            <v:group style="position:absolute;left:5613;top:1440;width:2;height:13472" coordorigin="5613,1440" coordsize="2,13472">
              <v:shape style="position:absolute;left:5613;top:1440;width:2;height:13472" coordorigin="5613,1440" coordsize="0,13472" path="m5613,1440l5613,14912e" filled="false" stroked="true" strokeweight=".48pt" strokecolor="#000000">
                <v:path arrowok="t"/>
              </v:shape>
            </v:group>
            <v:group style="position:absolute;left:8364;top:1440;width:2;height:13472" coordorigin="8364,1440" coordsize="2,13472">
              <v:shape style="position:absolute;left:8364;top:1440;width:2;height:13472" coordorigin="8364,1440" coordsize="0,13472" path="m8364,1440l8364,14912e" filled="false" stroked="true" strokeweight=".48pt" strokecolor="#000000">
                <v:path arrowok="t"/>
              </v:shape>
            </v:group>
            <v:group style="position:absolute;left:9214;top:1440;width:2;height:13472" coordorigin="9214,1440" coordsize="2,13472">
              <v:shape style="position:absolute;left:9214;top:1440;width:2;height:13472" coordorigin="9214,1440" coordsize="0,13472" path="m9214,1440l9214,14912e" filled="false" stroked="true" strokeweight=".48pt" strokecolor="#000000">
                <v:path arrowok="t"/>
              </v:shape>
            </v:group>
            <v:group style="position:absolute;left:10206;top:1440;width:2;height:13472" coordorigin="10206,1440" coordsize="2,13472">
              <v:shape style="position:absolute;left:10206;top:1440;width:2;height:13472" coordorigin="10206,1440" coordsize="0,13472" path="m10206,1440l10206,14912e" filled="false" stroked="true" strokeweight=".48pt" strokecolor="#000000">
                <v:path arrowok="t"/>
              </v:shape>
            </v:group>
            <v:group style="position:absolute;left:10701;top:1450;width:2;height:13872" coordorigin="10701,1450" coordsize="2,13872">
              <v:shape style="position:absolute;left:10701;top:1450;width:2;height:13872" coordorigin="10701,1450" coordsize="0,13872" path="m10701,1450l10701,15322e" filled="false" stroked="true" strokeweight=".48pt" strokecolor="#000000">
                <v:path arrowok="t"/>
              </v:shape>
            </v:group>
            <w10:wrap type="none"/>
          </v:group>
        </w:pict>
      </w:r>
    </w:p>
    <w:p>
      <w:pPr>
        <w:spacing w:line="196" w:lineRule="exact"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其他对公司中小</w:t>
      </w:r>
    </w:p>
    <w:p>
      <w:pPr>
        <w:spacing w:line="156" w:lineRule="exact" w:before="0"/>
        <w:ind w:left="156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196" w:lineRule="exact"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股东所作承诺</w:t>
      </w:r>
    </w:p>
    <w:p>
      <w:pPr>
        <w:spacing w:line="240" w:lineRule="auto" w:before="5"/>
        <w:rPr>
          <w:rFonts w:ascii="宋体" w:hAnsi="宋体" w:cs="宋体" w:eastAsia="宋体" w:hint="default"/>
          <w:sz w:val="9"/>
          <w:szCs w:val="9"/>
        </w:rPr>
      </w:pPr>
    </w:p>
    <w:p>
      <w:pPr>
        <w:spacing w:before="43"/>
        <w:ind w:left="141" w:right="0" w:firstLine="0"/>
        <w:jc w:val="left"/>
        <w:rPr>
          <w:rFonts w:ascii="宋体" w:hAnsi="宋体" w:cs="宋体" w:eastAsia="宋体" w:hint="default"/>
          <w:sz w:val="18"/>
          <w:szCs w:val="18"/>
        </w:rPr>
      </w:pPr>
      <w:r>
        <w:rPr>
          <w:rFonts w:ascii="宋体" w:hAnsi="宋体" w:cs="宋体" w:eastAsia="宋体" w:hint="default"/>
          <w:sz w:val="18"/>
          <w:szCs w:val="18"/>
        </w:rPr>
        <w:t>承诺是否及时履</w:t>
      </w:r>
      <w:r>
        <w:rPr>
          <w:rFonts w:ascii="宋体" w:hAnsi="宋体" w:cs="宋体" w:eastAsia="宋体" w:hint="default"/>
          <w:spacing w:val="68"/>
          <w:sz w:val="18"/>
          <w:szCs w:val="18"/>
        </w:rPr>
        <w:t> </w:t>
      </w:r>
      <w:r>
        <w:rPr>
          <w:rFonts w:ascii="宋体" w:hAnsi="宋体" w:cs="宋体" w:eastAsia="宋体" w:hint="default"/>
          <w:position w:val="2"/>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18"/>
        <w:gridCol w:w="8149"/>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81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23"/>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计划（如有）</w:t>
            </w:r>
          </w:p>
        </w:tc>
        <w:tc>
          <w:tcPr>
            <w:tcW w:w="8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4"/>
        <w:spacing w:line="256" w:lineRule="auto" w:before="34"/>
        <w:ind w:right="0"/>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812"/>
        <w:gridCol w:w="4756"/>
      </w:tblGrid>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吕勇军</w:t>
            </w:r>
            <w:r>
              <w:rPr>
                <w:rFonts w:ascii="宋体" w:hAnsi="宋体" w:cs="宋体" w:eastAsia="宋体" w:hint="default"/>
                <w:spacing w:val="1"/>
                <w:sz w:val="18"/>
                <w:szCs w:val="18"/>
              </w:rPr>
              <w:t> </w:t>
            </w:r>
            <w:r>
              <w:rPr>
                <w:rFonts w:ascii="宋体" w:hAnsi="宋体" w:cs="宋体" w:eastAsia="宋体" w:hint="default"/>
                <w:sz w:val="18"/>
                <w:szCs w:val="18"/>
              </w:rPr>
              <w:t>王原</w:t>
            </w:r>
          </w:p>
        </w:tc>
      </w:tr>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1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聘请内部控制审计会计师事务所、财务顾问或保荐人情况</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1020" w:right="980"/>
        </w:sectPr>
      </w:pPr>
    </w:p>
    <w:p>
      <w:pPr>
        <w:spacing w:line="240" w:lineRule="auto" w:before="5"/>
        <w:rPr>
          <w:rFonts w:ascii="宋体" w:hAnsi="宋体" w:cs="宋体" w:eastAsia="宋体" w:hint="default"/>
          <w:sz w:val="24"/>
          <w:szCs w:val="24"/>
        </w:rPr>
      </w:pPr>
    </w:p>
    <w:p>
      <w:pPr>
        <w:pStyle w:val="Heading3"/>
        <w:spacing w:line="240" w:lineRule="auto" w:before="26"/>
        <w:ind w:right="202"/>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9" w:lineRule="auto" w:before="78"/>
        <w:ind w:right="108" w:firstLine="420"/>
        <w:jc w:val="left"/>
      </w:pPr>
      <w:r>
        <w:rPr/>
        <w:t>（一）</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日公司披露了《安徽皖通科技股份有限公司重大事项停牌公告》；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rFonts w:ascii="Times New Roman" w:hAnsi="Times New Roman" w:cs="Times New Roman" w:eastAsia="Times New Roman" w:hint="default"/>
          <w:w w:val="99"/>
        </w:rPr>
        <w:t> </w:t>
      </w:r>
      <w:r>
        <w:rPr/>
        <w:t>日公司召开的第三届董事会第五次会议和第三届监事会第五次会议审议了《关于公司非公开发行股票方案</w:t>
      </w:r>
      <w:r>
        <w:rPr>
          <w:w w:val="99"/>
        </w:rPr>
        <w:t> </w:t>
      </w:r>
      <w:r>
        <w:rPr/>
        <w:t>的议案》等相关议案；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日召开的皖通科技</w:t>
      </w:r>
      <w:r>
        <w:rPr>
          <w:rFonts w:ascii="Times New Roman" w:hAnsi="Times New Roman" w:cs="Times New Roman" w:eastAsia="Times New Roman" w:hint="default"/>
        </w:rPr>
        <w:t>2013</w:t>
      </w:r>
      <w:r>
        <w:rPr/>
        <w:t>年第三次临时股东大会审议通过了《关于公司</w:t>
      </w:r>
      <w:r>
        <w:rPr>
          <w:w w:val="99"/>
        </w:rPr>
        <w:t> </w:t>
      </w:r>
      <w:r>
        <w:rPr/>
        <w:t>非公开发行股票方案的议案》等相关议案；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日，公司取得中国证券监督管理委员会《关于核</w:t>
      </w:r>
      <w:r>
        <w:rPr>
          <w:w w:val="99"/>
        </w:rPr>
        <w:t> </w:t>
      </w:r>
      <w:r>
        <w:rPr/>
        <w:t>准安徽皖通科技股份有限公司非公开发行股票的批复》（证监许可</w:t>
      </w:r>
      <w:r>
        <w:rPr>
          <w:rFonts w:ascii="Times New Roman" w:hAnsi="Times New Roman" w:cs="Times New Roman" w:eastAsia="Times New Roman" w:hint="default"/>
        </w:rPr>
        <w:t>[2014]875</w:t>
      </w:r>
      <w:r>
        <w:rPr/>
        <w:t>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w:t>
      </w:r>
      <w:r>
        <w:rPr>
          <w:w w:val="99"/>
        </w:rPr>
        <w:t> </w:t>
      </w:r>
      <w:r>
        <w:rPr>
          <w:spacing w:val="-1"/>
          <w:w w:val="95"/>
        </w:rPr>
        <w:t>非公开发行人民币普通股（</w:t>
      </w:r>
      <w:r>
        <w:rPr>
          <w:rFonts w:ascii="Times New Roman" w:hAnsi="Times New Roman" w:cs="Times New Roman" w:eastAsia="Times New Roman" w:hint="default"/>
          <w:spacing w:val="-1"/>
          <w:w w:val="95"/>
        </w:rPr>
        <w:t>A</w:t>
      </w:r>
      <w:r>
        <w:rPr>
          <w:spacing w:val="-1"/>
          <w:w w:val="95"/>
        </w:rPr>
        <w:t>股）</w:t>
      </w:r>
      <w:r>
        <w:rPr>
          <w:rFonts w:ascii="Times New Roman" w:hAnsi="Times New Roman" w:cs="Times New Roman" w:eastAsia="Times New Roman" w:hint="default"/>
          <w:spacing w:val="-1"/>
          <w:w w:val="95"/>
        </w:rPr>
        <w:t>29,026,058</w:t>
      </w:r>
      <w:r>
        <w:rPr>
          <w:spacing w:val="-1"/>
          <w:w w:val="95"/>
        </w:rPr>
        <w:t>股，每股发行价格</w:t>
      </w:r>
      <w:r>
        <w:rPr>
          <w:rFonts w:ascii="Times New Roman" w:hAnsi="Times New Roman" w:cs="Times New Roman" w:eastAsia="Times New Roman" w:hint="default"/>
          <w:spacing w:val="-1"/>
          <w:w w:val="95"/>
        </w:rPr>
        <w:t>13.01</w:t>
      </w:r>
      <w:r>
        <w:rPr>
          <w:spacing w:val="-1"/>
          <w:w w:val="95"/>
        </w:rPr>
        <w:t>元，募集资金总额为</w:t>
      </w:r>
      <w:r>
        <w:rPr>
          <w:rFonts w:ascii="Times New Roman" w:hAnsi="Times New Roman" w:cs="Times New Roman" w:eastAsia="Times New Roman" w:hint="default"/>
          <w:spacing w:val="-1"/>
          <w:w w:val="95"/>
        </w:rPr>
        <w:t>377,629,014.58</w:t>
      </w:r>
      <w:r>
        <w:rPr>
          <w:spacing w:val="-1"/>
          <w:w w:val="95"/>
        </w:rPr>
        <w:t>元，</w:t>
      </w:r>
      <w:r>
        <w:rPr>
          <w:spacing w:val="62"/>
          <w:w w:val="95"/>
        </w:rPr>
        <w:t> </w:t>
      </w:r>
      <w:r>
        <w:rPr>
          <w:spacing w:val="62"/>
          <w:w w:val="95"/>
        </w:rPr>
      </w:r>
      <w:r>
        <w:rPr>
          <w:spacing w:val="-9"/>
          <w:w w:val="99"/>
        </w:rPr>
        <w:t>扣除发行费用（包括保荐承销费、律师费、会计师费、股份登记费等）后，实际募集资金净额为</w:t>
      </w:r>
      <w:r>
        <w:rPr>
          <w:rFonts w:ascii="Times New Roman" w:hAnsi="Times New Roman" w:cs="Times New Roman" w:eastAsia="Times New Roman" w:hint="default"/>
          <w:spacing w:val="-9"/>
          <w:w w:val="99"/>
        </w:rPr>
        <w:t>361,949,988.52</w:t>
      </w:r>
      <w:r>
        <w:rPr>
          <w:rFonts w:ascii="Times New Roman" w:hAnsi="Times New Roman" w:cs="Times New Roman" w:eastAsia="Times New Roman" w:hint="default"/>
          <w:spacing w:val="-17"/>
          <w:w w:val="99"/>
        </w:rPr>
        <w:t> </w:t>
      </w:r>
      <w:r>
        <w:rPr>
          <w:rFonts w:ascii="Times New Roman" w:hAnsi="Times New Roman" w:cs="Times New Roman" w:eastAsia="Times New Roman" w:hint="default"/>
          <w:spacing w:val="-17"/>
          <w:w w:val="99"/>
        </w:rPr>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日，本次新增股份</w:t>
      </w:r>
      <w:r>
        <w:rPr>
          <w:rFonts w:ascii="Times New Roman" w:hAnsi="Times New Roman" w:cs="Times New Roman" w:eastAsia="Times New Roman" w:hint="default"/>
        </w:rPr>
        <w:t>29,026,058</w:t>
      </w:r>
      <w:r>
        <w:rPr/>
        <w:t>股在深圳证券交易所上市。本次非公开发行股份完成后，公</w:t>
      </w:r>
      <w:r>
        <w:rPr>
          <w:w w:val="99"/>
        </w:rPr>
        <w:t> </w:t>
      </w:r>
      <w:r>
        <w:rPr/>
        <w:t>司总股本增加至</w:t>
      </w:r>
      <w:r>
        <w:rPr>
          <w:rFonts w:ascii="Times New Roman" w:hAnsi="Times New Roman" w:cs="Times New Roman" w:eastAsia="Times New Roman" w:hint="default"/>
        </w:rPr>
        <w:t>243,282,678</w:t>
      </w:r>
      <w:r>
        <w:rPr/>
        <w:t>股。公司</w:t>
      </w:r>
      <w:r>
        <w:rPr>
          <w:rFonts w:ascii="Times New Roman" w:hAnsi="Times New Roman" w:cs="Times New Roman" w:eastAsia="Times New Roman" w:hint="default"/>
        </w:rPr>
        <w:t>2013</w:t>
      </w:r>
      <w:r>
        <w:rPr/>
        <w:t>年非公开发行股票事项重要公告如下表：</w:t>
      </w:r>
    </w:p>
    <w:tbl>
      <w:tblPr>
        <w:tblW w:w="0" w:type="auto"/>
        <w:jc w:val="left"/>
        <w:tblInd w:w="141" w:type="dxa"/>
        <w:tblLayout w:type="fixed"/>
        <w:tblCellMar>
          <w:top w:w="0" w:type="dxa"/>
          <w:left w:w="0" w:type="dxa"/>
          <w:bottom w:w="0" w:type="dxa"/>
          <w:right w:w="0" w:type="dxa"/>
        </w:tblCellMar>
        <w:tblLook w:val="01E0"/>
      </w:tblPr>
      <w:tblGrid>
        <w:gridCol w:w="4777"/>
        <w:gridCol w:w="2190"/>
        <w:gridCol w:w="2600"/>
      </w:tblGrid>
      <w:tr>
        <w:trPr>
          <w:trHeight w:val="427" w:hRule="exact"/>
        </w:trPr>
        <w:tc>
          <w:tcPr>
            <w:tcW w:w="477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1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《安徽皖通科技股份有限公司重大事项停牌公告》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《安徽皖通科技股份有限公司第三届董事会第五次会议决议 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《安徽皖通科技股份有限公司第三届监事会第五次会议决议 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年第三次临时股东大会决 议公告》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《安徽皖通科技股份有限公司关于非公开发行股票摊薄即期 回报影响及公司采取措施的公告》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《安徽皖通科技股份有限公司关于最近五年被证券监管部门 和交易所处罚或采取监管措施情况的公告》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年度分红派息实施后 调整非公开发行股票发行底价的公告》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《安徽皖通科技股份有限公司关于非公开发行股票相关事项 的公告》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《安徽皖通科技股份有限公司关于非公开发行股票申请获得 中国证监会发行审核委员会审核通过的公告》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《安徽皖通科技股份有限公司关于非公开发行股票获得中国 证监会核准批文的公告》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《安徽皖通科技股份有限公司关于签订募集资金三方监管协 议的公告》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《安徽皖通科技股份有限公司关于签订募集资金三方监管协 议的更正公告》</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《安徽皖通科技股份有限公司非公开发行股票发行情况报告 书暨上市公告书》</w:t>
            </w:r>
          </w:p>
        </w:tc>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bl>
    <w:p>
      <w:pPr>
        <w:pStyle w:val="BodyText"/>
        <w:spacing w:line="240" w:lineRule="auto" w:before="44"/>
        <w:ind w:left="532" w:right="108"/>
        <w:jc w:val="left"/>
      </w:pPr>
      <w:r>
        <w:rPr/>
        <w:t>（二）公司因筹划重大事项，公司股票自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日开市起停牌；鉴于公司筹划的重大事项构成</w:t>
      </w:r>
    </w:p>
    <w:p>
      <w:pPr>
        <w:spacing w:after="0" w:line="240"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40" w:lineRule="auto" w:before="34"/>
        <w:ind w:right="0"/>
        <w:jc w:val="both"/>
      </w:pPr>
      <w:r>
        <w:rPr/>
        <w:t>重</w:t>
      </w:r>
      <w:r>
        <w:rPr>
          <w:spacing w:val="-73"/>
        </w:rPr>
        <w:t> </w:t>
      </w:r>
      <w:r>
        <w:rPr/>
        <w:t>大</w:t>
      </w:r>
      <w:r>
        <w:rPr>
          <w:spacing w:val="-73"/>
        </w:rPr>
        <w:t> </w:t>
      </w:r>
      <w:r>
        <w:rPr/>
        <w:t>资</w:t>
      </w:r>
      <w:r>
        <w:rPr>
          <w:spacing w:val="-73"/>
        </w:rPr>
        <w:t> </w:t>
      </w:r>
      <w:r>
        <w:rPr/>
        <w:t>产</w:t>
      </w:r>
      <w:r>
        <w:rPr>
          <w:spacing w:val="-73"/>
        </w:rPr>
        <w:t> </w:t>
      </w:r>
      <w:r>
        <w:rPr/>
        <w:t>重</w:t>
      </w:r>
      <w:r>
        <w:rPr>
          <w:spacing w:val="-73"/>
        </w:rPr>
        <w:t> </w:t>
      </w:r>
      <w:r>
        <w:rPr/>
        <w:t>组</w:t>
      </w:r>
      <w:r>
        <w:rPr>
          <w:spacing w:val="-73"/>
        </w:rPr>
        <w:t> </w:t>
      </w:r>
      <w:r>
        <w:rPr/>
        <w:t>事</w:t>
      </w:r>
      <w:r>
        <w:rPr>
          <w:spacing w:val="-71"/>
        </w:rPr>
        <w:t> </w:t>
      </w:r>
      <w:r>
        <w:rPr/>
        <w:t>项</w:t>
      </w:r>
      <w:r>
        <w:rPr>
          <w:spacing w:val="-73"/>
        </w:rPr>
        <w:t> </w:t>
      </w:r>
      <w:r>
        <w:rPr/>
        <w:t>，</w:t>
      </w:r>
      <w:r>
        <w:rPr>
          <w:spacing w:val="-73"/>
        </w:rPr>
        <w:t> </w:t>
      </w:r>
      <w:r>
        <w:rPr/>
        <w:t>公</w:t>
      </w:r>
      <w:r>
        <w:rPr>
          <w:spacing w:val="-73"/>
        </w:rPr>
        <w:t> </w:t>
      </w:r>
      <w:r>
        <w:rPr/>
        <w:t>司</w:t>
      </w:r>
      <w:r>
        <w:rPr>
          <w:spacing w:val="-73"/>
        </w:rPr>
        <w:t> </w:t>
      </w:r>
      <w:r>
        <w:rPr/>
        <w:t>于</w:t>
      </w:r>
      <w:r>
        <w:rPr>
          <w:spacing w:val="-7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w:t>
      </w:r>
      <w:r>
        <w:rPr>
          <w:spacing w:val="-73"/>
        </w:rPr>
        <w:t> </w:t>
      </w:r>
      <w:r>
        <w:rPr>
          <w:rFonts w:ascii="Times New Roman" w:hAnsi="Times New Roman" w:cs="Times New Roman" w:eastAsia="Times New Roman" w:hint="default"/>
        </w:rPr>
        <w:t>11</w:t>
      </w:r>
      <w:r>
        <w:rPr>
          <w:rFonts w:ascii="Times New Roman" w:hAnsi="Times New Roman" w:cs="Times New Roman" w:eastAsia="Times New Roman" w:hint="default"/>
          <w:spacing w:val="-22"/>
        </w:rPr>
        <w:t> </w:t>
      </w:r>
      <w:r>
        <w:rPr/>
        <w:t>月</w:t>
      </w:r>
      <w:r>
        <w:rPr>
          <w:spacing w:val="-73"/>
        </w:rPr>
        <w:t> </w:t>
      </w:r>
      <w:r>
        <w:rPr>
          <w:rFonts w:ascii="Times New Roman" w:hAnsi="Times New Roman" w:cs="Times New Roman" w:eastAsia="Times New Roman" w:hint="default"/>
        </w:rPr>
        <w:t>26</w:t>
      </w:r>
      <w:r>
        <w:rPr>
          <w:rFonts w:ascii="Times New Roman" w:hAnsi="Times New Roman" w:cs="Times New Roman" w:eastAsia="Times New Roman" w:hint="default"/>
          <w:spacing w:val="-22"/>
        </w:rPr>
        <w:t> </w:t>
      </w:r>
      <w:r>
        <w:rPr/>
        <w:t>日</w:t>
      </w:r>
      <w:r>
        <w:rPr>
          <w:spacing w:val="-73"/>
        </w:rPr>
        <w:t> </w:t>
      </w:r>
      <w:r>
        <w:rPr/>
        <w:t>在</w:t>
      </w:r>
      <w:r>
        <w:rPr>
          <w:spacing w:val="-73"/>
        </w:rPr>
        <w:t> </w:t>
      </w:r>
      <w:r>
        <w:rPr/>
        <w:t>《</w:t>
      </w:r>
      <w:r>
        <w:rPr>
          <w:spacing w:val="-73"/>
        </w:rPr>
        <w:t> </w:t>
      </w:r>
      <w:r>
        <w:rPr/>
        <w:t>证</w:t>
      </w:r>
      <w:r>
        <w:rPr>
          <w:spacing w:val="-73"/>
        </w:rPr>
        <w:t> </w:t>
      </w:r>
      <w:r>
        <w:rPr/>
        <w:t>券</w:t>
      </w:r>
      <w:r>
        <w:rPr>
          <w:spacing w:val="-73"/>
        </w:rPr>
        <w:t> </w:t>
      </w:r>
      <w:r>
        <w:rPr/>
        <w:t>时</w:t>
      </w:r>
      <w:r>
        <w:rPr>
          <w:spacing w:val="-73"/>
        </w:rPr>
        <w:t> </w:t>
      </w:r>
      <w:r>
        <w:rPr/>
        <w:t>报</w:t>
      </w:r>
      <w:r>
        <w:rPr>
          <w:spacing w:val="-71"/>
        </w:rPr>
        <w:t> </w:t>
      </w:r>
      <w:r>
        <w:rPr/>
        <w:t>》</w:t>
      </w:r>
      <w:r>
        <w:rPr>
          <w:spacing w:val="-73"/>
        </w:rPr>
        <w:t> </w:t>
      </w:r>
      <w:r>
        <w:rPr/>
        <w:t>、</w:t>
      </w:r>
      <w:r>
        <w:rPr>
          <w:spacing w:val="-73"/>
        </w:rPr>
        <w:t> </w:t>
      </w:r>
      <w:r>
        <w:rPr/>
        <w:t>《</w:t>
      </w:r>
      <w:r>
        <w:rPr>
          <w:spacing w:val="-73"/>
        </w:rPr>
        <w:t> </w:t>
      </w:r>
      <w:r>
        <w:rPr/>
        <w:t>中</w:t>
      </w:r>
      <w:r>
        <w:rPr>
          <w:spacing w:val="-73"/>
        </w:rPr>
        <w:t> </w:t>
      </w:r>
      <w:r>
        <w:rPr/>
        <w:t>国</w:t>
      </w:r>
      <w:r>
        <w:rPr>
          <w:spacing w:val="-73"/>
        </w:rPr>
        <w:t> </w:t>
      </w:r>
      <w:r>
        <w:rPr/>
        <w:t>证</w:t>
      </w:r>
      <w:r>
        <w:rPr>
          <w:spacing w:val="-73"/>
        </w:rPr>
        <w:t> </w:t>
      </w:r>
      <w:r>
        <w:rPr/>
        <w:t>券</w:t>
      </w:r>
      <w:r>
        <w:rPr>
          <w:spacing w:val="-73"/>
        </w:rPr>
        <w:t> </w:t>
      </w:r>
      <w:r>
        <w:rPr/>
        <w:t>报</w:t>
      </w:r>
      <w:r>
        <w:rPr>
          <w:spacing w:val="-73"/>
        </w:rPr>
        <w:t> </w:t>
      </w:r>
      <w:r>
        <w:rPr/>
        <w:t>》</w:t>
      </w:r>
      <w:r>
        <w:rPr>
          <w:spacing w:val="-73"/>
        </w:rPr>
        <w:t> </w:t>
      </w:r>
      <w:r>
        <w:rPr/>
        <w:t>和</w:t>
      </w:r>
      <w:r>
        <w:rPr>
          <w:spacing w:val="-73"/>
        </w:rPr>
        <w:t> </w:t>
      </w:r>
      <w:r>
        <w:rPr/>
        <w:t>巨</w:t>
      </w:r>
      <w:r>
        <w:rPr>
          <w:spacing w:val="-73"/>
        </w:rPr>
        <w:t> </w:t>
      </w:r>
      <w:r>
        <w:rPr/>
        <w:t>潮</w:t>
      </w:r>
      <w:r>
        <w:rPr>
          <w:spacing w:val="-73"/>
        </w:rPr>
        <w:t> </w:t>
      </w:r>
      <w:r>
        <w:rPr/>
        <w:t>资</w:t>
      </w:r>
      <w:r>
        <w:rPr>
          <w:spacing w:val="-73"/>
        </w:rPr>
        <w:t> </w:t>
      </w:r>
      <w:r>
        <w:rPr/>
        <w:t>讯</w:t>
      </w:r>
      <w:r>
        <w:rPr>
          <w:spacing w:val="-71"/>
        </w:rPr>
        <w:t> </w:t>
      </w:r>
      <w:r>
        <w:rPr/>
        <w:t>网</w:t>
      </w:r>
    </w:p>
    <w:p>
      <w:pPr>
        <w:pStyle w:val="BodyText"/>
        <w:spacing w:line="256" w:lineRule="auto" w:before="21"/>
        <w:ind w:right="105"/>
        <w:jc w:val="both"/>
      </w:pPr>
      <w:r>
        <w:rPr/>
        <w:t>（</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）刊登了《安徽皖通科技股份有限公司重大资产重组的停牌公告》，公司股票</w:t>
      </w:r>
      <w:r>
        <w:rPr>
          <w:spacing w:val="-43"/>
        </w:rPr>
        <w:t> </w:t>
      </w:r>
      <w:r>
        <w:rPr>
          <w:spacing w:val="-43"/>
        </w:rPr>
      </w:r>
      <w:r>
        <w:rPr>
          <w:spacing w:val="2"/>
          <w:w w:val="95"/>
        </w:rPr>
        <w:t>自</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11</w:t>
      </w:r>
      <w:r>
        <w:rPr>
          <w:spacing w:val="2"/>
          <w:w w:val="95"/>
        </w:rPr>
        <w:t>月</w:t>
      </w:r>
      <w:r>
        <w:rPr>
          <w:rFonts w:ascii="Times New Roman" w:hAnsi="Times New Roman" w:cs="Times New Roman" w:eastAsia="Times New Roman" w:hint="default"/>
          <w:spacing w:val="2"/>
          <w:w w:val="95"/>
        </w:rPr>
        <w:t>26</w:t>
      </w:r>
      <w:r>
        <w:rPr>
          <w:spacing w:val="2"/>
          <w:w w:val="95"/>
        </w:rPr>
        <w:t>日开市起继续停牌；</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12</w:t>
      </w:r>
      <w:r>
        <w:rPr>
          <w:spacing w:val="2"/>
          <w:w w:val="95"/>
        </w:rPr>
        <w:t>月</w:t>
      </w:r>
      <w:r>
        <w:rPr>
          <w:rFonts w:ascii="Times New Roman" w:hAnsi="Times New Roman" w:cs="Times New Roman" w:eastAsia="Times New Roman" w:hint="default"/>
          <w:spacing w:val="2"/>
          <w:w w:val="95"/>
        </w:rPr>
        <w:t>1</w:t>
      </w:r>
      <w:r>
        <w:rPr>
          <w:spacing w:val="2"/>
          <w:w w:val="95"/>
        </w:rPr>
        <w:t>日公司召开第三届董事会</w:t>
      </w:r>
      <w:r>
        <w:rPr>
          <w:rFonts w:ascii="Times New Roman" w:hAnsi="Times New Roman" w:cs="Times New Roman" w:eastAsia="Times New Roman" w:hint="default"/>
          <w:spacing w:val="2"/>
          <w:w w:val="95"/>
        </w:rPr>
        <w:t>2014</w:t>
      </w:r>
      <w:r>
        <w:rPr>
          <w:spacing w:val="2"/>
          <w:w w:val="95"/>
        </w:rPr>
        <w:t>年第一次临时会议，审议</w:t>
      </w:r>
      <w:r>
        <w:rPr>
          <w:spacing w:val="27"/>
          <w:w w:val="95"/>
        </w:rPr>
        <w:t> </w:t>
      </w:r>
      <w:r>
        <w:rPr>
          <w:spacing w:val="27"/>
          <w:w w:val="95"/>
        </w:rPr>
      </w:r>
      <w:r>
        <w:rPr>
          <w:w w:val="95"/>
        </w:rPr>
        <w:t>通过了《关于公司筹划重大资产重组事项的议案》，同意公司筹划重大资产重组事项；公司分别于</w:t>
      </w:r>
      <w:r>
        <w:rPr>
          <w:rFonts w:ascii="Times New Roman" w:hAnsi="Times New Roman" w:cs="Times New Roman" w:eastAsia="Times New Roman" w:hint="default"/>
          <w:w w:val="95"/>
        </w:rPr>
        <w:t>2014</w:t>
      </w:r>
      <w:r>
        <w:rPr>
          <w:w w:val="95"/>
        </w:rPr>
        <w:t>年</w:t>
      </w:r>
      <w:r>
        <w:rPr>
          <w:spacing w:val="44"/>
          <w:w w:val="95"/>
        </w:rPr>
        <w:t> </w:t>
      </w:r>
      <w:r>
        <w:rPr>
          <w:rFonts w:ascii="Times New Roman" w:hAnsi="Times New Roman" w:cs="Times New Roman" w:eastAsia="Times New Roman" w:hint="default"/>
          <w:spacing w:val="6"/>
          <w:w w:val="95"/>
        </w:rPr>
        <w:t>12</w:t>
      </w:r>
      <w:r>
        <w:rPr>
          <w:spacing w:val="6"/>
          <w:w w:val="95"/>
        </w:rPr>
        <w:t>月</w:t>
      </w:r>
      <w:r>
        <w:rPr>
          <w:rFonts w:ascii="Times New Roman" w:hAnsi="Times New Roman" w:cs="Times New Roman" w:eastAsia="Times New Roman" w:hint="default"/>
          <w:spacing w:val="6"/>
          <w:w w:val="95"/>
        </w:rPr>
        <w:t>3</w:t>
      </w:r>
      <w:r>
        <w:rPr>
          <w:spacing w:val="6"/>
          <w:w w:val="95"/>
        </w:rPr>
        <w:t>日、</w:t>
      </w:r>
      <w:r>
        <w:rPr>
          <w:rFonts w:ascii="Times New Roman" w:hAnsi="Times New Roman" w:cs="Times New Roman" w:eastAsia="Times New Roman" w:hint="default"/>
          <w:spacing w:val="6"/>
          <w:w w:val="95"/>
        </w:rPr>
        <w:t>12</w:t>
      </w:r>
      <w:r>
        <w:rPr>
          <w:spacing w:val="6"/>
          <w:w w:val="95"/>
        </w:rPr>
        <w:t>月</w:t>
      </w:r>
      <w:r>
        <w:rPr>
          <w:rFonts w:ascii="Times New Roman" w:hAnsi="Times New Roman" w:cs="Times New Roman" w:eastAsia="Times New Roman" w:hint="default"/>
          <w:spacing w:val="6"/>
          <w:w w:val="95"/>
        </w:rPr>
        <w:t>10</w:t>
      </w:r>
      <w:r>
        <w:rPr>
          <w:spacing w:val="6"/>
          <w:w w:val="95"/>
        </w:rPr>
        <w:t>日、</w:t>
      </w:r>
      <w:r>
        <w:rPr>
          <w:rFonts w:ascii="Times New Roman" w:hAnsi="Times New Roman" w:cs="Times New Roman" w:eastAsia="Times New Roman" w:hint="default"/>
          <w:spacing w:val="6"/>
          <w:w w:val="95"/>
        </w:rPr>
        <w:t>12</w:t>
      </w:r>
      <w:r>
        <w:rPr>
          <w:spacing w:val="6"/>
          <w:w w:val="95"/>
        </w:rPr>
        <w:t>月</w:t>
      </w:r>
      <w:r>
        <w:rPr>
          <w:rFonts w:ascii="Times New Roman" w:hAnsi="Times New Roman" w:cs="Times New Roman" w:eastAsia="Times New Roman" w:hint="default"/>
          <w:spacing w:val="6"/>
          <w:w w:val="95"/>
        </w:rPr>
        <w:t>17</w:t>
      </w:r>
      <w:r>
        <w:rPr>
          <w:spacing w:val="6"/>
          <w:w w:val="95"/>
        </w:rPr>
        <w:t>日、</w:t>
      </w:r>
      <w:r>
        <w:rPr>
          <w:rFonts w:ascii="Times New Roman" w:hAnsi="Times New Roman" w:cs="Times New Roman" w:eastAsia="Times New Roman" w:hint="default"/>
          <w:spacing w:val="6"/>
          <w:w w:val="95"/>
        </w:rPr>
        <w:t>12</w:t>
      </w:r>
      <w:r>
        <w:rPr>
          <w:spacing w:val="6"/>
          <w:w w:val="95"/>
        </w:rPr>
        <w:t>月</w:t>
      </w:r>
      <w:r>
        <w:rPr>
          <w:rFonts w:ascii="Times New Roman" w:hAnsi="Times New Roman" w:cs="Times New Roman" w:eastAsia="Times New Roman" w:hint="default"/>
          <w:spacing w:val="6"/>
          <w:w w:val="95"/>
        </w:rPr>
        <w:t>24</w:t>
      </w:r>
      <w:r>
        <w:rPr>
          <w:spacing w:val="6"/>
          <w:w w:val="95"/>
        </w:rPr>
        <w:t>日、</w:t>
      </w:r>
      <w:r>
        <w:rPr>
          <w:rFonts w:ascii="Times New Roman" w:hAnsi="Times New Roman" w:cs="Times New Roman" w:eastAsia="Times New Roman" w:hint="default"/>
          <w:spacing w:val="6"/>
          <w:w w:val="95"/>
        </w:rPr>
        <w:t>12</w:t>
      </w:r>
      <w:r>
        <w:rPr>
          <w:spacing w:val="6"/>
          <w:w w:val="95"/>
        </w:rPr>
        <w:t>月</w:t>
      </w:r>
      <w:r>
        <w:rPr>
          <w:rFonts w:ascii="Times New Roman" w:hAnsi="Times New Roman" w:cs="Times New Roman" w:eastAsia="Times New Roman" w:hint="default"/>
          <w:spacing w:val="6"/>
          <w:w w:val="95"/>
        </w:rPr>
        <w:t>26</w:t>
      </w:r>
      <w:r>
        <w:rPr>
          <w:spacing w:val="6"/>
          <w:w w:val="95"/>
        </w:rPr>
        <w:t>日在《证券时报》、《中国证券报》和巨潮资讯网</w:t>
      </w:r>
      <w:r>
        <w:rPr>
          <w:spacing w:val="6"/>
        </w:rPr>
      </w:r>
    </w:p>
    <w:p>
      <w:pPr>
        <w:pStyle w:val="BodyText"/>
        <w:spacing w:line="256" w:lineRule="auto" w:before="5"/>
        <w:ind w:right="105"/>
        <w:jc w:val="both"/>
      </w:pPr>
      <w:r>
        <w:rPr/>
        <w:t>（</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）刊登了《安徽皖通科技股份有限公司重大资产重组停牌进展公告》和《安徽</w:t>
      </w:r>
      <w:r>
        <w:rPr>
          <w:spacing w:val="-43"/>
        </w:rPr>
        <w:t> </w:t>
      </w:r>
      <w:r>
        <w:rPr>
          <w:spacing w:val="-43"/>
        </w:rPr>
      </w:r>
      <w:r>
        <w:rPr>
          <w:w w:val="95"/>
        </w:rPr>
        <w:t>皖通科技股份有限公司重大资产重组进展暨延期复牌公告》；目前该事项正在平稳推进。公司</w:t>
      </w:r>
      <w:r>
        <w:rPr>
          <w:rFonts w:ascii="Times New Roman" w:hAnsi="Times New Roman" w:cs="Times New Roman" w:eastAsia="Times New Roman" w:hint="default"/>
          <w:w w:val="95"/>
        </w:rPr>
        <w:t>2014</w:t>
      </w:r>
      <w:r>
        <w:rPr>
          <w:w w:val="95"/>
        </w:rPr>
        <w:t>年重大</w:t>
      </w:r>
      <w:r>
        <w:rPr>
          <w:spacing w:val="40"/>
          <w:w w:val="95"/>
        </w:rPr>
        <w:t> </w:t>
      </w:r>
      <w:r>
        <w:rPr>
          <w:spacing w:val="40"/>
          <w:w w:val="95"/>
        </w:rPr>
      </w:r>
      <w:r>
        <w:rPr/>
        <w:t>资产重组事项相关公告如下表：</w:t>
      </w:r>
    </w:p>
    <w:p>
      <w:pPr>
        <w:spacing w:line="240" w:lineRule="auto" w:before="11"/>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4777"/>
        <w:gridCol w:w="2175"/>
        <w:gridCol w:w="2615"/>
      </w:tblGrid>
      <w:tr>
        <w:trPr>
          <w:trHeight w:val="427" w:hRule="exact"/>
        </w:trPr>
        <w:tc>
          <w:tcPr>
            <w:tcW w:w="477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17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0"/>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1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《安徽皖通科技股份有限公司重大事项停牌公告》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《安徽皖通科技股份有限公司重大事项停牌进展公告》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《安徽皖通科技股份有限公司重大事项停牌进展公告》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《安徽皖通科技股份有限公司重大资产重组的停牌公告》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 时会议公告》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《安徽皖通科技股份有限公司重大资产重组进展公告》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2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7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8"/>
              <w:jc w:val="left"/>
              <w:rPr>
                <w:rFonts w:ascii="宋体" w:hAnsi="宋体" w:cs="宋体" w:eastAsia="宋体" w:hint="default"/>
                <w:sz w:val="18"/>
                <w:szCs w:val="18"/>
              </w:rPr>
            </w:pPr>
            <w:r>
              <w:rPr>
                <w:rFonts w:ascii="宋体" w:hAnsi="宋体" w:cs="宋体" w:eastAsia="宋体" w:hint="default"/>
                <w:sz w:val="18"/>
                <w:szCs w:val="18"/>
              </w:rPr>
              <w:t>《安徽皖通科技股份有限公司重大资产重组进展暨延期复牌 公告》</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color w:val="0000FF"/>
                <w:sz w:val="18"/>
              </w:rPr>
            </w:r>
            <w:hyperlink r:id="rId12">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20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left="392" w:right="0"/>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39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33"/>
        <w:gridCol w:w="1019"/>
        <w:gridCol w:w="842"/>
        <w:gridCol w:w="918"/>
        <w:gridCol w:w="843"/>
        <w:gridCol w:w="843"/>
        <w:gridCol w:w="995"/>
        <w:gridCol w:w="919"/>
        <w:gridCol w:w="966"/>
        <w:gridCol w:w="820"/>
      </w:tblGrid>
      <w:tr>
        <w:trPr>
          <w:trHeight w:val="402" w:hRule="exact"/>
        </w:trPr>
        <w:tc>
          <w:tcPr>
            <w:tcW w:w="2033" w:type="dxa"/>
            <w:vMerge w:val="restart"/>
            <w:tcBorders>
              <w:top w:val="single" w:sz="4" w:space="0" w:color="000000"/>
              <w:left w:val="single" w:sz="4" w:space="0" w:color="000000"/>
              <w:right w:val="single" w:sz="4" w:space="0" w:color="000000"/>
            </w:tcBorders>
            <w:shd w:val="clear" w:color="auto" w:fill="D3D3D3"/>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1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6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6" w:right="56"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94,347,818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29,026,058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-36,777,972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-7,751,914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86,595,904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35.59%</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94,347,818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29,026,058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-36,777,972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-7,751,914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86,595,904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20,017,069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29,026,058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-20,017,069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9,008,989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29,026,058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11.94%</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74,330,749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-16,760,903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-16,760,90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57,569,846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9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119,908,802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36,777,972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36,777,972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156,686,774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64.41%</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119,908,802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36,777,972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36,777,972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156,686,774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214,256,620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29,026,058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29,026,058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243,282,678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392"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39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6" w:lineRule="auto" w:before="78"/>
        <w:ind w:left="392" w:right="0" w:firstLine="348"/>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日发布了《安徽皖通科技股份有限公司关于股权变动的提示性公告》。根据该</w:t>
      </w:r>
      <w:r>
        <w:rPr>
          <w:w w:val="99"/>
        </w:rPr>
        <w:t> </w:t>
      </w:r>
      <w:r>
        <w:rPr>
          <w:w w:val="95"/>
        </w:rPr>
        <w:t>公告，烟台华东注销后，其持有的公司股份</w:t>
      </w:r>
      <w:r>
        <w:rPr>
          <w:rFonts w:ascii="Times New Roman" w:hAnsi="Times New Roman" w:cs="Times New Roman" w:eastAsia="Times New Roman" w:hint="default"/>
          <w:w w:val="95"/>
        </w:rPr>
        <w:t>20,017,069</w:t>
      </w:r>
      <w:r>
        <w:rPr>
          <w:w w:val="95"/>
        </w:rPr>
        <w:t>股由其股东按照所占烟台华东的股权比例进行分配。</w:t>
      </w:r>
      <w:r>
        <w:rPr>
          <w:spacing w:val="45"/>
          <w:w w:val="95"/>
        </w:rPr>
        <w:t> </w:t>
      </w:r>
      <w:r>
        <w:rPr>
          <w:spacing w:val="45"/>
          <w:w w:val="95"/>
        </w:rPr>
      </w:r>
      <w:r>
        <w:rPr/>
        <w:t>烟台华东的各位股东已于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日完成了上述股份的过户手续，根据中国证券登记结算有限责任公</w:t>
      </w:r>
      <w:r>
        <w:rPr>
          <w:w w:val="99"/>
        </w:rPr>
        <w:t> </w:t>
      </w:r>
      <w:r>
        <w:rPr/>
        <w:t>司深圳分公司向烟台华东各位股东出具的《证券过户登记确认书》，过户后，王志洁、程庆威等</w:t>
      </w:r>
      <w:r>
        <w:rPr>
          <w:rFonts w:ascii="Times New Roman" w:hAnsi="Times New Roman" w:cs="Times New Roman" w:eastAsia="Times New Roman" w:hint="default"/>
        </w:rPr>
        <w:t>30</w:t>
      </w:r>
      <w:r>
        <w:rPr/>
        <w:t>名股东</w:t>
      </w:r>
      <w:r>
        <w:rPr>
          <w:w w:val="99"/>
        </w:rPr>
        <w:t> </w:t>
      </w:r>
      <w:r>
        <w:rPr/>
        <w:t>分别直接持有公司股份，合计持股数量为</w:t>
      </w:r>
      <w:r>
        <w:rPr>
          <w:rFonts w:ascii="Times New Roman" w:hAnsi="Times New Roman" w:cs="Times New Roman" w:eastAsia="Times New Roman" w:hint="default"/>
        </w:rPr>
        <w:t>20,017,069</w:t>
      </w:r>
      <w:r>
        <w:rPr/>
        <w:t>股，占公司总股份的</w:t>
      </w:r>
      <w:r>
        <w:rPr>
          <w:rFonts w:ascii="Times New Roman" w:hAnsi="Times New Roman" w:cs="Times New Roman" w:eastAsia="Times New Roman" w:hint="default"/>
        </w:rPr>
        <w:t>9.34%</w:t>
      </w:r>
      <w:r>
        <w:rPr/>
        <w:t>；</w:t>
      </w:r>
    </w:p>
    <w:p>
      <w:pPr>
        <w:pStyle w:val="BodyText"/>
        <w:spacing w:line="256" w:lineRule="auto" w:before="5"/>
        <w:ind w:left="392" w:right="0" w:firstLine="348"/>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日发布了《安徽皖通科技股份有限公司关于非公开发行股份股东权益变动的提</w:t>
      </w:r>
      <w:r>
        <w:rPr>
          <w:w w:val="99"/>
        </w:rPr>
        <w:t> </w:t>
      </w:r>
      <w:r>
        <w:rPr>
          <w:w w:val="95"/>
        </w:rPr>
        <w:t>示性公告》。经中国证券监督管理委员会《关于核准安徽皖通科技股份有限公司非公开发行股票的批复》</w:t>
      </w:r>
      <w:r>
        <w:rPr/>
      </w:r>
    </w:p>
    <w:p>
      <w:pPr>
        <w:pStyle w:val="BodyText"/>
        <w:spacing w:line="264" w:lineRule="auto" w:before="22"/>
        <w:ind w:left="392" w:right="392"/>
        <w:jc w:val="both"/>
      </w:pPr>
      <w:r>
        <w:rPr>
          <w:spacing w:val="-1"/>
          <w:w w:val="95"/>
        </w:rPr>
        <w:t>（证监许可</w:t>
      </w:r>
      <w:r>
        <w:rPr>
          <w:rFonts w:ascii="Times New Roman" w:hAnsi="Times New Roman" w:cs="Times New Roman" w:eastAsia="Times New Roman" w:hint="default"/>
          <w:spacing w:val="-1"/>
          <w:w w:val="95"/>
        </w:rPr>
        <w:t>[2014]875</w:t>
      </w:r>
      <w:r>
        <w:rPr>
          <w:spacing w:val="-1"/>
          <w:w w:val="95"/>
        </w:rPr>
        <w:t>号），公司本次向交易对方易方达基金管理有限公司、财通基金管理有限公司、招商</w:t>
      </w:r>
      <w:r>
        <w:rPr>
          <w:spacing w:val="55"/>
          <w:w w:val="95"/>
        </w:rPr>
        <w:t> </w:t>
      </w:r>
      <w:r>
        <w:rPr>
          <w:spacing w:val="55"/>
          <w:w w:val="95"/>
        </w:rPr>
      </w:r>
      <w:r>
        <w:rPr>
          <w:w w:val="95"/>
        </w:rPr>
        <w:t>财富资产管理有限公司、东海基金管理有限责任公司和常州投资集团有限公司等五名机构投资者非公开发</w:t>
      </w:r>
      <w:r>
        <w:rPr>
          <w:spacing w:val="39"/>
          <w:w w:val="95"/>
        </w:rPr>
        <w:t> </w:t>
      </w:r>
      <w:r>
        <w:rPr>
          <w:spacing w:val="39"/>
          <w:w w:val="95"/>
        </w:rPr>
      </w:r>
      <w:r>
        <w:rPr/>
        <w:t>行人民币普通股</w:t>
      </w:r>
      <w:r>
        <w:rPr>
          <w:rFonts w:ascii="Times New Roman" w:hAnsi="Times New Roman" w:cs="Times New Roman" w:eastAsia="Times New Roman" w:hint="default"/>
        </w:rPr>
        <w:t>29,026,058</w:t>
      </w:r>
      <w:r>
        <w:rPr/>
        <w:t>股。上述非公开发行的</w:t>
      </w:r>
      <w:r>
        <w:rPr>
          <w:rFonts w:ascii="Times New Roman" w:hAnsi="Times New Roman" w:cs="Times New Roman" w:eastAsia="Times New Roman" w:hint="default"/>
        </w:rPr>
        <w:t>29,026,058</w:t>
      </w:r>
      <w:r>
        <w:rPr/>
        <w:t>股人民币普通股已于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日在中国证</w:t>
      </w:r>
    </w:p>
    <w:p>
      <w:pPr>
        <w:spacing w:after="0" w:line="264" w:lineRule="auto"/>
        <w:jc w:val="both"/>
        <w:sectPr>
          <w:pgSz w:w="11910" w:h="16840"/>
          <w:pgMar w:header="746" w:footer="978" w:top="1040" w:bottom="1160" w:left="740" w:right="740"/>
        </w:sectPr>
      </w:pPr>
    </w:p>
    <w:p>
      <w:pPr>
        <w:spacing w:line="240" w:lineRule="auto" w:before="6"/>
        <w:rPr>
          <w:rFonts w:ascii="宋体" w:hAnsi="宋体" w:cs="宋体" w:eastAsia="宋体" w:hint="default"/>
          <w:sz w:val="25"/>
          <w:szCs w:val="25"/>
        </w:rPr>
      </w:pPr>
    </w:p>
    <w:p>
      <w:pPr>
        <w:pStyle w:val="BodyText"/>
        <w:spacing w:line="256" w:lineRule="auto" w:before="34"/>
        <w:ind w:left="212" w:right="0"/>
        <w:jc w:val="left"/>
      </w:pPr>
      <w:r>
        <w:rPr>
          <w:w w:val="95"/>
        </w:rPr>
        <w:t>券登记结算有限责任公司深圳分公司办理股权登记手续，上市日期为</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30</w:t>
      </w:r>
      <w:r>
        <w:rPr>
          <w:w w:val="95"/>
        </w:rPr>
        <w:t>日。公司总股本由本次</w:t>
      </w:r>
      <w:r>
        <w:rPr>
          <w:spacing w:val="56"/>
          <w:w w:val="95"/>
        </w:rPr>
        <w:t> </w:t>
      </w:r>
      <w:r>
        <w:rPr>
          <w:spacing w:val="56"/>
          <w:w w:val="95"/>
        </w:rPr>
      </w:r>
      <w:r>
        <w:rPr/>
        <w:t>非公开发行股份前</w:t>
      </w:r>
      <w:r>
        <w:rPr>
          <w:rFonts w:ascii="Times New Roman" w:hAnsi="Times New Roman" w:cs="Times New Roman" w:eastAsia="Times New Roman" w:hint="default"/>
        </w:rPr>
        <w:t>214,256,620</w:t>
      </w:r>
      <w:r>
        <w:rPr/>
        <w:t>股增至</w:t>
      </w:r>
      <w:r>
        <w:rPr>
          <w:rFonts w:ascii="Times New Roman" w:hAnsi="Times New Roman" w:cs="Times New Roman" w:eastAsia="Times New Roman" w:hint="default"/>
        </w:rPr>
        <w:t>243,282,678</w:t>
      </w:r>
      <w:r>
        <w:rPr/>
        <w:t>股。</w:t>
      </w:r>
    </w:p>
    <w:p>
      <w:pPr>
        <w:spacing w:before="69"/>
        <w:ind w:left="2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632" w:right="0"/>
        <w:jc w:val="left"/>
      </w:pPr>
      <w:r>
        <w:rPr>
          <w:rFonts w:ascii="Times New Roman" w:hAnsi="Times New Roman" w:cs="Times New Roman" w:eastAsia="Times New Roman" w:hint="default"/>
        </w:rPr>
        <w:t>1</w:t>
      </w:r>
      <w:r>
        <w:rPr/>
        <w:t>、相关职能部门的批准；</w:t>
      </w:r>
    </w:p>
    <w:p>
      <w:pPr>
        <w:pStyle w:val="BodyText"/>
        <w:spacing w:line="256" w:lineRule="auto" w:before="21"/>
        <w:ind w:left="212" w:right="0" w:firstLine="420"/>
        <w:jc w:val="left"/>
      </w:pPr>
      <w:r>
        <w:rPr>
          <w:rFonts w:ascii="Times New Roman" w:hAnsi="Times New Roman" w:cs="Times New Roman" w:eastAsia="Times New Roman" w:hint="default"/>
          <w:w w:val="95"/>
        </w:rPr>
        <w:t>2</w:t>
      </w:r>
      <w:r>
        <w:rPr>
          <w:w w:val="95"/>
        </w:rPr>
        <w:t>、中国证券监督管理委员会《关于核准安徽皖通科技股份有限公司非公开发行股票的批复》（证监</w:t>
      </w:r>
      <w:r>
        <w:rPr>
          <w:spacing w:val="-85"/>
          <w:w w:val="95"/>
        </w:rPr>
        <w:t> </w:t>
      </w:r>
      <w:r>
        <w:rPr>
          <w:spacing w:val="-85"/>
          <w:w w:val="95"/>
        </w:rPr>
      </w:r>
      <w:r>
        <w:rPr/>
        <w:t>许可</w:t>
      </w:r>
      <w:r>
        <w:rPr>
          <w:rFonts w:ascii="Times New Roman" w:hAnsi="Times New Roman" w:cs="Times New Roman" w:eastAsia="Times New Roman" w:hint="default"/>
        </w:rPr>
        <w:t>[2014]875</w:t>
      </w:r>
      <w:r>
        <w:rPr/>
        <w:t>号）。</w:t>
      </w:r>
    </w:p>
    <w:p>
      <w:pPr>
        <w:spacing w:before="69"/>
        <w:ind w:left="21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6" w:lineRule="auto" w:before="78"/>
        <w:ind w:left="212" w:right="0" w:firstLine="420"/>
        <w:jc w:val="left"/>
      </w:pPr>
      <w:r>
        <w:rPr>
          <w:rFonts w:ascii="Times New Roman" w:hAnsi="Times New Roman" w:cs="Times New Roman" w:eastAsia="Times New Roman" w:hint="default"/>
          <w:w w:val="95"/>
        </w:rPr>
        <w:t>1</w:t>
      </w:r>
      <w:r>
        <w:rPr>
          <w:w w:val="95"/>
        </w:rPr>
        <w:t>、烟台华东的各位股东已于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14</w:t>
      </w:r>
      <w:r>
        <w:rPr>
          <w:w w:val="95"/>
        </w:rPr>
        <w:t>日完成了上述股份的过户手续，详见</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17</w:t>
      </w:r>
      <w:r>
        <w:rPr>
          <w:w w:val="95"/>
        </w:rPr>
        <w:t>日巨潮资</w:t>
      </w:r>
      <w:r>
        <w:rPr>
          <w:spacing w:val="-85"/>
          <w:w w:val="95"/>
        </w:rPr>
        <w:t> </w:t>
      </w:r>
      <w:r>
        <w:rPr>
          <w:spacing w:val="-85"/>
          <w:w w:val="95"/>
        </w:rPr>
      </w:r>
      <w:r>
        <w:rPr/>
        <w:t>讯网《安徽皖通科技股份有限公司关于法人股东所持公司股份过户手续办理完毕的公告》；</w:t>
      </w:r>
    </w:p>
    <w:p>
      <w:pPr>
        <w:pStyle w:val="BodyText"/>
        <w:spacing w:line="240" w:lineRule="auto" w:before="22"/>
        <w:ind w:left="632" w:right="0"/>
        <w:jc w:val="left"/>
      </w:pPr>
      <w:r>
        <w:rPr>
          <w:rFonts w:ascii="Times New Roman" w:hAnsi="Times New Roman" w:cs="Times New Roman" w:eastAsia="Times New Roman" w:hint="default"/>
        </w:rPr>
        <w:t>2</w:t>
      </w:r>
      <w:r>
        <w:rPr/>
        <w:t>、公司已于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日完成</w:t>
      </w:r>
      <w:r>
        <w:rPr>
          <w:rFonts w:ascii="Times New Roman" w:hAnsi="Times New Roman" w:cs="Times New Roman" w:eastAsia="Times New Roman" w:hint="default"/>
        </w:rPr>
        <w:t>2013</w:t>
      </w:r>
      <w:r>
        <w:rPr/>
        <w:t>年度非公开发行股票相关工作，详见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日巨潮资讯网</w:t>
      </w:r>
    </w:p>
    <w:p>
      <w:pPr>
        <w:pStyle w:val="BodyText"/>
        <w:spacing w:line="240" w:lineRule="auto" w:before="21"/>
        <w:ind w:left="212" w:right="0"/>
        <w:jc w:val="left"/>
      </w:pPr>
      <w:r>
        <w:rPr/>
        <w:t>《安徽皖通科技股份有限公司非公开发行股票发行情况报告暨上市公告书》。</w:t>
      </w:r>
    </w:p>
    <w:p>
      <w:pPr>
        <w:spacing w:before="101"/>
        <w:ind w:left="21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0" w:lineRule="auto" w:before="117"/>
        <w:ind w:left="21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公司认为必要或证券监管机构要求披露的其他内容</w:t>
      </w:r>
    </w:p>
    <w:p>
      <w:pPr>
        <w:spacing w:before="39"/>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212"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68"/>
        <w:gridCol w:w="1529"/>
        <w:gridCol w:w="1300"/>
        <w:gridCol w:w="1366"/>
        <w:gridCol w:w="1519"/>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5" w:right="21" w:hanging="442"/>
              <w:jc w:val="left"/>
              <w:rPr>
                <w:rFonts w:ascii="宋体" w:hAnsi="宋体" w:cs="宋体" w:eastAsia="宋体" w:hint="default"/>
                <w:sz w:val="18"/>
                <w:szCs w:val="18"/>
              </w:rPr>
            </w:pPr>
            <w:r>
              <w:rPr>
                <w:rFonts w:ascii="宋体" w:hAnsi="宋体" w:cs="宋体" w:eastAsia="宋体" w:hint="default"/>
                <w:spacing w:val="-3"/>
                <w:sz w:val="18"/>
                <w:szCs w:val="18"/>
              </w:rPr>
              <w:t>发行价格（或利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8" w:right="46"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13.67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12,510,688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12,510,688</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13.01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29,026,058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29,026,058</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1"/>
        <w:ind w:left="212"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264" w:lineRule="auto" w:before="89"/>
        <w:ind w:left="212" w:right="21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日，公司就发行</w:t>
      </w:r>
      <w:r>
        <w:rPr>
          <w:rFonts w:ascii="Times New Roman" w:hAnsi="Times New Roman" w:cs="Times New Roman" w:eastAsia="Times New Roman" w:hint="default"/>
        </w:rPr>
        <w:t>12,510,668</w:t>
      </w:r>
      <w:r>
        <w:rPr/>
        <w:t>股购买烟台华东电子软件技术有限公司</w:t>
      </w:r>
      <w:r>
        <w:rPr>
          <w:rFonts w:ascii="Times New Roman" w:hAnsi="Times New Roman" w:cs="Times New Roman" w:eastAsia="Times New Roman" w:hint="default"/>
        </w:rPr>
        <w:t>100%</w:t>
      </w:r>
      <w:r>
        <w:rPr/>
        <w:t>股权事宜办理</w:t>
      </w:r>
      <w:r>
        <w:rPr>
          <w:w w:val="99"/>
        </w:rPr>
        <w:t> </w:t>
      </w:r>
      <w:r>
        <w:rPr>
          <w:w w:val="95"/>
        </w:rPr>
        <w:t>完成注册资本、实收资本等事宜的工商变更登记手续，并取得合肥市工商行政管理局颁发的营业执照，公</w:t>
      </w:r>
      <w:r>
        <w:rPr>
          <w:spacing w:val="43"/>
          <w:w w:val="95"/>
        </w:rPr>
        <w:t> </w:t>
      </w:r>
      <w:r>
        <w:rPr>
          <w:spacing w:val="43"/>
          <w:w w:val="95"/>
        </w:rPr>
      </w:r>
      <w:r>
        <w:rPr/>
        <w:t>司注册资本变更为</w:t>
      </w:r>
      <w:r>
        <w:rPr>
          <w:rFonts w:ascii="Times New Roman" w:hAnsi="Times New Roman" w:cs="Times New Roman" w:eastAsia="Times New Roman" w:hint="default"/>
        </w:rPr>
        <w:t>133,910,388</w:t>
      </w:r>
      <w:r>
        <w:rPr/>
        <w:t>元；</w:t>
      </w:r>
    </w:p>
    <w:p>
      <w:pPr>
        <w:pStyle w:val="BodyText"/>
        <w:spacing w:line="256" w:lineRule="auto" w:before="0"/>
        <w:ind w:left="212" w:right="145" w:firstLine="360"/>
        <w:jc w:val="both"/>
      </w:pPr>
      <w:r>
        <w:rPr>
          <w:rFonts w:ascii="Times New Roman" w:hAnsi="Times New Roman" w:cs="Times New Roman" w:eastAsia="Times New Roman" w:hint="default"/>
          <w:w w:val="95"/>
        </w:rPr>
        <w:t>2</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10</w:t>
      </w:r>
      <w:r>
        <w:rPr>
          <w:w w:val="95"/>
        </w:rPr>
        <w:t>月</w:t>
      </w:r>
      <w:r>
        <w:rPr>
          <w:rFonts w:ascii="Times New Roman" w:hAnsi="Times New Roman" w:cs="Times New Roman" w:eastAsia="Times New Roman" w:hint="default"/>
          <w:w w:val="95"/>
        </w:rPr>
        <w:t>28</w:t>
      </w:r>
      <w:r>
        <w:rPr>
          <w:w w:val="95"/>
        </w:rPr>
        <w:t>日，公司就</w:t>
      </w:r>
      <w:r>
        <w:rPr>
          <w:rFonts w:ascii="Times New Roman" w:hAnsi="Times New Roman" w:cs="Times New Roman" w:eastAsia="Times New Roman" w:hint="default"/>
          <w:w w:val="95"/>
        </w:rPr>
        <w:t>2013</w:t>
      </w:r>
      <w:r>
        <w:rPr>
          <w:w w:val="95"/>
        </w:rPr>
        <w:t>年度非公开发行股票办理完成注册资本等事宜的工商变更登记手续，</w:t>
      </w:r>
      <w:r>
        <w:rPr>
          <w:spacing w:val="-14"/>
          <w:w w:val="95"/>
        </w:rPr>
        <w:t> </w:t>
      </w:r>
      <w:r>
        <w:rPr>
          <w:spacing w:val="-14"/>
          <w:w w:val="95"/>
        </w:rPr>
      </w:r>
      <w:r>
        <w:rPr/>
        <w:t>并取得合肥市工商行政管理局颁发的营业执照，公司注册资本由</w:t>
      </w:r>
      <w:r>
        <w:rPr>
          <w:rFonts w:ascii="Times New Roman" w:hAnsi="Times New Roman" w:cs="Times New Roman" w:eastAsia="Times New Roman" w:hint="default"/>
        </w:rPr>
        <w:t>214,256,620</w:t>
      </w:r>
      <w:r>
        <w:rPr/>
        <w:t>元增至</w:t>
      </w:r>
      <w:r>
        <w:rPr>
          <w:rFonts w:ascii="Times New Roman" w:hAnsi="Times New Roman" w:cs="Times New Roman" w:eastAsia="Times New Roman" w:hint="default"/>
        </w:rPr>
        <w:t>243,282,678</w:t>
      </w:r>
      <w:r>
        <w:rPr/>
        <w:t>元。</w:t>
      </w:r>
    </w:p>
    <w:p>
      <w:pPr>
        <w:spacing w:line="240" w:lineRule="auto" w:before="6"/>
        <w:rPr>
          <w:rFonts w:ascii="宋体" w:hAnsi="宋体" w:cs="宋体" w:eastAsia="宋体" w:hint="default"/>
          <w:sz w:val="23"/>
          <w:szCs w:val="23"/>
        </w:rPr>
      </w:pPr>
    </w:p>
    <w:p>
      <w:pPr>
        <w:pStyle w:val="Heading4"/>
        <w:spacing w:line="240" w:lineRule="auto"/>
        <w:ind w:left="21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632" w:right="0"/>
        <w:jc w:val="left"/>
      </w:pPr>
      <w:r>
        <w:rPr>
          <w:rFonts w:ascii="Times New Roman" w:hAnsi="Times New Roman" w:cs="Times New Roman" w:eastAsia="Times New Roman" w:hint="default"/>
        </w:rPr>
        <w:t>1</w:t>
      </w:r>
      <w:r>
        <w:rPr/>
        <w:t>、烟台华东的各位股东已于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日完成了上述股份的过户手续，详见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日巨潮资</w:t>
      </w:r>
    </w:p>
    <w:p>
      <w:pPr>
        <w:spacing w:after="0" w:line="240" w:lineRule="auto"/>
        <w:jc w:val="left"/>
        <w:sectPr>
          <w:pgSz w:w="11910" w:h="16840"/>
          <w:pgMar w:header="746" w:footer="978" w:top="1040" w:bottom="1160" w:left="920" w:right="920"/>
        </w:sectPr>
      </w:pPr>
    </w:p>
    <w:p>
      <w:pPr>
        <w:spacing w:line="240" w:lineRule="auto" w:before="6"/>
        <w:rPr>
          <w:rFonts w:ascii="宋体" w:hAnsi="宋体" w:cs="宋体" w:eastAsia="宋体" w:hint="default"/>
          <w:sz w:val="25"/>
          <w:szCs w:val="25"/>
        </w:rPr>
      </w:pPr>
    </w:p>
    <w:p>
      <w:pPr>
        <w:pStyle w:val="BodyText"/>
        <w:spacing w:line="240" w:lineRule="auto" w:before="34"/>
        <w:ind w:right="105"/>
        <w:jc w:val="left"/>
      </w:pPr>
      <w:r>
        <w:rPr/>
        <w:t>讯网《安徽皖通科技股份有限公司关于法人股东所持公司股份过户手续办理完毕的公告》；</w:t>
      </w:r>
    </w:p>
    <w:p>
      <w:pPr>
        <w:pStyle w:val="BodyText"/>
        <w:spacing w:line="240" w:lineRule="auto" w:before="37"/>
        <w:ind w:left="0" w:right="376"/>
        <w:jc w:val="right"/>
      </w:pPr>
      <w:r>
        <w:rPr>
          <w:rFonts w:ascii="Times New Roman" w:hAnsi="Times New Roman" w:cs="Times New Roman" w:eastAsia="Times New Roman" w:hint="default"/>
          <w:w w:val="95"/>
        </w:rPr>
        <w:t>2</w:t>
      </w:r>
      <w:r>
        <w:rPr>
          <w:w w:val="95"/>
        </w:rPr>
        <w:t>、公司已于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29</w:t>
      </w:r>
      <w:r>
        <w:rPr>
          <w:w w:val="95"/>
        </w:rPr>
        <w:t>日完成</w:t>
      </w:r>
      <w:r>
        <w:rPr>
          <w:rFonts w:ascii="Times New Roman" w:hAnsi="Times New Roman" w:cs="Times New Roman" w:eastAsia="Times New Roman" w:hint="default"/>
          <w:w w:val="95"/>
        </w:rPr>
        <w:t>2013</w:t>
      </w:r>
      <w:r>
        <w:rPr>
          <w:w w:val="95"/>
        </w:rPr>
        <w:t>年度非公开发行股票相关工作，详见</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29</w:t>
      </w:r>
      <w:r>
        <w:rPr>
          <w:w w:val="95"/>
        </w:rPr>
        <w:t>日巨潮资讯网</w:t>
      </w:r>
      <w:r>
        <w:rPr/>
      </w:r>
    </w:p>
    <w:p>
      <w:pPr>
        <w:pStyle w:val="BodyText"/>
        <w:spacing w:line="240" w:lineRule="auto" w:before="21"/>
        <w:ind w:right="105"/>
        <w:jc w:val="left"/>
      </w:pPr>
      <w:r>
        <w:rPr/>
        <w:t>《安徽皖通科技股份有限公司非公开发行股票发行情况报告暨上市公告书》。</w:t>
      </w:r>
    </w:p>
    <w:p>
      <w:pPr>
        <w:spacing w:line="240" w:lineRule="auto" w:before="10"/>
        <w:rPr>
          <w:rFonts w:ascii="宋体" w:hAnsi="宋体" w:cs="宋体" w:eastAsia="宋体" w:hint="default"/>
          <w:sz w:val="25"/>
          <w:szCs w:val="25"/>
        </w:rPr>
      </w:pPr>
    </w:p>
    <w:p>
      <w:pPr>
        <w:pStyle w:val="Heading4"/>
        <w:spacing w:line="240" w:lineRule="auto"/>
        <w:ind w:right="10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05"/>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spacing w:before="0"/>
        <w:ind w:left="0" w:right="29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233"/>
        <w:gridCol w:w="1134"/>
        <w:gridCol w:w="863"/>
        <w:gridCol w:w="894"/>
        <w:gridCol w:w="873"/>
        <w:gridCol w:w="873"/>
        <w:gridCol w:w="851"/>
        <w:gridCol w:w="1368"/>
        <w:gridCol w:w="621"/>
        <w:gridCol w:w="746"/>
      </w:tblGrid>
      <w:tr>
        <w:trPr>
          <w:trHeight w:val="714" w:hRule="exact"/>
        </w:trPr>
        <w:tc>
          <w:tcPr>
            <w:tcW w:w="15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13,557</w:t>
            </w:r>
          </w:p>
        </w:tc>
        <w:tc>
          <w:tcPr>
            <w:tcW w:w="26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末普通股股东总数</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13,480</w:t>
            </w:r>
          </w:p>
        </w:tc>
        <w:tc>
          <w:tcPr>
            <w:tcW w:w="28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04"/>
              <w:jc w:val="left"/>
              <w:rPr>
                <w:rFonts w:ascii="宋体" w:hAnsi="宋体" w:cs="宋体" w:eastAsia="宋体" w:hint="default"/>
                <w:sz w:val="18"/>
                <w:szCs w:val="18"/>
              </w:rPr>
            </w:pPr>
            <w:r>
              <w:rPr>
                <w:rFonts w:ascii="宋体" w:hAnsi="宋体" w:cs="宋体" w:eastAsia="宋体" w:hint="default"/>
                <w:sz w:val="18"/>
                <w:szCs w:val="18"/>
              </w:rPr>
              <w:t>报告期末表决权恢复的优先股股东 </w:t>
            </w:r>
            <w:r>
              <w:rPr>
                <w:rFonts w:ascii="宋体" w:hAnsi="宋体" w:cs="宋体" w:eastAsia="宋体" w:hint="default"/>
                <w:spacing w:val="-10"/>
                <w:sz w:val="18"/>
                <w:szCs w:val="18"/>
              </w:rPr>
              <w:t>总数（如有）（参见注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81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8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7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70" w:right="7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7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71"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7" w:type="dxa"/>
            <w:gridSpan w:val="2"/>
            <w:vMerge/>
            <w:tcBorders>
              <w:left w:val="single" w:sz="4" w:space="0" w:color="000000"/>
              <w:bottom w:val="single" w:sz="4" w:space="0" w:color="000000"/>
              <w:right w:val="single" w:sz="4" w:space="0" w:color="000000"/>
            </w:tcBorders>
            <w:shd w:val="clear" w:color="auto" w:fill="D3D3D3"/>
          </w:tcPr>
          <w:p>
            <w:pPr/>
          </w:p>
        </w:tc>
        <w:tc>
          <w:tcPr>
            <w:tcW w:w="863"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c>
          <w:tcPr>
            <w:tcW w:w="873" w:type="dxa"/>
            <w:vMerge/>
            <w:tcBorders>
              <w:left w:val="single" w:sz="4" w:space="0" w:color="000000"/>
              <w:bottom w:val="single" w:sz="4" w:space="0" w:color="000000"/>
              <w:right w:val="single" w:sz="4" w:space="0" w:color="000000"/>
            </w:tcBorders>
            <w:shd w:val="clear" w:color="auto" w:fill="D3D3D3"/>
          </w:tcPr>
          <w:p>
            <w:pPr/>
          </w:p>
        </w:tc>
        <w:tc>
          <w:tcPr>
            <w:tcW w:w="873"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2"/>
                <w:sz w:val="18"/>
              </w:rPr>
              <w:t>11.01%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26,782,325</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20,086,744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6,695,581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20,690,284</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15,517,713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5,172,571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6.35%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15,445,547</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15,409,160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36,387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全国社保基金五 零二组合</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2.19%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5,319,033</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3,989,274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1,329,759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招商财富－招商 银行－恒泰华盛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号专项资产管 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38"/>
              <w:jc w:val="left"/>
              <w:rPr>
                <w:rFonts w:ascii="宋体" w:hAnsi="宋体" w:cs="宋体" w:eastAsia="宋体" w:hint="default"/>
                <w:sz w:val="18"/>
                <w:szCs w:val="18"/>
              </w:rPr>
            </w:pPr>
            <w:r>
              <w:rPr>
                <w:rFonts w:ascii="宋体" w:hAnsi="宋体" w:cs="宋体" w:eastAsia="宋体" w:hint="default"/>
                <w:sz w:val="18"/>
                <w:szCs w:val="18"/>
              </w:rPr>
              <w:t>华宝信托有限责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时节 好雨</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金信托</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东海基金公司－ 工行－鑫龙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资产管理计划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3,644,563</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3,644,563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1.33%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3,244,070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3,244,070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r>
        <w:trPr>
          <w:trHeight w:val="133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东海基金－工商 银行－东海基金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－工行－鑫龙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3,167,568</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3,167,568</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3,167,568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8" w:header="746" w:top="1040" w:bottom="1160" w:left="1020" w:right="840"/>
          <w:pgNumType w:start="40"/>
        </w:sectPr>
      </w:pPr>
    </w:p>
    <w:p>
      <w:pPr>
        <w:spacing w:line="240" w:lineRule="auto" w:before="2"/>
        <w:rPr>
          <w:rFonts w:ascii="宋体" w:hAnsi="宋体" w:cs="宋体" w:eastAsia="宋体" w:hint="default"/>
          <w:sz w:val="29"/>
          <w:szCs w:val="29"/>
        </w:rPr>
      </w:pPr>
      <w:r>
        <w:rPr/>
        <w:pict>
          <v:group style="position:absolute;margin-left:193.300003pt;margin-top:72.400024pt;width:354.2pt;height:66.650pt;mso-position-horizontal-relative:page;mso-position-vertical-relative:page;z-index:-846544" coordorigin="3866,1448" coordsize="7084,1333">
            <v:shape style="position:absolute;left:3866;top:1448;width:7084;height:1333" coordorigin="3866,1448" coordsize="7084,1333" path="m3866,1448l10950,1448,10950,2781,3866,2781,3866,1448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729"/>
        <w:gridCol w:w="4354"/>
        <w:gridCol w:w="1368"/>
        <w:gridCol w:w="1367"/>
      </w:tblGrid>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全国社保基金五零二组合、招商财富－招商银行－恒泰华盛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号专项资产管理计划、东海 基金－工商银行－东海基金－工行－鑫龙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号资产管理计划，限售时间为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7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日披露的《安徽皖通科技股份有限公司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非公开发行股票发行情况报告书暨上市公告书</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王中胜、杨世宁、杨新子为一致行动人，为公司实际控制人。</w:t>
            </w:r>
          </w:p>
        </w:tc>
      </w:tr>
      <w:tr>
        <w:trPr>
          <w:trHeight w:val="402" w:hRule="exact"/>
        </w:trPr>
        <w:tc>
          <w:tcPr>
            <w:tcW w:w="98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9" w:type="dxa"/>
            <w:vMerge/>
            <w:tcBorders>
              <w:left w:val="single" w:sz="4" w:space="0" w:color="000000"/>
              <w:bottom w:val="single" w:sz="4" w:space="0" w:color="000000"/>
              <w:right w:val="single" w:sz="4" w:space="0" w:color="000000"/>
            </w:tcBorders>
            <w:shd w:val="clear" w:color="auto" w:fill="D3D3D3"/>
          </w:tcPr>
          <w:p>
            <w:pPr/>
          </w:p>
        </w:tc>
        <w:tc>
          <w:tcPr>
            <w:tcW w:w="4354"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6,695,581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6,695,581</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5,172,571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5,172,571</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时节好 雨</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号集合资金信托</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3,758,000</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东海基金公司－工行－鑫龙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号资 产管理计划</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3,644,563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3,644,563</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3,244,070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3,244,070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王晓红</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3,053,400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张汀</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2,768,068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2,768,068</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中国建设银行－华宝兴业行业精 选股票型证券投资基金</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2,330,900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2,330,900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阮大铭</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2,146,116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2,146,116</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唐伟为</w:t>
            </w:r>
          </w:p>
        </w:tc>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2,073,990</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 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34"/>
              <w:jc w:val="left"/>
              <w:rPr>
                <w:rFonts w:ascii="宋体" w:hAnsi="宋体" w:cs="宋体" w:eastAsia="宋体" w:hint="default"/>
                <w:sz w:val="18"/>
                <w:szCs w:val="18"/>
              </w:rPr>
            </w:pPr>
            <w:r>
              <w:rPr>
                <w:rFonts w:ascii="宋体" w:hAnsi="宋体" w:cs="宋体" w:eastAsia="宋体" w:hint="default"/>
                <w:sz w:val="18"/>
                <w:szCs w:val="18"/>
              </w:rPr>
              <w:t>公司前十名股东和前十名无限售条件股东中，王中胜、杨世宁、杨新子、张汀和陈新为公 司发起人股东，五名发起人股东与其他股东之间不存在关联关系。</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83"/>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10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before="103"/>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before="101"/>
        <w:ind w:left="112" w:right="10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10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2"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0"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4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102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0" w:right="121" w:firstLine="0"/>
        <w:jc w:val="right"/>
        <w:rPr>
          <w:rFonts w:ascii="宋体" w:hAnsi="宋体" w:cs="宋体" w:eastAsia="宋体" w:hint="default"/>
          <w:sz w:val="18"/>
          <w:szCs w:val="18"/>
        </w:rPr>
      </w:pPr>
      <w:r>
        <w:rPr/>
        <w:pict>
          <v:shape style="position:absolute;margin-left:56.459999pt;margin-top:-154.258286pt;width:479.15pt;height:256.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杨世宁</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33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王中胜先生：男，</w:t>
                        </w:r>
                        <w:r>
                          <w:rPr>
                            <w:rFonts w:ascii="Times New Roman" w:hAnsi="Times New Roman" w:cs="Times New Roman" w:eastAsia="Times New Roman" w:hint="default"/>
                            <w:sz w:val="18"/>
                            <w:szCs w:val="18"/>
                          </w:rPr>
                          <w:t>1963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年生，中国国籍，无境外永久居留权，工学硕士。</w:t>
                        </w:r>
                      </w:p>
                    </w:tc>
                  </w:tr>
                  <w:tr>
                    <w:trPr>
                      <w:trHeight w:val="307"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现任公司董事长、子公司天津市天安怡和信息技术有限公司董事、安徽汉高信</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息科技有限公司董事长、控股公司天津信息港甲子科技有限公司董事、参股公</w:t>
                        </w:r>
                      </w:p>
                    </w:tc>
                  </w:tr>
                  <w:tr>
                    <w:trPr>
                      <w:trHeight w:val="33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司安徽高速物流股份有限公司董事、武汉宏途科技有限公司董事。</w:t>
                        </w:r>
                      </w:p>
                    </w:tc>
                  </w:tr>
                  <w:tr>
                    <w:trPr>
                      <w:trHeight w:val="337"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67" w:right="0"/>
                          <w:jc w:val="left"/>
                          <w:rPr>
                            <w:rFonts w:ascii="宋体" w:hAnsi="宋体" w:cs="宋体" w:eastAsia="宋体" w:hint="default"/>
                            <w:sz w:val="18"/>
                            <w:szCs w:val="18"/>
                          </w:rPr>
                        </w:pPr>
                        <w:r>
                          <w:rPr>
                            <w:rFonts w:ascii="宋体" w:hAnsi="宋体" w:cs="宋体" w:eastAsia="宋体" w:hint="default"/>
                            <w:sz w:val="18"/>
                            <w:szCs w:val="18"/>
                          </w:rPr>
                          <w:t>杨世宁先生：男，</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年生，中国国籍，无境外永久居留权，工学硕士。</w:t>
                        </w:r>
                      </w:p>
                    </w:tc>
                  </w:tr>
                  <w:tr>
                    <w:trPr>
                      <w:trHeight w:val="639"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7"/>
                          <w:jc w:val="left"/>
                          <w:rPr>
                            <w:rFonts w:ascii="宋体" w:hAnsi="宋体" w:cs="宋体" w:eastAsia="宋体" w:hint="default"/>
                            <w:sz w:val="18"/>
                            <w:szCs w:val="18"/>
                          </w:rPr>
                        </w:pPr>
                        <w:r>
                          <w:rPr>
                            <w:rFonts w:ascii="宋体" w:hAnsi="宋体" w:cs="宋体" w:eastAsia="宋体" w:hint="default"/>
                            <w:sz w:val="18"/>
                            <w:szCs w:val="18"/>
                          </w:rPr>
                          <w:t>现任公司董事、总经理、子公司天津市天安怡和信息技术有限公司董事长、控 股公司天津信息港甲子科技有限公司董事长。</w:t>
                        </w:r>
                      </w:p>
                    </w:tc>
                  </w:tr>
                  <w:tr>
                    <w:trPr>
                      <w:trHeight w:val="336"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67" w:right="0"/>
                          <w:jc w:val="left"/>
                          <w:rPr>
                            <w:rFonts w:ascii="宋体" w:hAnsi="宋体" w:cs="宋体" w:eastAsia="宋体" w:hint="default"/>
                            <w:sz w:val="18"/>
                            <w:szCs w:val="18"/>
                          </w:rPr>
                        </w:pPr>
                        <w:r>
                          <w:rPr>
                            <w:rFonts w:ascii="宋体" w:hAnsi="宋体" w:cs="宋体" w:eastAsia="宋体" w:hint="default"/>
                            <w:spacing w:val="-2"/>
                            <w:sz w:val="18"/>
                            <w:szCs w:val="18"/>
                          </w:rPr>
                          <w:t>杨新子先生：男，</w:t>
                        </w:r>
                        <w:r>
                          <w:rPr>
                            <w:rFonts w:ascii="Times New Roman" w:hAnsi="Times New Roman" w:cs="Times New Roman" w:eastAsia="Times New Roman" w:hint="default"/>
                            <w:spacing w:val="-2"/>
                            <w:sz w:val="18"/>
                            <w:szCs w:val="18"/>
                          </w:rPr>
                          <w:t>1969</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年生，中国国籍，无境外永久居留权，管理学博士</w:t>
                        </w:r>
                      </w:p>
                    </w:tc>
                  </w:tr>
                  <w:tr>
                    <w:trPr>
                      <w:trHeight w:val="308"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现任公司董事、副总经理、子公司天津市金飞博光通讯有限公司董事长、天津</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市天安怡和信息技术有限公司总经理、烟台华东电子软件技术有限公司董事、</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控股公司天津信息港甲子科技有限公司总经理、参股公司天津玺朗文化传媒有</w:t>
                        </w:r>
                      </w:p>
                    </w:tc>
                  </w:tr>
                  <w:tr>
                    <w:trPr>
                      <w:trHeight w:val="356" w:hRule="exact"/>
                    </w:trPr>
                    <w:tc>
                      <w:tcPr>
                        <w:tcW w:w="33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限公司董事长、武汉宏途科技有限公司董事。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杨世宁</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请参阅“公司控股股东情况”描述。</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22"/>
          <w:szCs w:val="22"/>
        </w:rPr>
      </w:pPr>
    </w:p>
    <w:p>
      <w:pPr>
        <w:spacing w:line="1965" w:lineRule="exact"/>
        <w:ind w:left="2930"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2542516" cy="12477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2542516" cy="1247775"/>
                    </a:xfrm>
                    <a:prstGeom prst="rect">
                      <a:avLst/>
                    </a:prstGeom>
                  </pic:spPr>
                </pic:pic>
              </a:graphicData>
            </a:graphic>
          </wp:inline>
        </w:drawing>
      </w:r>
      <w:r>
        <w:rPr>
          <w:rFonts w:ascii="宋体" w:hAnsi="宋体" w:cs="宋体" w:eastAsia="宋体" w:hint="default"/>
          <w:position w:val="-38"/>
          <w:sz w:val="20"/>
          <w:szCs w:val="20"/>
        </w:rPr>
      </w:r>
    </w:p>
    <w:p>
      <w:pPr>
        <w:spacing w:after="0" w:line="1965" w:lineRule="exact"/>
        <w:rPr>
          <w:rFonts w:ascii="宋体" w:hAnsi="宋体" w:cs="宋体" w:eastAsia="宋体" w:hint="default"/>
          <w:sz w:val="20"/>
          <w:szCs w:val="20"/>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right="0"/>
        <w:jc w:val="left"/>
      </w:pPr>
      <w:r>
        <w:rPr/>
        <w:t>实际控制人通过信托或其他资产管理方式控制公司</w:t>
      </w:r>
    </w:p>
    <w:p>
      <w:pPr>
        <w:spacing w:line="240" w:lineRule="auto" w:before="0"/>
        <w:rPr>
          <w:rFonts w:ascii="宋体" w:hAnsi="宋体" w:cs="宋体" w:eastAsia="宋体" w:hint="default"/>
          <w:sz w:val="20"/>
          <w:szCs w:val="20"/>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2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40" w:lineRule="auto" w:before="44"/>
        <w:ind w:left="112" w:right="7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1744" w:right="0"/>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3"/>
        <w:spacing w:line="240" w:lineRule="auto"/>
        <w:ind w:left="212"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28"/>
        <w:gridCol w:w="329"/>
        <w:gridCol w:w="1256"/>
        <w:gridCol w:w="497"/>
        <w:gridCol w:w="425"/>
        <w:gridCol w:w="426"/>
        <w:gridCol w:w="1559"/>
        <w:gridCol w:w="1518"/>
        <w:gridCol w:w="870"/>
        <w:gridCol w:w="870"/>
        <w:gridCol w:w="870"/>
        <w:gridCol w:w="870"/>
      </w:tblGrid>
      <w:tr>
        <w:trPr>
          <w:trHeight w:val="1026" w:hRule="exact"/>
        </w:trPr>
        <w:tc>
          <w:tcPr>
            <w:tcW w:w="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2" w:right="6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0"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1"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2"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26,782,325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26,782,325</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王志洁</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董事、副董事长</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1,631,164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1,631,164</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20,690,284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20,690,284</w:t>
            </w:r>
          </w:p>
        </w:tc>
      </w:tr>
      <w:tr>
        <w:trPr>
          <w:trHeight w:val="714"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陈</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t>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firstLine="60"/>
              <w:jc w:val="left"/>
              <w:rPr>
                <w:rFonts w:ascii="宋体" w:hAnsi="宋体" w:cs="宋体" w:eastAsia="宋体" w:hint="default"/>
                <w:sz w:val="18"/>
                <w:szCs w:val="18"/>
              </w:rPr>
            </w:pPr>
            <w:r>
              <w:rPr>
                <w:rFonts w:ascii="宋体" w:hAnsi="宋体" w:cs="宋体" w:eastAsia="宋体" w:hint="default"/>
                <w:sz w:val="18"/>
                <w:szCs w:val="18"/>
              </w:rPr>
              <w:t>董事、副总经 </w:t>
            </w:r>
            <w:r>
              <w:rPr>
                <w:rFonts w:ascii="宋体" w:hAnsi="宋体" w:cs="宋体" w:eastAsia="宋体" w:hint="default"/>
                <w:spacing w:val="-9"/>
                <w:sz w:val="18"/>
                <w:szCs w:val="18"/>
              </w:rPr>
              <w:t>理、董事会秘书</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5,319,033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5,319,033</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董事、副总经理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20,545,547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15,445,547</w:t>
            </w:r>
          </w:p>
        </w:tc>
      </w:tr>
      <w:tr>
        <w:trPr>
          <w:trHeight w:val="402"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郑</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z w:val="18"/>
                <w:szCs w:val="18"/>
              </w:rPr>
              <w:t>槐</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董事、副总经理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1,147,721</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王</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水</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陈延风</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孙</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胜</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竺</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z w:val="18"/>
                <w:szCs w:val="18"/>
              </w:rPr>
              <w:t>进</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孙</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胜</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孔</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z w:val="18"/>
                <w:szCs w:val="18"/>
              </w:rPr>
              <w:t>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李</w:t>
            </w:r>
          </w:p>
        </w:tc>
        <w:tc>
          <w:tcPr>
            <w:tcW w:w="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芸</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74,584,910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1,631,164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71,016,074</w:t>
            </w:r>
          </w:p>
        </w:tc>
      </w:tr>
    </w:tbl>
    <w:p>
      <w:pPr>
        <w:spacing w:line="240" w:lineRule="auto" w:before="1"/>
        <w:rPr>
          <w:rFonts w:ascii="宋体" w:hAnsi="宋体" w:cs="宋体" w:eastAsia="宋体" w:hint="default"/>
          <w:b/>
          <w:bCs/>
          <w:sz w:val="18"/>
          <w:szCs w:val="18"/>
        </w:rPr>
      </w:pPr>
    </w:p>
    <w:p>
      <w:pPr>
        <w:pStyle w:val="Heading3"/>
        <w:spacing w:line="240" w:lineRule="auto" w:before="26"/>
        <w:ind w:left="212"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307" w:lineRule="auto" w:before="78"/>
        <w:ind w:left="632" w:right="4794" w:hanging="104"/>
        <w:jc w:val="left"/>
        <w:rPr>
          <w:rFonts w:ascii="宋体" w:hAnsi="宋体" w:cs="宋体" w:eastAsia="宋体" w:hint="default"/>
          <w:sz w:val="21"/>
          <w:szCs w:val="21"/>
        </w:rPr>
      </w:pPr>
      <w:r>
        <w:rPr>
          <w:rFonts w:ascii="宋体" w:hAnsi="宋体" w:cs="宋体" w:eastAsia="宋体" w:hint="default"/>
          <w:b/>
          <w:bCs/>
          <w:sz w:val="21"/>
          <w:szCs w:val="21"/>
        </w:rPr>
        <w:t>（一）董事会成员</w:t>
      </w:r>
      <w:r>
        <w:rPr>
          <w:rFonts w:ascii="宋体" w:hAnsi="宋体" w:cs="宋体" w:eastAsia="宋体" w:hint="default"/>
          <w:b/>
          <w:bCs/>
          <w:w w:val="99"/>
          <w:sz w:val="21"/>
          <w:szCs w:val="21"/>
        </w:rPr>
        <w:t> </w:t>
      </w:r>
      <w:r>
        <w:rPr>
          <w:rFonts w:ascii="宋体" w:hAnsi="宋体" w:cs="宋体" w:eastAsia="宋体" w:hint="default"/>
          <w:sz w:val="21"/>
          <w:szCs w:val="21"/>
        </w:rPr>
        <w:t>王中胜先生：请参阅“公司控股股东情况”描述。</w:t>
      </w:r>
    </w:p>
    <w:p>
      <w:pPr>
        <w:pStyle w:val="BodyText"/>
        <w:spacing w:line="256" w:lineRule="auto" w:before="19"/>
        <w:ind w:left="212" w:right="0" w:firstLine="420"/>
        <w:jc w:val="left"/>
      </w:pPr>
      <w:r>
        <w:rPr>
          <w:w w:val="95"/>
        </w:rPr>
        <w:t>王志洁先生：男，</w:t>
      </w:r>
      <w:r>
        <w:rPr>
          <w:rFonts w:ascii="Times New Roman" w:hAnsi="Times New Roman" w:cs="Times New Roman" w:eastAsia="Times New Roman" w:hint="default"/>
          <w:w w:val="95"/>
        </w:rPr>
        <w:t>1953</w:t>
      </w:r>
      <w:r>
        <w:rPr>
          <w:w w:val="95"/>
        </w:rPr>
        <w:t>年生，中国国籍，无境外永久居留权，高级工程师。毕业于大连工学院无线电</w:t>
      </w:r>
      <w:r>
        <w:rPr>
          <w:w w:val="99"/>
        </w:rPr>
        <w:t> </w:t>
      </w:r>
      <w:r>
        <w:rPr/>
        <w:t>系。现任公司副董事长、子公司烟台华东电子软件技术有限公司董事长。</w:t>
      </w:r>
    </w:p>
    <w:p>
      <w:pPr>
        <w:pStyle w:val="BodyText"/>
        <w:spacing w:line="240" w:lineRule="auto" w:before="61"/>
        <w:ind w:left="632" w:right="0"/>
        <w:jc w:val="left"/>
      </w:pPr>
      <w:r>
        <w:rPr/>
        <w:t>杨世宁先生：请参阅“公司控股股东情况”描述。、</w:t>
      </w:r>
    </w:p>
    <w:p>
      <w:pPr>
        <w:spacing w:after="0" w:line="240" w:lineRule="auto"/>
        <w:jc w:val="left"/>
        <w:sectPr>
          <w:pgSz w:w="11910" w:h="16840"/>
          <w:pgMar w:header="746" w:footer="978" w:top="1040" w:bottom="1160" w:left="920" w:right="920"/>
        </w:sectPr>
      </w:pPr>
    </w:p>
    <w:p>
      <w:pPr>
        <w:spacing w:line="240" w:lineRule="auto" w:before="6"/>
        <w:rPr>
          <w:rFonts w:ascii="宋体" w:hAnsi="宋体" w:cs="宋体" w:eastAsia="宋体" w:hint="default"/>
          <w:sz w:val="25"/>
          <w:szCs w:val="25"/>
        </w:rPr>
      </w:pPr>
    </w:p>
    <w:p>
      <w:pPr>
        <w:pStyle w:val="BodyText"/>
        <w:spacing w:line="264" w:lineRule="auto" w:before="34"/>
        <w:ind w:left="192" w:right="212" w:firstLine="420"/>
        <w:jc w:val="both"/>
      </w:pPr>
      <w:r>
        <w:rPr>
          <w:w w:val="95"/>
        </w:rPr>
        <w:t>陈新先生：男，</w:t>
      </w:r>
      <w:r>
        <w:rPr>
          <w:rFonts w:ascii="Times New Roman" w:hAnsi="Times New Roman" w:cs="Times New Roman" w:eastAsia="Times New Roman" w:hint="default"/>
          <w:w w:val="95"/>
        </w:rPr>
        <w:t>1969</w:t>
      </w:r>
      <w:r>
        <w:rPr>
          <w:w w:val="95"/>
        </w:rPr>
        <w:t>年生，中国国籍，无境外永久居留权，理学学士，高级工程师。曾任安徽皖通科</w:t>
      </w:r>
      <w:r>
        <w:rPr>
          <w:w w:val="99"/>
        </w:rPr>
        <w:t> </w:t>
      </w:r>
      <w:r>
        <w:rPr>
          <w:w w:val="95"/>
        </w:rPr>
        <w:t>技发展有限公司北京办事处主任。现任公司董事、副总经理、董事会秘书、子公司烟台华东电子软件技术</w:t>
      </w:r>
      <w:r>
        <w:rPr>
          <w:spacing w:val="40"/>
          <w:w w:val="95"/>
        </w:rPr>
        <w:t> </w:t>
      </w:r>
      <w:r>
        <w:rPr>
          <w:spacing w:val="40"/>
          <w:w w:val="95"/>
        </w:rPr>
      </w:r>
      <w:r>
        <w:rPr/>
        <w:t>有限公司董事、安徽汉高信息科技有限公司董事、安徽皖通城市智能交通科技有限公司董事。</w:t>
      </w:r>
    </w:p>
    <w:p>
      <w:pPr>
        <w:pStyle w:val="BodyText"/>
        <w:spacing w:line="307" w:lineRule="auto" w:before="54"/>
        <w:ind w:left="612" w:right="105"/>
        <w:jc w:val="left"/>
      </w:pPr>
      <w:r>
        <w:rPr/>
        <w:t>杨新子先生：请参阅“公司控股股东情况”描述。</w:t>
      </w:r>
      <w:r>
        <w:rPr>
          <w:w w:val="99"/>
        </w:rPr>
        <w:t> </w:t>
      </w:r>
      <w:r>
        <w:rPr>
          <w:w w:val="95"/>
        </w:rPr>
        <w:t>郑槐先生：男，</w:t>
      </w:r>
      <w:r>
        <w:rPr>
          <w:rFonts w:ascii="Times New Roman" w:hAnsi="Times New Roman" w:cs="Times New Roman" w:eastAsia="Times New Roman" w:hint="default"/>
          <w:w w:val="95"/>
        </w:rPr>
        <w:t>1965</w:t>
      </w:r>
      <w:r>
        <w:rPr>
          <w:w w:val="95"/>
        </w:rPr>
        <w:t>年生，中国国籍，无境外永久居留权，工学学士、工程师。曾任安徽皖通科技发</w:t>
      </w:r>
      <w:r>
        <w:rPr/>
      </w:r>
    </w:p>
    <w:p>
      <w:pPr>
        <w:pStyle w:val="BodyText"/>
        <w:spacing w:line="231" w:lineRule="exact" w:before="0"/>
        <w:ind w:left="192" w:right="105"/>
        <w:jc w:val="left"/>
      </w:pPr>
      <w:r>
        <w:rPr/>
        <w:t>展有限公司董事、副总经理。现任公司董事、副总经理、子公司重庆皖通科技有限责任公司董事长。</w:t>
      </w:r>
    </w:p>
    <w:p>
      <w:pPr>
        <w:pStyle w:val="BodyText"/>
        <w:spacing w:line="266" w:lineRule="auto" w:before="78"/>
        <w:ind w:left="192" w:right="212" w:firstLine="420"/>
        <w:jc w:val="both"/>
      </w:pPr>
      <w:r>
        <w:rPr>
          <w:w w:val="95"/>
        </w:rPr>
        <w:t>姚禄仕先生：男，</w:t>
      </w:r>
      <w:r>
        <w:rPr>
          <w:rFonts w:ascii="Times New Roman" w:hAnsi="Times New Roman" w:cs="Times New Roman" w:eastAsia="Times New Roman" w:hint="default"/>
          <w:w w:val="95"/>
        </w:rPr>
        <w:t>1962</w:t>
      </w:r>
      <w:r>
        <w:rPr>
          <w:w w:val="95"/>
        </w:rPr>
        <w:t>年生，中国国籍，无境外永久居留权，博士学位，会计学专业教授，硕士生导</w:t>
      </w:r>
      <w:r>
        <w:rPr>
          <w:w w:val="99"/>
        </w:rPr>
        <w:t> </w:t>
      </w:r>
      <w:r>
        <w:rPr>
          <w:w w:val="95"/>
        </w:rPr>
        <w:t>师。现任中国会计学会工科院校秘书长、合肥工业大学金融证券研究所所长、合肥工业大学管理学院会计</w:t>
      </w:r>
      <w:r>
        <w:rPr>
          <w:spacing w:val="37"/>
          <w:w w:val="95"/>
        </w:rPr>
        <w:t> </w:t>
      </w:r>
      <w:r>
        <w:rPr>
          <w:spacing w:val="37"/>
          <w:w w:val="95"/>
        </w:rPr>
      </w:r>
      <w:r>
        <w:rPr>
          <w:w w:val="95"/>
        </w:rPr>
        <w:t>系系主任、洽洽食品股份有限公司独立董事、安徽鑫龙电器股份有限公司独立董事、加加食品集团股份有</w:t>
      </w:r>
      <w:r>
        <w:rPr>
          <w:spacing w:val="40"/>
          <w:w w:val="95"/>
        </w:rPr>
        <w:t> </w:t>
      </w:r>
      <w:r>
        <w:rPr>
          <w:spacing w:val="40"/>
          <w:w w:val="95"/>
        </w:rPr>
      </w:r>
      <w:r>
        <w:rPr/>
        <w:t>限公司独立董事、安徽国风塑业股份有限公司独立董事和本公司独立董事。</w:t>
      </w:r>
    </w:p>
    <w:p>
      <w:pPr>
        <w:pStyle w:val="BodyText"/>
        <w:spacing w:line="256" w:lineRule="auto" w:before="52"/>
        <w:ind w:left="192" w:right="212" w:firstLine="420"/>
        <w:jc w:val="both"/>
      </w:pPr>
      <w:r>
        <w:rPr>
          <w:w w:val="95"/>
        </w:rPr>
        <w:t>陈结淼先生：男，</w:t>
      </w:r>
      <w:r>
        <w:rPr>
          <w:rFonts w:ascii="Times New Roman" w:hAnsi="Times New Roman" w:cs="Times New Roman" w:eastAsia="Times New Roman" w:hint="default"/>
          <w:w w:val="95"/>
        </w:rPr>
        <w:t>1966</w:t>
      </w:r>
      <w:r>
        <w:rPr>
          <w:w w:val="95"/>
        </w:rPr>
        <w:t>年生，中国国籍，无境外永久居留权，工学学士、法学硕士。现任安徽大学法</w:t>
      </w:r>
      <w:r>
        <w:rPr>
          <w:w w:val="99"/>
        </w:rPr>
        <w:t> </w:t>
      </w:r>
      <w:r>
        <w:rPr/>
        <w:t>学教授、法学院副院长、硕士生导师、安徽华茂纺织股份有限公司独立董事和本公司独立董事。</w:t>
      </w:r>
    </w:p>
    <w:p>
      <w:pPr>
        <w:pStyle w:val="BodyText"/>
        <w:spacing w:line="264" w:lineRule="auto" w:before="63"/>
        <w:ind w:left="192" w:right="212" w:firstLine="420"/>
        <w:jc w:val="both"/>
      </w:pPr>
      <w:r>
        <w:rPr>
          <w:w w:val="95"/>
        </w:rPr>
        <w:t>李洪峰先生：男，</w:t>
      </w:r>
      <w:r>
        <w:rPr>
          <w:rFonts w:ascii="Times New Roman" w:hAnsi="Times New Roman" w:cs="Times New Roman" w:eastAsia="Times New Roman" w:hint="default"/>
          <w:w w:val="95"/>
        </w:rPr>
        <w:t>1954</w:t>
      </w:r>
      <w:r>
        <w:rPr>
          <w:w w:val="95"/>
        </w:rPr>
        <w:t>年生，中国国籍，无境外永久居留权，本科学历，副教授。现任中国科技大学</w:t>
      </w:r>
      <w:r>
        <w:rPr>
          <w:w w:val="99"/>
        </w:rPr>
        <w:t> </w:t>
      </w:r>
      <w:r>
        <w:rPr>
          <w:w w:val="95"/>
        </w:rPr>
        <w:t>管理学院副教授、华帝股份有限公司独立董事、安徽马鞍山农村商业银行股份有限公司独立董事、安徽安</w:t>
      </w:r>
      <w:r>
        <w:rPr>
          <w:spacing w:val="40"/>
          <w:w w:val="95"/>
        </w:rPr>
        <w:t> </w:t>
      </w:r>
      <w:r>
        <w:rPr>
          <w:spacing w:val="40"/>
          <w:w w:val="95"/>
        </w:rPr>
      </w:r>
      <w:r>
        <w:rPr/>
        <w:t>凯汽车股份有限公司独立董事和本公司独立董事。</w:t>
      </w:r>
    </w:p>
    <w:p>
      <w:pPr>
        <w:pStyle w:val="BodyText"/>
        <w:spacing w:line="273" w:lineRule="auto" w:before="57"/>
        <w:ind w:left="612" w:right="105" w:hanging="104"/>
        <w:jc w:val="left"/>
      </w:pPr>
      <w:r>
        <w:rPr>
          <w:rFonts w:ascii="宋体" w:hAnsi="宋体" w:cs="宋体" w:eastAsia="宋体" w:hint="default"/>
          <w:b/>
          <w:bCs/>
        </w:rPr>
        <w:t>（二）监事会成员</w:t>
      </w:r>
      <w:r>
        <w:rPr>
          <w:rFonts w:ascii="宋体" w:hAnsi="宋体" w:cs="宋体" w:eastAsia="宋体" w:hint="default"/>
          <w:b/>
          <w:bCs/>
          <w:w w:val="99"/>
        </w:rPr>
        <w:t> </w:t>
      </w:r>
      <w:r>
        <w:rPr>
          <w:w w:val="95"/>
        </w:rPr>
        <w:t>李天华先生：男，</w:t>
      </w:r>
      <w:r>
        <w:rPr>
          <w:rFonts w:ascii="Times New Roman" w:hAnsi="Times New Roman" w:cs="Times New Roman" w:eastAsia="Times New Roman" w:hint="default"/>
          <w:w w:val="95"/>
        </w:rPr>
        <w:t>1971</w:t>
      </w:r>
      <w:r>
        <w:rPr>
          <w:w w:val="95"/>
        </w:rPr>
        <w:t>年生，中国国籍，无境外永久居留权，本科学历，高级经济师。曾任安徽皖通</w:t>
      </w:r>
      <w:r>
        <w:rPr/>
      </w:r>
    </w:p>
    <w:p>
      <w:pPr>
        <w:pStyle w:val="BodyText"/>
        <w:spacing w:line="273" w:lineRule="auto" w:before="0"/>
        <w:ind w:left="192" w:right="105"/>
        <w:jc w:val="left"/>
      </w:pPr>
      <w:r>
        <w:rPr>
          <w:w w:val="95"/>
        </w:rPr>
        <w:t>科技发展有限公司财务部信息主管、本公司内部审计部负责人，现任公司监事会主席、子公司天津市天安</w:t>
      </w:r>
      <w:r>
        <w:rPr>
          <w:spacing w:val="43"/>
          <w:w w:val="95"/>
        </w:rPr>
        <w:t> </w:t>
      </w:r>
      <w:r>
        <w:rPr>
          <w:spacing w:val="43"/>
          <w:w w:val="95"/>
        </w:rPr>
      </w:r>
      <w:r>
        <w:rPr/>
        <w:t>怡和信息技术有限公司、控股公司天津信息港甲子科技有限公司董事。</w:t>
      </w:r>
    </w:p>
    <w:p>
      <w:pPr>
        <w:pStyle w:val="BodyText"/>
        <w:spacing w:line="256" w:lineRule="auto"/>
        <w:ind w:left="192" w:right="207" w:firstLine="420"/>
        <w:jc w:val="both"/>
      </w:pPr>
      <w:r>
        <w:rPr>
          <w:w w:val="95"/>
        </w:rPr>
        <w:t>陈延风先生：男，</w:t>
      </w:r>
      <w:r>
        <w:rPr>
          <w:rFonts w:ascii="Times New Roman" w:hAnsi="Times New Roman" w:cs="Times New Roman" w:eastAsia="Times New Roman" w:hint="default"/>
          <w:w w:val="95"/>
        </w:rPr>
        <w:t>1964</w:t>
      </w:r>
      <w:r>
        <w:rPr>
          <w:w w:val="95"/>
        </w:rPr>
        <w:t>年生，中国国籍，无境外永久居留权，本科学历，高级经济师。曾任本公司董</w:t>
      </w:r>
      <w:r>
        <w:rPr>
          <w:spacing w:val="-94"/>
          <w:w w:val="95"/>
        </w:rPr>
        <w:t> </w:t>
      </w:r>
      <w:r>
        <w:rPr>
          <w:spacing w:val="-94"/>
          <w:w w:val="95"/>
        </w:rPr>
      </w:r>
      <w:r>
        <w:rPr/>
        <w:t>事会办公室主任、证券事务代表。现任公司监事。</w:t>
      </w:r>
    </w:p>
    <w:p>
      <w:pPr>
        <w:pStyle w:val="BodyText"/>
        <w:spacing w:line="256" w:lineRule="auto" w:before="22"/>
        <w:ind w:left="192" w:right="212" w:firstLine="420"/>
        <w:jc w:val="both"/>
      </w:pPr>
      <w:r>
        <w:rPr>
          <w:w w:val="95"/>
        </w:rPr>
        <w:t>竺进先生：男，</w:t>
      </w:r>
      <w:r>
        <w:rPr>
          <w:rFonts w:ascii="Times New Roman" w:hAnsi="Times New Roman" w:cs="Times New Roman" w:eastAsia="Times New Roman" w:hint="default"/>
          <w:w w:val="95"/>
        </w:rPr>
        <w:t>1959</w:t>
      </w:r>
      <w:r>
        <w:rPr>
          <w:w w:val="95"/>
        </w:rPr>
        <w:t>年生，中国国籍，无境外永久居留权，大专学历。曾任合肥安曼制版有限公司生</w:t>
      </w:r>
      <w:r>
        <w:rPr>
          <w:w w:val="99"/>
        </w:rPr>
        <w:t> </w:t>
      </w:r>
      <w:r>
        <w:rPr/>
        <w:t>产调度。现任公司总经理办公室副主任和公司职工代表监事。</w:t>
      </w:r>
    </w:p>
    <w:p>
      <w:pPr>
        <w:pStyle w:val="BodyText"/>
        <w:spacing w:line="273" w:lineRule="auto" w:before="22"/>
        <w:ind w:left="612" w:right="3670" w:hanging="104"/>
        <w:jc w:val="left"/>
      </w:pPr>
      <w:r>
        <w:rPr>
          <w:rFonts w:ascii="宋体" w:hAnsi="宋体" w:cs="宋体" w:eastAsia="宋体" w:hint="default"/>
          <w:b/>
          <w:bCs/>
        </w:rPr>
        <w:t>（三）高级管理人员</w:t>
      </w:r>
      <w:r>
        <w:rPr>
          <w:rFonts w:ascii="宋体" w:hAnsi="宋体" w:cs="宋体" w:eastAsia="宋体" w:hint="default"/>
          <w:b/>
          <w:bCs/>
          <w:w w:val="99"/>
        </w:rPr>
        <w:t> </w:t>
      </w:r>
      <w:r>
        <w:rPr/>
        <w:t>杨世宁先生：总经理，见董事会成员简历。</w:t>
      </w:r>
      <w:r>
        <w:rPr>
          <w:w w:val="99"/>
        </w:rPr>
        <w:t> </w:t>
      </w:r>
      <w:r>
        <w:rPr/>
        <w:t>陈新先生：副总经理，见董事会成员简历。</w:t>
      </w:r>
      <w:r>
        <w:rPr>
          <w:w w:val="99"/>
        </w:rPr>
        <w:t> </w:t>
      </w:r>
      <w:r>
        <w:rPr>
          <w:w w:val="95"/>
        </w:rPr>
        <w:t>杨新子先生：副总经理，见董事会成员简历。</w:t>
      </w:r>
      <w:r>
        <w:rPr>
          <w:spacing w:val="-6"/>
          <w:w w:val="95"/>
        </w:rPr>
        <w:t> </w:t>
      </w:r>
      <w:r>
        <w:rPr>
          <w:spacing w:val="-6"/>
          <w:w w:val="95"/>
        </w:rPr>
      </w:r>
      <w:r>
        <w:rPr/>
        <w:t>郑槐先生：副总经理，见董事会成员简历。</w:t>
      </w:r>
    </w:p>
    <w:p>
      <w:pPr>
        <w:pStyle w:val="BodyText"/>
        <w:spacing w:line="264" w:lineRule="auto"/>
        <w:ind w:left="192" w:right="210" w:firstLine="420"/>
        <w:jc w:val="both"/>
      </w:pPr>
      <w:r>
        <w:rPr>
          <w:w w:val="95"/>
        </w:rPr>
        <w:t>孙胜先生：男，</w:t>
      </w:r>
      <w:r>
        <w:rPr>
          <w:rFonts w:ascii="Times New Roman" w:hAnsi="Times New Roman" w:cs="Times New Roman" w:eastAsia="Times New Roman" w:hint="default"/>
          <w:w w:val="95"/>
        </w:rPr>
        <w:t>1971</w:t>
      </w:r>
      <w:r>
        <w:rPr>
          <w:w w:val="95"/>
        </w:rPr>
        <w:t>年生，中国国籍，无境外永久居留权，本科学历，工程师。曾任安徽皖通科技发</w:t>
      </w:r>
      <w:r>
        <w:rPr>
          <w:w w:val="99"/>
        </w:rPr>
        <w:t> </w:t>
      </w:r>
      <w:r>
        <w:rPr>
          <w:w w:val="95"/>
        </w:rPr>
        <w:t>展有限公司市场部经理和公司职工代表监事。现任公司副总经理、子公司安徽汉高信息科技有限公司执行  </w:t>
      </w:r>
      <w:r>
        <w:rPr>
          <w:spacing w:val="40"/>
          <w:w w:val="95"/>
        </w:rPr>
        <w:t> </w:t>
      </w:r>
      <w:r>
        <w:rPr>
          <w:spacing w:val="40"/>
          <w:w w:val="95"/>
        </w:rPr>
      </w:r>
      <w:r>
        <w:rPr/>
        <w:t>监事。</w:t>
      </w:r>
    </w:p>
    <w:p>
      <w:pPr>
        <w:pStyle w:val="BodyText"/>
        <w:spacing w:line="256" w:lineRule="auto" w:before="16"/>
        <w:ind w:left="192" w:right="212" w:firstLine="420"/>
        <w:jc w:val="both"/>
      </w:pPr>
      <w:r>
        <w:rPr>
          <w:w w:val="95"/>
        </w:rPr>
        <w:t>孔梅女士：女，</w:t>
      </w:r>
      <w:r>
        <w:rPr>
          <w:rFonts w:ascii="Times New Roman" w:hAnsi="Times New Roman" w:cs="Times New Roman" w:eastAsia="Times New Roman" w:hint="default"/>
          <w:w w:val="95"/>
        </w:rPr>
        <w:t>1969</w:t>
      </w:r>
      <w:r>
        <w:rPr>
          <w:w w:val="95"/>
        </w:rPr>
        <w:t>年生，中国国籍，无境外永久居留权，大专学历。曾任安徽皖通科技发展有限公</w:t>
      </w:r>
      <w:r>
        <w:rPr>
          <w:w w:val="99"/>
        </w:rPr>
        <w:t> </w:t>
      </w:r>
      <w:r>
        <w:rPr/>
        <w:t>司总经理助理。现任公司副总经理、子公司安徽皖通城市智能交通科技有限公司董事长。</w:t>
      </w:r>
    </w:p>
    <w:p>
      <w:pPr>
        <w:pStyle w:val="BodyText"/>
        <w:spacing w:line="256" w:lineRule="auto" w:before="22"/>
        <w:ind w:left="192" w:right="105" w:firstLine="420"/>
        <w:jc w:val="left"/>
      </w:pPr>
      <w:r>
        <w:rPr>
          <w:spacing w:val="-5"/>
        </w:rPr>
        <w:t>卢玉平先生：男，</w:t>
      </w:r>
      <w:r>
        <w:rPr>
          <w:rFonts w:ascii="Times New Roman" w:hAnsi="Times New Roman" w:cs="Times New Roman" w:eastAsia="Times New Roman" w:hint="default"/>
          <w:spacing w:val="-5"/>
        </w:rPr>
        <w:t>1985</w:t>
      </w:r>
      <w:r>
        <w:rPr>
          <w:spacing w:val="-5"/>
        </w:rPr>
        <w:t>年生，中国国籍，无境外永久居留权，本科学历，中国注册会计师协会会员（非</w:t>
      </w:r>
      <w:r>
        <w:rPr>
          <w:w w:val="99"/>
        </w:rPr>
        <w:t> </w:t>
      </w:r>
      <w:r>
        <w:rPr>
          <w:spacing w:val="-3"/>
        </w:rPr>
        <w:t>执业）。曾任华普天健会计师事务所（特殊普通合伙）审计职务和公司财务部经理。现任公司财务负责人。</w:t>
      </w:r>
    </w:p>
    <w:p>
      <w:pPr>
        <w:spacing w:before="86"/>
        <w:ind w:left="192" w:right="10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7"/>
        <w:ind w:left="19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在其他单位任职情况</w:t>
      </w:r>
    </w:p>
    <w:p>
      <w:pPr>
        <w:spacing w:before="39"/>
        <w:ind w:left="19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201"/>
        <w:gridCol w:w="3052"/>
        <w:gridCol w:w="992"/>
        <w:gridCol w:w="1559"/>
        <w:gridCol w:w="1560"/>
        <w:gridCol w:w="1417"/>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 w:right="3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1" w:right="72"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940" w:right="9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201"/>
        <w:gridCol w:w="3052"/>
        <w:gridCol w:w="992"/>
        <w:gridCol w:w="1559"/>
        <w:gridCol w:w="1560"/>
        <w:gridCol w:w="1417"/>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安徽高速物流股份有限公司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王志洁</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王志洁</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杨世宁</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杨世宁</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陈  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  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陈  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天津市金飞博光通讯有限公司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天津玺朗文化传媒有限公司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  槐</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陈结淼</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安徽大学法学院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副院长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陈结淼</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安徽华茂纺织股份有限公司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合肥工业大学管理学院会计系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系主任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合肥工业大学金融证券研究所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中国会计学会工科院校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秘书长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洽洽食品股份有限公司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安徽国风塑业股份有限公司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加加食品集团股份有限公司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华帝股份有限公司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马鞍山农村商业银行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中国科技大学管理学院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副教授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安徽安凯汽车股份有限公司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李天华</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李天华</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  胜</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94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201"/>
        <w:gridCol w:w="3052"/>
        <w:gridCol w:w="992"/>
        <w:gridCol w:w="1559"/>
        <w:gridCol w:w="1560"/>
        <w:gridCol w:w="1417"/>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5" w:right="0"/>
              <w:jc w:val="left"/>
              <w:rPr>
                <w:rFonts w:ascii="宋体" w:hAnsi="宋体" w:cs="宋体" w:eastAsia="宋体" w:hint="default"/>
                <w:sz w:val="18"/>
                <w:szCs w:val="18"/>
              </w:rPr>
            </w:pPr>
            <w:r>
              <w:rPr>
                <w:rFonts w:ascii="宋体" w:hAnsi="宋体" w:cs="宋体" w:eastAsia="宋体" w:hint="default"/>
                <w:sz w:val="18"/>
                <w:szCs w:val="18"/>
              </w:rPr>
              <w:t>孔  梅</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5"/>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5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92" w:right="105"/>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92" w:right="10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92"/>
        <w:ind w:left="192" w:right="105" w:firstLine="420"/>
        <w:jc w:val="left"/>
      </w:pPr>
      <w:r>
        <w:rPr/>
        <w:t>公司对高级管理人员的聘任公开、透明，符合法律法规的规定。公司董事会薪酬与考核委员会负责对</w:t>
      </w:r>
      <w:r>
        <w:rPr>
          <w:w w:val="99"/>
        </w:rPr>
        <w:t> </w:t>
      </w:r>
      <w:r>
        <w:rPr>
          <w:spacing w:val="-3"/>
        </w:rPr>
        <w:t>高级管理人员的工作能力、履职情况、责任目标完成情况等进行考评，并制定薪酬方案报公司董事会审批。</w:t>
      </w:r>
      <w:r>
        <w:rPr>
          <w:w w:val="99"/>
        </w:rPr>
        <w:t> </w:t>
      </w:r>
      <w:r>
        <w:rPr/>
        <w:t>公司建立了完善的高级管理人员绩效考评体系和薪酬制度，通过加大对公司高级管理人员的激励考核，强</w:t>
      </w:r>
      <w:r>
        <w:rPr>
          <w:w w:val="99"/>
        </w:rPr>
        <w:t> </w:t>
      </w:r>
      <w:r>
        <w:rPr/>
        <w:t>化责任目标约束，工作绩效与其收入直接挂钩等方式，充分发挥和调动公司高级管理人员的工作积极性和</w:t>
      </w:r>
      <w:r>
        <w:rPr>
          <w:w w:val="99"/>
        </w:rPr>
        <w:t> </w:t>
      </w:r>
      <w:r>
        <w:rPr/>
        <w:t>创造性，提高了企业的管理水平、营运能力和经济效益。</w:t>
      </w:r>
    </w:p>
    <w:p>
      <w:pPr>
        <w:spacing w:before="74"/>
        <w:ind w:left="192" w:right="105"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2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1197"/>
        <w:gridCol w:w="2489"/>
        <w:gridCol w:w="850"/>
        <w:gridCol w:w="567"/>
        <w:gridCol w:w="877"/>
        <w:gridCol w:w="1196"/>
        <w:gridCol w:w="1196"/>
        <w:gridCol w:w="1196"/>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2"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王中胜</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王志洁</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杨世宁</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  新</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杨新子</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  槐</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姚禄仕</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陈结淼</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王  水</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李洪峰</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李天华</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陈延风</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竺  进</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  胜</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孔  梅</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  芸</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卢玉平</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274.36</w:t>
            </w:r>
          </w:p>
        </w:tc>
      </w:tr>
    </w:tbl>
    <w:p>
      <w:pPr>
        <w:spacing w:before="50"/>
        <w:ind w:left="192" w:right="105"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9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940" w:right="920"/>
        </w:sectPr>
      </w:pPr>
    </w:p>
    <w:p>
      <w:pPr>
        <w:spacing w:line="240" w:lineRule="auto" w:before="5"/>
        <w:rPr>
          <w:rFonts w:ascii="宋体" w:hAnsi="宋体" w:cs="宋体" w:eastAsia="宋体" w:hint="default"/>
          <w:sz w:val="24"/>
          <w:szCs w:val="24"/>
        </w:rPr>
      </w:pPr>
    </w:p>
    <w:p>
      <w:pPr>
        <w:pStyle w:val="Heading3"/>
        <w:spacing w:line="240" w:lineRule="auto" w:before="26"/>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680"/>
        <w:gridCol w:w="389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王  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李  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卢玉平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孙  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岗位调整离任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竺  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孙  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0" w:firstLine="42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日，公司在册员工总数为</w:t>
      </w:r>
      <w:r>
        <w:rPr>
          <w:rFonts w:ascii="Times New Roman" w:hAnsi="Times New Roman" w:cs="Times New Roman" w:eastAsia="Times New Roman" w:hint="default"/>
        </w:rPr>
        <w:t>966</w:t>
      </w:r>
      <w:r>
        <w:rPr/>
        <w:t>人。公司实行劳动合同制度，员工的聘用和解聘均依</w:t>
      </w:r>
      <w:r>
        <w:rPr>
          <w:w w:val="99"/>
        </w:rPr>
        <w:t> </w:t>
      </w:r>
      <w:r>
        <w:rPr>
          <w:w w:val="95"/>
        </w:rPr>
        <w:t>据《中华人民共和国劳动法》及其他相关劳动法律法规的规定办理。公司为员工提供了劳动保障计划，包</w:t>
      </w:r>
      <w:r>
        <w:rPr>
          <w:spacing w:val="40"/>
          <w:w w:val="95"/>
        </w:rPr>
        <w:t> </w:t>
      </w:r>
      <w:r>
        <w:rPr>
          <w:spacing w:val="40"/>
          <w:w w:val="95"/>
        </w:rPr>
      </w:r>
      <w:r>
        <w:rPr>
          <w:w w:val="95"/>
        </w:rPr>
        <w:t>括基本养老保险、工伤保险、生育保险、医疗保险、失业保险、住房公积金等。公司没有需要承担费用的</w:t>
      </w:r>
      <w:r>
        <w:rPr>
          <w:spacing w:val="40"/>
          <w:w w:val="95"/>
        </w:rPr>
        <w:t> </w:t>
      </w:r>
      <w:r>
        <w:rPr>
          <w:spacing w:val="40"/>
          <w:w w:val="95"/>
        </w:rPr>
      </w:r>
      <w:r>
        <w:rPr/>
        <w:t>离退休职工。</w:t>
      </w:r>
    </w:p>
    <w:p>
      <w:pPr>
        <w:pStyle w:val="Heading4"/>
        <w:spacing w:line="240" w:lineRule="auto" w:before="14"/>
        <w:ind w:left="514" w:right="507"/>
        <w:jc w:val="center"/>
        <w:rPr>
          <w:b w:val="0"/>
          <w:bCs w:val="0"/>
        </w:rPr>
      </w:pPr>
      <w:r>
        <w:rPr/>
        <w:t>公司人员教育程度情况</w:t>
      </w:r>
      <w:r>
        <w:rPr>
          <w:b w:val="0"/>
          <w:bCs w:val="0"/>
        </w:rPr>
      </w:r>
    </w:p>
    <w:p>
      <w:pPr>
        <w:spacing w:line="240" w:lineRule="auto" w:before="4"/>
        <w:rPr>
          <w:rFonts w:ascii="宋体" w:hAnsi="宋体" w:cs="宋体" w:eastAsia="宋体" w:hint="default"/>
          <w:b/>
          <w:bCs/>
          <w:sz w:val="29"/>
          <w:szCs w:val="29"/>
        </w:rPr>
      </w:pPr>
    </w:p>
    <w:p>
      <w:pPr>
        <w:spacing w:line="4329" w:lineRule="exact"/>
        <w:ind w:left="131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9990"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4589990" cy="2749296"/>
                    </a:xfrm>
                    <a:prstGeom prst="rect">
                      <a:avLst/>
                    </a:prstGeom>
                  </pic:spPr>
                </pic:pic>
              </a:graphicData>
            </a:graphic>
          </wp:inline>
        </w:drawing>
      </w:r>
      <w:r>
        <w:rPr>
          <w:rFonts w:ascii="宋体" w:hAnsi="宋体" w:cs="宋体" w:eastAsia="宋体" w:hint="default"/>
          <w:position w:val="-86"/>
          <w:sz w:val="20"/>
          <w:szCs w:val="20"/>
        </w:rPr>
      </w:r>
    </w:p>
    <w:p>
      <w:pPr>
        <w:spacing w:after="0" w:line="4329" w:lineRule="exact"/>
        <w:rPr>
          <w:rFonts w:ascii="宋体" w:hAnsi="宋体" w:cs="宋体" w:eastAsia="宋体" w:hint="default"/>
          <w:sz w:val="20"/>
          <w:szCs w:val="20"/>
        </w:rPr>
        <w:sectPr>
          <w:pgSz w:w="11910" w:h="16840"/>
          <w:pgMar w:header="746" w:footer="978" w:top="1040" w:bottom="1160" w:left="1020" w:right="1020"/>
        </w:sectPr>
      </w:pPr>
    </w:p>
    <w:p>
      <w:pPr>
        <w:spacing w:line="240" w:lineRule="auto" w:before="6"/>
        <w:rPr>
          <w:rFonts w:ascii="宋体" w:hAnsi="宋体" w:cs="宋体" w:eastAsia="宋体" w:hint="default"/>
          <w:b/>
          <w:bCs/>
          <w:sz w:val="25"/>
          <w:szCs w:val="25"/>
        </w:rPr>
      </w:pPr>
    </w:p>
    <w:p>
      <w:pPr>
        <w:pStyle w:val="Heading4"/>
        <w:spacing w:line="240" w:lineRule="auto" w:before="34"/>
        <w:ind w:left="514" w:right="507"/>
        <w:jc w:val="center"/>
        <w:rPr>
          <w:b w:val="0"/>
          <w:bCs w:val="0"/>
        </w:rPr>
      </w:pPr>
      <w:r>
        <w:rPr/>
        <w:t>公司人员专业结构情况</w:t>
      </w:r>
      <w:r>
        <w:rPr>
          <w:b w:val="0"/>
          <w:bCs w:val="0"/>
        </w:rPr>
      </w:r>
    </w:p>
    <w:p>
      <w:pPr>
        <w:spacing w:line="240" w:lineRule="auto" w:before="3"/>
        <w:rPr>
          <w:rFonts w:ascii="宋体" w:hAnsi="宋体" w:cs="宋体" w:eastAsia="宋体" w:hint="default"/>
          <w:b/>
          <w:bCs/>
          <w:sz w:val="29"/>
          <w:szCs w:val="29"/>
        </w:rPr>
      </w:pPr>
    </w:p>
    <w:p>
      <w:pPr>
        <w:spacing w:line="4329" w:lineRule="exact"/>
        <w:ind w:left="131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2" cstate="print"/>
                    <a:stretch>
                      <a:fillRect/>
                    </a:stretch>
                  </pic:blipFill>
                  <pic:spPr>
                    <a:xfrm>
                      <a:off x="0" y="0"/>
                      <a:ext cx="4589990" cy="2749296"/>
                    </a:xfrm>
                    <a:prstGeom prst="rect">
                      <a:avLst/>
                    </a:prstGeom>
                  </pic:spPr>
                </pic:pic>
              </a:graphicData>
            </a:graphic>
          </wp:inline>
        </w:drawing>
      </w:r>
      <w:r>
        <w:rPr>
          <w:rFonts w:ascii="宋体" w:hAnsi="宋体" w:cs="宋体" w:eastAsia="宋体" w:hint="default"/>
          <w:position w:val="-86"/>
          <w:sz w:val="20"/>
          <w:szCs w:val="20"/>
        </w:rPr>
      </w:r>
    </w:p>
    <w:p>
      <w:pPr>
        <w:spacing w:after="0" w:line="4329" w:lineRule="exact"/>
        <w:rPr>
          <w:rFonts w:ascii="宋体" w:hAnsi="宋体" w:cs="宋体" w:eastAsia="宋体" w:hint="default"/>
          <w:sz w:val="20"/>
          <w:szCs w:val="20"/>
        </w:rPr>
        <w:sectPr>
          <w:footerReference w:type="default" r:id="rId21"/>
          <w:pgSz w:w="11910" w:h="16840"/>
          <w:pgMar w:footer="978" w:header="746" w:top="1040" w:bottom="1160" w:left="1020" w:right="1020"/>
          <w:pgNumType w:start="5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Heading1"/>
        <w:spacing w:line="240" w:lineRule="auto"/>
        <w:ind w:left="3713" w:right="4130"/>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right="419"/>
        <w:jc w:val="left"/>
        <w:rPr>
          <w:b w:val="0"/>
          <w:bCs w:val="0"/>
        </w:rPr>
      </w:pP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428" w:firstLine="420"/>
        <w:jc w:val="both"/>
      </w:pPr>
      <w:r>
        <w:rPr/>
        <w:t>报告期内，公司严格按照《公司法》、《证券法》、《上市公司治理准则》、《深圳证券交易所中小</w:t>
      </w:r>
      <w:r>
        <w:rPr>
          <w:w w:val="99"/>
        </w:rPr>
        <w:t> </w:t>
      </w:r>
      <w:r>
        <w:rPr/>
        <w:t>企业板上市公司规范运作指引》、《深圳证券交易所股票上市规则》及中国证监会有关法律法规的要求，</w:t>
      </w:r>
      <w:r>
        <w:rPr>
          <w:w w:val="99"/>
        </w:rPr>
        <w:t> </w:t>
      </w:r>
      <w:r>
        <w:rPr/>
        <w:t>不断完善公司法人治理结构、建立健全公司内部控制体系，规范公司运作，不断加强信息披露工作，积极</w:t>
      </w:r>
      <w:r>
        <w:rPr>
          <w:w w:val="99"/>
        </w:rPr>
        <w:t> </w:t>
      </w:r>
      <w:r>
        <w:rPr>
          <w:spacing w:val="-3"/>
        </w:rPr>
        <w:t>开展投资者关系管理工作。截止报告期末，公司治理的实际情况符合有关上市公司治理规范性文件的要求。</w:t>
      </w:r>
    </w:p>
    <w:p>
      <w:pPr>
        <w:pStyle w:val="BodyText"/>
        <w:spacing w:line="240" w:lineRule="auto"/>
        <w:ind w:left="532" w:right="419"/>
        <w:jc w:val="left"/>
      </w:pPr>
      <w:r>
        <w:rPr/>
        <w:t>报告期内，公司建立和修订的治理制度：</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677"/>
        <w:gridCol w:w="5694"/>
        <w:gridCol w:w="2674"/>
      </w:tblGrid>
      <w:tr>
        <w:trPr>
          <w:trHeight w:val="426" w:hRule="exact"/>
        </w:trPr>
        <w:tc>
          <w:tcPr>
            <w:tcW w:w="167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34"/>
              <w:ind w:left="41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569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34"/>
              <w:ind w:right="2"/>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267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428"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41" w:right="0"/>
              <w:jc w:val="left"/>
              <w:rPr>
                <w:rFonts w:ascii="Times New Roman" w:hAnsi="Times New Roman" w:cs="Times New Roman" w:eastAsia="Times New Roman" w:hint="default"/>
                <w:sz w:val="21"/>
                <w:szCs w:val="21"/>
              </w:rPr>
            </w:pPr>
            <w:r>
              <w:rPr>
                <w:rFonts w:ascii="Times New Roman"/>
                <w:sz w:val="21"/>
              </w:rPr>
              <w:t>2014-06-19</w:t>
            </w:r>
          </w:p>
        </w:tc>
        <w:tc>
          <w:tcPr>
            <w:tcW w:w="5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《安徽皖通科技股份有限公司章程》</w:t>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6" w:right="0"/>
              <w:jc w:val="center"/>
              <w:rPr>
                <w:rFonts w:ascii="Times New Roman" w:hAnsi="Times New Roman" w:cs="Times New Roman" w:eastAsia="Times New Roman" w:hint="default"/>
                <w:sz w:val="21"/>
                <w:szCs w:val="21"/>
              </w:rPr>
            </w:pPr>
            <w:r>
              <w:rPr>
                <w:rFonts w:ascii="Times New Roman"/>
                <w:color w:val="0000FF"/>
                <w:w w:val="99"/>
                <w:sz w:val="21"/>
              </w:rPr>
            </w:r>
            <w:hyperlink r:id="rId12">
              <w:r>
                <w:rPr>
                  <w:rFonts w:ascii="Times New Roman"/>
                  <w:color w:val="0000FF"/>
                  <w:sz w:val="21"/>
                  <w:u w:val="single" w:color="0000FF"/>
                </w:rPr>
                <w:t>http://www.cninfo.com.cn</w:t>
              </w:r>
              <w:r>
                <w:rPr>
                  <w:rFonts w:ascii="Times New Roman"/>
                  <w:color w:val="0000FF"/>
                  <w:sz w:val="21"/>
                </w:rPr>
              </w:r>
              <w:r>
                <w:rPr>
                  <w:rFonts w:ascii="Times New Roman"/>
                  <w:sz w:val="21"/>
                </w:rPr>
              </w:r>
            </w:hyperlink>
          </w:p>
        </w:tc>
      </w:tr>
      <w:tr>
        <w:trPr>
          <w:trHeight w:val="42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41" w:right="0"/>
              <w:jc w:val="left"/>
              <w:rPr>
                <w:rFonts w:ascii="Times New Roman" w:hAnsi="Times New Roman" w:cs="Times New Roman" w:eastAsia="Times New Roman" w:hint="default"/>
                <w:sz w:val="21"/>
                <w:szCs w:val="21"/>
              </w:rPr>
            </w:pPr>
            <w:r>
              <w:rPr>
                <w:rFonts w:ascii="Times New Roman"/>
                <w:sz w:val="21"/>
              </w:rPr>
              <w:t>2014-06-19</w:t>
            </w:r>
          </w:p>
        </w:tc>
        <w:tc>
          <w:tcPr>
            <w:tcW w:w="5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《安徽皖通科技股份有限公司对外提供财务资助管理制度》</w:t>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6" w:right="0"/>
              <w:jc w:val="center"/>
              <w:rPr>
                <w:rFonts w:ascii="Times New Roman" w:hAnsi="Times New Roman" w:cs="Times New Roman" w:eastAsia="Times New Roman" w:hint="default"/>
                <w:sz w:val="21"/>
                <w:szCs w:val="21"/>
              </w:rPr>
            </w:pPr>
            <w:r>
              <w:rPr>
                <w:rFonts w:ascii="Times New Roman"/>
                <w:color w:val="0000FF"/>
                <w:w w:val="99"/>
                <w:sz w:val="21"/>
              </w:rPr>
            </w:r>
            <w:hyperlink r:id="rId12">
              <w:r>
                <w:rPr>
                  <w:rFonts w:ascii="Times New Roman"/>
                  <w:color w:val="0000FF"/>
                  <w:sz w:val="21"/>
                  <w:u w:val="single" w:color="0000FF"/>
                </w:rPr>
                <w:t>http://www.cninfo.com.cn</w:t>
              </w:r>
              <w:r>
                <w:rPr>
                  <w:rFonts w:ascii="Times New Roman"/>
                  <w:color w:val="0000FF"/>
                  <w:sz w:val="21"/>
                </w:rPr>
              </w:r>
              <w:r>
                <w:rPr>
                  <w:rFonts w:ascii="Times New Roman"/>
                  <w:sz w:val="21"/>
                </w:rPr>
              </w:r>
            </w:hyperlink>
          </w:p>
        </w:tc>
      </w:tr>
      <w:tr>
        <w:trPr>
          <w:trHeight w:val="42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41" w:right="0"/>
              <w:jc w:val="left"/>
              <w:rPr>
                <w:rFonts w:ascii="Times New Roman" w:hAnsi="Times New Roman" w:cs="Times New Roman" w:eastAsia="Times New Roman" w:hint="default"/>
                <w:sz w:val="21"/>
                <w:szCs w:val="21"/>
              </w:rPr>
            </w:pPr>
            <w:r>
              <w:rPr>
                <w:rFonts w:ascii="Times New Roman"/>
                <w:sz w:val="21"/>
              </w:rPr>
              <w:t>2014-06-19</w:t>
            </w:r>
          </w:p>
        </w:tc>
        <w:tc>
          <w:tcPr>
            <w:tcW w:w="5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《安徽皖通科技股份有限公司董事会秘书工作细则》</w:t>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6" w:right="0"/>
              <w:jc w:val="center"/>
              <w:rPr>
                <w:rFonts w:ascii="Times New Roman" w:hAnsi="Times New Roman" w:cs="Times New Roman" w:eastAsia="Times New Roman" w:hint="default"/>
                <w:sz w:val="21"/>
                <w:szCs w:val="21"/>
              </w:rPr>
            </w:pPr>
            <w:r>
              <w:rPr>
                <w:rFonts w:ascii="Times New Roman"/>
                <w:color w:val="0000FF"/>
                <w:w w:val="99"/>
                <w:sz w:val="21"/>
              </w:rPr>
            </w:r>
            <w:hyperlink r:id="rId12">
              <w:r>
                <w:rPr>
                  <w:rFonts w:ascii="Times New Roman"/>
                  <w:color w:val="0000FF"/>
                  <w:sz w:val="21"/>
                  <w:u w:val="single" w:color="0000FF"/>
                </w:rPr>
                <w:t>http://www.cninfo.com.cn</w:t>
              </w:r>
              <w:r>
                <w:rPr>
                  <w:rFonts w:ascii="Times New Roman"/>
                  <w:color w:val="0000FF"/>
                  <w:sz w:val="21"/>
                </w:rPr>
              </w:r>
              <w:r>
                <w:rPr>
                  <w:rFonts w:ascii="Times New Roman"/>
                  <w:sz w:val="21"/>
                </w:rPr>
              </w:r>
            </w:hyperlink>
          </w:p>
        </w:tc>
      </w:tr>
      <w:tr>
        <w:trPr>
          <w:trHeight w:val="42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41" w:right="0"/>
              <w:jc w:val="left"/>
              <w:rPr>
                <w:rFonts w:ascii="Times New Roman" w:hAnsi="Times New Roman" w:cs="Times New Roman" w:eastAsia="Times New Roman" w:hint="default"/>
                <w:sz w:val="21"/>
                <w:szCs w:val="21"/>
              </w:rPr>
            </w:pPr>
            <w:r>
              <w:rPr>
                <w:rFonts w:ascii="Times New Roman"/>
                <w:sz w:val="21"/>
              </w:rPr>
              <w:t>2014-06-19</w:t>
            </w:r>
          </w:p>
        </w:tc>
        <w:tc>
          <w:tcPr>
            <w:tcW w:w="5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《安徽皖通科技股份有限公司独立董事工作细则》</w:t>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6" w:right="0"/>
              <w:jc w:val="center"/>
              <w:rPr>
                <w:rFonts w:ascii="Times New Roman" w:hAnsi="Times New Roman" w:cs="Times New Roman" w:eastAsia="Times New Roman" w:hint="default"/>
                <w:sz w:val="21"/>
                <w:szCs w:val="21"/>
              </w:rPr>
            </w:pPr>
            <w:r>
              <w:rPr>
                <w:rFonts w:ascii="Times New Roman"/>
                <w:color w:val="0000FF"/>
                <w:w w:val="99"/>
                <w:sz w:val="21"/>
              </w:rPr>
            </w:r>
            <w:hyperlink r:id="rId12">
              <w:r>
                <w:rPr>
                  <w:rFonts w:ascii="Times New Roman"/>
                  <w:color w:val="0000FF"/>
                  <w:sz w:val="21"/>
                  <w:u w:val="single" w:color="0000FF"/>
                </w:rPr>
                <w:t>http://www.cninfo.com.cn</w:t>
              </w:r>
              <w:r>
                <w:rPr>
                  <w:rFonts w:ascii="Times New Roman"/>
                  <w:color w:val="0000FF"/>
                  <w:sz w:val="21"/>
                </w:rPr>
              </w:r>
              <w:r>
                <w:rPr>
                  <w:rFonts w:ascii="Times New Roman"/>
                  <w:sz w:val="21"/>
                </w:rPr>
              </w:r>
            </w:hyperlink>
          </w:p>
        </w:tc>
      </w:tr>
      <w:tr>
        <w:trPr>
          <w:trHeight w:val="42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41" w:right="0"/>
              <w:jc w:val="left"/>
              <w:rPr>
                <w:rFonts w:ascii="Times New Roman" w:hAnsi="Times New Roman" w:cs="Times New Roman" w:eastAsia="Times New Roman" w:hint="default"/>
                <w:sz w:val="21"/>
                <w:szCs w:val="21"/>
              </w:rPr>
            </w:pPr>
            <w:r>
              <w:rPr>
                <w:rFonts w:ascii="Times New Roman"/>
                <w:sz w:val="21"/>
              </w:rPr>
              <w:t>2014-10-10</w:t>
            </w:r>
          </w:p>
        </w:tc>
        <w:tc>
          <w:tcPr>
            <w:tcW w:w="5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《安徽皖通科技股份有限公司章程》</w:t>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6" w:right="0"/>
              <w:jc w:val="center"/>
              <w:rPr>
                <w:rFonts w:ascii="Times New Roman" w:hAnsi="Times New Roman" w:cs="Times New Roman" w:eastAsia="Times New Roman" w:hint="default"/>
                <w:sz w:val="21"/>
                <w:szCs w:val="21"/>
              </w:rPr>
            </w:pPr>
            <w:r>
              <w:rPr>
                <w:rFonts w:ascii="Times New Roman"/>
                <w:color w:val="0000FF"/>
                <w:w w:val="99"/>
                <w:sz w:val="21"/>
              </w:rPr>
            </w:r>
            <w:hyperlink r:id="rId12">
              <w:r>
                <w:rPr>
                  <w:rFonts w:ascii="Times New Roman"/>
                  <w:color w:val="0000FF"/>
                  <w:sz w:val="21"/>
                  <w:u w:val="single" w:color="0000FF"/>
                </w:rPr>
                <w:t>http://www.cninfo.com.cn</w:t>
              </w:r>
              <w:r>
                <w:rPr>
                  <w:rFonts w:ascii="Times New Roman"/>
                  <w:color w:val="0000FF"/>
                  <w:sz w:val="21"/>
                </w:rPr>
              </w:r>
              <w:r>
                <w:rPr>
                  <w:rFonts w:ascii="Times New Roman"/>
                  <w:sz w:val="21"/>
                </w:rPr>
              </w:r>
            </w:hyperlink>
          </w:p>
        </w:tc>
      </w:tr>
    </w:tbl>
    <w:p>
      <w:pPr>
        <w:pStyle w:val="Heading4"/>
        <w:spacing w:line="260" w:lineRule="exact"/>
        <w:ind w:left="532" w:right="419"/>
        <w:jc w:val="left"/>
        <w:rPr>
          <w:b w:val="0"/>
          <w:bCs w:val="0"/>
        </w:rPr>
      </w:pPr>
      <w:r>
        <w:rPr/>
        <w:t>（一）关于股东与股东大会</w:t>
      </w:r>
      <w:r>
        <w:rPr>
          <w:b w:val="0"/>
          <w:bCs w:val="0"/>
        </w:rPr>
      </w:r>
    </w:p>
    <w:p>
      <w:pPr>
        <w:pStyle w:val="BodyText"/>
        <w:spacing w:line="273" w:lineRule="auto" w:before="37"/>
        <w:ind w:right="419" w:firstLine="420"/>
        <w:jc w:val="left"/>
      </w:pPr>
      <w:r>
        <w:rPr>
          <w:spacing w:val="-3"/>
        </w:rPr>
        <w:t>报告期内，公司严格按照《公司法》、《证券法》、《深圳证券交易所股票上市规则》、《公司章程》</w:t>
      </w:r>
      <w:r>
        <w:rPr>
          <w:w w:val="99"/>
        </w:rPr>
        <w:t> </w:t>
      </w:r>
      <w:r>
        <w:rPr/>
        <w:t>和《安徽皖通科技股份有限公司股东大会议事规则》等相关法律法规要求规范召集、召开股东大会，并聘</w:t>
      </w:r>
      <w:r>
        <w:rPr>
          <w:w w:val="99"/>
        </w:rPr>
        <w:t> </w:t>
      </w:r>
      <w:r>
        <w:rPr/>
        <w:t>请律师出席见证，能够确保全体股东尤其是中小股东享有平等地位，充分行使自己的权利。</w:t>
      </w:r>
    </w:p>
    <w:p>
      <w:pPr>
        <w:spacing w:line="273" w:lineRule="auto" w:before="7"/>
        <w:ind w:left="532" w:right="419" w:firstLine="0"/>
        <w:jc w:val="left"/>
        <w:rPr>
          <w:rFonts w:ascii="宋体" w:hAnsi="宋体" w:cs="宋体" w:eastAsia="宋体" w:hint="default"/>
          <w:sz w:val="21"/>
          <w:szCs w:val="21"/>
        </w:rPr>
      </w:pPr>
      <w:r>
        <w:rPr>
          <w:rFonts w:ascii="宋体" w:hAnsi="宋体" w:cs="宋体" w:eastAsia="宋体" w:hint="default"/>
          <w:b/>
          <w:bCs/>
          <w:sz w:val="21"/>
          <w:szCs w:val="21"/>
        </w:rPr>
        <w:t>（二）关于实际控制人与公司</w:t>
      </w:r>
      <w:r>
        <w:rPr>
          <w:rFonts w:ascii="宋体" w:hAnsi="宋体" w:cs="宋体" w:eastAsia="宋体" w:hint="default"/>
          <w:b/>
          <w:bCs/>
          <w:w w:val="99"/>
          <w:sz w:val="21"/>
          <w:szCs w:val="21"/>
        </w:rPr>
        <w:t> </w:t>
      </w:r>
      <w:r>
        <w:rPr>
          <w:rFonts w:ascii="宋体" w:hAnsi="宋体" w:cs="宋体" w:eastAsia="宋体" w:hint="default"/>
          <w:w w:val="95"/>
          <w:sz w:val="21"/>
          <w:szCs w:val="21"/>
        </w:rPr>
        <w:t>公司实际控制人能严格规范自己的行为，通过股东大会依法行使出资人的权利，没有超越股东大会直</w:t>
      </w:r>
      <w:r>
        <w:rPr>
          <w:rFonts w:ascii="宋体" w:hAnsi="宋体" w:cs="宋体" w:eastAsia="宋体" w:hint="default"/>
          <w:sz w:val="21"/>
          <w:szCs w:val="21"/>
        </w:rPr>
      </w:r>
    </w:p>
    <w:p>
      <w:pPr>
        <w:pStyle w:val="BodyText"/>
        <w:spacing w:line="273" w:lineRule="auto" w:before="8"/>
        <w:ind w:right="535"/>
        <w:jc w:val="both"/>
      </w:pPr>
      <w:r>
        <w:rPr>
          <w:w w:val="95"/>
        </w:rPr>
        <w:t>接或间接干预公司的决策和经营活动，公司未与控股股东进行关联交易，公司董事会、监事会和内部机构</w:t>
      </w:r>
      <w:r>
        <w:rPr>
          <w:spacing w:val="37"/>
          <w:w w:val="95"/>
        </w:rPr>
        <w:t> </w:t>
      </w:r>
      <w:r>
        <w:rPr>
          <w:spacing w:val="37"/>
          <w:w w:val="95"/>
        </w:rPr>
      </w:r>
      <w:r>
        <w:rPr/>
        <w:t>独立运作。</w:t>
      </w:r>
    </w:p>
    <w:p>
      <w:pPr>
        <w:spacing w:line="273" w:lineRule="auto" w:before="7"/>
        <w:ind w:left="532" w:right="419" w:firstLine="0"/>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w w:val="99"/>
          <w:sz w:val="21"/>
          <w:szCs w:val="21"/>
        </w:rPr>
        <w:t> </w:t>
      </w:r>
      <w:r>
        <w:rPr>
          <w:rFonts w:ascii="宋体" w:hAnsi="宋体" w:cs="宋体" w:eastAsia="宋体" w:hint="default"/>
          <w:w w:val="95"/>
          <w:sz w:val="21"/>
          <w:szCs w:val="21"/>
        </w:rPr>
        <w:t>公司严格按照法律法规和《公司章程》规定的选聘程序选举董事，董事会的人数及人员构成符合法律</w:t>
      </w:r>
      <w:r>
        <w:rPr>
          <w:rFonts w:ascii="宋体" w:hAnsi="宋体" w:cs="宋体" w:eastAsia="宋体" w:hint="default"/>
          <w:sz w:val="21"/>
          <w:szCs w:val="21"/>
        </w:rPr>
      </w:r>
    </w:p>
    <w:p>
      <w:pPr>
        <w:pStyle w:val="BodyText"/>
        <w:spacing w:line="273" w:lineRule="auto" w:before="8"/>
        <w:ind w:right="512"/>
        <w:jc w:val="both"/>
      </w:pPr>
      <w:r>
        <w:rPr>
          <w:spacing w:val="-5"/>
        </w:rPr>
        <w:t>法规和《公司章程》的要求。公司全体董事能够依据《安徽皖通科技股份有限公司董事会议事规则》、《安</w:t>
      </w:r>
      <w:r>
        <w:rPr>
          <w:w w:val="99"/>
        </w:rPr>
        <w:t> </w:t>
      </w:r>
      <w:r>
        <w:rPr>
          <w:w w:val="95"/>
        </w:rPr>
        <w:t>徽皖通科技股份有限公司独立董事年报工作制度》和《安徽皖通科技股份有限公司独立董事工作细则》等</w:t>
      </w:r>
      <w:r>
        <w:rPr>
          <w:spacing w:val="40"/>
          <w:w w:val="95"/>
        </w:rPr>
        <w:t> </w:t>
      </w:r>
      <w:r>
        <w:rPr>
          <w:spacing w:val="40"/>
          <w:w w:val="95"/>
        </w:rPr>
      </w:r>
      <w:r>
        <w:rPr>
          <w:w w:val="95"/>
        </w:rPr>
        <w:t>制度开展工作。根据有关规定的要求，公司董事会下设四个专业委员会：战略发展委员会、审计委员会、</w:t>
      </w:r>
      <w:r>
        <w:rPr>
          <w:spacing w:val="61"/>
          <w:w w:val="95"/>
        </w:rPr>
        <w:t> </w:t>
      </w:r>
      <w:r>
        <w:rPr>
          <w:spacing w:val="61"/>
          <w:w w:val="95"/>
        </w:rPr>
      </w:r>
      <w:r>
        <w:rPr/>
        <w:t>提名委员会和薪酬与考核委员会，所有委员全部到位并开展工作。</w:t>
      </w:r>
    </w:p>
    <w:p>
      <w:pPr>
        <w:spacing w:line="273" w:lineRule="auto" w:before="8"/>
        <w:ind w:left="532" w:right="419" w:firstLine="0"/>
        <w:jc w:val="left"/>
        <w:rPr>
          <w:rFonts w:ascii="宋体" w:hAnsi="宋体" w:cs="宋体" w:eastAsia="宋体" w:hint="default"/>
          <w:sz w:val="21"/>
          <w:szCs w:val="21"/>
        </w:rPr>
      </w:pPr>
      <w:r>
        <w:rPr>
          <w:rFonts w:ascii="宋体" w:hAnsi="宋体" w:cs="宋体" w:eastAsia="宋体" w:hint="default"/>
          <w:b/>
          <w:bCs/>
          <w:sz w:val="21"/>
          <w:szCs w:val="21"/>
        </w:rPr>
        <w:t>（四）关于监事与监事会</w:t>
      </w:r>
      <w:r>
        <w:rPr>
          <w:rFonts w:ascii="宋体" w:hAnsi="宋体" w:cs="宋体" w:eastAsia="宋体" w:hint="default"/>
          <w:b/>
          <w:bCs/>
          <w:w w:val="99"/>
          <w:sz w:val="21"/>
          <w:szCs w:val="21"/>
        </w:rPr>
        <w:t> </w:t>
      </w:r>
      <w:r>
        <w:rPr>
          <w:rFonts w:ascii="宋体" w:hAnsi="宋体" w:cs="宋体" w:eastAsia="宋体" w:hint="default"/>
          <w:w w:val="95"/>
          <w:sz w:val="21"/>
          <w:szCs w:val="21"/>
        </w:rPr>
        <w:t>报告期内公司监事会由</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名监事组成，其中职工监事</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名，监事会人员构成符合法律、法规的要求。公</w:t>
      </w:r>
      <w:r>
        <w:rPr>
          <w:rFonts w:ascii="宋体" w:hAnsi="宋体" w:cs="宋体" w:eastAsia="宋体" w:hint="default"/>
          <w:sz w:val="21"/>
          <w:szCs w:val="21"/>
        </w:rPr>
      </w:r>
    </w:p>
    <w:p>
      <w:pPr>
        <w:pStyle w:val="BodyText"/>
        <w:spacing w:line="273" w:lineRule="auto" w:before="0"/>
        <w:ind w:right="532"/>
        <w:jc w:val="both"/>
      </w:pPr>
      <w:r>
        <w:rPr>
          <w:w w:val="95"/>
        </w:rPr>
        <w:t>司监事能够依据《安徽皖通科技股份有限公司监事会议事规则》等制度开展工作，能够认真履行职责，能</w:t>
      </w:r>
      <w:r>
        <w:rPr>
          <w:spacing w:val="39"/>
          <w:w w:val="95"/>
        </w:rPr>
        <w:t> </w:t>
      </w:r>
      <w:r>
        <w:rPr>
          <w:spacing w:val="39"/>
          <w:w w:val="95"/>
        </w:rPr>
      </w:r>
      <w:r>
        <w:rPr>
          <w:w w:val="95"/>
        </w:rPr>
        <w:t>够本着对股东负责的精神，对董事、全体高级管理人员的行为及公司的财务状况进行监督检查并发表独立  </w:t>
      </w:r>
      <w:r>
        <w:rPr>
          <w:spacing w:val="37"/>
          <w:w w:val="95"/>
        </w:rPr>
        <w:t> </w:t>
      </w:r>
      <w:r>
        <w:rPr>
          <w:spacing w:val="37"/>
          <w:w w:val="95"/>
        </w:rPr>
      </w:r>
      <w:r>
        <w:rPr/>
        <w:t>意见。</w:t>
      </w:r>
    </w:p>
    <w:p>
      <w:pPr>
        <w:spacing w:line="273" w:lineRule="auto" w:before="7"/>
        <w:ind w:left="532" w:right="419" w:firstLine="0"/>
        <w:jc w:val="left"/>
        <w:rPr>
          <w:rFonts w:ascii="宋体" w:hAnsi="宋体" w:cs="宋体" w:eastAsia="宋体" w:hint="default"/>
          <w:sz w:val="21"/>
          <w:szCs w:val="21"/>
        </w:rPr>
      </w:pPr>
      <w:r>
        <w:rPr>
          <w:rFonts w:ascii="宋体" w:hAnsi="宋体" w:cs="宋体" w:eastAsia="宋体" w:hint="default"/>
          <w:b/>
          <w:bCs/>
          <w:sz w:val="21"/>
          <w:szCs w:val="21"/>
        </w:rPr>
        <w:t>（五）关于信息披露与透明度</w:t>
      </w:r>
      <w:r>
        <w:rPr>
          <w:rFonts w:ascii="宋体" w:hAnsi="宋体" w:cs="宋体" w:eastAsia="宋体" w:hint="default"/>
          <w:b/>
          <w:bCs/>
          <w:w w:val="99"/>
          <w:sz w:val="21"/>
          <w:szCs w:val="21"/>
        </w:rPr>
        <w:t> </w:t>
      </w:r>
      <w:r>
        <w:rPr>
          <w:rFonts w:ascii="宋体" w:hAnsi="宋体" w:cs="宋体" w:eastAsia="宋体" w:hint="default"/>
          <w:w w:val="95"/>
          <w:sz w:val="21"/>
          <w:szCs w:val="21"/>
        </w:rPr>
        <w:t>公司严格按照《安徽皖通科技股份有限公司信息披露管理制度》对外进行信息披露，确保公司真实、</w:t>
      </w:r>
      <w:r>
        <w:rPr>
          <w:rFonts w:ascii="宋体" w:hAnsi="宋体" w:cs="宋体" w:eastAsia="宋体" w:hint="default"/>
          <w:sz w:val="21"/>
          <w:szCs w:val="21"/>
        </w:rPr>
      </w:r>
    </w:p>
    <w:p>
      <w:pPr>
        <w:pStyle w:val="BodyText"/>
        <w:spacing w:line="266" w:lineRule="auto"/>
        <w:ind w:right="535"/>
        <w:jc w:val="left"/>
      </w:pPr>
      <w:r>
        <w:rPr>
          <w:w w:val="95"/>
        </w:rPr>
        <w:t>准确、完整、及时、公平地进行信息披露，公司不存在向控股股东、实际控制人提供未公开信息等非规范</w:t>
      </w:r>
      <w:r>
        <w:rPr>
          <w:spacing w:val="38"/>
          <w:w w:val="95"/>
        </w:rPr>
        <w:t> </w:t>
      </w:r>
      <w:r>
        <w:rPr>
          <w:spacing w:val="38"/>
          <w:w w:val="95"/>
        </w:rPr>
      </w:r>
      <w:r>
        <w:rPr>
          <w:w w:val="95"/>
        </w:rPr>
        <w:t>情况，没有虚假记载、误导性陈述和重大遗漏，确保所有投资者有平等机会获取公司信息，保护中小投资</w:t>
      </w:r>
      <w:r>
        <w:rPr>
          <w:spacing w:val="38"/>
          <w:w w:val="95"/>
        </w:rPr>
        <w:t> </w:t>
      </w:r>
      <w:r>
        <w:rPr>
          <w:spacing w:val="38"/>
          <w:w w:val="95"/>
        </w:rPr>
      </w:r>
      <w:r>
        <w:rPr/>
        <w:t>者的权益。公司指定《证券时报》、《中国证券报》和巨潮资讯网（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）为刊登公</w:t>
      </w:r>
      <w:r>
        <w:rPr>
          <w:w w:val="99"/>
        </w:rPr>
        <w:t> </w:t>
      </w:r>
      <w:r>
        <w:rPr/>
        <w:t>司公告和其他需要披露信息的媒体，另外，公司网站（</w:t>
      </w:r>
      <w:hyperlink r:id="rId9">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http://www.wantong-tech.net</w:t>
        </w:r>
        <w:r>
          <w:rPr>
            <w:rFonts w:ascii="Times New Roman" w:hAnsi="Times New Roman" w:cs="Times New Roman" w:eastAsia="Times New Roman" w:hint="default"/>
            <w:color w:val="0000FF"/>
          </w:rPr>
        </w:r>
      </w:hyperlink>
      <w:r>
        <w:rPr/>
        <w:t>）</w:t>
      </w:r>
      <w:r>
        <w:rPr>
          <w:rFonts w:ascii="Times New Roman" w:hAnsi="Times New Roman" w:cs="Times New Roman" w:eastAsia="Times New Roman" w:hint="default"/>
        </w:rPr>
        <w:t>“</w:t>
      </w:r>
      <w:r>
        <w:rPr/>
        <w:t>投资者关系</w:t>
      </w:r>
      <w:r>
        <w:rPr>
          <w:rFonts w:ascii="Times New Roman" w:hAnsi="Times New Roman" w:cs="Times New Roman" w:eastAsia="Times New Roman" w:hint="default"/>
        </w:rPr>
        <w:t>”</w:t>
      </w:r>
      <w:r>
        <w:rPr/>
        <w:t>栏目中</w:t>
      </w:r>
    </w:p>
    <w:p>
      <w:pPr>
        <w:spacing w:after="0" w:line="266" w:lineRule="auto"/>
        <w:jc w:val="left"/>
        <w:sectPr>
          <w:pgSz w:w="11910" w:h="16840"/>
          <w:pgMar w:header="746" w:footer="978" w:top="1040" w:bottom="1160" w:left="1020" w:right="600"/>
        </w:sectPr>
      </w:pPr>
    </w:p>
    <w:p>
      <w:pPr>
        <w:spacing w:line="240" w:lineRule="auto" w:before="6"/>
        <w:rPr>
          <w:rFonts w:ascii="宋体" w:hAnsi="宋体" w:cs="宋体" w:eastAsia="宋体" w:hint="default"/>
          <w:sz w:val="25"/>
          <w:szCs w:val="25"/>
        </w:rPr>
      </w:pPr>
    </w:p>
    <w:p>
      <w:pPr>
        <w:pStyle w:val="BodyText"/>
        <w:spacing w:line="240" w:lineRule="auto" w:before="34"/>
        <w:ind w:right="0"/>
        <w:jc w:val="left"/>
      </w:pPr>
      <w:r>
        <w:rPr/>
        <w:t>也会转载相关公告内容，以保持与投资者的良好沟通和透明度。</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7"/>
        <w:ind w:left="112" w:right="4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公司治理与《公司法》和中国证监会相关规定的要求不存在差异。</w:t>
      </w:r>
    </w:p>
    <w:p>
      <w:pPr>
        <w:spacing w:before="3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pStyle w:val="BodyText"/>
        <w:spacing w:line="273" w:lineRule="auto" w:before="92"/>
        <w:ind w:right="112" w:firstLine="360"/>
        <w:jc w:val="both"/>
      </w:pPr>
      <w:r>
        <w:rPr>
          <w:spacing w:val="-5"/>
          <w:w w:val="99"/>
        </w:rPr>
        <w:t>报告期内，公司严格按照《安徽皖通科技股份有限公司信息披露管理制度》、《安徽皖通科技股份有限</w:t>
      </w:r>
      <w:r>
        <w:rPr>
          <w:w w:val="99"/>
        </w:rPr>
        <w:t> </w:t>
      </w:r>
      <w:r>
        <w:rPr>
          <w:w w:val="95"/>
        </w:rPr>
        <w:t>公司内幕信息知情人备案管理制度》和《安徽皖通科技股份有限公司董事会秘书工作细则》等有关制度的</w:t>
      </w:r>
      <w:r>
        <w:rPr>
          <w:spacing w:val="37"/>
          <w:w w:val="95"/>
        </w:rPr>
        <w:t> </w:t>
      </w:r>
      <w:r>
        <w:rPr>
          <w:spacing w:val="37"/>
          <w:w w:val="95"/>
        </w:rPr>
      </w:r>
      <w:r>
        <w:rPr>
          <w:w w:val="95"/>
        </w:rPr>
        <w:t>规定与要求，认真做好内幕信息知情人的登记、报备工作，通过组织董事、监事及高级管理人员参加安徽</w:t>
      </w:r>
      <w:r>
        <w:rPr>
          <w:spacing w:val="41"/>
          <w:w w:val="95"/>
        </w:rPr>
        <w:t> </w:t>
      </w:r>
      <w:r>
        <w:rPr>
          <w:spacing w:val="41"/>
          <w:w w:val="95"/>
        </w:rPr>
      </w:r>
      <w:r>
        <w:rPr>
          <w:w w:val="95"/>
        </w:rPr>
        <w:t>证监局组织的相关活动和会议，进一步加深了对相关法律法规的理解和认识，提高相关人员的合规、保密  </w:t>
      </w:r>
      <w:r>
        <w:rPr>
          <w:spacing w:val="37"/>
          <w:w w:val="95"/>
        </w:rPr>
        <w:t> </w:t>
      </w:r>
      <w:r>
        <w:rPr>
          <w:spacing w:val="37"/>
          <w:w w:val="95"/>
        </w:rPr>
      </w:r>
      <w:r>
        <w:rPr/>
        <w:t>意识。</w:t>
      </w:r>
    </w:p>
    <w:p>
      <w:pPr>
        <w:pStyle w:val="BodyText"/>
        <w:spacing w:line="273" w:lineRule="auto" w:before="48"/>
        <w:ind w:right="115" w:firstLine="360"/>
        <w:jc w:val="both"/>
      </w:pPr>
      <w:r>
        <w:rPr/>
        <w:t>报告期内，未发现有公司董事、监事、高级管理人员利用内幕信息买卖公司股票的情况，亦未发现有</w:t>
      </w:r>
      <w:r>
        <w:rPr>
          <w:w w:val="99"/>
        </w:rPr>
        <w:t> </w:t>
      </w:r>
      <w:r>
        <w:rPr>
          <w:w w:val="95"/>
        </w:rPr>
        <w:t>短线交易公司股票的行为。公司董事、监事、高级管理人员及相关知情人员未有因涉嫌内幕交易被监管部</w:t>
      </w:r>
      <w:r>
        <w:rPr>
          <w:spacing w:val="37"/>
          <w:w w:val="95"/>
        </w:rPr>
        <w:t> </w:t>
      </w:r>
      <w:r>
        <w:rPr>
          <w:spacing w:val="37"/>
          <w:w w:val="95"/>
        </w:rPr>
      </w:r>
      <w:r>
        <w:rPr/>
        <w:t>门采取监管措施或行政处罚的情况。</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44"/>
        <w:ind w:left="0" w:right="151" w:firstLine="0"/>
        <w:jc w:val="right"/>
        <w:rPr>
          <w:rFonts w:ascii="宋体" w:hAnsi="宋体" w:cs="宋体" w:eastAsia="宋体" w:hint="default"/>
          <w:sz w:val="18"/>
          <w:szCs w:val="18"/>
        </w:rPr>
      </w:pPr>
      <w:r>
        <w:rPr/>
        <w:pict>
          <v:shape style="position:absolute;margin-left:56.459999pt;margin-top:-114.627792pt;width:479.05pt;height:228.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978"/>
                    <w:gridCol w:w="4185"/>
                    <w:gridCol w:w="1035"/>
                    <w:gridCol w:w="890"/>
                    <w:gridCol w:w="1344"/>
                  </w:tblGrid>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1" w:hRule="exact"/>
                    </w:trPr>
                    <w:tc>
                      <w:tcPr>
                        <w:tcW w:w="1134"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41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35" w:type="dxa"/>
                        <w:tcBorders>
                          <w:top w:val="single" w:sz="4" w:space="0" w:color="000000"/>
                          <w:left w:val="single" w:sz="4" w:space="0" w:color="000000"/>
                          <w:bottom w:val="nil" w:sz="6" w:space="0" w:color="auto"/>
                          <w:right w:val="single" w:sz="4" w:space="0" w:color="000000"/>
                        </w:tcBorders>
                      </w:tcPr>
                      <w:p>
                        <w:pPr/>
                      </w:p>
                    </w:tc>
                    <w:tc>
                      <w:tcPr>
                        <w:tcW w:w="890"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r>
                  <w:tr>
                    <w:trPr>
                      <w:trHeight w:val="353"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年年度报告及摘要的议案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r>
                  <w:tr>
                    <w:trPr>
                      <w:trHeight w:val="386"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17"/>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04"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《关于续聘</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年度募集资金存放与实际使用情况专</w:t>
                        </w:r>
                      </w:p>
                    </w:tc>
                    <w:tc>
                      <w:tcPr>
                        <w:tcW w:w="1035"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53" w:right="0" w:hanging="92"/>
                          <w:jc w:val="left"/>
                          <w:rPr>
                            <w:rFonts w:ascii="宋体" w:hAnsi="宋体" w:cs="宋体" w:eastAsia="宋体" w:hint="default"/>
                            <w:sz w:val="18"/>
                            <w:szCs w:val="18"/>
                          </w:rPr>
                        </w:pPr>
                        <w:r>
                          <w:rPr>
                            <w:rFonts w:ascii="宋体" w:hAnsi="宋体" w:cs="宋体" w:eastAsia="宋体" w:hint="default"/>
                            <w:sz w:val="18"/>
                            <w:szCs w:val="18"/>
                          </w:rPr>
                          <w:t>审议通过了</w:t>
                        </w:r>
                      </w:p>
                      <w:p>
                        <w:pPr>
                          <w:pStyle w:val="TableParagraph"/>
                          <w:spacing w:line="240" w:lineRule="auto" w:before="76"/>
                          <w:ind w:left="153" w:right="0"/>
                          <w:jc w:val="left"/>
                          <w:rPr>
                            <w:rFonts w:ascii="宋体" w:hAnsi="宋体" w:cs="宋体" w:eastAsia="宋体" w:hint="default"/>
                            <w:sz w:val="18"/>
                            <w:szCs w:val="18"/>
                          </w:rPr>
                        </w:pPr>
                        <w:r>
                          <w:rPr>
                            <w:rFonts w:ascii="宋体" w:hAnsi="宋体" w:cs="宋体" w:eastAsia="宋体" w:hint="default"/>
                            <w:sz w:val="18"/>
                            <w:szCs w:val="18"/>
                          </w:rPr>
                          <w:t>全部议案</w:t>
                        </w:r>
                      </w:p>
                    </w:tc>
                    <w:tc>
                      <w:tcPr>
                        <w:tcW w:w="89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274"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项报告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25"/>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安徽皖通科技股份有限公司未来三</w:t>
                        </w:r>
                        <w:r>
                          <w:rPr>
                            <w:rFonts w:ascii="宋体" w:hAnsi="宋体" w:cs="宋体" w:eastAsia="宋体" w:hint="default"/>
                            <w:spacing w:val="-34"/>
                            <w:sz w:val="18"/>
                            <w:szCs w:val="18"/>
                          </w:rPr>
                          <w:t>年</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6</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年）股东回报规划</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34"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418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01"/>
                            <w:sz w:val="18"/>
                            <w:szCs w:val="18"/>
                          </w:rPr>
                          <w:t>、</w:t>
                        </w:r>
                        <w:r>
                          <w:rPr>
                            <w:rFonts w:ascii="宋体" w:hAnsi="宋体" w:cs="宋体" w:eastAsia="宋体" w:hint="default"/>
                            <w:sz w:val="18"/>
                            <w:szCs w:val="18"/>
                          </w:rPr>
                          <w:t>《安徽皖通科技股份有限公司前次募集资金使用情</w:t>
                        </w:r>
                      </w:p>
                    </w:tc>
                    <w:tc>
                      <w:tcPr>
                        <w:tcW w:w="1035" w:type="dxa"/>
                        <w:tcBorders>
                          <w:top w:val="nil" w:sz="6" w:space="0" w:color="auto"/>
                          <w:left w:val="single" w:sz="4" w:space="0" w:color="000000"/>
                          <w:bottom w:val="nil" w:sz="6" w:space="0" w:color="auto"/>
                          <w:right w:val="single" w:sz="4" w:space="0" w:color="000000"/>
                        </w:tcBorders>
                      </w:tcPr>
                      <w:p>
                        <w:pPr/>
                      </w:p>
                    </w:tc>
                    <w:tc>
                      <w:tcPr>
                        <w:tcW w:w="89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34"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41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况的专项报告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1035" w:type="dxa"/>
                        <w:tcBorders>
                          <w:top w:val="nil" w:sz="6" w:space="0" w:color="auto"/>
                          <w:left w:val="single" w:sz="4" w:space="0" w:color="000000"/>
                          <w:bottom w:val="single" w:sz="4" w:space="0" w:color="000000"/>
                          <w:right w:val="single" w:sz="4" w:space="0" w:color="000000"/>
                        </w:tcBorders>
                      </w:tcPr>
                      <w:p>
                        <w:pPr/>
                      </w:p>
                    </w:tc>
                    <w:tc>
                      <w:tcPr>
                        <w:tcW w:w="890"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76"/>
        <w:gridCol w:w="851"/>
        <w:gridCol w:w="4245"/>
        <w:gridCol w:w="960"/>
        <w:gridCol w:w="885"/>
        <w:gridCol w:w="1349"/>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10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《关于修改公司章程的议案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240" w:lineRule="auto" w:before="103"/>
              <w:ind w:left="22" w:right="-1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《安徽皖通科技股份有限公司独立董事工作细则</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316" w:lineRule="auto"/>
              <w:ind w:left="113" w:right="23" w:hanging="89"/>
              <w:jc w:val="left"/>
              <w:rPr>
                <w:rFonts w:ascii="宋体" w:hAnsi="宋体" w:cs="宋体" w:eastAsia="宋体" w:hint="default"/>
                <w:sz w:val="18"/>
                <w:szCs w:val="18"/>
              </w:rPr>
            </w:pPr>
            <w:r>
              <w:rPr>
                <w:rFonts w:ascii="宋体" w:hAnsi="宋体" w:cs="宋体" w:eastAsia="宋体" w:hint="default"/>
                <w:sz w:val="18"/>
                <w:szCs w:val="18"/>
              </w:rPr>
              <w:t>审议通过了 全部议案</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5"/>
              <w:ind w:left="23" w:right="-33"/>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811"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245" w:type="dxa"/>
            <w:tcBorders>
              <w:top w:val="single" w:sz="4" w:space="0" w:color="000000"/>
              <w:left w:val="single" w:sz="4" w:space="0" w:color="000000"/>
              <w:bottom w:val="nil" w:sz="6" w:space="0" w:color="auto"/>
              <w:right w:val="single" w:sz="4" w:space="0" w:color="000000"/>
            </w:tcBorders>
          </w:tcPr>
          <w:p>
            <w:pPr>
              <w:pStyle w:val="TableParagraph"/>
              <w:spacing w:line="300" w:lineRule="auto" w:before="89"/>
              <w:ind w:left="22" w:right="7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《关于使用部分闲置募集资金暂时补充流动资金的</w:t>
            </w:r>
            <w:r>
              <w:rPr>
                <w:rFonts w:ascii="宋体" w:hAnsi="宋体" w:cs="宋体" w:eastAsia="宋体" w:hint="default"/>
                <w:sz w:val="18"/>
                <w:szCs w:val="18"/>
              </w:rPr>
              <w:t> 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316" w:lineRule="auto"/>
              <w:ind w:left="113" w:right="23" w:hanging="89"/>
              <w:jc w:val="left"/>
              <w:rPr>
                <w:rFonts w:ascii="宋体" w:hAnsi="宋体" w:cs="宋体" w:eastAsia="宋体" w:hint="default"/>
                <w:sz w:val="18"/>
                <w:szCs w:val="18"/>
              </w:rPr>
            </w:pPr>
            <w:r>
              <w:rPr>
                <w:rFonts w:ascii="宋体" w:hAnsi="宋体" w:cs="宋体" w:eastAsia="宋体" w:hint="default"/>
                <w:sz w:val="18"/>
                <w:szCs w:val="18"/>
              </w:rPr>
              <w:t>审议通过了 全部议案</w:t>
            </w:r>
          </w:p>
        </w:tc>
        <w:tc>
          <w:tcPr>
            <w:tcW w:w="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5"/>
              <w:ind w:left="23" w:right="-33"/>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03" w:hRule="exact"/>
        </w:trPr>
        <w:tc>
          <w:tcPr>
            <w:tcW w:w="12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45"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50"/>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《关于选举李洪峰先生为第三届董事会独立董事的</w:t>
            </w:r>
          </w:p>
        </w:tc>
        <w:tc>
          <w:tcPr>
            <w:tcW w:w="960" w:type="dxa"/>
            <w:tcBorders>
              <w:top w:val="nil" w:sz="6" w:space="0" w:color="auto"/>
              <w:left w:val="single" w:sz="4" w:space="0" w:color="000000"/>
              <w:bottom w:val="single" w:sz="4" w:space="0" w:color="000000"/>
              <w:right w:val="single" w:sz="4" w:space="0" w:color="000000"/>
            </w:tcBorders>
          </w:tcPr>
          <w:p>
            <w:pPr/>
          </w:p>
        </w:tc>
        <w:tc>
          <w:tcPr>
            <w:tcW w:w="885"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right="3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183" w:lineRule="exact"/>
        <w:jc w:val="center"/>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b/>
          <w:bCs/>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851"/>
        <w:gridCol w:w="4245"/>
        <w:gridCol w:w="960"/>
        <w:gridCol w:w="885"/>
        <w:gridCol w:w="1349"/>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9"/>
          <w:szCs w:val="19"/>
        </w:rPr>
      </w:pPr>
    </w:p>
    <w:p>
      <w:pPr>
        <w:pStyle w:val="Heading4"/>
        <w:spacing w:line="240" w:lineRule="auto" w:before="34"/>
        <w:ind w:right="202"/>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202"/>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0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76" w:right="24" w:hanging="449"/>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6" w:right="2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姚禄仕</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65"/>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3" w:right="0"/>
              <w:jc w:val="lef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  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5"/>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陈结淼</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65"/>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3" w:right="0"/>
              <w:jc w:val="lef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w:t>
            </w:r>
          </w:p>
        </w:tc>
      </w:tr>
    </w:tbl>
    <w:p>
      <w:pPr>
        <w:spacing w:line="357" w:lineRule="auto" w:before="50"/>
        <w:ind w:left="112" w:right="71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3"/>
        <w:rPr>
          <w:rFonts w:ascii="宋体" w:hAnsi="宋体" w:cs="宋体" w:eastAsia="宋体" w:hint="default"/>
          <w:sz w:val="20"/>
          <w:szCs w:val="20"/>
        </w:rPr>
      </w:pPr>
    </w:p>
    <w:p>
      <w:pPr>
        <w:pStyle w:val="Heading4"/>
        <w:spacing w:line="240" w:lineRule="auto"/>
        <w:ind w:right="20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1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20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1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8"/>
        <w:ind w:right="202" w:firstLine="420"/>
        <w:jc w:val="left"/>
      </w:pPr>
      <w:r>
        <w:rPr>
          <w:w w:val="95"/>
        </w:rPr>
        <w:t>独立董事对公司的财务费用和管理费用等的控制与管理提出了一些建议，上述建议得到公司的重视与</w:t>
      </w:r>
      <w:r>
        <w:rPr>
          <w:w w:val="99"/>
        </w:rPr>
        <w:t> </w:t>
      </w:r>
      <w:r>
        <w:rPr>
          <w:w w:val="95"/>
        </w:rPr>
        <w:t>采纳，公司在后续经营管理中，加强业绩考核力度，节本增效，使得财务费用和管理费用得到有效控制。</w:t>
      </w:r>
      <w:r>
        <w:rPr/>
      </w:r>
    </w:p>
    <w:p>
      <w:pPr>
        <w:spacing w:line="240" w:lineRule="auto" w:before="10"/>
        <w:rPr>
          <w:rFonts w:ascii="宋体" w:hAnsi="宋体" w:cs="宋体" w:eastAsia="宋体" w:hint="default"/>
          <w:sz w:val="21"/>
          <w:szCs w:val="21"/>
        </w:rPr>
      </w:pPr>
    </w:p>
    <w:p>
      <w:pPr>
        <w:pStyle w:val="Heading3"/>
        <w:spacing w:line="240" w:lineRule="auto"/>
        <w:ind w:right="202"/>
        <w:jc w:val="left"/>
        <w:rPr>
          <w:b w:val="0"/>
          <w:bCs w:val="0"/>
        </w:rPr>
      </w:pPr>
      <w:r>
        <w:rPr/>
        <w:t>四、董事会下设专门委员会在报告期内履行职责情况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pStyle w:val="BodyText"/>
        <w:spacing w:line="266" w:lineRule="auto" w:before="0"/>
        <w:ind w:right="99" w:firstLine="420"/>
        <w:jc w:val="left"/>
      </w:pPr>
      <w:r>
        <w:rPr>
          <w:spacing w:val="-3"/>
        </w:rPr>
        <w:t>公司董事会下设四个专门委员会，分别为战略委员会、提名委员会、薪酬与考核委员会、审计委员会。</w:t>
      </w:r>
      <w:r>
        <w:rPr>
          <w:w w:val="99"/>
        </w:rPr>
        <w:t> </w:t>
      </w:r>
      <w:r>
        <w:rPr>
          <w:rFonts w:ascii="Times New Roman" w:hAnsi="Times New Roman" w:cs="Times New Roman" w:eastAsia="Times New Roman" w:hint="default"/>
        </w:rPr>
        <w:t>2014</w:t>
      </w:r>
      <w:r>
        <w:rPr/>
        <w:t>年专门委员会各委员本着勤勉尽职的原则，恪尽职守、诚实守信地履行职责。发挥各自专业特长，积</w:t>
      </w:r>
      <w:r>
        <w:rPr>
          <w:w w:val="99"/>
        </w:rPr>
        <w:t> </w:t>
      </w:r>
      <w:r>
        <w:rPr/>
        <w:t>极参加董事会和股东大会，切实维护公司及股东特别是社会公众股股东的权益。报告期内，各专门委员会</w:t>
      </w:r>
      <w:r>
        <w:rPr>
          <w:w w:val="99"/>
        </w:rPr>
        <w:t> </w:t>
      </w:r>
      <w:r>
        <w:rPr/>
        <w:t>履职情况如下：</w:t>
      </w:r>
    </w:p>
    <w:p>
      <w:pPr>
        <w:spacing w:line="273" w:lineRule="auto" w:before="14"/>
        <w:ind w:left="532" w:right="202" w:firstLine="0"/>
        <w:jc w:val="left"/>
        <w:rPr>
          <w:rFonts w:ascii="宋体" w:hAnsi="宋体" w:cs="宋体" w:eastAsia="宋体" w:hint="default"/>
          <w:sz w:val="21"/>
          <w:szCs w:val="21"/>
        </w:rPr>
      </w:pPr>
      <w:r>
        <w:rPr>
          <w:rFonts w:ascii="宋体" w:hAnsi="宋体" w:cs="宋体" w:eastAsia="宋体" w:hint="default"/>
          <w:b/>
          <w:bCs/>
          <w:sz w:val="21"/>
          <w:szCs w:val="21"/>
        </w:rPr>
        <w:t>（一）董事会战略委员会履职情况</w:t>
      </w:r>
      <w:r>
        <w:rPr>
          <w:rFonts w:ascii="宋体" w:hAnsi="宋体" w:cs="宋体" w:eastAsia="宋体" w:hint="default"/>
          <w:b/>
          <w:bCs/>
          <w:w w:val="99"/>
          <w:sz w:val="21"/>
          <w:szCs w:val="21"/>
        </w:rPr>
        <w:t> </w:t>
      </w:r>
      <w:r>
        <w:rPr>
          <w:rFonts w:ascii="宋体" w:hAnsi="宋体" w:cs="宋体" w:eastAsia="宋体" w:hint="default"/>
          <w:w w:val="95"/>
          <w:sz w:val="21"/>
          <w:szCs w:val="21"/>
        </w:rPr>
        <w:t>报告期内，董事会战略委员会根据有关规定积极开展相关工作，认真履行职责。报告期内，战略委员</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40" w:lineRule="auto" w:before="34"/>
        <w:ind w:right="202"/>
        <w:jc w:val="left"/>
      </w:pPr>
      <w:r>
        <w:rPr/>
        <w:t>会讨论了公司</w:t>
      </w:r>
      <w:r>
        <w:rPr>
          <w:rFonts w:ascii="Times New Roman" w:hAnsi="Times New Roman" w:cs="Times New Roman" w:eastAsia="Times New Roman" w:hint="default"/>
        </w:rPr>
        <w:t>2014</w:t>
      </w:r>
      <w:r>
        <w:rPr/>
        <w:t>年度重大资产重组事宜。</w:t>
      </w:r>
    </w:p>
    <w:p>
      <w:pPr>
        <w:spacing w:line="273" w:lineRule="auto" w:before="21"/>
        <w:ind w:left="532" w:right="202" w:firstLine="0"/>
        <w:jc w:val="left"/>
        <w:rPr>
          <w:rFonts w:ascii="宋体" w:hAnsi="宋体" w:cs="宋体" w:eastAsia="宋体" w:hint="default"/>
          <w:sz w:val="21"/>
          <w:szCs w:val="21"/>
        </w:rPr>
      </w:pPr>
      <w:r>
        <w:rPr>
          <w:rFonts w:ascii="宋体" w:hAnsi="宋体" w:cs="宋体" w:eastAsia="宋体" w:hint="default"/>
          <w:b/>
          <w:bCs/>
          <w:sz w:val="21"/>
          <w:szCs w:val="21"/>
        </w:rPr>
        <w:t>（二）董事会提名委员会履职情况</w:t>
      </w:r>
      <w:r>
        <w:rPr>
          <w:rFonts w:ascii="宋体" w:hAnsi="宋体" w:cs="宋体" w:eastAsia="宋体" w:hint="default"/>
          <w:b/>
          <w:bCs/>
          <w:w w:val="99"/>
          <w:sz w:val="21"/>
          <w:szCs w:val="21"/>
        </w:rPr>
        <w:t> </w:t>
      </w:r>
      <w:r>
        <w:rPr>
          <w:rFonts w:ascii="宋体" w:hAnsi="宋体" w:cs="宋体" w:eastAsia="宋体" w:hint="default"/>
          <w:w w:val="95"/>
          <w:sz w:val="21"/>
          <w:szCs w:val="21"/>
        </w:rPr>
        <w:t>报告期内，董事会提名委员会根据有关规定积极开展相关工作，认真履行职责。报告期内，提名委员</w:t>
      </w:r>
      <w:r>
        <w:rPr>
          <w:rFonts w:ascii="宋体" w:hAnsi="宋体" w:cs="宋体" w:eastAsia="宋体" w:hint="default"/>
          <w:sz w:val="21"/>
          <w:szCs w:val="21"/>
        </w:rPr>
      </w:r>
    </w:p>
    <w:p>
      <w:pPr>
        <w:pStyle w:val="BodyText"/>
        <w:spacing w:line="273" w:lineRule="auto"/>
        <w:ind w:right="202"/>
        <w:jc w:val="left"/>
      </w:pPr>
      <w:r>
        <w:rPr>
          <w:w w:val="95"/>
        </w:rPr>
        <w:t>会关于选举李洪峰先生担任公司第三届董事会独立董事候选人进行资格审查并向董事会作提名声明。关于</w:t>
      </w:r>
      <w:r>
        <w:rPr>
          <w:spacing w:val="37"/>
          <w:w w:val="95"/>
        </w:rPr>
        <w:t> </w:t>
      </w:r>
      <w:r>
        <w:rPr>
          <w:spacing w:val="37"/>
          <w:w w:val="95"/>
        </w:rPr>
      </w:r>
      <w:r>
        <w:rPr/>
        <w:t>聘任孙胜先生担任公司副总经理、卢玉平先生担任财务负责人，向董事会提出人选建议并作资格审查。</w:t>
      </w:r>
    </w:p>
    <w:p>
      <w:pPr>
        <w:spacing w:line="273" w:lineRule="auto" w:before="7"/>
        <w:ind w:left="532" w:right="202" w:firstLine="0"/>
        <w:jc w:val="left"/>
        <w:rPr>
          <w:rFonts w:ascii="宋体" w:hAnsi="宋体" w:cs="宋体" w:eastAsia="宋体" w:hint="default"/>
          <w:sz w:val="21"/>
          <w:szCs w:val="21"/>
        </w:rPr>
      </w:pPr>
      <w:r>
        <w:rPr>
          <w:rFonts w:ascii="宋体" w:hAnsi="宋体" w:cs="宋体" w:eastAsia="宋体" w:hint="default"/>
          <w:b/>
          <w:bCs/>
          <w:sz w:val="21"/>
          <w:szCs w:val="21"/>
        </w:rPr>
        <w:t>（三）董事会薪酬与考核委员会履职情况</w:t>
      </w:r>
      <w:r>
        <w:rPr>
          <w:rFonts w:ascii="宋体" w:hAnsi="宋体" w:cs="宋体" w:eastAsia="宋体" w:hint="default"/>
          <w:b/>
          <w:bCs/>
          <w:w w:val="99"/>
          <w:sz w:val="21"/>
          <w:szCs w:val="21"/>
        </w:rPr>
        <w:t> </w:t>
      </w:r>
      <w:r>
        <w:rPr>
          <w:rFonts w:ascii="宋体" w:hAnsi="宋体" w:cs="宋体" w:eastAsia="宋体" w:hint="default"/>
          <w:w w:val="95"/>
          <w:sz w:val="21"/>
          <w:szCs w:val="21"/>
        </w:rPr>
        <w:t>报告期内，董事会薪酬与考核委员会根据有关规定积极开展相关工作，认真履行职责。报告期内，薪</w:t>
      </w:r>
      <w:r>
        <w:rPr>
          <w:rFonts w:ascii="宋体" w:hAnsi="宋体" w:cs="宋体" w:eastAsia="宋体" w:hint="default"/>
          <w:sz w:val="21"/>
          <w:szCs w:val="21"/>
        </w:rPr>
      </w:r>
    </w:p>
    <w:p>
      <w:pPr>
        <w:pStyle w:val="BodyText"/>
        <w:spacing w:line="256" w:lineRule="auto"/>
        <w:ind w:right="202"/>
        <w:jc w:val="left"/>
      </w:pPr>
      <w:r>
        <w:rPr>
          <w:w w:val="95"/>
        </w:rPr>
        <w:t>酬与考核委员会对公司现行的董事、监事及高级管理人员</w:t>
      </w:r>
      <w:r>
        <w:rPr>
          <w:rFonts w:ascii="Times New Roman" w:hAnsi="Times New Roman" w:cs="Times New Roman" w:eastAsia="Times New Roman" w:hint="default"/>
          <w:w w:val="95"/>
        </w:rPr>
        <w:t>2014</w:t>
      </w:r>
      <w:r>
        <w:rPr>
          <w:w w:val="95"/>
        </w:rPr>
        <w:t>年度薪酬发放情况进行了审核，认为其薪酬</w:t>
      </w:r>
      <w:r>
        <w:rPr>
          <w:spacing w:val="40"/>
          <w:w w:val="95"/>
        </w:rPr>
        <w:t> </w:t>
      </w:r>
      <w:r>
        <w:rPr>
          <w:spacing w:val="40"/>
          <w:w w:val="95"/>
        </w:rPr>
      </w:r>
      <w:r>
        <w:rPr/>
        <w:t>标准和年度薪酬总额的确定、发放与各自的岗位履职情况相结合，符合公司的薪酬管理规定。</w:t>
      </w:r>
    </w:p>
    <w:p>
      <w:pPr>
        <w:pStyle w:val="Heading4"/>
        <w:spacing w:line="240" w:lineRule="auto" w:before="22"/>
        <w:ind w:left="532" w:right="202"/>
        <w:jc w:val="left"/>
        <w:rPr>
          <w:b w:val="0"/>
          <w:bCs w:val="0"/>
        </w:rPr>
      </w:pPr>
      <w:r>
        <w:rPr/>
        <w:t>（四）董事会审计委员会履职情况</w:t>
      </w:r>
      <w:r>
        <w:rPr>
          <w:b w:val="0"/>
          <w:bCs w:val="0"/>
        </w:rPr>
      </w:r>
    </w:p>
    <w:p>
      <w:pPr>
        <w:pStyle w:val="BodyText"/>
        <w:spacing w:line="256" w:lineRule="auto" w:before="37"/>
        <w:ind w:right="108" w:firstLine="420"/>
        <w:jc w:val="left"/>
      </w:pPr>
      <w:r>
        <w:rPr>
          <w:rFonts w:ascii="Times New Roman" w:hAnsi="Times New Roman" w:cs="Times New Roman" w:eastAsia="Times New Roman" w:hint="default"/>
          <w:w w:val="95"/>
        </w:rPr>
        <w:t>2014</w:t>
      </w:r>
      <w:r>
        <w:rPr>
          <w:w w:val="95"/>
        </w:rPr>
        <w:t>年度，公司董事会审计委员会按照公司《审计委员工作细则》的有关规定，总共召开了</w:t>
      </w:r>
      <w:r>
        <w:rPr>
          <w:rFonts w:ascii="Times New Roman" w:hAnsi="Times New Roman" w:cs="Times New Roman" w:eastAsia="Times New Roman" w:hint="default"/>
          <w:w w:val="95"/>
        </w:rPr>
        <w:t>6</w:t>
      </w:r>
      <w:r>
        <w:rPr>
          <w:w w:val="95"/>
        </w:rPr>
        <w:t>次会议，</w:t>
      </w:r>
      <w:r>
        <w:rPr>
          <w:spacing w:val="-94"/>
          <w:w w:val="95"/>
        </w:rPr>
        <w:t> </w:t>
      </w:r>
      <w:r>
        <w:rPr>
          <w:spacing w:val="-94"/>
          <w:w w:val="95"/>
        </w:rPr>
      </w:r>
      <w:r>
        <w:rPr/>
        <w:t>审议内审部门提交的</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2014</w:t>
      </w:r>
      <w:r>
        <w:rPr/>
        <w:t>年第一季度、半年度和第三季度内部审计报告，听取全年工作总结及</w:t>
      </w:r>
      <w:r>
        <w:rPr>
          <w:w w:val="99"/>
        </w:rPr>
        <w:t> </w:t>
      </w:r>
      <w:r>
        <w:rPr/>
        <w:t>下年的工作计划。公司董事会审计委员会本着勤勉尽责的原则，充分发挥监督作用，维护审计的独立性。</w:t>
      </w:r>
    </w:p>
    <w:p>
      <w:pPr>
        <w:pStyle w:val="BodyText"/>
        <w:spacing w:line="240" w:lineRule="auto" w:before="22"/>
        <w:ind w:left="532" w:right="0"/>
        <w:jc w:val="left"/>
      </w:pPr>
      <w:r>
        <w:rPr>
          <w:rFonts w:ascii="Times New Roman" w:hAnsi="Times New Roman" w:cs="Times New Roman" w:eastAsia="Times New Roman" w:hint="default"/>
        </w:rPr>
        <w:t>1</w:t>
      </w:r>
      <w:r>
        <w:rPr/>
        <w:t>、在年审注册会计师进场审计前，对公司编制的财务报表进行了认真审阅，并出具了书面审阅意见；</w:t>
      </w:r>
    </w:p>
    <w:p>
      <w:pPr>
        <w:pStyle w:val="BodyText"/>
        <w:spacing w:line="256" w:lineRule="auto" w:before="21"/>
        <w:ind w:right="202" w:firstLine="420"/>
        <w:jc w:val="left"/>
      </w:pPr>
      <w:r>
        <w:rPr>
          <w:rFonts w:ascii="Times New Roman" w:hAnsi="Times New Roman" w:cs="Times New Roman" w:eastAsia="Times New Roman" w:hint="default"/>
          <w:w w:val="95"/>
        </w:rPr>
        <w:t>2</w:t>
      </w:r>
      <w:r>
        <w:rPr>
          <w:w w:val="95"/>
        </w:rPr>
        <w:t>、与负责公司年度审计工作的大华会计师事务所协商确定了公司年度财务报告审计工作的时间计划，</w:t>
      </w:r>
      <w:r>
        <w:rPr>
          <w:spacing w:val="-96"/>
          <w:w w:val="95"/>
        </w:rPr>
        <w:t> </w:t>
      </w:r>
      <w:r>
        <w:rPr>
          <w:spacing w:val="-96"/>
          <w:w w:val="95"/>
        </w:rPr>
      </w:r>
      <w:r>
        <w:rPr/>
        <w:t>在年审期间，与负责年审的注册会计师充分沟通，督促其按计划开展年审工作；</w:t>
      </w:r>
    </w:p>
    <w:p>
      <w:pPr>
        <w:pStyle w:val="BodyText"/>
        <w:spacing w:line="240" w:lineRule="auto" w:before="22"/>
        <w:ind w:left="532" w:right="202"/>
        <w:jc w:val="left"/>
      </w:pPr>
      <w:r>
        <w:rPr>
          <w:rFonts w:ascii="Times New Roman" w:hAnsi="Times New Roman" w:cs="Times New Roman" w:eastAsia="Times New Roman" w:hint="default"/>
        </w:rPr>
        <w:t>3</w:t>
      </w:r>
      <w:r>
        <w:rPr/>
        <w:t>、在会计师事务所出具初审意见后，再次审阅了公司财务报表，发表了书面审阅意见；</w:t>
      </w:r>
    </w:p>
    <w:p>
      <w:pPr>
        <w:pStyle w:val="BodyText"/>
        <w:spacing w:line="256" w:lineRule="auto" w:before="21"/>
        <w:ind w:right="202" w:firstLine="420"/>
        <w:jc w:val="left"/>
      </w:pPr>
      <w:r>
        <w:rPr>
          <w:rFonts w:ascii="Times New Roman" w:hAnsi="Times New Roman" w:cs="Times New Roman" w:eastAsia="Times New Roman" w:hint="default"/>
          <w:spacing w:val="2"/>
          <w:w w:val="95"/>
        </w:rPr>
        <w:t>4</w:t>
      </w:r>
      <w:r>
        <w:rPr>
          <w:spacing w:val="2"/>
          <w:w w:val="95"/>
        </w:rPr>
        <w:t>、在会计师事务所出具年度审计报告后，对事务所的本年度的审计工作进行客观评价，对公司下年</w:t>
      </w:r>
      <w:r>
        <w:rPr>
          <w:spacing w:val="-82"/>
          <w:w w:val="95"/>
        </w:rPr>
        <w:t> </w:t>
      </w:r>
      <w:r>
        <w:rPr>
          <w:spacing w:val="-82"/>
          <w:w w:val="95"/>
        </w:rPr>
      </w:r>
      <w:r>
        <w:rPr/>
        <w:t>度聘请会计师事务所提出建议。</w:t>
      </w:r>
    </w:p>
    <w:p>
      <w:pPr>
        <w:spacing w:line="240" w:lineRule="auto" w:before="12"/>
        <w:rPr>
          <w:rFonts w:ascii="宋体" w:hAnsi="宋体" w:cs="宋体" w:eastAsia="宋体" w:hint="default"/>
          <w:sz w:val="22"/>
          <w:szCs w:val="22"/>
        </w:rPr>
      </w:pPr>
    </w:p>
    <w:p>
      <w:pPr>
        <w:pStyle w:val="Heading3"/>
        <w:spacing w:line="240" w:lineRule="auto"/>
        <w:ind w:right="202"/>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9"/>
          <w:szCs w:val="19"/>
        </w:rPr>
      </w:pPr>
    </w:p>
    <w:p>
      <w:pPr>
        <w:pStyle w:val="Heading3"/>
        <w:spacing w:line="240" w:lineRule="auto"/>
        <w:ind w:right="202"/>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02" w:firstLine="420"/>
        <w:jc w:val="left"/>
      </w:pPr>
      <w:r>
        <w:rPr>
          <w:w w:val="95"/>
        </w:rPr>
        <w:t>公司在业务、资产、人员、财务、机构等方面完全独立，具有完整的业务体系及面向市场的独立经营</w:t>
      </w:r>
      <w:r>
        <w:rPr>
          <w:w w:val="99"/>
        </w:rPr>
        <w:t> </w:t>
      </w:r>
      <w:r>
        <w:rPr/>
        <w:t>能力，具备完整的供应、生产、销售系统。</w:t>
      </w:r>
    </w:p>
    <w:p>
      <w:pPr>
        <w:pStyle w:val="BodyText"/>
        <w:spacing w:line="307" w:lineRule="auto" w:before="48"/>
        <w:ind w:left="532" w:right="202"/>
        <w:jc w:val="left"/>
      </w:pPr>
      <w:r>
        <w:rPr>
          <w:rFonts w:ascii="宋体" w:hAnsi="宋体" w:cs="宋体" w:eastAsia="宋体" w:hint="default"/>
          <w:b/>
          <w:bCs/>
        </w:rPr>
        <w:t>（一）业务独立情况</w:t>
      </w:r>
      <w:r>
        <w:rPr>
          <w:rFonts w:ascii="宋体" w:hAnsi="宋体" w:cs="宋体" w:eastAsia="宋体" w:hint="default"/>
          <w:b/>
          <w:bCs/>
          <w:w w:val="99"/>
        </w:rPr>
        <w:t> </w:t>
      </w:r>
      <w:r>
        <w:rPr>
          <w:w w:val="95"/>
        </w:rPr>
        <w:t>公司在业务方面有独立的采购、生产、销售系统，具有面向市场独立开展业务的能力，与实际控制人</w:t>
      </w:r>
      <w:r>
        <w:rPr/>
      </w:r>
    </w:p>
    <w:p>
      <w:pPr>
        <w:pStyle w:val="BodyText"/>
        <w:spacing w:line="253" w:lineRule="exact" w:before="0"/>
        <w:ind w:right="202"/>
        <w:jc w:val="left"/>
      </w:pPr>
      <w:r>
        <w:rPr/>
        <w:t>不存在同业竞争或业务上的依赖关系；</w:t>
      </w:r>
    </w:p>
    <w:p>
      <w:pPr>
        <w:pStyle w:val="BodyText"/>
        <w:spacing w:line="307" w:lineRule="auto" w:before="78"/>
        <w:ind w:left="532" w:right="202"/>
        <w:jc w:val="left"/>
      </w:pPr>
      <w:r>
        <w:rPr>
          <w:rFonts w:ascii="宋体" w:hAnsi="宋体" w:cs="宋体" w:eastAsia="宋体" w:hint="default"/>
          <w:b/>
          <w:bCs/>
        </w:rPr>
        <w:t>（二）人员独立情况</w:t>
      </w:r>
      <w:r>
        <w:rPr>
          <w:rFonts w:ascii="宋体" w:hAnsi="宋体" w:cs="宋体" w:eastAsia="宋体" w:hint="default"/>
          <w:b/>
          <w:bCs/>
          <w:w w:val="99"/>
        </w:rPr>
        <w:t> </w:t>
      </w:r>
      <w:r>
        <w:rPr>
          <w:w w:val="95"/>
        </w:rPr>
        <w:t>公司在劳动、人事及工资等管理体系方面完全独立，公司与全体员工实行全员聘用考核制，公司总经</w:t>
      </w:r>
      <w:r>
        <w:rPr/>
      </w:r>
    </w:p>
    <w:p>
      <w:pPr>
        <w:pStyle w:val="BodyText"/>
        <w:spacing w:line="253" w:lineRule="exact" w:before="0"/>
        <w:ind w:right="202"/>
        <w:jc w:val="left"/>
      </w:pPr>
      <w:r>
        <w:rPr/>
        <w:t>理及其他高级管理人员均在公司领取报酬；</w:t>
      </w:r>
    </w:p>
    <w:p>
      <w:pPr>
        <w:pStyle w:val="BodyText"/>
        <w:spacing w:line="307" w:lineRule="auto" w:before="75"/>
        <w:ind w:left="532" w:right="202"/>
        <w:jc w:val="left"/>
      </w:pPr>
      <w:r>
        <w:rPr>
          <w:rFonts w:ascii="宋体" w:hAnsi="宋体" w:cs="宋体" w:eastAsia="宋体" w:hint="default"/>
          <w:b/>
          <w:bCs/>
        </w:rPr>
        <w:t>（三）机构独立情况</w:t>
      </w:r>
      <w:r>
        <w:rPr>
          <w:rFonts w:ascii="宋体" w:hAnsi="宋体" w:cs="宋体" w:eastAsia="宋体" w:hint="default"/>
          <w:b/>
          <w:bCs/>
          <w:w w:val="99"/>
        </w:rPr>
        <w:t> </w:t>
      </w:r>
      <w:r>
        <w:rPr>
          <w:w w:val="95"/>
        </w:rPr>
        <w:t>公司法人治理结构完善，股东大会、董事会、监事会严格按照《公司章程》规范运作。公司组织结构</w:t>
      </w:r>
      <w:r>
        <w:rPr/>
      </w:r>
    </w:p>
    <w:p>
      <w:pPr>
        <w:pStyle w:val="BodyText"/>
        <w:spacing w:line="253" w:lineRule="exact" w:before="0"/>
        <w:ind w:right="202"/>
        <w:jc w:val="left"/>
      </w:pPr>
      <w:r>
        <w:rPr/>
        <w:t>健全，拥有独立决策机构、完整的组织机构并独立运作，不存在合署办公的情况；</w:t>
      </w:r>
    </w:p>
    <w:p>
      <w:pPr>
        <w:pStyle w:val="BodyText"/>
        <w:spacing w:line="307" w:lineRule="auto" w:before="78"/>
        <w:ind w:left="532" w:right="99"/>
        <w:jc w:val="left"/>
      </w:pPr>
      <w:r>
        <w:rPr>
          <w:rFonts w:ascii="宋体" w:hAnsi="宋体" w:cs="宋体" w:eastAsia="宋体" w:hint="default"/>
          <w:b/>
          <w:bCs/>
        </w:rPr>
        <w:t>（四）资产独立情况</w:t>
      </w:r>
      <w:r>
        <w:rPr>
          <w:rFonts w:ascii="宋体" w:hAnsi="宋体" w:cs="宋体" w:eastAsia="宋体" w:hint="default"/>
          <w:b/>
          <w:bCs/>
          <w:w w:val="99"/>
        </w:rPr>
        <w:t> </w:t>
      </w:r>
      <w:r>
        <w:rPr>
          <w:spacing w:val="-3"/>
        </w:rPr>
        <w:t>公司资产独立完整，具有完整的产品开发、采购、生产、销售及客户服务部门，拥有独立的生产系统、</w:t>
      </w:r>
    </w:p>
    <w:p>
      <w:pPr>
        <w:pStyle w:val="BodyText"/>
        <w:spacing w:line="253" w:lineRule="exact" w:before="0"/>
        <w:ind w:right="202"/>
        <w:jc w:val="left"/>
      </w:pPr>
      <w:r>
        <w:rPr/>
        <w:t>辅助生产系统和配套设施、房屋所有权、专利所有权、计算机软件著作权、非专利技术等资产；</w:t>
      </w:r>
    </w:p>
    <w:p>
      <w:pPr>
        <w:pStyle w:val="Heading4"/>
        <w:spacing w:line="240" w:lineRule="auto" w:before="78"/>
        <w:ind w:left="532" w:right="202"/>
        <w:jc w:val="left"/>
        <w:rPr>
          <w:b w:val="0"/>
          <w:bCs w:val="0"/>
        </w:rPr>
      </w:pPr>
      <w:r>
        <w:rPr/>
        <w:t>（五）财务独立情况</w:t>
      </w:r>
      <w:r>
        <w:rPr>
          <w:b w:val="0"/>
          <w:bCs w:val="0"/>
        </w:rPr>
      </w:r>
    </w:p>
    <w:p>
      <w:pPr>
        <w:spacing w:after="0" w:line="240" w:lineRule="auto"/>
        <w:jc w:val="left"/>
        <w:sectPr>
          <w:pgSz w:w="11910" w:h="16840"/>
          <w:pgMar w:header="746" w:footer="978" w:top="1040" w:bottom="1160" w:left="1020" w:right="920"/>
        </w:sectPr>
      </w:pPr>
    </w:p>
    <w:p>
      <w:pPr>
        <w:spacing w:line="240" w:lineRule="auto" w:before="6"/>
        <w:rPr>
          <w:rFonts w:ascii="宋体" w:hAnsi="宋体" w:cs="宋体" w:eastAsia="宋体" w:hint="default"/>
          <w:b/>
          <w:bCs/>
          <w:sz w:val="25"/>
          <w:szCs w:val="25"/>
        </w:rPr>
      </w:pPr>
    </w:p>
    <w:p>
      <w:pPr>
        <w:pStyle w:val="BodyText"/>
        <w:spacing w:line="273" w:lineRule="auto" w:before="34"/>
        <w:ind w:right="112" w:firstLine="420"/>
        <w:jc w:val="both"/>
      </w:pPr>
      <w:r>
        <w:rPr>
          <w:w w:val="95"/>
        </w:rPr>
        <w:t>公司设立了独立的财务部门作为公司的财务管理机构，建立了独立的会计核算体系和财务管理制度，</w:t>
      </w:r>
      <w:r>
        <w:rPr>
          <w:spacing w:val="-79"/>
          <w:w w:val="95"/>
        </w:rPr>
        <w:t> </w:t>
      </w:r>
      <w:r>
        <w:rPr>
          <w:spacing w:val="-79"/>
          <w:w w:val="95"/>
        </w:rPr>
      </w:r>
      <w:r>
        <w:rPr>
          <w:w w:val="95"/>
        </w:rPr>
        <w:t>并根据上市公司有关会计制度的要求，独立进行财务决策；公司在银行设立了独立账号，依法独立纳税。</w:t>
      </w:r>
      <w:r>
        <w:rPr/>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56" w:lineRule="auto" w:before="0"/>
        <w:ind w:right="132" w:firstLine="420"/>
        <w:jc w:val="both"/>
      </w:pPr>
      <w:r>
        <w:rPr>
          <w:w w:val="95"/>
        </w:rPr>
        <w:t>公司高级管理人员按其行政岗位及职务，根据公司董事会与其签订的</w:t>
      </w:r>
      <w:r>
        <w:rPr>
          <w:rFonts w:ascii="Times New Roman" w:hAnsi="Times New Roman" w:cs="Times New Roman" w:eastAsia="Times New Roman" w:hint="default"/>
          <w:w w:val="95"/>
        </w:rPr>
        <w:t>2014</w:t>
      </w:r>
      <w:r>
        <w:rPr>
          <w:w w:val="95"/>
        </w:rPr>
        <w:t>年度经营业绩责任书，由薪</w:t>
      </w:r>
      <w:r>
        <w:rPr>
          <w:w w:val="99"/>
        </w:rPr>
        <w:t> </w:t>
      </w:r>
      <w:r>
        <w:rPr>
          <w:w w:val="95"/>
        </w:rPr>
        <w:t>酬与考核委员会绩效考核小组结合公司</w:t>
      </w:r>
      <w:r>
        <w:rPr>
          <w:rFonts w:ascii="Times New Roman" w:hAnsi="Times New Roman" w:cs="Times New Roman" w:eastAsia="Times New Roman" w:hint="default"/>
          <w:w w:val="95"/>
        </w:rPr>
        <w:t>2014</w:t>
      </w:r>
      <w:r>
        <w:rPr>
          <w:w w:val="95"/>
        </w:rPr>
        <w:t>年度经营业绩预计完成情况，对其进行考核，年薪与年度经营</w:t>
      </w:r>
      <w:r>
        <w:rPr>
          <w:spacing w:val="40"/>
          <w:w w:val="95"/>
        </w:rPr>
        <w:t> </w:t>
      </w:r>
      <w:r>
        <w:rPr>
          <w:spacing w:val="40"/>
          <w:w w:val="95"/>
        </w:rPr>
      </w:r>
      <w:r>
        <w:rPr/>
        <w:t>指标完成情况挂钩。</w:t>
      </w:r>
    </w:p>
    <w:p>
      <w:pPr>
        <w:spacing w:after="0" w:line="256" w:lineRule="auto"/>
        <w:jc w:val="both"/>
        <w:sectPr>
          <w:pgSz w:w="11910" w:h="16840"/>
          <w:pgMar w:header="746" w:footer="978" w:top="104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240" w:lineRule="auto"/>
        <w:ind w:left="3552" w:right="3649"/>
        <w:jc w:val="center"/>
        <w:rPr>
          <w:b w:val="0"/>
          <w:bCs w:val="0"/>
        </w:rPr>
      </w:pPr>
      <w:bookmarkStart w:name="_bookmark9" w:id="10"/>
      <w:bookmarkEnd w:id="10"/>
      <w:r>
        <w:rPr>
          <w:b w:val="0"/>
          <w:bCs w:val="0"/>
        </w:rPr>
      </w:r>
      <w:r>
        <w:rPr/>
        <w:t>第十节</w:t>
      </w:r>
      <w:r>
        <w:rPr>
          <w:spacing w:val="-7"/>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right="202"/>
        <w:jc w:val="left"/>
        <w:rPr>
          <w:b w:val="0"/>
          <w:bCs w:val="0"/>
        </w:rPr>
      </w:pPr>
      <w:r>
        <w:rPr/>
        <w:t>一、内部控制建设情况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5" w:firstLine="420"/>
        <w:jc w:val="left"/>
      </w:pPr>
      <w:r>
        <w:rPr>
          <w:spacing w:val="-5"/>
        </w:rPr>
        <w:t>为规范经营管理，控制风险，保证经营业务活动的正常开展，公司按照《公司法》、《证券法》、《企</w:t>
      </w:r>
      <w:r>
        <w:rPr>
          <w:w w:val="99"/>
        </w:rPr>
        <w:t> </w:t>
      </w:r>
      <w:r>
        <w:rPr/>
        <w:t>业内部控制基本规范》等有关法律、法规和规章制度，结合公司的实际情况、自身特点和管理要求，建立</w:t>
      </w:r>
      <w:r>
        <w:rPr>
          <w:w w:val="99"/>
        </w:rPr>
        <w:t> </w:t>
      </w:r>
      <w:r>
        <w:rPr/>
        <w:t>了股东大会、董事会、监事会及经理层的法人治理结构；设置了董事会办公室、总经理办公室、财务部、</w:t>
      </w:r>
      <w:r>
        <w:rPr>
          <w:w w:val="99"/>
        </w:rPr>
        <w:t> </w:t>
      </w:r>
      <w:r>
        <w:rPr/>
        <w:t>市场部、采购部、研发中心、审计部、交通工程事业部、交通信息化事业部、系统集成事业部、安全生产</w:t>
      </w:r>
      <w:r>
        <w:rPr>
          <w:w w:val="99"/>
        </w:rPr>
        <w:t> </w:t>
      </w:r>
      <w:r>
        <w:rPr>
          <w:spacing w:val="-3"/>
        </w:rPr>
        <w:t>管理办公室等职能部门；贯穿于公司经营管理各层面、各环节的内部控制管理制度；重点强化对财务报告、</w:t>
      </w:r>
      <w:r>
        <w:rPr>
          <w:w w:val="99"/>
        </w:rPr>
        <w:t> </w:t>
      </w:r>
      <w:r>
        <w:rPr>
          <w:spacing w:val="-3"/>
        </w:rPr>
        <w:t>对外担保、重大决策、控股子公司等重大方面防范控制。公司内部控制建设符合《企业内部控制基本规范》</w:t>
      </w:r>
      <w:r>
        <w:rPr>
          <w:w w:val="99"/>
        </w:rPr>
        <w:t> </w:t>
      </w:r>
      <w:r>
        <w:rPr/>
        <w:t>等有关法律法规的要求，内部控制体系具备了较好的完整性、合理性和有效性。</w:t>
      </w:r>
    </w:p>
    <w:p>
      <w:pPr>
        <w:spacing w:line="240" w:lineRule="auto" w:before="10"/>
        <w:rPr>
          <w:rFonts w:ascii="宋体" w:hAnsi="宋体" w:cs="宋体" w:eastAsia="宋体" w:hint="default"/>
          <w:sz w:val="21"/>
          <w:szCs w:val="21"/>
        </w:rPr>
      </w:pPr>
    </w:p>
    <w:p>
      <w:pPr>
        <w:pStyle w:val="Heading3"/>
        <w:spacing w:line="240" w:lineRule="auto"/>
        <w:ind w:right="202"/>
        <w:jc w:val="left"/>
        <w:rPr>
          <w:b w:val="0"/>
          <w:bCs w:val="0"/>
        </w:rPr>
      </w:pPr>
      <w:r>
        <w:rPr/>
        <w:t>二、董事会关于内部控制责任的声明</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202" w:firstLine="420"/>
        <w:jc w:val="left"/>
      </w:pPr>
      <w:r>
        <w:rPr>
          <w:w w:val="95"/>
        </w:rPr>
        <w:t>公司董事会及全体董事保证内部控制相关内容不存在任何虚假记载、误导性陈述或者重大遗漏，并对</w:t>
      </w:r>
      <w:r>
        <w:rPr>
          <w:w w:val="99"/>
        </w:rPr>
        <w:t> </w:t>
      </w:r>
      <w:r>
        <w:rPr/>
        <w:t>其内容的真实性、准确性和完整性承担个别及连带责任。</w:t>
      </w:r>
    </w:p>
    <w:p>
      <w:pPr>
        <w:spacing w:line="240" w:lineRule="auto" w:before="10"/>
        <w:rPr>
          <w:rFonts w:ascii="宋体" w:hAnsi="宋体" w:cs="宋体" w:eastAsia="宋体" w:hint="default"/>
          <w:sz w:val="21"/>
          <w:szCs w:val="21"/>
        </w:rPr>
      </w:pPr>
    </w:p>
    <w:p>
      <w:pPr>
        <w:pStyle w:val="Heading3"/>
        <w:spacing w:line="240" w:lineRule="auto"/>
        <w:ind w:right="202"/>
        <w:jc w:val="left"/>
        <w:rPr>
          <w:b w:val="0"/>
          <w:bCs w:val="0"/>
        </w:rPr>
      </w:pPr>
      <w:r>
        <w:rPr/>
        <w:t>三、建立财务报告内部控制的依据</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105" w:firstLine="420"/>
        <w:jc w:val="left"/>
      </w:pPr>
      <w:r>
        <w:rPr/>
        <w:t>公司编制财务报告，以真实的交易和事项以及完整、准确的账簿记录等资料为依据，按照有关法律法</w:t>
      </w:r>
      <w:r>
        <w:rPr>
          <w:w w:val="99"/>
        </w:rPr>
        <w:t> </w:t>
      </w:r>
      <w:r>
        <w:rPr/>
        <w:t>规、国家统一的会计制度规定的编制基础、编制依据、编制原则和方法进行。在编制年度财务报告前，按</w:t>
      </w:r>
      <w:r>
        <w:rPr>
          <w:w w:val="99"/>
        </w:rPr>
        <w:t> </w:t>
      </w:r>
      <w:r>
        <w:rPr>
          <w:spacing w:val="-3"/>
        </w:rPr>
        <w:t>照《企业财务会计报告条例》的有关规定，全面清查资产、核实债务，并将清查、核实结果及其处理方法，</w:t>
      </w:r>
      <w:r>
        <w:rPr>
          <w:w w:val="99"/>
        </w:rPr>
        <w:t> </w:t>
      </w:r>
      <w:r>
        <w:rPr/>
        <w:t>以确保财务报告的真实可靠和资产的安全完整。经过审计的财务报告由公司法定代表人、财务负责人及会</w:t>
      </w:r>
      <w:r>
        <w:rPr>
          <w:w w:val="99"/>
        </w:rPr>
        <w:t> </w:t>
      </w:r>
      <w:r>
        <w:rPr/>
        <w:t>计机构负责人签名盖章。</w:t>
      </w:r>
    </w:p>
    <w:p>
      <w:pPr>
        <w:spacing w:line="240" w:lineRule="auto" w:before="10"/>
        <w:rPr>
          <w:rFonts w:ascii="宋体" w:hAnsi="宋体" w:cs="宋体" w:eastAsia="宋体" w:hint="default"/>
          <w:sz w:val="21"/>
          <w:szCs w:val="21"/>
        </w:rPr>
      </w:pPr>
    </w:p>
    <w:p>
      <w:pPr>
        <w:pStyle w:val="Heading3"/>
        <w:spacing w:line="240" w:lineRule="auto"/>
        <w:ind w:right="202"/>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832"/>
        <w:gridCol w:w="673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firstLine="360"/>
              <w:jc w:val="left"/>
              <w:rPr>
                <w:rFonts w:ascii="宋体" w:hAnsi="宋体" w:cs="宋体" w:eastAsia="宋体" w:hint="default"/>
                <w:sz w:val="18"/>
                <w:szCs w:val="18"/>
              </w:rPr>
            </w:pPr>
            <w:r>
              <w:rPr>
                <w:rFonts w:ascii="宋体" w:hAnsi="宋体" w:cs="宋体" w:eastAsia="宋体" w:hint="default"/>
                <w:spacing w:val="-1"/>
                <w:sz w:val="18"/>
                <w:szCs w:val="18"/>
              </w:rPr>
              <w:t>报告期内公司已建立起内部控制体系总体上符合国家有关法律、法规和监管部门的相关要求，内部控制机制和内部控</w:t>
            </w:r>
            <w:r>
              <w:rPr>
                <w:rFonts w:ascii="宋体" w:hAnsi="宋体" w:cs="宋体" w:eastAsia="宋体" w:hint="default"/>
                <w:sz w:val="18"/>
                <w:szCs w:val="18"/>
              </w:rPr>
              <w:t> 制制度在完整性、合理性等方面不存在重大缺陷和重要缺陷。</w:t>
            </w:r>
          </w:p>
        </w:tc>
      </w:tr>
      <w:tr>
        <w:trPr>
          <w:trHeight w:val="402" w:hRule="exact"/>
        </w:trPr>
        <w:tc>
          <w:tcPr>
            <w:tcW w:w="2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94"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日巨潮资讯网（</w:t>
            </w:r>
            <w:hyperlink r:id="rId12">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《安徽皖通科技股份有</w:t>
            </w:r>
            <w:r>
              <w:rPr>
                <w:rFonts w:ascii="宋体" w:hAnsi="宋体" w:cs="宋体" w:eastAsia="宋体" w:hint="default"/>
                <w:sz w:val="18"/>
                <w:szCs w:val="18"/>
              </w:rPr>
              <w:t> 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b/>
          <w:bCs/>
          <w:sz w:val="18"/>
          <w:szCs w:val="18"/>
        </w:rPr>
      </w:pPr>
    </w:p>
    <w:p>
      <w:pPr>
        <w:pStyle w:val="Heading3"/>
        <w:spacing w:line="240" w:lineRule="auto" w:before="26"/>
        <w:ind w:right="202"/>
        <w:jc w:val="left"/>
        <w:rPr>
          <w:b w:val="0"/>
          <w:bCs w:val="0"/>
        </w:rPr>
      </w:pPr>
      <w:r>
        <w:rPr/>
        <w:t>五、内部控制审计报告或鉴证报告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1"/>
        <w:rPr>
          <w:rFonts w:ascii="宋体" w:hAnsi="宋体" w:cs="宋体" w:eastAsia="宋体" w:hint="default"/>
          <w:sz w:val="7"/>
          <w:szCs w:val="7"/>
        </w:rPr>
      </w:pPr>
    </w:p>
    <w:p>
      <w:pPr>
        <w:spacing w:line="1128" w:lineRule="exact"/>
        <w:ind w:left="104"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9.4pt;height:56.45pt;mso-position-horizontal-relative:char;mso-position-vertical-relative:line" coordorigin="0,0" coordsize="9588,1129">
            <v:group style="position:absolute;left:13;top:12;width:9563;height:397" coordorigin="13,12" coordsize="9563,397">
              <v:shape style="position:absolute;left:13;top:12;width:9563;height:397" coordorigin="13,12" coordsize="9563,397" path="m13,12l9576,12,9576,409,13,409,1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5;top:1124;width:9578;height:2" coordorigin="5,1124" coordsize="9578,2">
              <v:shape style="position:absolute;left:5;top:1124;width:9578;height:2" coordorigin="5,1124" coordsize="9578,0" path="m5,1124l9582,1124e" filled="false" stroked="true" strokeweight=".48pt" strokecolor="#000000">
                <v:path arrowok="t"/>
              </v:shape>
            </v:group>
            <v:group style="position:absolute;left:10;top:5;width:2;height:1114" coordorigin="10,5" coordsize="2,1114">
              <v:shape style="position:absolute;left:10;top:5;width:2;height:1114" coordorigin="10,5" coordsize="0,1114" path="m10,5l10,1119e" filled="false" stroked="true" strokeweight=".48pt" strokecolor="#000000">
                <v:path arrowok="t"/>
              </v:shape>
            </v:group>
            <v:group style="position:absolute;left:9578;top:5;width:2;height:1114" coordorigin="9578,5" coordsize="2,1114">
              <v:shape style="position:absolute;left:9578;top:5;width:2;height:1114" coordorigin="9578,5" coordsize="0,1114" path="m9578,5l9578,1119e" filled="false" stroked="true" strokeweight=".48pt" strokecolor="#000000">
                <v:path arrowok="t"/>
              </v:shape>
              <v:shape style="position:absolute;left:10;top:10;width:9568;height:402" type="#_x0000_t202" filled="false" stroked="false">
                <v:textbox inset="0,0,0,0">
                  <w:txbxContent>
                    <w:p>
                      <w:pPr>
                        <w:spacing w:before="55"/>
                        <w:ind w:left="-1" w:right="1" w:firstLine="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xbxContent>
                </v:textbox>
                <w10:wrap type="none"/>
              </v:shape>
              <v:shape style="position:absolute;left:10;top:412;width:9568;height:712" type="#_x0000_t202" filled="false" stroked="false">
                <v:textbox inset="0,0,0,0">
                  <w:txbxContent>
                    <w:p>
                      <w:pPr>
                        <w:spacing w:line="300" w:lineRule="auto" w:before="54"/>
                        <w:ind w:left="27" w:right="27" w:firstLine="45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日，皖通科技按照《企业内部控制基本规范》和相关规定在所有重大方面保持了</w:t>
                      </w:r>
                      <w:r>
                        <w:rPr>
                          <w:rFonts w:ascii="宋体" w:hAnsi="宋体" w:cs="宋体" w:eastAsia="宋体" w:hint="default"/>
                          <w:sz w:val="18"/>
                          <w:szCs w:val="18"/>
                        </w:rPr>
                        <w:t> 有效的财务报告内部控制。</w:t>
                      </w:r>
                    </w:p>
                  </w:txbxContent>
                </v:textbox>
                <w10:wrap type="none"/>
              </v:shape>
            </v:group>
          </v:group>
        </w:pict>
      </w:r>
      <w:r>
        <w:rPr>
          <w:rFonts w:ascii="宋体" w:hAnsi="宋体" w:cs="宋体" w:eastAsia="宋体" w:hint="default"/>
          <w:position w:val="-22"/>
          <w:sz w:val="20"/>
          <w:szCs w:val="20"/>
        </w:rPr>
      </w:r>
    </w:p>
    <w:p>
      <w:pPr>
        <w:spacing w:after="0" w:line="1128" w:lineRule="exact"/>
        <w:rPr>
          <w:rFonts w:ascii="宋体" w:hAnsi="宋体" w:cs="宋体" w:eastAsia="宋体" w:hint="default"/>
          <w:sz w:val="20"/>
          <w:szCs w:val="20"/>
        </w:rPr>
        <w:sectPr>
          <w:pgSz w:w="11910" w:h="16840"/>
          <w:pgMar w:header="746" w:footer="978" w:top="1040" w:bottom="1160" w:left="1020" w:right="9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47"/>
        <w:gridCol w:w="6721"/>
      </w:tblGrid>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7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日巨潮资讯网（</w:t>
            </w:r>
            <w:hyperlink r:id="rId12">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w w:val="99"/>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《安徽皖通科技股份有</w:t>
            </w:r>
            <w:r>
              <w:rPr>
                <w:rFonts w:ascii="宋体" w:hAnsi="宋体" w:cs="宋体" w:eastAsia="宋体" w:hint="default"/>
                <w:sz w:val="18"/>
                <w:szCs w:val="18"/>
              </w:rPr>
              <w:t> 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7"/>
        <w:ind w:left="112" w:right="3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right="112" w:firstLine="525"/>
        <w:jc w:val="both"/>
      </w:pP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28</w:t>
      </w:r>
      <w:r>
        <w:rPr>
          <w:w w:val="95"/>
        </w:rPr>
        <w:t>日，公司第一届董事会第十四次会议通过《安徽皖通科技股份有限公司年报信息披露重</w:t>
      </w:r>
      <w:r>
        <w:rPr>
          <w:w w:val="99"/>
        </w:rPr>
        <w:t> </w:t>
      </w:r>
      <w:r>
        <w:rPr>
          <w:w w:val="95"/>
        </w:rPr>
        <w:t>大差错责任追究制度》，该制度明确了年报信息披露重大差错的责任追究。报告期内，公司未发生年度报</w:t>
      </w:r>
      <w:r>
        <w:rPr>
          <w:spacing w:val="39"/>
          <w:w w:val="95"/>
        </w:rPr>
        <w:t> </w:t>
      </w:r>
      <w:r>
        <w:rPr>
          <w:spacing w:val="39"/>
          <w:w w:val="95"/>
        </w:rPr>
      </w:r>
      <w:r>
        <w:rPr/>
        <w:t>告重大差错的情形。</w:t>
      </w:r>
    </w:p>
    <w:p>
      <w:pPr>
        <w:spacing w:after="0" w:line="264" w:lineRule="auto"/>
        <w:jc w:val="both"/>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240" w:lineRule="auto"/>
        <w:ind w:left="3552" w:right="3689"/>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[2015]0 01443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吕勇军</w:t>
              <w:tab/>
              <w:t>王原</w:t>
            </w:r>
          </w:p>
        </w:tc>
      </w:tr>
    </w:tbl>
    <w:p>
      <w:pPr>
        <w:spacing w:line="240" w:lineRule="auto" w:before="6"/>
        <w:rPr>
          <w:rFonts w:ascii="宋体" w:hAnsi="宋体" w:cs="宋体" w:eastAsia="宋体" w:hint="default"/>
          <w:b/>
          <w:bCs/>
          <w:sz w:val="5"/>
          <w:szCs w:val="5"/>
        </w:rPr>
      </w:pPr>
    </w:p>
    <w:p>
      <w:pPr>
        <w:spacing w:line="408" w:lineRule="auto" w:before="14"/>
        <w:ind w:left="674" w:right="0" w:hanging="562"/>
        <w:jc w:val="left"/>
        <w:rPr>
          <w:rFonts w:ascii="宋体" w:hAnsi="宋体" w:cs="宋体" w:eastAsia="宋体" w:hint="default"/>
          <w:sz w:val="28"/>
          <w:szCs w:val="28"/>
        </w:rPr>
      </w:pPr>
      <w:r>
        <w:rPr>
          <w:rFonts w:ascii="宋体" w:hAnsi="宋体" w:cs="宋体" w:eastAsia="宋体" w:hint="default"/>
          <w:b/>
          <w:bCs/>
          <w:sz w:val="28"/>
          <w:szCs w:val="28"/>
        </w:rPr>
        <w:t>安徽皖通科技股份有限公司全体股东：</w:t>
      </w:r>
      <w:r>
        <w:rPr>
          <w:rFonts w:ascii="宋体" w:hAnsi="宋体" w:cs="宋体" w:eastAsia="宋体" w:hint="default"/>
          <w:b/>
          <w:bCs/>
          <w:w w:val="99"/>
          <w:sz w:val="28"/>
          <w:szCs w:val="28"/>
        </w:rPr>
        <w:t> </w:t>
      </w:r>
      <w:r>
        <w:rPr>
          <w:rFonts w:ascii="宋体" w:hAnsi="宋体" w:cs="宋体" w:eastAsia="宋体" w:hint="default"/>
          <w:spacing w:val="4"/>
          <w:sz w:val="28"/>
          <w:szCs w:val="28"/>
        </w:rPr>
        <w:t>我们审计了后附的安徽皖通科技股份有限公司</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以下简称皖通科技公司</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财</w:t>
      </w:r>
    </w:p>
    <w:p>
      <w:pPr>
        <w:pStyle w:val="Heading2"/>
        <w:spacing w:line="398" w:lineRule="auto" w:before="19"/>
        <w:ind w:right="252"/>
        <w:jc w:val="both"/>
      </w:pPr>
      <w:r>
        <w:rPr/>
        <w:t>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2014</w:t>
      </w:r>
      <w:r>
        <w:rPr/>
        <w:t>年度的合并及</w:t>
      </w:r>
      <w:r>
        <w:rPr>
          <w:spacing w:val="-36"/>
        </w:rPr>
        <w:t> </w:t>
      </w:r>
      <w:r>
        <w:rPr>
          <w:spacing w:val="-36"/>
        </w:rPr>
      </w:r>
      <w:r>
        <w:rPr>
          <w:spacing w:val="2"/>
        </w:rPr>
        <w:t>母公司利润表、合并及母公司现金流量表、合并及母公司股东权益变动表，以</w:t>
      </w:r>
      <w:r>
        <w:rPr>
          <w:spacing w:val="-99"/>
        </w:rPr>
        <w:t> </w:t>
      </w:r>
      <w:r>
        <w:rPr>
          <w:spacing w:val="-99"/>
        </w:rPr>
      </w:r>
      <w:r>
        <w:rPr/>
        <w:t>及财务报表附注。</w:t>
      </w:r>
    </w:p>
    <w:p>
      <w:pPr>
        <w:spacing w:line="408" w:lineRule="auto" w:before="72"/>
        <w:ind w:left="674" w:right="0" w:firstLine="2"/>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2"/>
          <w:sz w:val="28"/>
          <w:szCs w:val="28"/>
        </w:rPr>
        <w:t>编制和公允列报财务报表是皖通科技公司管理层的责任，这种责任包括：</w:t>
      </w:r>
    </w:p>
    <w:p>
      <w:pPr>
        <w:pStyle w:val="Heading2"/>
        <w:spacing w:line="398" w:lineRule="auto"/>
        <w:ind w:right="252"/>
        <w:jc w:val="both"/>
      </w:pPr>
      <w:r>
        <w:rPr>
          <w:spacing w:val="2"/>
        </w:rPr>
        <w:t>（</w:t>
      </w:r>
      <w:r>
        <w:rPr>
          <w:rFonts w:ascii="Times New Roman" w:hAnsi="Times New Roman" w:cs="Times New Roman" w:eastAsia="Times New Roman" w:hint="default"/>
          <w:spacing w:val="2"/>
        </w:rPr>
        <w:t>1</w:t>
      </w:r>
      <w:r>
        <w:rPr>
          <w:spacing w:val="2"/>
        </w:rPr>
        <w:t>）按照企业会计准则的规定编制财务报表，并使其实现公允反映；（</w:t>
      </w:r>
      <w:r>
        <w:rPr>
          <w:rFonts w:ascii="Times New Roman" w:hAnsi="Times New Roman" w:cs="Times New Roman" w:eastAsia="Times New Roman" w:hint="default"/>
          <w:spacing w:val="2"/>
        </w:rPr>
        <w:t>2</w:t>
      </w:r>
      <w:r>
        <w:rPr>
          <w:spacing w:val="2"/>
        </w:rPr>
        <w:t>）设</w:t>
      </w:r>
      <w:r>
        <w:rPr>
          <w:spacing w:val="-101"/>
        </w:rPr>
        <w:t> </w:t>
      </w:r>
      <w:r>
        <w:rPr>
          <w:spacing w:val="-101"/>
        </w:rPr>
      </w:r>
      <w:r>
        <w:rPr>
          <w:spacing w:val="2"/>
        </w:rPr>
        <w:t>计、执行和维护必要的内部控制，以使财务报表不存在由于舞弊或错误导致的</w:t>
      </w:r>
      <w:r>
        <w:rPr>
          <w:spacing w:val="-99"/>
        </w:rPr>
        <w:t> </w:t>
      </w:r>
      <w:r>
        <w:rPr>
          <w:spacing w:val="-99"/>
        </w:rPr>
      </w:r>
      <w:r>
        <w:rPr/>
        <w:t>重大错报。</w:t>
      </w:r>
    </w:p>
    <w:p>
      <w:pPr>
        <w:spacing w:line="408" w:lineRule="auto" w:before="72"/>
        <w:ind w:left="674" w:right="0" w:firstLine="2"/>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我们的责任是在执行审计工作的基础上对财务报表发表审计意见。我们按</w:t>
      </w:r>
    </w:p>
    <w:p>
      <w:pPr>
        <w:pStyle w:val="Heading2"/>
        <w:spacing w:line="408" w:lineRule="auto"/>
        <w:ind w:right="254"/>
        <w:jc w:val="both"/>
      </w:pPr>
      <w:r>
        <w:rPr>
          <w:spacing w:val="2"/>
        </w:rPr>
        <w:t>照中国注册会计师审计准则的规定执行了审计工作。中国注册会计师审计准则</w:t>
      </w:r>
      <w:r>
        <w:rPr>
          <w:spacing w:val="-99"/>
        </w:rPr>
        <w:t> </w:t>
      </w:r>
      <w:r>
        <w:rPr>
          <w:spacing w:val="-99"/>
        </w:rPr>
      </w:r>
      <w:r>
        <w:rPr>
          <w:spacing w:val="2"/>
        </w:rPr>
        <w:t>要求我们遵守职业道德守则，计划和执行审计工作以对财务报表是否不存在重</w:t>
      </w:r>
      <w:r>
        <w:rPr>
          <w:spacing w:val="-99"/>
        </w:rPr>
        <w:t> </w:t>
      </w:r>
      <w:r>
        <w:rPr>
          <w:spacing w:val="-99"/>
        </w:rPr>
      </w:r>
      <w:r>
        <w:rPr/>
        <w:t>大错报获取合理保证。</w:t>
      </w:r>
    </w:p>
    <w:p>
      <w:pPr>
        <w:pStyle w:val="Heading2"/>
        <w:spacing w:line="240" w:lineRule="auto"/>
        <w:ind w:left="674" w:right="0"/>
        <w:jc w:val="left"/>
      </w:pPr>
      <w:r>
        <w:rPr>
          <w:spacing w:val="-3"/>
        </w:rPr>
        <w:t>审计工作涉及实施审计程序，以获取有关财务报表金额和披露的审计证据。</w:t>
      </w:r>
    </w:p>
    <w:p>
      <w:pPr>
        <w:spacing w:after="0" w:line="240" w:lineRule="auto"/>
        <w:jc w:val="left"/>
        <w:sectPr>
          <w:pgSz w:w="11910" w:h="16840"/>
          <w:pgMar w:header="746" w:footer="978" w:top="1040" w:bottom="1160" w:left="1020" w:right="8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408" w:lineRule="auto" w:before="14"/>
        <w:ind w:right="110"/>
        <w:jc w:val="both"/>
      </w:pPr>
      <w:r>
        <w:rPr>
          <w:spacing w:val="2"/>
        </w:rPr>
        <w:t>选择的审计程序取决于注册会计师的判断，包括对由于舞弊或错误导致的财务</w:t>
      </w:r>
      <w:r>
        <w:rPr>
          <w:spacing w:val="-99"/>
        </w:rPr>
        <w:t> </w:t>
      </w:r>
      <w:r>
        <w:rPr>
          <w:spacing w:val="-99"/>
        </w:rPr>
      </w:r>
      <w:r>
        <w:rPr>
          <w:spacing w:val="2"/>
        </w:rPr>
        <w:t>报表重大错报风险的评估。在进行风险评估时，注册会计师考虑与财务报表编</w:t>
      </w:r>
      <w:r>
        <w:rPr>
          <w:spacing w:val="-99"/>
        </w:rPr>
        <w:t> </w:t>
      </w:r>
      <w:r>
        <w:rPr>
          <w:spacing w:val="-99"/>
        </w:rPr>
      </w:r>
      <w:r>
        <w:rPr>
          <w:spacing w:val="2"/>
        </w:rPr>
        <w:t>制和公允列报相关的内部控制，以设计恰当的审计程序</w:t>
      </w:r>
      <w:r>
        <w:rPr>
          <w:color w:val="0000CC"/>
          <w:spacing w:val="2"/>
        </w:rPr>
        <w:t>，</w:t>
      </w:r>
      <w:r>
        <w:rPr>
          <w:spacing w:val="2"/>
        </w:rPr>
        <w:t>但目的并非对内部控</w:t>
      </w:r>
      <w:r>
        <w:rPr>
          <w:spacing w:val="-99"/>
        </w:rPr>
        <w:t> </w:t>
      </w:r>
      <w:r>
        <w:rPr>
          <w:spacing w:val="-99"/>
        </w:rPr>
      </w:r>
      <w:r>
        <w:rPr>
          <w:spacing w:val="2"/>
        </w:rPr>
        <w:t>制的有效性发表意见</w:t>
      </w:r>
      <w:r>
        <w:rPr>
          <w:color w:val="0000CC"/>
          <w:spacing w:val="2"/>
        </w:rPr>
        <w:t>。</w:t>
      </w:r>
      <w:r>
        <w:rPr>
          <w:spacing w:val="2"/>
        </w:rPr>
        <w:t>审计工作还包括评价管理层选用会计政策的恰当性和作</w:t>
      </w:r>
      <w:r>
        <w:rPr>
          <w:spacing w:val="-97"/>
        </w:rPr>
        <w:t> </w:t>
      </w:r>
      <w:r>
        <w:rPr>
          <w:spacing w:val="-97"/>
        </w:rPr>
      </w:r>
      <w:r>
        <w:rPr/>
        <w:t>出会计估计的合理性，以及评价财务报表的总体列报。</w:t>
      </w:r>
    </w:p>
    <w:p>
      <w:pPr>
        <w:pStyle w:val="Heading2"/>
        <w:spacing w:line="408" w:lineRule="auto"/>
        <w:ind w:right="0" w:firstLine="561"/>
        <w:jc w:val="left"/>
      </w:pPr>
      <w:r>
        <w:rPr>
          <w:spacing w:val="2"/>
        </w:rPr>
        <w:t>我们相信，我们获取的审计证据是充分、适当的，为发表审计意见提供了</w:t>
      </w:r>
      <w:r>
        <w:rPr>
          <w:w w:val="100"/>
        </w:rPr>
        <w:t> </w:t>
      </w:r>
      <w:r>
        <w:rPr/>
        <w:t>基础。</w:t>
      </w:r>
    </w:p>
    <w:p>
      <w:pPr>
        <w:pStyle w:val="Heading2"/>
        <w:spacing w:line="408" w:lineRule="auto"/>
        <w:ind w:left="674"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我们认为，皖通科技公司的财务报表在所有重大方面按照企业会计准则的</w:t>
      </w:r>
    </w:p>
    <w:p>
      <w:pPr>
        <w:pStyle w:val="Heading2"/>
        <w:spacing w:line="386" w:lineRule="auto"/>
        <w:ind w:right="112"/>
        <w:jc w:val="both"/>
      </w:pPr>
      <w:r>
        <w:rPr/>
        <w:t>规定编制，公允反映了皖通科技公司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w:t>
      </w:r>
      <w:r>
        <w:rPr>
          <w:spacing w:val="-34"/>
        </w:rPr>
        <w:t> </w:t>
      </w:r>
      <w:r>
        <w:rPr>
          <w:spacing w:val="-34"/>
        </w:rPr>
      </w:r>
      <w:r>
        <w:rPr/>
        <w:t>以及</w:t>
      </w:r>
      <w:r>
        <w:rPr>
          <w:rFonts w:ascii="Times New Roman" w:hAnsi="Times New Roman" w:cs="Times New Roman" w:eastAsia="Times New Roman" w:hint="default"/>
        </w:rPr>
        <w:t>2014</w:t>
      </w:r>
      <w:r>
        <w:rPr/>
        <w:t>年度的合并及母公司经营成果和现金流量。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7"/>
          <w:szCs w:val="27"/>
        </w:rPr>
      </w:pPr>
    </w:p>
    <w:p>
      <w:pPr>
        <w:pStyle w:val="Heading2"/>
        <w:tabs>
          <w:tab w:pos="5270" w:val="left" w:leader="none"/>
        </w:tabs>
        <w:spacing w:line="398" w:lineRule="auto" w:before="0"/>
        <w:ind w:left="1881" w:right="2351" w:hanging="1757"/>
        <w:jc w:val="left"/>
      </w:pPr>
      <w:r>
        <w:rPr>
          <w:spacing w:val="-2"/>
        </w:rPr>
        <w:t>大华会计师事务所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tab/>
      </w:r>
      <w:r>
        <w:rPr>
          <w:spacing w:val="-2"/>
        </w:rPr>
        <w:t>中国注册会计师：</w:t>
      </w:r>
      <w:r>
        <w:rPr>
          <w:spacing w:val="-127"/>
        </w:rPr>
        <w:t> </w:t>
      </w:r>
      <w:r>
        <w:rPr>
          <w:spacing w:val="-127"/>
        </w:rPr>
      </w:r>
      <w:r>
        <w:rPr/>
        <w:t>中国</w:t>
      </w:r>
      <w:r>
        <w:rPr>
          <w:rFonts w:ascii="Times New Roman" w:hAnsi="Times New Roman" w:cs="Times New Roman" w:eastAsia="Times New Roman" w:hint="default"/>
          <w:b/>
          <w:bCs/>
        </w:rPr>
        <w:t>·</w:t>
      </w:r>
      <w:r>
        <w:rPr/>
        <w:t>北京</w:t>
      </w:r>
    </w:p>
    <w:p>
      <w:pPr>
        <w:pStyle w:val="Heading2"/>
        <w:spacing w:line="240" w:lineRule="auto" w:before="51"/>
        <w:ind w:left="5270" w:right="0"/>
        <w:jc w:val="left"/>
      </w:pPr>
      <w:r>
        <w:rPr/>
        <w:t>中国注册会计师：</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240" w:lineRule="auto" w:before="189"/>
        <w:ind w:left="5829" w:right="0"/>
        <w:jc w:val="left"/>
      </w:pPr>
      <w:r>
        <w:rPr/>
        <w:t>二〇一五年二月十六日</w:t>
      </w:r>
    </w:p>
    <w:p>
      <w:pPr>
        <w:spacing w:after="0" w:line="240" w:lineRule="auto"/>
        <w:jc w:val="left"/>
        <w:sectPr>
          <w:pgSz w:w="11910" w:h="16840"/>
          <w:pgMar w:header="746" w:footer="978" w:top="1040" w:bottom="1160" w:left="1020" w:right="1020"/>
        </w:sectPr>
      </w:pPr>
    </w:p>
    <w:p>
      <w:pPr>
        <w:spacing w:line="240" w:lineRule="auto" w:before="5"/>
        <w:rPr>
          <w:rFonts w:ascii="宋体" w:hAnsi="宋体" w:cs="宋体" w:eastAsia="宋体" w:hint="default"/>
          <w:sz w:val="24"/>
          <w:szCs w:val="24"/>
        </w:rPr>
      </w:pPr>
    </w:p>
    <w:p>
      <w:pPr>
        <w:pStyle w:val="Heading3"/>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3"/>
          <w:pgSz w:w="11910" w:h="16840"/>
          <w:pgMar w:footer="978" w:header="746" w:top="1040" w:bottom="1160" w:left="1020" w:right="1020"/>
          <w:pgNumType w:start="6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编制单位：安徽皖通科技股份有限公司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60" w:left="1020" w:right="1020"/>
          <w:cols w:num="3" w:equalWidth="0">
            <w:col w:w="3173" w:space="904"/>
            <w:col w:w="1599" w:space="3242"/>
            <w:col w:w="952"/>
          </w:cols>
        </w:sectPr>
      </w:pP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569,000,171.04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364,311,101.49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6,269,199.25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17,696,400.00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268,259,344.63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193,195,934.37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54,079,708.92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88,372,214.33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431,814.25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69,530,928.79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85,513,505.07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162,592,296.62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176,035,155.96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1,255,731,649.25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925,556,125.47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9,463,199.69</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6,503,548.97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7,363,056.72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1,553,996.80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1,829,818.69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130,616,875.99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133,632,488.86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1,026,727.45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346,078.29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47,398,089.00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28,440,080.83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30,205,510.48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25,376,682.71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88,317,730.47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88,317,730.47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7,018,534.65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5,721,223.23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312,641,013.81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300,490,359.49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1,568,372,663.06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1,226,046,484.96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15,440,560.01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12,791,417.50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237,944,496.21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280,498,593.84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59,707,027.31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114,194,628.09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13,751,452.71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9,898,901.57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15,606,575.80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10,784,539.55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7,566,134.01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3,697,703.26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478,800.00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360,495,046.05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436,865,783.81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2,670,957.95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1,227,204.80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1,326,285.99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3,898,162.75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2,883,885.99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364,393,208.80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439,749,669.80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243,282,678.00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214,256,620.00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650,811,846.75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317,887,916.23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28,962,449.46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24,510,285.24</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249,287,881.43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200,892,692.68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1,172,344,855.64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757,547,514.15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31,634,598.62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28,749,301.01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1,203,979,454.26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786,296,815.16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1,568,372,663.06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1,226,046,484.96</w:t>
            </w:r>
          </w:p>
        </w:tc>
      </w:tr>
    </w:tbl>
    <w:p>
      <w:pPr>
        <w:spacing w:line="240" w:lineRule="auto" w:before="1"/>
        <w:rPr>
          <w:rFonts w:ascii="Times New Roman" w:hAnsi="Times New Roman" w:cs="Times New Roman" w:eastAsia="Times New Roman" w:hint="default"/>
          <w:sz w:val="23"/>
          <w:szCs w:val="23"/>
        </w:rPr>
      </w:pPr>
    </w:p>
    <w:p>
      <w:pPr>
        <w:tabs>
          <w:tab w:pos="3511" w:val="left" w:leader="none"/>
          <w:tab w:pos="755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  王中胜</w:t>
        <w:tab/>
        <w:t>主管会计工作负责人：卢玉平</w:t>
        <w:tab/>
        <w:t>会计机构负责人：诸黎明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430,218,143.22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204,039,818.60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181,116,434.73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145,746,188.38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34,519,686.71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69,466,400.93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431,814.25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61,837,587.97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70,428,266.19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89,231,688.67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111,259,617.80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921,123,541.30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603,472,106.15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9,463,199.69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276,465,451.51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277,408,462.14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69,103,271.26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71,108,771.55</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655,077.11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102,480.29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37,986,454.74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21,826,185.45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25,827,771.99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23,712,996.04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4,985,002.13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4,367,595.64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415,023,028.74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407,989,690.80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1,336,146,570.04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1,011,461,796.95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7,167,175.54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3,641,640.00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171,849,279.26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227,819,013.41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43,689,896.16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74,202,875.42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3,951,081.03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3,137,960.30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14,460,426.75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9,751,333.79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1,616,854.64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604,815.64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478,800.00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243,213,513.38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319,157,638.56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1,557,600.00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243,213,513.38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320,715,238.56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243,282,678.00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214,256,620.00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650,811,846.75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317,887,916.23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28,528,629.75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24,076,465.53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170,309,902.16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134,525,556.63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1,092,933,056.66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690,746,558.39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1,336,146,570.04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1,011,461,796.95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781,300,863.63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794,848,110.65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781,300,863.63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794,848,110.65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727,166,523.14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734,012,264.32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617,541,170.84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622,732,419.41</w:t>
            </w:r>
          </w:p>
        </w:tc>
      </w:tr>
      <w:tr>
        <w:trPr>
          <w:trHeight w:val="40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12.699997pt;margin-top:400.600037pt;width:160.25pt;height:19.850pt;mso-position-horizontal-relative:page;mso-position-vertical-relative:page;z-index:-846400" coordorigin="4254,8012" coordsize="3205,397">
            <v:shape style="position:absolute;left:4254;top:8012;width:3205;height:397" coordorigin="4254,8012" coordsize="3205,397" path="m4254,8012l7459,8012,7459,8409,4254,8409,4254,8012xe" filled="true" fillcolor="#ffffff" stroked="false">
              <v:path arrowok="t"/>
              <v:fill type="solid"/>
            </v:shape>
            <w10:wrap type="none"/>
          </v:group>
        </w:pict>
      </w:r>
      <w:r>
        <w:rPr/>
        <w:pict>
          <v:group style="position:absolute;margin-left:212.699997pt;margin-top:521.200012pt;width:160.25pt;height:19.650pt;mso-position-horizontal-relative:page;mso-position-vertical-relative:page;z-index:-846376" coordorigin="4254,10424" coordsize="3205,393">
            <v:shape style="position:absolute;left:4254;top:10424;width:3205;height:393" coordorigin="4254,10424" coordsize="3205,393" path="m4254,10424l7459,10424,7459,10817,4254,10817,4254,10424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11,844,688.15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13,777,934.21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26,300,628.22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26,193,937.98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68,001,005.94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63,680,453.16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-921,900.54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-2,784,364.60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4,400,930.53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10,411,884.16</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3,469,926.95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15,589,808.61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-859,507.75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-636,943.28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57,604,267.44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76,425,654.94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15,016,573.97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9,153,846.40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7,383.67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14,691.59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174,267.08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116,328.74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156,383.67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106,319.48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tabs>
                <w:tab w:pos="2142" w:val="left" w:leader="none"/>
              </w:tabs>
              <w:spacing w:line="240" w:lineRule="auto" w:before="50"/>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72,446,574.33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85,463,172.60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11,744,119.35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11,568,161.76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60,702,454.98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73,895,010.84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57,132,485.37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70,763,819.33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3,569,969.61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3,131,191.51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3082"/>
        <w:gridCol w:w="3210"/>
        <w:gridCol w:w="3276"/>
      </w:tblGrid>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3" w:right="16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60,702,454.98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73,895,010.84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57,132,485.37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70,763,819.33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3,569,969.61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3,131,191.51</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0.2579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0.3303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0.3303</w:t>
            </w:r>
          </w:p>
        </w:tc>
      </w:tr>
    </w:tbl>
    <w:p>
      <w:pPr>
        <w:tabs>
          <w:tab w:pos="3623" w:val="left" w:leader="none"/>
          <w:tab w:pos="7672" w:val="left" w:leader="none"/>
        </w:tabs>
        <w:spacing w:line="624" w:lineRule="auto" w:before="50"/>
        <w:ind w:left="112" w:right="211"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  王中胜</w:t>
        <w:tab/>
        <w:t>主管会计工作负责人：卢玉平</w:t>
        <w:tab/>
        <w:t>会计机构负责人：诸黎明</w:t>
      </w:r>
    </w:p>
    <w:p>
      <w:pPr>
        <w:pStyle w:val="Heading4"/>
        <w:spacing w:line="240" w:lineRule="auto" w:before="6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496,146,744.30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546,487,014.33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410,314,816.69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454,510,642.14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8,907,512.68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10,791,391.42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9,186,017.45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11,842,484.79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27,518,842.70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26,377,729.86</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-1,713,074.21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-2,079,422.30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4,970,369.09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9,634,725.49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10,400,198.49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15,297,609.39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-943,010.63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-893,305.13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47,362,458.39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50,707,072.32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4,506,190.58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3,831,686.33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8,260.71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48,744.74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39,633.93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33,213.56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39,633.93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51,819,904.23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54,499,124.72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7,298,262.08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7,289,931.41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44,521,642.15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47,209,193.31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44,521,642.15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47,209,193.31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4"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736,858,137.04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827,472,299.43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4,680,686.04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3,526,496.36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151,238,629.63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134,426,753.14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892,777,452.71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965,425,548.93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640,185,615.09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703,659,857.15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72,779,817.61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70,196,076.97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36,388,157.61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38,263,702.00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152,516,448.82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98,436,301.15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901,870,039.13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910,555,937.27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-9,092,586.42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54,869,611.66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567,340,000.00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4,329,434.70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3,221.60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134,599.92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63,764.61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217,769.24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571,804,034.62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284,755.45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26,766,309.93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37,282,685.10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567,340,000.00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566,634.74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715,106,309.93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39,849,319.84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-143,302,275.31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-39,564,564.39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363,629,014.58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1,090,034.35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4,953,593.19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374,719,048.93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14,853,593.19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5,605,721.06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13,786,470.94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11,028,781.08</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8" w:header="746" w:top="1040" w:bottom="1160" w:left="1020" w:right="102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21,634,502.14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18,786,470.94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353,084,546.79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-3,932,877.75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-350,370.53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45,114.43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200,339,314.53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11,417,283.95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356,086,974.44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344,669,690.49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556,426,288.97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356,086,974.44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462,165,918.26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515,721,701.44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333,520.50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282,025.62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123,660,565.07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128,195,179.92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586,160,003.83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644,198,906.98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421,159,835.83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494,717,257.75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21,022,725.12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30,872,513.34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17,465,330.73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20,600,022.94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127,703,952.06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78,748,875.02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587,351,843.74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624,938,669.05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-1,191,839.91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19,260,237.93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3,000,300.00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11,343,209.12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50,238.38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11,393,447.50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3,042,300.00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21,778,173.44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28,885,480.68</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44"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142,778,173.44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80,985,480.68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-131,384,725.94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-77,943,180.68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363,629,014.58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1,090,034.35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1,965,119.38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364,719,048.93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1,965,119.38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4,285,132.40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13,391,038.80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3,263,968.63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7,549,101.03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13,391,038.80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357,169,947.90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-11,425,919.42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224,593,382.05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-70,108,862.17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197,652,155.98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267,761,018.15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422,245,538.03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197,652,155.98</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8" w:right="54"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0" w:right="8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9" w:right="7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214,25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6,620.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317,887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,916.23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24,510,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285.24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200,892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,692.68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28,749,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301.01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786,296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,815.16</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4"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214,25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6,620.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317,887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,916.23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24,510,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285.24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200,892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,692.68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28,749,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301.01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786,296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,815.16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332,923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,930.52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4,452,1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64.22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48,395,</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188.75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2,885,2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97.61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417,682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,639.10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left"/>
              <w:rPr>
                <w:rFonts w:ascii="Times New Roman" w:hAnsi="Times New Roman" w:cs="Times New Roman" w:eastAsia="Times New Roman" w:hint="default"/>
                <w:sz w:val="18"/>
                <w:szCs w:val="18"/>
              </w:rPr>
            </w:pPr>
            <w:r>
              <w:rPr>
                <w:rFonts w:ascii="Times New Roman"/>
                <w:sz w:val="18"/>
              </w:rPr>
              <w:t>57,132,</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485.37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3,569,9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69.61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Times New Roman" w:hAnsi="Times New Roman" w:cs="Times New Roman" w:eastAsia="Times New Roman" w:hint="default"/>
                <w:sz w:val="18"/>
                <w:szCs w:val="18"/>
              </w:rPr>
            </w:pPr>
            <w:r>
              <w:rPr>
                <w:rFonts w:ascii="Times New Roman"/>
                <w:sz w:val="18"/>
              </w:rPr>
              <w:t>60,702,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454.98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332,923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,930.52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361,949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,988.52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332,923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,930.50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361,949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,988.52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4,452,1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64.22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-8,737,2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-684,67</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-4,969,8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04.40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4,452,1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64.22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-4,452,1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64.22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-4,285,1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32.40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-684,67</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-4,969,8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04.40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243,28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2,678.</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650,811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,846.75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28,962,</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449.46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249,287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,881.43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31,634,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598.62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79,454.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9"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0"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133,91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0,388.</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398,234</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,148.23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19,789,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148,240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,831.48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24,720,</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383.66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724,895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,117.28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133,91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0,388.</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398,234</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,148.23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19,789,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148,240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,831.48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24,720,</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383.66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724,895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,117.28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,232.0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-80,346,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4,720,9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52,651,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861.20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4,028,9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17.35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61,401,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697.88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70,763,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819.33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3,131,1</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91.51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73,895,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010.84</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897,725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897,725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.84</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left"/>
              <w:rPr>
                <w:rFonts w:ascii="Times New Roman" w:hAnsi="Times New Roman" w:cs="Times New Roman" w:eastAsia="Times New Roman" w:hint="default"/>
                <w:sz w:val="18"/>
                <w:szCs w:val="18"/>
              </w:rPr>
            </w:pPr>
            <w:r>
              <w:rPr>
                <w:rFonts w:ascii="Times New Roman"/>
                <w:sz w:val="18"/>
              </w:rPr>
              <w:t>-4,002,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274.16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-4,002,2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74.16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4,720,9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-18,111,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958.13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-13,391,</w:t>
            </w:r>
          </w:p>
          <w:p>
            <w:pPr>
              <w:pStyle w:val="TableParagraph"/>
              <w:spacing w:line="240" w:lineRule="auto" w:before="105"/>
              <w:ind w:left="109" w:right="0"/>
              <w:jc w:val="center"/>
              <w:rPr>
                <w:rFonts w:ascii="Times New Roman" w:hAnsi="Times New Roman" w:cs="Times New Roman" w:eastAsia="Times New Roman" w:hint="default"/>
                <w:sz w:val="18"/>
                <w:szCs w:val="18"/>
              </w:rPr>
            </w:pPr>
            <w:r>
              <w:rPr>
                <w:rFonts w:ascii="Times New Roman"/>
                <w:sz w:val="18"/>
              </w:rPr>
              <w:t>038.80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4,720,9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-4,720,9</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19.33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-13,391,</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038.80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-13,391,</w:t>
            </w:r>
          </w:p>
          <w:p>
            <w:pPr>
              <w:pStyle w:val="TableParagraph"/>
              <w:spacing w:line="240" w:lineRule="auto" w:before="105"/>
              <w:ind w:left="109" w:right="0"/>
              <w:jc w:val="center"/>
              <w:rPr>
                <w:rFonts w:ascii="Times New Roman" w:hAnsi="Times New Roman" w:cs="Times New Roman" w:eastAsia="Times New Roman" w:hint="default"/>
                <w:sz w:val="18"/>
                <w:szCs w:val="18"/>
              </w:rPr>
            </w:pPr>
            <w:r>
              <w:rPr>
                <w:rFonts w:ascii="Times New Roman"/>
                <w:sz w:val="18"/>
              </w:rPr>
              <w:t>038.80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,232.0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-80,346,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80,346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,232.0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-80,346,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214,25</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6,620.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317,887</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,916.23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24,510,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200,892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,692.68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28,749,</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301.01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786,296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,815.16</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9"/>
          <w:szCs w:val="29"/>
        </w:rPr>
      </w:pPr>
    </w:p>
    <w:p>
      <w:pPr>
        <w:pStyle w:val="Heading4"/>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2"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305" w:right="32"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12"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15"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214,256,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317,887,9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24,076,46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134,525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,556.63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690,746,5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58.39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214,256,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317,887,9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24,076,46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134,525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,556.63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690,746,5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58.39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3" w:right="20"/>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29,026,0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332,923,9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4,452,164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35,784,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345.53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402,186,4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98.27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44,521,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642.15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44,521,64</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29,026,0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332,923,9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361,949,9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29,026,0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332,923,9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361,949,9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-8,737,2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96.62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-4,285,13</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2.40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-4,452,1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64.22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-4,285,1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32.40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-4,285,13</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2.40</w:t>
            </w: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42"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243,282,</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650,811,8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46.75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28,528,62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170,309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,902.16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1,092,933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,056.66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2"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5" w:right="32"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2"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133,910,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398,234,1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48.23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19,355,54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105,428</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,321.45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656,928,4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03.88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133,910,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398,234,1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48.23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19,355,54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105,428</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,321.45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656,928,4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03.88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80,346,2</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-80,346,2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4,720,919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29,097,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235.18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33,818,15</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4.51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47,209,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47,209,19</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42"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4,720,919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-18,111,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958.13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-13,391,0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38.80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4,720,919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-4,720,9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19.33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-13,391,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038.80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-13,391,0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38.80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80,346,2</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-80,346,2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80,346,2</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-80,346,2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214,256,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317,887,9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24,076,46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134,525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,556.63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690,746,5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58.39</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spacing w:line="273"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（一）公司注册地、组织形式和总部地址</w:t>
      </w:r>
      <w:r>
        <w:rPr>
          <w:rFonts w:ascii="宋体" w:hAnsi="宋体" w:cs="宋体" w:eastAsia="宋体" w:hint="default"/>
          <w:b/>
          <w:bCs/>
          <w:w w:val="99"/>
          <w:sz w:val="21"/>
          <w:szCs w:val="21"/>
        </w:rPr>
        <w:t> </w:t>
      </w:r>
      <w:r>
        <w:rPr>
          <w:rFonts w:ascii="宋体" w:hAnsi="宋体" w:cs="宋体" w:eastAsia="宋体" w:hint="default"/>
          <w:sz w:val="21"/>
          <w:szCs w:val="21"/>
        </w:rPr>
        <w:t>安徽皖通科技股份有限公司（以下简称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或</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）的前身安徽皖通科技发展有限公司，经合</w:t>
      </w:r>
    </w:p>
    <w:p>
      <w:pPr>
        <w:pStyle w:val="BodyText"/>
        <w:spacing w:line="256" w:lineRule="auto" w:before="0"/>
        <w:ind w:right="112"/>
        <w:jc w:val="both"/>
      </w:pPr>
      <w:r>
        <w:rPr/>
        <w:t>肥市高新技术产业开发区管委会合高管（</w:t>
      </w:r>
      <w:r>
        <w:rPr>
          <w:rFonts w:ascii="Times New Roman" w:hAnsi="Times New Roman" w:cs="Times New Roman" w:eastAsia="Times New Roman" w:hint="default"/>
        </w:rPr>
        <w:t>1999)19</w:t>
      </w:r>
      <w:r>
        <w:rPr/>
        <w:t>号文批准，于</w:t>
      </w:r>
      <w:r>
        <w:rPr>
          <w:rFonts w:ascii="Times New Roman" w:hAnsi="Times New Roman" w:cs="Times New Roman" w:eastAsia="Times New Roman" w:hint="default"/>
        </w:rPr>
        <w:t>1999</w:t>
      </w:r>
      <w:r>
        <w:rPr/>
        <w:t>年成立。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月，整体变更为股份</w:t>
      </w:r>
      <w:r>
        <w:rPr>
          <w:w w:val="99"/>
        </w:rPr>
        <w:t> </w:t>
      </w:r>
      <w:r>
        <w:rPr/>
        <w:t>有限公司。公司的企业法人营业执照注册号：</w:t>
      </w:r>
      <w:r>
        <w:rPr>
          <w:rFonts w:ascii="Times New Roman" w:hAnsi="Times New Roman" w:cs="Times New Roman" w:eastAsia="Times New Roman" w:hint="default"/>
        </w:rPr>
        <w:t>340106000003814</w:t>
      </w:r>
      <w:r>
        <w:rPr/>
        <w:t>，并于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日在深圳证券交易所上</w:t>
      </w:r>
      <w:r>
        <w:rPr>
          <w:spacing w:val="-39"/>
        </w:rPr>
        <w:t> </w:t>
      </w:r>
      <w:r>
        <w:rPr>
          <w:spacing w:val="-39"/>
        </w:rPr>
      </w:r>
      <w:r>
        <w:rPr/>
        <w:t>市。</w:t>
      </w:r>
    </w:p>
    <w:p>
      <w:pPr>
        <w:pStyle w:val="BodyText"/>
        <w:spacing w:line="256" w:lineRule="auto" w:before="22"/>
        <w:ind w:right="0" w:firstLine="420"/>
        <w:jc w:val="left"/>
      </w:pPr>
      <w:r>
        <w:rPr>
          <w:w w:val="95"/>
        </w:rPr>
        <w:t>经过历年的派送红股、配售新股、转增股本及增发新股，截至</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日，本公司累计发行股本</w:t>
      </w:r>
      <w:r>
        <w:rPr>
          <w:w w:val="99"/>
        </w:rPr>
        <w:t> </w:t>
      </w:r>
      <w:r>
        <w:rPr/>
        <w:t>总数</w:t>
      </w:r>
      <w:r>
        <w:rPr>
          <w:rFonts w:ascii="Times New Roman" w:hAnsi="Times New Roman" w:cs="Times New Roman" w:eastAsia="Times New Roman" w:hint="default"/>
        </w:rPr>
        <w:t>24,328.27</w:t>
      </w:r>
      <w:r>
        <w:rPr/>
        <w:t>万股，注册资本为</w:t>
      </w:r>
      <w:r>
        <w:rPr>
          <w:rFonts w:ascii="Times New Roman" w:hAnsi="Times New Roman" w:cs="Times New Roman" w:eastAsia="Times New Roman" w:hint="default"/>
        </w:rPr>
        <w:t>24,328.27</w:t>
      </w:r>
      <w:r>
        <w:rPr/>
        <w:t>万元，注册地址：合肥市高新区皖水路</w:t>
      </w:r>
      <w:r>
        <w:rPr>
          <w:rFonts w:ascii="Times New Roman" w:hAnsi="Times New Roman" w:cs="Times New Roman" w:eastAsia="Times New Roman" w:hint="default"/>
        </w:rPr>
        <w:t>589</w:t>
      </w:r>
      <w:r>
        <w:rPr/>
        <w:t>号，总部地址：合肥</w:t>
      </w:r>
    </w:p>
    <w:p>
      <w:pPr>
        <w:spacing w:after="0" w:line="256"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right="184"/>
        <w:jc w:val="left"/>
      </w:pPr>
      <w:r>
        <w:rPr/>
        <w:t>市高新区皖水路</w:t>
      </w:r>
      <w:r>
        <w:rPr>
          <w:rFonts w:ascii="Times New Roman" w:hAnsi="Times New Roman" w:cs="Times New Roman" w:eastAsia="Times New Roman" w:hint="default"/>
        </w:rPr>
        <w:t>589</w:t>
      </w:r>
      <w:r>
        <w:rPr/>
        <w:t>号，实际控制人为王中胜、杨世宁、杨新子。</w:t>
      </w:r>
    </w:p>
    <w:p>
      <w:pPr>
        <w:pStyle w:val="BodyText"/>
        <w:spacing w:line="273" w:lineRule="auto" w:before="21"/>
        <w:ind w:left="532" w:right="184" w:hanging="420"/>
        <w:jc w:val="left"/>
      </w:pPr>
      <w:r>
        <w:rPr>
          <w:rFonts w:ascii="宋体" w:hAnsi="宋体" w:cs="宋体" w:eastAsia="宋体" w:hint="default"/>
          <w:b/>
          <w:bCs/>
        </w:rPr>
        <w:t>（二）经营范围</w:t>
      </w:r>
      <w:r>
        <w:rPr>
          <w:rFonts w:ascii="宋体" w:hAnsi="宋体" w:cs="宋体" w:eastAsia="宋体" w:hint="default"/>
          <w:b/>
          <w:bCs/>
          <w:w w:val="99"/>
        </w:rPr>
        <w:t> </w:t>
      </w:r>
      <w:r>
        <w:rPr>
          <w:w w:val="95"/>
        </w:rPr>
        <w:t>计算机软件、硬件的开发、生产与销售；信息系统集成、信息处理与技术服务、技术转让与咨询；光</w:t>
      </w:r>
      <w:r>
        <w:rPr/>
      </w:r>
    </w:p>
    <w:p>
      <w:pPr>
        <w:pStyle w:val="BodyText"/>
        <w:spacing w:line="273" w:lineRule="auto"/>
        <w:ind w:right="184"/>
        <w:jc w:val="left"/>
      </w:pPr>
      <w:r>
        <w:rPr>
          <w:w w:val="95"/>
        </w:rPr>
        <w:t>机电一体化、视频网络与通讯系统工程，电视监控系统及交通机电工程的设计、施工、安装、维修；计算</w:t>
      </w:r>
      <w:r>
        <w:rPr>
          <w:spacing w:val="43"/>
          <w:w w:val="95"/>
        </w:rPr>
        <w:t> </w:t>
      </w:r>
      <w:r>
        <w:rPr>
          <w:spacing w:val="43"/>
          <w:w w:val="95"/>
        </w:rPr>
      </w:r>
      <w:r>
        <w:rPr/>
        <w:t>机修理；仪器仪表、电子产品、计算机及外围设备、文化办公用品、家用电器的销售。</w:t>
      </w:r>
    </w:p>
    <w:p>
      <w:pPr>
        <w:spacing w:line="273" w:lineRule="auto" w:before="7"/>
        <w:ind w:left="532" w:right="5597" w:hanging="420"/>
        <w:jc w:val="left"/>
        <w:rPr>
          <w:rFonts w:ascii="宋体" w:hAnsi="宋体" w:cs="宋体" w:eastAsia="宋体" w:hint="default"/>
          <w:sz w:val="21"/>
          <w:szCs w:val="21"/>
        </w:rPr>
      </w:pPr>
      <w:r>
        <w:rPr>
          <w:rFonts w:ascii="宋体" w:hAnsi="宋体" w:cs="宋体" w:eastAsia="宋体" w:hint="default"/>
          <w:b/>
          <w:bCs/>
          <w:sz w:val="21"/>
          <w:szCs w:val="21"/>
        </w:rPr>
        <w:t>（三）公司业务性质和主要经营活动经营范围</w:t>
      </w:r>
      <w:r>
        <w:rPr>
          <w:rFonts w:ascii="宋体" w:hAnsi="宋体" w:cs="宋体" w:eastAsia="宋体" w:hint="default"/>
          <w:b/>
          <w:bCs/>
          <w:w w:val="99"/>
          <w:sz w:val="21"/>
          <w:szCs w:val="21"/>
        </w:rPr>
        <w:t> </w:t>
      </w:r>
      <w:r>
        <w:rPr>
          <w:rFonts w:ascii="宋体" w:hAnsi="宋体" w:cs="宋体" w:eastAsia="宋体" w:hint="default"/>
          <w:sz w:val="21"/>
          <w:szCs w:val="21"/>
        </w:rPr>
        <w:t>公司业务主要分为：</w:t>
      </w:r>
    </w:p>
    <w:p>
      <w:pPr>
        <w:pStyle w:val="BodyText"/>
        <w:spacing w:line="256" w:lineRule="auto"/>
        <w:ind w:right="186" w:firstLine="405"/>
        <w:jc w:val="left"/>
      </w:pPr>
      <w:r>
        <w:rPr>
          <w:rFonts w:ascii="Times New Roman" w:hAnsi="Times New Roman" w:cs="Times New Roman" w:eastAsia="Times New Roman" w:hint="default"/>
          <w:spacing w:val="2"/>
        </w:rPr>
        <w:t>1</w:t>
      </w:r>
      <w:r>
        <w:rPr>
          <w:spacing w:val="2"/>
        </w:rPr>
        <w:t>、系统集成：高速公路机电工程系统集成及其他信息系统集成项目，即为新建高速公路机电等各类</w:t>
      </w:r>
      <w:r>
        <w:rPr>
          <w:w w:val="99"/>
        </w:rPr>
        <w:t> </w:t>
      </w:r>
      <w:r>
        <w:rPr/>
        <w:t>信息系统项目提供工程建设、安装及相关软件的开发、安装服务。</w:t>
      </w:r>
    </w:p>
    <w:p>
      <w:pPr>
        <w:pStyle w:val="BodyText"/>
        <w:spacing w:line="240" w:lineRule="auto" w:before="22"/>
        <w:ind w:left="518" w:right="184"/>
        <w:jc w:val="left"/>
      </w:pPr>
      <w:r>
        <w:rPr>
          <w:rFonts w:ascii="Times New Roman" w:hAnsi="Times New Roman" w:cs="Times New Roman" w:eastAsia="Times New Roman" w:hint="default"/>
        </w:rPr>
        <w:t>2</w:t>
      </w:r>
      <w:r>
        <w:rPr/>
        <w:t>、技术服务：为各类系统集成项目提供后续的维护、改造及支持服务。</w:t>
      </w:r>
    </w:p>
    <w:p>
      <w:pPr>
        <w:pStyle w:val="BodyText"/>
        <w:spacing w:line="240" w:lineRule="auto" w:before="21"/>
        <w:ind w:left="518" w:right="184"/>
        <w:jc w:val="left"/>
      </w:pPr>
      <w:r>
        <w:rPr>
          <w:rFonts w:ascii="Times New Roman" w:hAnsi="Times New Roman" w:cs="Times New Roman" w:eastAsia="Times New Roman" w:hint="default"/>
        </w:rPr>
        <w:t>3</w:t>
      </w:r>
      <w:r>
        <w:rPr/>
        <w:t>、技术转让：公司自主或联合研发的系统软件转让项目。</w:t>
      </w:r>
    </w:p>
    <w:p>
      <w:pPr>
        <w:pStyle w:val="BodyText"/>
        <w:spacing w:line="264" w:lineRule="auto" w:before="21"/>
        <w:ind w:left="532" w:right="184" w:hanging="15"/>
        <w:jc w:val="left"/>
      </w:pPr>
      <w:r>
        <w:rPr>
          <w:rFonts w:ascii="Times New Roman" w:hAnsi="Times New Roman" w:cs="Times New Roman" w:eastAsia="Times New Roman" w:hint="default"/>
        </w:rPr>
        <w:t>4</w:t>
      </w:r>
      <w:r>
        <w:rPr/>
        <w:t>、商品销售：公司生产销售的光通讯教学仪器等。</w:t>
      </w:r>
      <w:r>
        <w:rPr>
          <w:w w:val="99"/>
        </w:rPr>
        <w:t> </w:t>
      </w:r>
      <w:r>
        <w:rPr>
          <w:w w:val="95"/>
        </w:rPr>
        <w:t>本公司属软件和信息技术服务行业，主要产品或服务为系统集成、技术服务、技术转让、商品销售。</w:t>
      </w:r>
      <w:r>
        <w:rPr>
          <w:spacing w:val="26"/>
          <w:w w:val="95"/>
        </w:rPr>
        <w:t> </w:t>
      </w:r>
      <w:r>
        <w:rPr>
          <w:spacing w:val="26"/>
          <w:w w:val="95"/>
        </w:rPr>
      </w:r>
      <w:r>
        <w:rPr/>
        <w:t>财务报告批准日为：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p>
    <w:p>
      <w:pPr>
        <w:spacing w:line="316" w:lineRule="auto" w:before="23"/>
        <w:ind w:left="112" w:right="184" w:firstLine="0"/>
        <w:jc w:val="left"/>
        <w:rPr>
          <w:rFonts w:ascii="宋体" w:hAnsi="宋体" w:cs="宋体" w:eastAsia="宋体" w:hint="default"/>
          <w:sz w:val="18"/>
          <w:szCs w:val="18"/>
        </w:rPr>
      </w:pPr>
      <w:r>
        <w:rPr>
          <w:rFonts w:ascii="宋体" w:hAnsi="宋体" w:cs="宋体" w:eastAsia="宋体" w:hint="default"/>
          <w:spacing w:val="-2"/>
          <w:sz w:val="18"/>
          <w:szCs w:val="18"/>
        </w:rPr>
        <w:t>本期全资子公司烟台华东电子软件技术有限公司新设一全资子公司烟台华东电子科技有限公司纳入合并，除此之外未发生其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他原因导致的合并范围变动。</w:t>
      </w:r>
    </w:p>
    <w:p>
      <w:pPr>
        <w:spacing w:line="240" w:lineRule="auto" w:before="9"/>
        <w:rPr>
          <w:rFonts w:ascii="宋体" w:hAnsi="宋体" w:cs="宋体" w:eastAsia="宋体" w:hint="default"/>
          <w:sz w:val="20"/>
          <w:szCs w:val="20"/>
        </w:rPr>
      </w:pPr>
    </w:p>
    <w:p>
      <w:pPr>
        <w:pStyle w:val="Heading3"/>
        <w:spacing w:line="240" w:lineRule="auto"/>
        <w:ind w:right="184"/>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90" w:firstLine="420"/>
        <w:jc w:val="both"/>
      </w:pPr>
      <w:r>
        <w:rPr>
          <w:w w:val="95"/>
        </w:rPr>
        <w:t>本公司以持续经营为基础，根据实际发生的交易和事项，按照财政部颁布的《企业会计准则</w:t>
      </w:r>
      <w:r>
        <w:rPr>
          <w:rFonts w:ascii="Times New Roman" w:hAnsi="Times New Roman" w:cs="Times New Roman" w:eastAsia="Times New Roman" w:hint="default"/>
          <w:w w:val="95"/>
        </w:rPr>
        <w:t>——</w:t>
      </w:r>
      <w:r>
        <w:rPr>
          <w:w w:val="95"/>
        </w:rPr>
        <w:t>基本</w:t>
      </w:r>
      <w:r>
        <w:rPr>
          <w:spacing w:val="-97"/>
          <w:w w:val="95"/>
        </w:rPr>
        <w:t> </w:t>
      </w:r>
      <w:r>
        <w:rPr>
          <w:spacing w:val="-97"/>
          <w:w w:val="95"/>
        </w:rPr>
      </w:r>
      <w:r>
        <w:rPr/>
        <w:t>准则》和具体企业会计准则、企业会计准则应用指南、企业会计准则解释及其他相关规定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w:t>
      </w:r>
      <w:r>
        <w:rPr>
          <w:spacing w:val="-96"/>
        </w:rPr>
        <w:t> </w:t>
      </w:r>
      <w:r>
        <w:rPr>
          <w:spacing w:val="-96"/>
        </w:rPr>
      </w:r>
      <w:r>
        <w:rPr/>
        <w:t>会计准则</w:t>
      </w:r>
      <w:r>
        <w:rPr>
          <w:rFonts w:ascii="Times New Roman" w:hAnsi="Times New Roman" w:cs="Times New Roman" w:eastAsia="Times New Roman" w:hint="default"/>
        </w:rPr>
        <w:t>”)</w:t>
      </w:r>
      <w:r>
        <w:rPr/>
        <w:t>进行确认和计量，在此基础上，结合中国证券监督管理委员会《公开发行证券的公司信息披露</w:t>
      </w:r>
      <w:r>
        <w:rPr>
          <w:spacing w:val="-94"/>
        </w:rPr>
        <w:t> </w:t>
      </w:r>
      <w:r>
        <w:rPr>
          <w:spacing w:val="-94"/>
        </w:rPr>
      </w:r>
      <w:r>
        <w:rPr/>
        <w:t>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spacing w:line="240" w:lineRule="auto" w:before="4"/>
        <w:rPr>
          <w:rFonts w:ascii="宋体" w:hAnsi="宋体" w:cs="宋体" w:eastAsia="宋体" w:hint="default"/>
          <w:sz w:val="23"/>
          <w:szCs w:val="23"/>
        </w:rPr>
      </w:pPr>
    </w:p>
    <w:p>
      <w:pPr>
        <w:pStyle w:val="Heading4"/>
        <w:spacing w:line="240" w:lineRule="auto"/>
        <w:ind w:right="18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184"/>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10"/>
        <w:rPr>
          <w:rFonts w:ascii="宋体" w:hAnsi="宋体" w:cs="宋体" w:eastAsia="宋体" w:hint="default"/>
          <w:sz w:val="22"/>
          <w:szCs w:val="22"/>
        </w:rPr>
      </w:pPr>
    </w:p>
    <w:p>
      <w:pPr>
        <w:pStyle w:val="Heading3"/>
        <w:spacing w:line="240" w:lineRule="auto"/>
        <w:ind w:right="184"/>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spacing w:before="0"/>
        <w:ind w:left="112" w:right="18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314" w:lineRule="auto" w:before="115"/>
        <w:ind w:left="112" w:right="94" w:firstLine="360"/>
        <w:jc w:val="left"/>
        <w:rPr>
          <w:rFonts w:ascii="宋体" w:hAnsi="宋体" w:cs="宋体" w:eastAsia="宋体" w:hint="default"/>
          <w:sz w:val="18"/>
          <w:szCs w:val="18"/>
        </w:rPr>
      </w:pPr>
      <w:r>
        <w:rPr>
          <w:rFonts w:ascii="宋体" w:hAnsi="宋体" w:cs="宋体" w:eastAsia="宋体" w:hint="default"/>
          <w:spacing w:val="-7"/>
          <w:sz w:val="18"/>
          <w:szCs w:val="18"/>
        </w:rPr>
        <w:t>（一）第三届董事会第十五次会议审议通过了《关于公司会计政策变更的的议案》。根据新修订的《长期股权投资准则》，</w:t>
      </w:r>
      <w:r>
        <w:rPr>
          <w:rFonts w:ascii="宋体" w:hAnsi="宋体" w:cs="宋体" w:eastAsia="宋体" w:hint="default"/>
          <w:sz w:val="18"/>
          <w:szCs w:val="18"/>
        </w:rPr>
        <w:t> </w:t>
      </w:r>
      <w:r>
        <w:rPr>
          <w:rFonts w:ascii="宋体" w:hAnsi="宋体" w:cs="宋体" w:eastAsia="宋体" w:hint="default"/>
          <w:spacing w:val="-2"/>
          <w:sz w:val="18"/>
          <w:szCs w:val="18"/>
        </w:rPr>
        <w:t>将原成本法核算的对被投资单位不具有控制、共同控制或重大影响的权益性投资纳入可供出售金融资产核算，其中：在活跃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市场中没有报价、公允价值不能可靠计量的权益工具按照成本进行后续计量，其他权益工具按公允价值进行后续计量；根据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修订后的《企业会计准则第</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财务报表列报》，根据列报要求将递延收益单独列报，并对年初数采用追溯调整法进行调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整列报。</w:t>
      </w:r>
    </w:p>
    <w:p>
      <w:pPr>
        <w:spacing w:line="316" w:lineRule="auto" w:before="20"/>
        <w:ind w:left="112" w:right="184" w:firstLine="360"/>
        <w:jc w:val="left"/>
        <w:rPr>
          <w:rFonts w:ascii="宋体" w:hAnsi="宋体" w:cs="宋体" w:eastAsia="宋体" w:hint="default"/>
          <w:sz w:val="18"/>
          <w:szCs w:val="18"/>
        </w:rPr>
      </w:pPr>
      <w:r>
        <w:rPr>
          <w:rFonts w:ascii="宋体" w:hAnsi="宋体" w:cs="宋体" w:eastAsia="宋体" w:hint="default"/>
          <w:spacing w:val="-2"/>
          <w:sz w:val="18"/>
          <w:szCs w:val="18"/>
        </w:rPr>
        <w:t>（二）第三届董事会第七次会议审议通过了《关于公司会计估计变更的议案》，对公司应收款项（包括应收账款和其他</w:t>
      </w:r>
      <w:r>
        <w:rPr>
          <w:rFonts w:ascii="宋体" w:hAnsi="宋体" w:cs="宋体" w:eastAsia="宋体" w:hint="default"/>
          <w:sz w:val="18"/>
          <w:szCs w:val="18"/>
        </w:rPr>
        <w:t> 应收款）按账龄分析法计提坏账准备的比例进行变更。</w:t>
      </w:r>
    </w:p>
    <w:p>
      <w:pPr>
        <w:spacing w:line="240" w:lineRule="auto" w:before="8"/>
        <w:rPr>
          <w:rFonts w:ascii="宋体" w:hAnsi="宋体" w:cs="宋体" w:eastAsia="宋体" w:hint="default"/>
          <w:sz w:val="22"/>
          <w:szCs w:val="22"/>
        </w:rPr>
      </w:pPr>
    </w:p>
    <w:p>
      <w:pPr>
        <w:spacing w:line="506" w:lineRule="auto" w:before="0"/>
        <w:ind w:left="532" w:right="18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本公司所编制的财务报表符合企业会计准则的要求，真实、完整地反映了报告期公司的财务状况、经</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746" w:footer="978" w:top="1040" w:bottom="1160" w:left="1020" w:right="940"/>
        </w:sectPr>
      </w:pPr>
    </w:p>
    <w:p>
      <w:pPr>
        <w:spacing w:line="240" w:lineRule="auto" w:before="6"/>
        <w:rPr>
          <w:rFonts w:ascii="宋体" w:hAnsi="宋体" w:cs="宋体" w:eastAsia="宋体" w:hint="default"/>
          <w:sz w:val="25"/>
          <w:szCs w:val="25"/>
        </w:rPr>
      </w:pPr>
    </w:p>
    <w:p>
      <w:pPr>
        <w:pStyle w:val="BodyText"/>
        <w:spacing w:line="240" w:lineRule="auto" w:before="34"/>
        <w:ind w:right="0"/>
        <w:jc w:val="both"/>
      </w:pPr>
      <w:r>
        <w:rPr/>
        <w:t>营成果、现金流量等有关信息。</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0"/>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日止为一个经营周期。</w:t>
      </w:r>
    </w:p>
    <w:p>
      <w:pPr>
        <w:spacing w:line="240" w:lineRule="auto" w:before="7"/>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0"/>
        <w:jc w:val="left"/>
      </w:pPr>
      <w:r>
        <w:rPr/>
        <w:t>采用人民币为记账本位币。</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）同一控制下的企业合并</w:t>
      </w:r>
      <w:r>
        <w:rPr>
          <w:b w:val="0"/>
          <w:bCs w:val="0"/>
        </w:rPr>
      </w:r>
    </w:p>
    <w:p>
      <w:pPr>
        <w:pStyle w:val="BodyText"/>
        <w:spacing w:line="256" w:lineRule="auto" w:before="21"/>
        <w:ind w:left="532" w:right="0"/>
        <w:jc w:val="left"/>
      </w:pPr>
      <w:r>
        <w:rPr>
          <w:rFonts w:ascii="Times New Roman" w:hAnsi="Times New Roman" w:cs="Times New Roman" w:eastAsia="Times New Roman" w:hint="default"/>
        </w:rPr>
        <w:t>1</w:t>
      </w:r>
      <w:r>
        <w:rPr/>
        <w:t>）个别财务报表</w:t>
      </w:r>
      <w:r>
        <w:rPr>
          <w:w w:val="99"/>
        </w:rPr>
        <w:t> </w:t>
      </w:r>
      <w:r>
        <w:rPr>
          <w:w w:val="95"/>
        </w:rPr>
        <w:t>公司以支付现金、转让非现金资产、承担债务方式或以发行权益性证券作为合并对价的，在合并日按</w:t>
      </w:r>
      <w:r>
        <w:rPr/>
      </w:r>
    </w:p>
    <w:p>
      <w:pPr>
        <w:pStyle w:val="BodyText"/>
        <w:spacing w:line="273" w:lineRule="auto" w:before="22"/>
        <w:ind w:right="130"/>
        <w:jc w:val="both"/>
      </w:pPr>
      <w:r>
        <w:rPr>
          <w:spacing w:val="4"/>
        </w:rPr>
        <w:t>照被合并方所有者权益在最终控制方合并财务报表中的账面价值的份额作为长期股权投资的初始投资成</w:t>
      </w:r>
      <w:r>
        <w:rPr>
          <w:w w:val="99"/>
        </w:rPr>
        <w:t> </w:t>
      </w:r>
      <w:r>
        <w:rPr>
          <w:w w:val="95"/>
        </w:rPr>
        <w:t>本。长期股权投资初始投资成本与支付合并对价之间的差额，调整资本公积；资本公积不足冲减的，调整</w:t>
      </w:r>
      <w:r>
        <w:rPr>
          <w:spacing w:val="45"/>
          <w:w w:val="95"/>
        </w:rPr>
        <w:t> </w:t>
      </w:r>
      <w:r>
        <w:rPr>
          <w:spacing w:val="45"/>
          <w:w w:val="95"/>
        </w:rPr>
      </w:r>
      <w:r>
        <w:rPr>
          <w:w w:val="95"/>
        </w:rPr>
        <w:t>留存收益。如果存在或有对价并需要确认预计负债或资产，该预计负债或资产金额与后续或有对价结算金</w:t>
      </w:r>
      <w:r>
        <w:rPr>
          <w:spacing w:val="37"/>
          <w:w w:val="95"/>
        </w:rPr>
        <w:t> </w:t>
      </w:r>
      <w:r>
        <w:rPr>
          <w:spacing w:val="37"/>
          <w:w w:val="95"/>
        </w:rPr>
      </w:r>
      <w:r>
        <w:rPr/>
        <w:t>额的差额，调整资本公积（资本溢价或股本溢价），资本公积不足的，调整留存收益。</w:t>
      </w:r>
    </w:p>
    <w:p>
      <w:pPr>
        <w:pStyle w:val="BodyText"/>
        <w:spacing w:line="273" w:lineRule="auto"/>
        <w:ind w:right="112" w:firstLine="420"/>
        <w:jc w:val="both"/>
      </w:pPr>
      <w:r>
        <w:rPr>
          <w:w w:val="95"/>
        </w:rPr>
        <w:t>对于通过多次交易最终实现企业合并的，属于一揽子交易的，将各项交易作为一项取得控制权的交易</w:t>
      </w:r>
      <w:r>
        <w:rPr>
          <w:w w:val="99"/>
        </w:rPr>
        <w:t> </w:t>
      </w:r>
      <w:r>
        <w:rPr>
          <w:w w:val="95"/>
        </w:rPr>
        <w:t>进行会计处理；不属于一揽子交易的，在取得控制权日，长期股权投资初始投资成本，与达到合并前的长</w:t>
      </w:r>
      <w:r>
        <w:rPr>
          <w:spacing w:val="45"/>
          <w:w w:val="95"/>
        </w:rPr>
        <w:t> </w:t>
      </w:r>
      <w:r>
        <w:rPr>
          <w:spacing w:val="45"/>
          <w:w w:val="95"/>
        </w:rPr>
      </w:r>
      <w:r>
        <w:rPr>
          <w:w w:val="95"/>
        </w:rPr>
        <w:t>期股权投资账面价值加上合并日进一步取得股份新支付对价的账面价值之和的差额，调整资本公积；资本</w:t>
      </w:r>
      <w:r>
        <w:rPr>
          <w:spacing w:val="37"/>
          <w:w w:val="95"/>
        </w:rPr>
        <w:t> </w:t>
      </w:r>
      <w:r>
        <w:rPr>
          <w:spacing w:val="37"/>
          <w:w w:val="95"/>
        </w:rPr>
      </w:r>
      <w:r>
        <w:rPr>
          <w:w w:val="95"/>
        </w:rPr>
        <w:t>公积不足冲减的，调整留存收益。对于合并日之前持有的股权投资，因采用权益法核算或金融工具确认和</w:t>
      </w:r>
      <w:r>
        <w:rPr>
          <w:spacing w:val="43"/>
          <w:w w:val="95"/>
        </w:rPr>
        <w:t> </w:t>
      </w:r>
      <w:r>
        <w:rPr>
          <w:spacing w:val="43"/>
          <w:w w:val="95"/>
        </w:rPr>
      </w:r>
      <w:r>
        <w:rPr>
          <w:w w:val="95"/>
        </w:rPr>
        <w:t>计量准则核算而确认的其他综合收益，暂不进行会计处理，直至处置该项投资时采用与被投资单位直接处</w:t>
      </w:r>
      <w:r>
        <w:rPr>
          <w:spacing w:val="37"/>
          <w:w w:val="95"/>
        </w:rPr>
        <w:t> </w:t>
      </w:r>
      <w:r>
        <w:rPr>
          <w:spacing w:val="37"/>
          <w:w w:val="95"/>
        </w:rPr>
      </w:r>
      <w:r>
        <w:rPr>
          <w:w w:val="95"/>
        </w:rPr>
        <w:t>置相关资产或负债相同的基础进行会计处理；因采用权益法核算而确认的被投资单位净资产中除净损益、</w:t>
      </w:r>
      <w:r>
        <w:rPr>
          <w:spacing w:val="61"/>
          <w:w w:val="95"/>
        </w:rPr>
        <w:t> </w:t>
      </w:r>
      <w:r>
        <w:rPr>
          <w:spacing w:val="61"/>
          <w:w w:val="95"/>
        </w:rPr>
      </w:r>
      <w:r>
        <w:rPr>
          <w:w w:val="95"/>
        </w:rPr>
        <w:t>其他综合收益和利润分配以外的所有者权益其他变动，暂不进行会计处理，直至处置该项投资时转入当期  </w:t>
      </w:r>
      <w:r>
        <w:rPr>
          <w:spacing w:val="40"/>
          <w:w w:val="95"/>
        </w:rPr>
        <w:t> </w:t>
      </w:r>
      <w:r>
        <w:rPr>
          <w:spacing w:val="40"/>
          <w:w w:val="95"/>
        </w:rPr>
      </w:r>
      <w:r>
        <w:rPr/>
        <w:t>损益。</w:t>
      </w:r>
    </w:p>
    <w:p>
      <w:pPr>
        <w:pStyle w:val="BodyText"/>
        <w:spacing w:line="273" w:lineRule="auto"/>
        <w:ind w:right="130" w:firstLine="420"/>
        <w:jc w:val="both"/>
      </w:pPr>
      <w:r>
        <w:rPr>
          <w:w w:val="95"/>
        </w:rPr>
        <w:t>合并发生的各项直接相关费用，包括为进行合并而支付的审计费用、评估费用、法律服务费用等，于</w:t>
      </w:r>
      <w:r>
        <w:rPr>
          <w:spacing w:val="-97"/>
          <w:w w:val="95"/>
        </w:rPr>
        <w:t> </w:t>
      </w:r>
      <w:r>
        <w:rPr>
          <w:spacing w:val="-97"/>
          <w:w w:val="95"/>
        </w:rPr>
      </w:r>
      <w:r>
        <w:rPr>
          <w:w w:val="95"/>
        </w:rPr>
        <w:t>发生时计入当期损益；与发行权益性工具作为合并对价直接相关的交易费用，冲减资本公积，资本公积不</w:t>
      </w:r>
      <w:r>
        <w:rPr>
          <w:spacing w:val="40"/>
          <w:w w:val="95"/>
        </w:rPr>
        <w:t> </w:t>
      </w:r>
      <w:r>
        <w:rPr>
          <w:spacing w:val="40"/>
          <w:w w:val="95"/>
        </w:rPr>
      </w:r>
      <w:r>
        <w:rPr>
          <w:w w:val="95"/>
        </w:rPr>
        <w:t>足冲减的，依次冲减盈余公积和未分配利润；与发行债务性工具作为合并对价直接相关的交易费用，作为</w:t>
      </w:r>
      <w:r>
        <w:rPr>
          <w:spacing w:val="43"/>
          <w:w w:val="95"/>
        </w:rPr>
        <w:t> </w:t>
      </w:r>
      <w:r>
        <w:rPr>
          <w:spacing w:val="43"/>
          <w:w w:val="95"/>
        </w:rPr>
      </w:r>
      <w:r>
        <w:rPr/>
        <w:t>计入债务性工具的初始确认金额。</w:t>
      </w:r>
    </w:p>
    <w:p>
      <w:pPr>
        <w:pStyle w:val="BodyText"/>
        <w:spacing w:line="273" w:lineRule="auto"/>
        <w:ind w:right="132" w:firstLine="420"/>
        <w:jc w:val="both"/>
      </w:pPr>
      <w:r>
        <w:rPr>
          <w:w w:val="95"/>
        </w:rPr>
        <w:t>被合并方存在合并财务报表，则以合并日被合并方合并财务报表中归属于母公司的所有者权益为基础</w:t>
      </w:r>
      <w:r>
        <w:rPr>
          <w:w w:val="99"/>
        </w:rPr>
        <w:t> </w:t>
      </w:r>
      <w:r>
        <w:rPr/>
        <w:t>确定长期股权投资的初始投资成本。</w:t>
      </w:r>
    </w:p>
    <w:p>
      <w:pPr>
        <w:pStyle w:val="BodyText"/>
        <w:spacing w:line="256" w:lineRule="auto"/>
        <w:ind w:left="532" w:right="0"/>
        <w:jc w:val="left"/>
      </w:pPr>
      <w:r>
        <w:rPr>
          <w:rFonts w:ascii="Times New Roman" w:hAnsi="Times New Roman" w:cs="Times New Roman" w:eastAsia="Times New Roman" w:hint="default"/>
        </w:rPr>
        <w:t>2</w:t>
      </w:r>
      <w:r>
        <w:rPr/>
        <w:t>）合并财务报表</w:t>
      </w:r>
      <w:r>
        <w:rPr>
          <w:w w:val="99"/>
        </w:rPr>
        <w:t> </w:t>
      </w:r>
      <w:r>
        <w:rPr>
          <w:w w:val="95"/>
        </w:rPr>
        <w:t>合并方在企业合并中取得的资产和负债，按照合并日在被合并方所有者权益在最终控制方合并财务报</w:t>
      </w:r>
      <w:r>
        <w:rPr/>
      </w:r>
    </w:p>
    <w:p>
      <w:pPr>
        <w:pStyle w:val="BodyText"/>
        <w:spacing w:line="273" w:lineRule="auto" w:before="22"/>
        <w:ind w:left="532" w:right="0" w:hanging="420"/>
        <w:jc w:val="left"/>
      </w:pPr>
      <w:r>
        <w:rPr/>
        <w:t>表中的账面价值计量。</w:t>
      </w:r>
      <w:r>
        <w:rPr>
          <w:w w:val="99"/>
        </w:rPr>
        <w:t> </w:t>
      </w:r>
      <w:r>
        <w:rPr>
          <w:w w:val="95"/>
        </w:rPr>
        <w:t>对于通过多次交易最终实现企业合并的，属于一揽子交易的，将各项交易作为一项取得控制权的交易</w:t>
      </w:r>
      <w:r>
        <w:rPr/>
      </w:r>
    </w:p>
    <w:p>
      <w:pPr>
        <w:pStyle w:val="BodyText"/>
        <w:spacing w:line="273" w:lineRule="auto"/>
        <w:ind w:right="132"/>
        <w:jc w:val="both"/>
      </w:pPr>
      <w:r>
        <w:rPr>
          <w:w w:val="95"/>
        </w:rPr>
        <w:t>进行会计处理；不属于一揽子交易的，合并方在达到合并之前持有的长期股权投资，在取得日与合并方与</w:t>
      </w:r>
      <w:r>
        <w:rPr>
          <w:spacing w:val="40"/>
          <w:w w:val="95"/>
        </w:rPr>
        <w:t> </w:t>
      </w:r>
      <w:r>
        <w:rPr>
          <w:spacing w:val="40"/>
          <w:w w:val="95"/>
        </w:rPr>
      </w:r>
      <w:r>
        <w:rPr>
          <w:w w:val="95"/>
        </w:rPr>
        <w:t>被合并方同处于同一方最终控制之日孰晚日与合并日之间已确认有关损益、其他综合收益和其他所有者权</w:t>
      </w:r>
      <w:r>
        <w:rPr>
          <w:spacing w:val="39"/>
          <w:w w:val="95"/>
        </w:rPr>
        <w:t> </w:t>
      </w:r>
      <w:r>
        <w:rPr>
          <w:spacing w:val="39"/>
          <w:w w:val="95"/>
        </w:rPr>
      </w:r>
      <w:r>
        <w:rPr/>
        <w:t>益变动，分别冲减比较报表期间的期初留存收益或当期损益。</w:t>
      </w:r>
    </w:p>
    <w:p>
      <w:pPr>
        <w:pStyle w:val="BodyText"/>
        <w:spacing w:line="240" w:lineRule="auto"/>
        <w:ind w:left="532" w:right="0"/>
        <w:jc w:val="left"/>
      </w:pPr>
      <w:r>
        <w:rPr/>
        <w:t>被合并各方采用的会计政策与本公司不一致的，本公司在合并日按照本公司会计政策进行调整，在此</w:t>
      </w:r>
    </w:p>
    <w:p>
      <w:pPr>
        <w:spacing w:after="0" w:line="240" w:lineRule="auto"/>
        <w:jc w:val="left"/>
        <w:sectPr>
          <w:footerReference w:type="default" r:id="rId25"/>
          <w:pgSz w:w="11910" w:h="16840"/>
          <w:pgMar w:footer="978" w:header="746" w:top="1040" w:bottom="1160" w:left="1020" w:right="1000"/>
          <w:pgNumType w:start="80"/>
        </w:sectPr>
      </w:pPr>
    </w:p>
    <w:p>
      <w:pPr>
        <w:spacing w:line="240" w:lineRule="auto" w:before="6"/>
        <w:rPr>
          <w:rFonts w:ascii="宋体" w:hAnsi="宋体" w:cs="宋体" w:eastAsia="宋体" w:hint="default"/>
          <w:sz w:val="25"/>
          <w:szCs w:val="25"/>
        </w:rPr>
      </w:pPr>
    </w:p>
    <w:p>
      <w:pPr>
        <w:pStyle w:val="BodyText"/>
        <w:spacing w:line="240" w:lineRule="auto" w:before="34"/>
        <w:ind w:right="202"/>
        <w:jc w:val="left"/>
      </w:pPr>
      <w:r>
        <w:rPr/>
        <w:t>基础上按照企业会计准则规定确认。</w:t>
      </w:r>
    </w:p>
    <w:p>
      <w:pPr>
        <w:spacing w:line="256" w:lineRule="auto" w:before="37"/>
        <w:ind w:left="532" w:right="21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4"/>
          <w:sz w:val="21"/>
          <w:szCs w:val="21"/>
        </w:rPr>
        <w:t>对于非同一控制下的企业合并，合并成本为本公司在购买日为取得对被购买方的控制权而付出的资</w:t>
      </w:r>
    </w:p>
    <w:p>
      <w:pPr>
        <w:pStyle w:val="BodyText"/>
        <w:spacing w:line="273" w:lineRule="auto" w:before="22"/>
        <w:ind w:right="215"/>
        <w:jc w:val="both"/>
      </w:pPr>
      <w:r>
        <w:rPr>
          <w:w w:val="95"/>
        </w:rPr>
        <w:t>产、发生或承担的负债以及发行的权益性工具或债务性工具的公允价值。在合并合同中对可能影响合并成</w:t>
      </w:r>
      <w:r>
        <w:rPr>
          <w:spacing w:val="38"/>
          <w:w w:val="95"/>
        </w:rPr>
        <w:t> </w:t>
      </w:r>
      <w:r>
        <w:rPr>
          <w:spacing w:val="38"/>
          <w:w w:val="95"/>
        </w:rPr>
      </w:r>
      <w:r>
        <w:rPr>
          <w:w w:val="95"/>
        </w:rPr>
        <w:t>本的未来事项作出约定的，购买日如果估计未来事项很可能发生并且对合并成本的影响金额能够可靠计量</w:t>
      </w:r>
      <w:r>
        <w:rPr>
          <w:spacing w:val="37"/>
          <w:w w:val="95"/>
        </w:rPr>
        <w:t> </w:t>
      </w:r>
      <w:r>
        <w:rPr>
          <w:spacing w:val="37"/>
          <w:w w:val="95"/>
        </w:rPr>
      </w:r>
      <w:r>
        <w:rPr/>
        <w:t>的，也计入合并成本。</w:t>
      </w:r>
    </w:p>
    <w:p>
      <w:pPr>
        <w:pStyle w:val="BodyText"/>
        <w:spacing w:line="273" w:lineRule="auto"/>
        <w:ind w:right="212" w:firstLine="420"/>
        <w:jc w:val="both"/>
      </w:pPr>
      <w:r>
        <w:rPr>
          <w:w w:val="95"/>
        </w:rPr>
        <w:t>本公司为进行企业合并发生的审计、法律服务、评估咨询等中介费用以及其他相关管理费用，于发生</w:t>
      </w:r>
      <w:r>
        <w:rPr>
          <w:w w:val="99"/>
        </w:rPr>
        <w:t> </w:t>
      </w:r>
      <w:r>
        <w:rPr>
          <w:w w:val="95"/>
        </w:rPr>
        <w:t>时计入当期损益；本公司作为合并对价发行的权益性工具或债务性工具的交易费用，计入权益性工具或债</w:t>
      </w:r>
      <w:r>
        <w:rPr>
          <w:spacing w:val="40"/>
          <w:w w:val="95"/>
        </w:rPr>
        <w:t> </w:t>
      </w:r>
      <w:r>
        <w:rPr>
          <w:spacing w:val="40"/>
          <w:w w:val="95"/>
        </w:rPr>
      </w:r>
      <w:r>
        <w:rPr/>
        <w:t>务性工具的初始确认金额。</w:t>
      </w:r>
    </w:p>
    <w:p>
      <w:pPr>
        <w:pStyle w:val="BodyText"/>
        <w:spacing w:line="273" w:lineRule="auto"/>
        <w:ind w:right="215" w:firstLine="420"/>
        <w:jc w:val="both"/>
      </w:pPr>
      <w:r>
        <w:rPr>
          <w:w w:val="95"/>
        </w:rPr>
        <w:t>本公司对合并成本大于合并中取得的被购买方可辨认净资产公允价值份额的差额，确认为商誉。本公</w:t>
      </w:r>
      <w:r>
        <w:rPr>
          <w:w w:val="99"/>
        </w:rPr>
        <w:t> </w:t>
      </w:r>
      <w:r>
        <w:rPr>
          <w:w w:val="95"/>
        </w:rPr>
        <w:t>司对合并成本小于合并中取得的被购买方可辨认净资产公允价值份额的，经复核后合并成本仍小于合并中</w:t>
      </w:r>
      <w:r>
        <w:rPr>
          <w:spacing w:val="37"/>
          <w:w w:val="95"/>
        </w:rPr>
        <w:t> </w:t>
      </w:r>
      <w:r>
        <w:rPr>
          <w:spacing w:val="37"/>
          <w:w w:val="95"/>
        </w:rPr>
      </w:r>
      <w:r>
        <w:rPr/>
        <w:t>取得的被购买方可辨认净资产公允价值份额的差额，计入当期损益。</w:t>
      </w:r>
    </w:p>
    <w:p>
      <w:pPr>
        <w:pStyle w:val="BodyText"/>
        <w:spacing w:line="273" w:lineRule="auto"/>
        <w:ind w:right="105" w:firstLine="420"/>
        <w:jc w:val="left"/>
      </w:pPr>
      <w:r>
        <w:rPr/>
        <w:t>通过多次交换交易分步实现的非同一控制下企业合并，属于一揽子交易的，将各项交易作为一项取得</w:t>
      </w:r>
      <w:r>
        <w:rPr>
          <w:w w:val="99"/>
        </w:rPr>
        <w:t> </w:t>
      </w:r>
      <w:r>
        <w:rPr>
          <w:spacing w:val="-3"/>
        </w:rPr>
        <w:t>控制权的交易进行会计处理；不属于一揽子交易的，区分个别财务报表和合并财务报表进行相关会计处理：</w:t>
      </w:r>
    </w:p>
    <w:p>
      <w:pPr>
        <w:pStyle w:val="BodyText"/>
        <w:spacing w:line="256" w:lineRule="auto"/>
        <w:ind w:right="213" w:firstLine="420"/>
        <w:jc w:val="both"/>
      </w:pPr>
      <w:r>
        <w:rPr>
          <w:rFonts w:ascii="Times New Roman" w:hAnsi="Times New Roman" w:cs="Times New Roman" w:eastAsia="Times New Roman" w:hint="default"/>
          <w:spacing w:val="2"/>
          <w:w w:val="95"/>
        </w:rPr>
        <w:t>1</w:t>
      </w:r>
      <w:r>
        <w:rPr>
          <w:spacing w:val="2"/>
          <w:w w:val="95"/>
        </w:rPr>
        <w:t>）在个别财务报表中，合并日之前持有的股权投资采用权益法核算的，以购买日之前所持被购买方</w:t>
      </w:r>
      <w:r>
        <w:rPr>
          <w:spacing w:val="-82"/>
          <w:w w:val="95"/>
        </w:rPr>
        <w:t> </w:t>
      </w:r>
      <w:r>
        <w:rPr>
          <w:spacing w:val="-82"/>
          <w:w w:val="95"/>
        </w:rPr>
      </w:r>
      <w:r>
        <w:rPr/>
        <w:t>的股权投资的账面价值与购买日新增投资成本之和，作为该项投资的初始投资成本；</w:t>
      </w:r>
    </w:p>
    <w:p>
      <w:pPr>
        <w:pStyle w:val="BodyText"/>
        <w:spacing w:line="273" w:lineRule="auto" w:before="22"/>
        <w:ind w:right="212" w:firstLine="420"/>
        <w:jc w:val="both"/>
      </w:pPr>
      <w:r>
        <w:rPr>
          <w:w w:val="95"/>
        </w:rPr>
        <w:t>合并日之前持有的股权投资采用金融工具确认和计量准则核算的，以该股权投资在合并日的公允价值</w:t>
      </w:r>
      <w:r>
        <w:rPr>
          <w:w w:val="99"/>
        </w:rPr>
        <w:t> </w:t>
      </w:r>
      <w:r>
        <w:rPr>
          <w:w w:val="95"/>
        </w:rPr>
        <w:t>加上新增投资成本之和，作为合并日的初始投资成本。原持有股权的公允价值与账面价值之间的差额以及</w:t>
      </w:r>
      <w:r>
        <w:rPr>
          <w:spacing w:val="37"/>
          <w:w w:val="95"/>
        </w:rPr>
        <w:t> </w:t>
      </w:r>
      <w:r>
        <w:rPr>
          <w:spacing w:val="37"/>
          <w:w w:val="95"/>
        </w:rPr>
      </w:r>
      <w:r>
        <w:rPr/>
        <w:t>原计入其他综合收益的累计公允价值变动应全部转入合并日当期的投资收益。</w:t>
      </w:r>
    </w:p>
    <w:p>
      <w:pPr>
        <w:pStyle w:val="BodyText"/>
        <w:spacing w:line="264" w:lineRule="auto"/>
        <w:ind w:right="213" w:firstLine="420"/>
        <w:jc w:val="both"/>
      </w:pPr>
      <w:r>
        <w:rPr>
          <w:rFonts w:ascii="Times New Roman" w:hAnsi="Times New Roman" w:cs="Times New Roman" w:eastAsia="Times New Roman" w:hint="default"/>
          <w:spacing w:val="2"/>
          <w:w w:val="95"/>
        </w:rPr>
        <w:t>2</w:t>
      </w:r>
      <w:r>
        <w:rPr>
          <w:spacing w:val="2"/>
          <w:w w:val="95"/>
        </w:rPr>
        <w:t>）在合并财务报表中，对于购买日之前持有的被购买方的股权，按照该股权在购买日的公允价值进</w:t>
      </w:r>
      <w:r>
        <w:rPr>
          <w:spacing w:val="-82"/>
          <w:w w:val="95"/>
        </w:rPr>
        <w:t> </w:t>
      </w:r>
      <w:r>
        <w:rPr>
          <w:spacing w:val="-82"/>
          <w:w w:val="95"/>
        </w:rPr>
      </w:r>
      <w:r>
        <w:rPr>
          <w:w w:val="95"/>
        </w:rPr>
        <w:t>行重新计量，公允价值与其账面价值的差额计入当期投资收益；购买日之前持有的被购买方的股权涉及权</w:t>
      </w:r>
      <w:r>
        <w:rPr>
          <w:spacing w:val="37"/>
          <w:w w:val="95"/>
        </w:rPr>
        <w:t> </w:t>
      </w:r>
      <w:r>
        <w:rPr>
          <w:spacing w:val="37"/>
          <w:w w:val="95"/>
        </w:rPr>
      </w:r>
      <w:r>
        <w:rPr/>
        <w:t>益法核算下的其他综合收益等的，与其相关的其他综合收益等转为购买日所属当期投资收益。</w:t>
      </w:r>
    </w:p>
    <w:p>
      <w:pPr>
        <w:spacing w:line="590" w:lineRule="atLeast" w:before="17"/>
        <w:ind w:left="532" w:right="20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本公司合并财务报表的合并范围以控制为基础确定，所有子公司（包括母公司所控制的单独主体）均</w:t>
      </w:r>
      <w:r>
        <w:rPr>
          <w:rFonts w:ascii="宋体" w:hAnsi="宋体" w:cs="宋体" w:eastAsia="宋体" w:hint="default"/>
          <w:sz w:val="21"/>
          <w:szCs w:val="21"/>
        </w:rPr>
      </w:r>
    </w:p>
    <w:p>
      <w:pPr>
        <w:pStyle w:val="BodyText"/>
        <w:spacing w:line="273" w:lineRule="auto" w:before="37"/>
        <w:ind w:left="532" w:right="202" w:hanging="420"/>
        <w:jc w:val="left"/>
      </w:pPr>
      <w:r>
        <w:rPr/>
        <w:t>纳入合并财务报表。</w:t>
      </w:r>
      <w:r>
        <w:rPr>
          <w:w w:val="99"/>
        </w:rPr>
        <w:t> </w:t>
      </w:r>
      <w:r>
        <w:rPr>
          <w:w w:val="95"/>
        </w:rPr>
        <w:t>所有纳入合并财务报表合并范围的子公司所采用的会计政策、会计期间与本公司一致，如子公司采用</w:t>
      </w:r>
      <w:r>
        <w:rPr/>
      </w:r>
    </w:p>
    <w:p>
      <w:pPr>
        <w:pStyle w:val="BodyText"/>
        <w:spacing w:line="273" w:lineRule="auto"/>
        <w:ind w:right="210"/>
        <w:jc w:val="both"/>
      </w:pPr>
      <w:r>
        <w:rPr>
          <w:w w:val="95"/>
        </w:rPr>
        <w:t>的会计政策、会计期间与本公司不一致的，在编制合并财务报表时，按本公司的会计政策、会计期间进行</w:t>
      </w:r>
      <w:r>
        <w:rPr>
          <w:spacing w:val="45"/>
          <w:w w:val="95"/>
        </w:rPr>
        <w:t> </w:t>
      </w:r>
      <w:r>
        <w:rPr>
          <w:spacing w:val="45"/>
          <w:w w:val="95"/>
        </w:rPr>
      </w:r>
      <w:r>
        <w:rPr/>
        <w:t>必要的调整。</w:t>
      </w:r>
    </w:p>
    <w:p>
      <w:pPr>
        <w:pStyle w:val="BodyText"/>
        <w:spacing w:line="273" w:lineRule="auto"/>
        <w:ind w:left="532" w:right="202"/>
        <w:jc w:val="left"/>
      </w:pPr>
      <w:r>
        <w:rPr/>
        <w:t>合并财务报表以本公司及子公司的财务报表为基础，根据其他有关资料由本公司编制。</w:t>
      </w:r>
      <w:r>
        <w:rPr>
          <w:w w:val="99"/>
        </w:rPr>
        <w:t> </w:t>
      </w:r>
      <w:r>
        <w:rPr>
          <w:w w:val="95"/>
        </w:rPr>
        <w:t>合并财务报表时抵销本公司与各子公司、各子公司相互之间发生的内部交易对合并资产负债表、合并</w:t>
      </w:r>
      <w:r>
        <w:rPr/>
      </w:r>
    </w:p>
    <w:p>
      <w:pPr>
        <w:pStyle w:val="BodyText"/>
        <w:spacing w:line="273" w:lineRule="auto"/>
        <w:ind w:left="532" w:right="202" w:hanging="420"/>
        <w:jc w:val="left"/>
      </w:pPr>
      <w:r>
        <w:rPr/>
        <w:t>利润表、合并现金流量表、合并股东权益变动表的影响。</w:t>
      </w:r>
      <w:r>
        <w:rPr>
          <w:w w:val="99"/>
        </w:rPr>
        <w:t> </w:t>
      </w:r>
      <w:r>
        <w:rPr>
          <w:w w:val="95"/>
        </w:rPr>
        <w:t>子公司少数股东分担的当期亏损超过了少数股东在该子公司期初所有者权益中所享有的份额的，其余</w:t>
      </w:r>
      <w:r>
        <w:rPr/>
      </w:r>
    </w:p>
    <w:p>
      <w:pPr>
        <w:pStyle w:val="BodyText"/>
        <w:spacing w:line="273" w:lineRule="auto"/>
        <w:ind w:left="532" w:right="202" w:hanging="420"/>
        <w:jc w:val="left"/>
      </w:pPr>
      <w:r>
        <w:rPr/>
        <w:t>额仍应当冲减少数股东权益。</w:t>
      </w:r>
      <w:r>
        <w:rPr>
          <w:w w:val="99"/>
        </w:rPr>
        <w:t> </w:t>
      </w:r>
      <w:r>
        <w:rPr>
          <w:w w:val="95"/>
        </w:rPr>
        <w:t>在报告期内，若因同一控制下企业合并增加子公司以及业务的，则调整合并资产负债表的期初数；将</w:t>
      </w:r>
      <w:r>
        <w:rPr/>
      </w:r>
    </w:p>
    <w:p>
      <w:pPr>
        <w:pStyle w:val="BodyText"/>
        <w:spacing w:line="273" w:lineRule="auto"/>
        <w:ind w:right="212"/>
        <w:jc w:val="both"/>
      </w:pPr>
      <w:r>
        <w:rPr>
          <w:w w:val="95"/>
        </w:rPr>
        <w:t>子公司以及业务合并当期期初至报告期末的收入、费用、利润纳入合并利润表；将子公司以及业务合并当</w:t>
      </w:r>
      <w:r>
        <w:rPr>
          <w:spacing w:val="40"/>
          <w:w w:val="95"/>
        </w:rPr>
        <w:t> </w:t>
      </w:r>
      <w:r>
        <w:rPr>
          <w:spacing w:val="40"/>
          <w:w w:val="95"/>
        </w:rPr>
      </w:r>
      <w:r>
        <w:rPr/>
        <w:t>期期初至报告期末的现金流量纳入合并现金流量表。</w:t>
      </w:r>
    </w:p>
    <w:p>
      <w:pPr>
        <w:pStyle w:val="BodyText"/>
        <w:spacing w:line="273" w:lineRule="auto"/>
        <w:ind w:right="192" w:firstLine="420"/>
        <w:jc w:val="both"/>
      </w:pPr>
      <w:r>
        <w:rPr>
          <w:w w:val="95"/>
        </w:rPr>
        <w:t>在报告期内，若因非同一控制下企业合并增加子公司以及业务的，则不调整合并资产负债表期初数；</w:t>
      </w:r>
      <w:r>
        <w:rPr>
          <w:spacing w:val="-79"/>
          <w:w w:val="95"/>
        </w:rPr>
        <w:t> </w:t>
      </w:r>
      <w:r>
        <w:rPr>
          <w:spacing w:val="-79"/>
          <w:w w:val="95"/>
        </w:rPr>
      </w:r>
      <w:r>
        <w:rPr>
          <w:w w:val="95"/>
        </w:rPr>
        <w:t>将子公司以及业务自购买日至报告期末的收入、费用、利润纳入合并利润表；该子公司以及业务自购买日</w:t>
      </w:r>
      <w:r>
        <w:rPr>
          <w:spacing w:val="43"/>
          <w:w w:val="95"/>
        </w:rPr>
        <w:t> </w:t>
      </w:r>
      <w:r>
        <w:rPr>
          <w:spacing w:val="43"/>
          <w:w w:val="95"/>
        </w:rPr>
      </w:r>
      <w:r>
        <w:rPr/>
        <w:t>至报告期末的现金流量纳入合并现金流量表。</w:t>
      </w:r>
    </w:p>
    <w:p>
      <w:pPr>
        <w:pStyle w:val="BodyText"/>
        <w:spacing w:line="273" w:lineRule="auto"/>
        <w:ind w:right="212" w:firstLine="420"/>
        <w:jc w:val="both"/>
      </w:pPr>
      <w:r>
        <w:rPr>
          <w:w w:val="95"/>
        </w:rPr>
        <w:t>在报告期内，本公司处置子公司以及业务，则该子公司以及业务期初至处置日的收入、费用、利润纳</w:t>
      </w:r>
      <w:r>
        <w:rPr>
          <w:w w:val="99"/>
        </w:rPr>
        <w:t> </w:t>
      </w:r>
      <w:r>
        <w:rPr/>
        <w:t>入合并利润表；该子公司以及业务期初至处置日的现金流量纳入合并现金流量表。</w:t>
      </w:r>
    </w:p>
    <w:p>
      <w:pPr>
        <w:pStyle w:val="BodyText"/>
        <w:spacing w:line="240" w:lineRule="auto"/>
        <w:ind w:left="532" w:right="108"/>
        <w:jc w:val="left"/>
      </w:pPr>
      <w:r>
        <w:rPr/>
        <w:t>本公司因处置部分股权投资或其他原因丧失了对原有子公司控制权的，在合并财务报表中，对于剩余</w:t>
      </w:r>
    </w:p>
    <w:p>
      <w:pPr>
        <w:spacing w:after="0" w:line="240"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73" w:lineRule="auto" w:before="34"/>
        <w:ind w:right="172"/>
        <w:jc w:val="both"/>
      </w:pPr>
      <w:r>
        <w:rPr>
          <w:w w:val="95"/>
        </w:rPr>
        <w:t>股权，按照其在丧失控制权日的公允价值进行重新计量。处置股权取得的对价与剩余股权公允价值之和，</w:t>
      </w:r>
      <w:r>
        <w:rPr>
          <w:spacing w:val="61"/>
          <w:w w:val="95"/>
        </w:rPr>
        <w:t> </w:t>
      </w:r>
      <w:r>
        <w:rPr>
          <w:spacing w:val="61"/>
          <w:w w:val="95"/>
        </w:rPr>
      </w:r>
      <w:r>
        <w:rPr>
          <w:w w:val="95"/>
        </w:rPr>
        <w:t>减去按原持股比例计算应享有原有子公司自购买日开始持续计算的净资产的份额之间的差额，计入丧失控</w:t>
      </w:r>
      <w:r>
        <w:rPr>
          <w:spacing w:val="39"/>
          <w:w w:val="95"/>
        </w:rPr>
        <w:t> </w:t>
      </w:r>
      <w:r>
        <w:rPr>
          <w:spacing w:val="39"/>
          <w:w w:val="95"/>
        </w:rPr>
      </w:r>
      <w:r>
        <w:rPr>
          <w:w w:val="95"/>
        </w:rPr>
        <w:t>制权当期的投资收益。与原有子公司股权投资相关的其他综合收益，应当在丧失控制权时转为当期投资收   </w:t>
      </w:r>
      <w:r>
        <w:rPr>
          <w:spacing w:val="37"/>
          <w:w w:val="95"/>
        </w:rPr>
        <w:t> </w:t>
      </w:r>
      <w:r>
        <w:rPr>
          <w:spacing w:val="37"/>
          <w:w w:val="95"/>
        </w:rPr>
      </w:r>
      <w:r>
        <w:rPr/>
        <w:t>益。</w:t>
      </w:r>
    </w:p>
    <w:p>
      <w:pPr>
        <w:spacing w:line="240" w:lineRule="auto" w:before="7"/>
        <w:rPr>
          <w:rFonts w:ascii="宋体" w:hAnsi="宋体" w:cs="宋体" w:eastAsia="宋体" w:hint="default"/>
          <w:sz w:val="23"/>
          <w:szCs w:val="23"/>
        </w:rPr>
      </w:pPr>
    </w:p>
    <w:p>
      <w:pPr>
        <w:pStyle w:val="Heading4"/>
        <w:spacing w:line="240" w:lineRule="auto"/>
        <w:ind w:right="18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84"/>
        <w:jc w:val="left"/>
        <w:rPr>
          <w:b w:val="0"/>
          <w:bCs w:val="0"/>
        </w:rPr>
      </w:pPr>
      <w:r>
        <w:rPr/>
        <w:t>（</w:t>
      </w:r>
      <w:r>
        <w:rPr>
          <w:rFonts w:ascii="Times New Roman" w:hAnsi="Times New Roman" w:cs="Times New Roman" w:eastAsia="Times New Roman" w:hint="default"/>
        </w:rPr>
        <w:t>1</w:t>
      </w:r>
      <w:r>
        <w:rPr/>
        <w:t>）合营安排的分类</w:t>
      </w:r>
      <w:r>
        <w:rPr>
          <w:b w:val="0"/>
          <w:bCs w:val="0"/>
        </w:rPr>
      </w:r>
    </w:p>
    <w:p>
      <w:pPr>
        <w:pStyle w:val="BodyText"/>
        <w:spacing w:line="256" w:lineRule="auto" w:before="21"/>
        <w:ind w:right="184" w:firstLine="511"/>
        <w:jc w:val="left"/>
      </w:pPr>
      <w:r>
        <w:rPr>
          <w:rFonts w:ascii="Times New Roman" w:hAnsi="Times New Roman" w:cs="Times New Roman" w:eastAsia="Times New Roman" w:hint="default"/>
          <w:w w:val="95"/>
        </w:rPr>
        <w:t>1)</w:t>
      </w:r>
      <w:r>
        <w:rPr>
          <w:w w:val="95"/>
        </w:rPr>
        <w:t>本公司根据合营安排的结构、法律形式以及合营安排中约定的条款、其他相关事实和情况等因素，</w:t>
      </w:r>
      <w:r>
        <w:rPr>
          <w:w w:val="99"/>
        </w:rPr>
        <w:t> </w:t>
      </w:r>
      <w:r>
        <w:rPr/>
        <w:t>将合营安排分为共同经营和合营企业。</w:t>
      </w:r>
    </w:p>
    <w:p>
      <w:pPr>
        <w:pStyle w:val="BodyText"/>
        <w:spacing w:line="256" w:lineRule="auto" w:before="22"/>
        <w:ind w:right="188" w:firstLine="511"/>
        <w:jc w:val="left"/>
      </w:pPr>
      <w:r>
        <w:rPr>
          <w:rFonts w:ascii="Times New Roman" w:hAnsi="Times New Roman" w:cs="Times New Roman" w:eastAsia="Times New Roman" w:hint="default"/>
          <w:spacing w:val="-2"/>
        </w:rPr>
        <w:t>2)</w:t>
      </w:r>
      <w:r>
        <w:rPr>
          <w:spacing w:val="-2"/>
        </w:rPr>
        <w:t>未通过单独主体达成的合营安排，划分为共同经营；通过单独主体达成的合营安排，通常划分为合</w:t>
      </w:r>
      <w:r>
        <w:rPr>
          <w:w w:val="99"/>
        </w:rPr>
        <w:t> </w:t>
      </w:r>
      <w:r>
        <w:rPr/>
        <w:t>营企业；但有确凿证据表明满足下列任一条件并且符合相关法律法规规定的合营安排划分为共同经营：</w:t>
      </w:r>
    </w:p>
    <w:p>
      <w:pPr>
        <w:pStyle w:val="BodyText"/>
        <w:spacing w:line="240" w:lineRule="auto" w:before="22"/>
        <w:ind w:left="624" w:right="184"/>
        <w:jc w:val="left"/>
      </w:pPr>
      <w:r>
        <w:rPr>
          <w:rFonts w:ascii="Times New Roman" w:hAnsi="Times New Roman" w:cs="Times New Roman" w:eastAsia="Times New Roman" w:hint="default"/>
        </w:rPr>
        <w:t>3)</w:t>
      </w:r>
      <w:r>
        <w:rPr/>
        <w:t>合营安排的法律形式表明，合营方对该安排中的相关资产和负债分别享有权利和承担义务。</w:t>
      </w:r>
    </w:p>
    <w:p>
      <w:pPr>
        <w:pStyle w:val="BodyText"/>
        <w:spacing w:line="240" w:lineRule="auto" w:before="21"/>
        <w:ind w:left="624" w:right="184"/>
        <w:jc w:val="left"/>
      </w:pPr>
      <w:r>
        <w:rPr>
          <w:rFonts w:ascii="Times New Roman" w:hAnsi="Times New Roman" w:cs="Times New Roman" w:eastAsia="Times New Roman" w:hint="default"/>
        </w:rPr>
        <w:t>4)</w:t>
      </w:r>
      <w:r>
        <w:rPr/>
        <w:t>合营安排的合同条款约定，合营方对该安排中的相关资产和负债分别享有权利和承担义务。</w:t>
      </w:r>
    </w:p>
    <w:p>
      <w:pPr>
        <w:pStyle w:val="BodyText"/>
        <w:spacing w:line="256" w:lineRule="auto" w:before="21"/>
        <w:ind w:right="188" w:firstLine="511"/>
        <w:jc w:val="left"/>
      </w:pPr>
      <w:r>
        <w:rPr>
          <w:rFonts w:ascii="Times New Roman" w:hAnsi="Times New Roman" w:cs="Times New Roman" w:eastAsia="Times New Roman" w:hint="default"/>
          <w:spacing w:val="-2"/>
        </w:rPr>
        <w:t>5)</w:t>
      </w:r>
      <w:r>
        <w:rPr>
          <w:spacing w:val="-2"/>
        </w:rPr>
        <w:t>其他相关事实和情况表明，合营方对该安排中的相关资产和负债分别享有权利和承担义务，如合营</w:t>
      </w:r>
      <w:r>
        <w:rPr>
          <w:w w:val="99"/>
        </w:rPr>
        <w:t> </w:t>
      </w:r>
      <w:r>
        <w:rPr/>
        <w:t>方享有与合营安排相关的几乎所有产出，并且该安排中负债的清偿持续依赖于合营方的支持。</w:t>
      </w:r>
    </w:p>
    <w:p>
      <w:pPr>
        <w:spacing w:line="256" w:lineRule="auto" w:before="22"/>
        <w:ind w:left="624" w:right="186" w:hanging="51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本公司确认共同经营中利益份额中与本公司相关的下列项目，并按照相关企业会计准则的规定进行</w:t>
      </w:r>
    </w:p>
    <w:p>
      <w:pPr>
        <w:pStyle w:val="BodyText"/>
        <w:spacing w:line="240" w:lineRule="auto" w:before="22"/>
        <w:ind w:right="184"/>
        <w:jc w:val="left"/>
      </w:pPr>
      <w:r>
        <w:rPr/>
        <w:t>会计处理：</w:t>
      </w:r>
    </w:p>
    <w:p>
      <w:pPr>
        <w:pStyle w:val="BodyText"/>
        <w:spacing w:line="240" w:lineRule="auto" w:before="37"/>
        <w:ind w:left="624" w:right="184"/>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left="624" w:right="184"/>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left="624" w:right="184"/>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21"/>
        <w:ind w:left="624" w:right="184"/>
        <w:jc w:val="left"/>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21"/>
        <w:ind w:left="624" w:right="184"/>
        <w:jc w:val="left"/>
      </w:pPr>
      <w:r>
        <w:rPr>
          <w:rFonts w:ascii="Times New Roman" w:hAnsi="Times New Roman" w:cs="Times New Roman" w:eastAsia="Times New Roman" w:hint="default"/>
        </w:rPr>
        <w:t>5)</w:t>
      </w:r>
      <w:r>
        <w:rPr/>
        <w:t>确认单独所发生的费用，以及按其份额确认共同经营发生的费用。</w:t>
      </w:r>
    </w:p>
    <w:p>
      <w:pPr>
        <w:pStyle w:val="BodyText"/>
        <w:spacing w:line="256" w:lineRule="auto" w:before="21"/>
        <w:ind w:right="191" w:firstLine="508"/>
        <w:jc w:val="left"/>
      </w:pPr>
      <w:r>
        <w:rPr>
          <w:rFonts w:ascii="Times New Roman" w:hAnsi="Times New Roman" w:cs="Times New Roman" w:eastAsia="Times New Roman" w:hint="default"/>
          <w:spacing w:val="-2"/>
        </w:rPr>
        <w:t>6)</w:t>
      </w:r>
      <w:r>
        <w:rPr>
          <w:spacing w:val="-2"/>
        </w:rPr>
        <w:t>本公司向共同经营投出或出售资产等（该资产构成业务的除外），在该资产等由共同经营出售给第</w:t>
      </w:r>
      <w:r>
        <w:rPr>
          <w:w w:val="99"/>
        </w:rPr>
        <w:t> </w:t>
      </w:r>
      <w:r>
        <w:rPr>
          <w:w w:val="95"/>
        </w:rPr>
        <w:t>三方之前，仅确认因该交易产生的损益中归属于共同经营其他参与方的部分。投出或出售的资产发生符合</w:t>
      </w:r>
      <w:r>
        <w:rPr/>
      </w:r>
    </w:p>
    <w:p>
      <w:pPr>
        <w:pStyle w:val="BodyText"/>
        <w:spacing w:line="240" w:lineRule="auto" w:before="22"/>
        <w:ind w:right="184"/>
        <w:jc w:val="left"/>
      </w:pPr>
      <w:r>
        <w:rPr/>
        <w:t>《企业会计准则第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资产减值》等规定的资产减值损失的，本公司全额确认该损失。</w:t>
      </w:r>
    </w:p>
    <w:p>
      <w:pPr>
        <w:pStyle w:val="BodyText"/>
        <w:spacing w:line="256" w:lineRule="auto" w:before="21"/>
        <w:ind w:right="184" w:firstLine="511"/>
        <w:jc w:val="left"/>
      </w:pPr>
      <w:r>
        <w:rPr>
          <w:rFonts w:ascii="Times New Roman" w:hAnsi="Times New Roman" w:cs="Times New Roman" w:eastAsia="Times New Roman" w:hint="default"/>
          <w:spacing w:val="-2"/>
        </w:rPr>
        <w:t>7)</w:t>
      </w:r>
      <w:r>
        <w:rPr>
          <w:spacing w:val="-2"/>
        </w:rPr>
        <w:t>本公司自共同经营购买资产等（该资产构成业务的除外），在将该资产等出售给第三方之前，仅确</w:t>
      </w:r>
      <w:r>
        <w:rPr>
          <w:w w:val="99"/>
        </w:rPr>
        <w:t> </w:t>
      </w:r>
      <w:r>
        <w:rPr>
          <w:spacing w:val="2"/>
          <w:w w:val="95"/>
        </w:rPr>
        <w:t>认因该交易产生的损益中归属于共同经营其他参与方的部分。购入的资产发生符合《企业会计准则第</w:t>
      </w:r>
      <w:r>
        <w:rPr>
          <w:rFonts w:ascii="Times New Roman" w:hAnsi="Times New Roman" w:cs="Times New Roman" w:eastAsia="Times New Roman" w:hint="default"/>
          <w:spacing w:val="2"/>
          <w:w w:val="95"/>
        </w:rPr>
        <w:t>8</w:t>
      </w:r>
      <w:r>
        <w:rPr>
          <w:spacing w:val="2"/>
          <w:w w:val="95"/>
        </w:rPr>
        <w:t>号</w:t>
      </w:r>
      <w:r>
        <w:rPr>
          <w:spacing w:val="2"/>
        </w:rPr>
      </w:r>
    </w:p>
    <w:p>
      <w:pPr>
        <w:pStyle w:val="BodyText"/>
        <w:spacing w:line="256" w:lineRule="auto" w:before="5"/>
        <w:ind w:left="624" w:right="187" w:hanging="512"/>
        <w:jc w:val="left"/>
      </w:pPr>
      <w:r>
        <w:rPr>
          <w:rFonts w:ascii="Times New Roman" w:hAnsi="Times New Roman" w:cs="Times New Roman" w:eastAsia="Times New Roman" w:hint="default"/>
        </w:rPr>
        <w:t>——</w:t>
      </w:r>
      <w:r>
        <w:rPr/>
        <w:t>资产减值》等规定的资产减值损失的，本公司按承担的份额确认该部分损失。</w:t>
      </w:r>
      <w:r>
        <w:rPr>
          <w:w w:val="99"/>
        </w:rPr>
        <w:t> </w:t>
      </w:r>
      <w:r>
        <w:rPr>
          <w:rFonts w:ascii="Times New Roman" w:hAnsi="Times New Roman" w:cs="Times New Roman" w:eastAsia="Times New Roman" w:hint="default"/>
          <w:spacing w:val="-2"/>
        </w:rPr>
        <w:t>8)</w:t>
      </w:r>
      <w:r>
        <w:rPr>
          <w:spacing w:val="-2"/>
        </w:rPr>
        <w:t>本公司对共同经营不享有共同控制，如果本公司享有该共同经营相关资产且承担该共同经营相关负</w:t>
      </w:r>
    </w:p>
    <w:p>
      <w:pPr>
        <w:pStyle w:val="BodyText"/>
        <w:spacing w:line="240" w:lineRule="auto" w:before="5"/>
        <w:ind w:right="184"/>
        <w:jc w:val="left"/>
      </w:pPr>
      <w:r>
        <w:rPr/>
        <w:t>债的，仍按上述原则进行会计处理，否则，应当按照相关企业会计准则的规定进行会计处理。</w:t>
      </w:r>
    </w:p>
    <w:p>
      <w:pPr>
        <w:spacing w:line="590" w:lineRule="atLeast" w:before="40"/>
        <w:ind w:left="532" w:right="18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在编制现金流量表时，将本公司库存现金以及可以随时用于支付的存款确认为现金。将同时具备期限</w:t>
      </w:r>
      <w:r>
        <w:rPr>
          <w:rFonts w:ascii="宋体" w:hAnsi="宋体" w:cs="宋体" w:eastAsia="宋体" w:hint="default"/>
          <w:sz w:val="21"/>
          <w:szCs w:val="21"/>
        </w:rPr>
      </w:r>
    </w:p>
    <w:p>
      <w:pPr>
        <w:pStyle w:val="BodyText"/>
        <w:spacing w:line="273" w:lineRule="auto" w:before="37"/>
        <w:ind w:right="184"/>
        <w:jc w:val="left"/>
      </w:pPr>
      <w:r>
        <w:rPr>
          <w:w w:val="95"/>
        </w:rPr>
        <w:t>短（一般从购买日起，三个月内到期）、流动性强、易于转换为已知金额的现金、价值变动风险很小四个</w:t>
      </w:r>
      <w:r>
        <w:rPr>
          <w:spacing w:val="42"/>
          <w:w w:val="95"/>
        </w:rPr>
        <w:t> </w:t>
      </w:r>
      <w:r>
        <w:rPr>
          <w:spacing w:val="42"/>
          <w:w w:val="95"/>
        </w:rPr>
      </w:r>
      <w:r>
        <w:rPr/>
        <w:t>条件的投资，确定为现金等价物。</w:t>
      </w:r>
    </w:p>
    <w:p>
      <w:pPr>
        <w:spacing w:line="240" w:lineRule="auto" w:before="7"/>
        <w:rPr>
          <w:rFonts w:ascii="宋体" w:hAnsi="宋体" w:cs="宋体" w:eastAsia="宋体" w:hint="default"/>
          <w:sz w:val="23"/>
          <w:szCs w:val="23"/>
        </w:rPr>
      </w:pPr>
    </w:p>
    <w:p>
      <w:pPr>
        <w:pStyle w:val="Heading4"/>
        <w:spacing w:line="240" w:lineRule="auto"/>
        <w:ind w:right="18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84"/>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273" w:lineRule="auto" w:before="21"/>
        <w:ind w:left="532" w:right="184"/>
        <w:jc w:val="left"/>
      </w:pPr>
      <w:r>
        <w:rPr/>
        <w:t>外币业务交易在初始确认时，采用交易发生日的即期汇率作为折算汇率折合成人民币记账。</w:t>
      </w:r>
      <w:r>
        <w:rPr>
          <w:w w:val="99"/>
        </w:rPr>
        <w:t> </w:t>
      </w:r>
      <w:r>
        <w:rPr>
          <w:w w:val="95"/>
        </w:rPr>
        <w:t>资产负债表日，外币货币性项目按资产负债表日即期汇率折算，由此产生的汇兑差额，除属于与购建</w:t>
      </w:r>
      <w:r>
        <w:rPr/>
      </w:r>
    </w:p>
    <w:p>
      <w:pPr>
        <w:pStyle w:val="BodyText"/>
        <w:spacing w:line="240" w:lineRule="auto"/>
        <w:ind w:right="94"/>
        <w:jc w:val="left"/>
      </w:pPr>
      <w:r>
        <w:rPr/>
        <w:t>符合资本化条件的资产相关的外币专门借款产生的汇兑差额按照借款费用资本化的原则处理外，均计入当</w:t>
      </w:r>
    </w:p>
    <w:p>
      <w:pPr>
        <w:spacing w:after="0" w:line="240" w:lineRule="auto"/>
        <w:jc w:val="left"/>
        <w:sectPr>
          <w:pgSz w:w="11910" w:h="16840"/>
          <w:pgMar w:header="746" w:footer="978" w:top="1040" w:bottom="1160" w:left="1020" w:right="940"/>
        </w:sectPr>
      </w:pPr>
    </w:p>
    <w:p>
      <w:pPr>
        <w:spacing w:line="240" w:lineRule="auto" w:before="6"/>
        <w:rPr>
          <w:rFonts w:ascii="宋体" w:hAnsi="宋体" w:cs="宋体" w:eastAsia="宋体" w:hint="default"/>
          <w:sz w:val="25"/>
          <w:szCs w:val="25"/>
        </w:rPr>
      </w:pPr>
    </w:p>
    <w:p>
      <w:pPr>
        <w:pStyle w:val="BodyText"/>
        <w:spacing w:line="273" w:lineRule="auto" w:before="34"/>
        <w:ind w:right="212"/>
        <w:jc w:val="both"/>
      </w:pPr>
      <w:r>
        <w:rPr>
          <w:w w:val="95"/>
        </w:rPr>
        <w:t>期损益。以历史成本计量的外币非货币性项目，仍采用交易发生日的即期汇率折算，不改变其记账本位币  </w:t>
      </w:r>
      <w:r>
        <w:rPr>
          <w:spacing w:val="40"/>
          <w:w w:val="95"/>
        </w:rPr>
        <w:t> </w:t>
      </w:r>
      <w:r>
        <w:rPr>
          <w:spacing w:val="40"/>
          <w:w w:val="95"/>
        </w:rPr>
      </w:r>
      <w:r>
        <w:rPr/>
        <w:t>金额。</w:t>
      </w:r>
    </w:p>
    <w:p>
      <w:pPr>
        <w:pStyle w:val="BodyText"/>
        <w:spacing w:line="273" w:lineRule="auto"/>
        <w:ind w:right="215" w:firstLine="420"/>
        <w:jc w:val="both"/>
      </w:pPr>
      <w:r>
        <w:rPr>
          <w:w w:val="95"/>
        </w:rPr>
        <w:t>以公允价值计量的外币非货币性项目，采用公允价值确定日的即期汇率折算，由此产生的汇兑差额作</w:t>
      </w:r>
      <w:r>
        <w:rPr>
          <w:w w:val="99"/>
        </w:rPr>
        <w:t> </w:t>
      </w:r>
      <w:r>
        <w:rPr>
          <w:w w:val="95"/>
        </w:rPr>
        <w:t>为公允价值变动损益计入当期损益。如属于可供出售外币非货币性目的，形成的汇兑差额计入其他综合收   </w:t>
      </w:r>
      <w:r>
        <w:rPr>
          <w:spacing w:val="37"/>
          <w:w w:val="95"/>
        </w:rPr>
        <w:t> </w:t>
      </w:r>
      <w:r>
        <w:rPr>
          <w:spacing w:val="37"/>
          <w:w w:val="95"/>
        </w:rPr>
      </w:r>
      <w:r>
        <w:rPr/>
        <w:t>益。</w:t>
      </w:r>
    </w:p>
    <w:p>
      <w:pPr>
        <w:spacing w:line="256" w:lineRule="auto" w:before="7"/>
        <w:ind w:left="532" w:right="2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资产负债表中的资产和负债项目，采用资产负债表日的即期汇率折算；所有者权益项目除</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未分配利</w:t>
      </w:r>
    </w:p>
    <w:p>
      <w:pPr>
        <w:pStyle w:val="BodyText"/>
        <w:spacing w:line="256" w:lineRule="auto" w:before="5"/>
        <w:ind w:right="215"/>
        <w:jc w:val="both"/>
      </w:pPr>
      <w:r>
        <w:rPr>
          <w:spacing w:val="2"/>
        </w:rPr>
        <w:t>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项目外，其他项目采用发生时的即期汇率折算。利润表中的收入和费用项目，采用交易发生日的即期</w:t>
      </w:r>
      <w:r>
        <w:rPr>
          <w:w w:val="99"/>
        </w:rPr>
        <w:t> </w:t>
      </w:r>
      <w:r>
        <w:rPr/>
        <w:t>汇率折算。按照上述折算产生的外币财务报表折算差额计入其他综合收益。</w:t>
      </w:r>
    </w:p>
    <w:p>
      <w:pPr>
        <w:pStyle w:val="BodyText"/>
        <w:spacing w:line="273" w:lineRule="auto" w:before="22"/>
        <w:ind w:right="210" w:firstLine="420"/>
        <w:jc w:val="both"/>
      </w:pPr>
      <w:r>
        <w:rPr>
          <w:w w:val="95"/>
        </w:rPr>
        <w:t>处置境外经营时，将资产负债表中其他综合收益项目中列示的、与该境外经营相关的外币财务报表折</w:t>
      </w:r>
      <w:r>
        <w:rPr>
          <w:w w:val="99"/>
        </w:rPr>
        <w:t> </w:t>
      </w:r>
      <w:r>
        <w:rPr>
          <w:w w:val="95"/>
        </w:rPr>
        <w:t>算差额，自其他综合收益项目转入处置当期损益；部分处置境外经营的，按处置的比例计算处置部分的外</w:t>
      </w:r>
      <w:r>
        <w:rPr>
          <w:spacing w:val="43"/>
          <w:w w:val="95"/>
        </w:rPr>
        <w:t> </w:t>
      </w:r>
      <w:r>
        <w:rPr>
          <w:spacing w:val="43"/>
          <w:w w:val="95"/>
        </w:rPr>
      </w:r>
      <w:r>
        <w:rPr/>
        <w:t>币财务报表折算差额，转入处置当期损益。</w:t>
      </w:r>
    </w:p>
    <w:p>
      <w:pPr>
        <w:spacing w:line="240" w:lineRule="auto" w:before="7"/>
        <w:rPr>
          <w:rFonts w:ascii="宋体" w:hAnsi="宋体" w:cs="宋体" w:eastAsia="宋体" w:hint="default"/>
          <w:sz w:val="23"/>
          <w:szCs w:val="23"/>
        </w:rPr>
      </w:pPr>
    </w:p>
    <w:p>
      <w:pPr>
        <w:pStyle w:val="Heading4"/>
        <w:spacing w:line="240" w:lineRule="auto"/>
        <w:ind w:right="20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202"/>
        <w:jc w:val="left"/>
      </w:pPr>
      <w:r>
        <w:rPr/>
        <w:t>金融工具包括金融资产、金融负债和权益工具。</w:t>
      </w:r>
    </w:p>
    <w:p>
      <w:pPr>
        <w:pStyle w:val="BodyText"/>
        <w:spacing w:line="256" w:lineRule="auto" w:before="37"/>
        <w:ind w:left="532" w:right="202"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w w:val="95"/>
        </w:rPr>
        <w:t>管理层根据所发行金融工具的合同条款及其所反映的经济实质而非仅以法律形式，结合取得持有金融</w:t>
      </w:r>
      <w:r>
        <w:rPr/>
      </w:r>
    </w:p>
    <w:p>
      <w:pPr>
        <w:pStyle w:val="BodyText"/>
        <w:spacing w:line="273" w:lineRule="auto" w:before="22"/>
        <w:ind w:right="192"/>
        <w:jc w:val="both"/>
      </w:pPr>
      <w:r>
        <w:rPr>
          <w:w w:val="95"/>
        </w:rPr>
        <w:t>资产和承担金融负债的目的，将金融资产和金融负债分为不同类别：以公允价值计量且其变动计入当期损</w:t>
      </w:r>
      <w:r>
        <w:rPr>
          <w:spacing w:val="37"/>
          <w:w w:val="95"/>
        </w:rPr>
        <w:t> </w:t>
      </w:r>
      <w:r>
        <w:rPr>
          <w:spacing w:val="37"/>
          <w:w w:val="95"/>
        </w:rPr>
      </w:r>
      <w:r>
        <w:rPr>
          <w:w w:val="95"/>
        </w:rPr>
        <w:t>益的金融资产或金融负债，包括交易性金融资产或金融负债（和直接指定为以公允价值计量且其变动计入</w:t>
      </w:r>
      <w:r>
        <w:rPr>
          <w:spacing w:val="40"/>
          <w:w w:val="95"/>
        </w:rPr>
        <w:t> </w:t>
      </w:r>
      <w:r>
        <w:rPr>
          <w:spacing w:val="40"/>
          <w:w w:val="95"/>
        </w:rPr>
      </w:r>
      <w:r>
        <w:rPr>
          <w:w w:val="95"/>
        </w:rPr>
        <w:t>当期损益的金融资产或金融负债）；持有至到期投资；应收款项；可供出售金融资产；其他金融负债等。</w:t>
      </w:r>
      <w:r>
        <w:rPr/>
      </w:r>
    </w:p>
    <w:p>
      <w:pPr>
        <w:pStyle w:val="BodyText"/>
        <w:spacing w:line="240" w:lineRule="auto"/>
        <w:ind w:left="532" w:right="202"/>
        <w:jc w:val="left"/>
      </w:pPr>
      <w:r>
        <w:rPr/>
        <w:t>金融工具的确认依据和计量方法</w:t>
      </w:r>
    </w:p>
    <w:p>
      <w:pPr>
        <w:pStyle w:val="BodyText"/>
        <w:spacing w:line="256" w:lineRule="auto" w:before="37"/>
        <w:ind w:left="532" w:right="202"/>
        <w:jc w:val="left"/>
      </w:pPr>
      <w:r>
        <w:rPr>
          <w:rFonts w:ascii="Times New Roman" w:hAnsi="Times New Roman" w:cs="Times New Roman" w:eastAsia="Times New Roman" w:hint="default"/>
        </w:rPr>
        <w:t>1</w:t>
      </w:r>
      <w:r>
        <w:rPr/>
        <w:t>）以公允价值计量且其变动计入当期损益的金融资产（金融负债）</w:t>
      </w:r>
      <w:r>
        <w:rPr>
          <w:w w:val="99"/>
        </w:rPr>
        <w:t> </w:t>
      </w:r>
      <w:r>
        <w:rPr>
          <w:w w:val="95"/>
        </w:rPr>
        <w:t>以公允价值计量且其变动计入当期损益的金融资产或金融负债，包括交易性金融资产或金融负债和直</w:t>
      </w:r>
      <w:r>
        <w:rPr/>
      </w:r>
    </w:p>
    <w:p>
      <w:pPr>
        <w:pStyle w:val="BodyText"/>
        <w:spacing w:line="266" w:lineRule="auto" w:before="22"/>
        <w:ind w:left="532" w:right="202" w:hanging="420"/>
        <w:jc w:val="left"/>
      </w:pPr>
      <w:r>
        <w:rPr/>
        <w:t>接指定为以公允价值计量且其变动计入当期损益的金融资产或金融负债。</w:t>
      </w:r>
      <w:r>
        <w:rPr>
          <w:w w:val="99"/>
        </w:rPr>
        <w:t> </w:t>
      </w:r>
      <w:r>
        <w:rPr/>
        <w:t>交易性金融资产或金融负债是指满足下列条件之一的金融资产或金融负债：</w:t>
      </w:r>
      <w:r>
        <w:rPr>
          <w:w w:val="99"/>
        </w:rPr>
        <w:t> </w:t>
      </w:r>
      <w:r>
        <w:rPr>
          <w:rFonts w:ascii="Times New Roman" w:hAnsi="Times New Roman" w:cs="Times New Roman" w:eastAsia="Times New Roman" w:hint="default"/>
        </w:rPr>
        <w:t>a</w:t>
      </w:r>
      <w:r>
        <w:rPr/>
        <w:t>、取得该金融资产或金融负债的目的是为了在短期内出售、回购或赎回；</w:t>
      </w:r>
      <w:r>
        <w:rPr>
          <w:w w:val="99"/>
        </w:rPr>
        <w:t> </w:t>
      </w:r>
      <w:r>
        <w:rPr>
          <w:rFonts w:ascii="Times New Roman" w:hAnsi="Times New Roman" w:cs="Times New Roman" w:eastAsia="Times New Roman" w:hint="default"/>
          <w:spacing w:val="2"/>
          <w:w w:val="95"/>
        </w:rPr>
        <w:t>b</w:t>
      </w:r>
      <w:r>
        <w:rPr>
          <w:spacing w:val="2"/>
          <w:w w:val="95"/>
        </w:rPr>
        <w:t>、属于进行集中管理的可辨认金融工具组合的一部分，且有客观证据表明本公司近期采用短期获利</w:t>
      </w:r>
      <w:r>
        <w:rPr>
          <w:spacing w:val="2"/>
        </w:rPr>
      </w:r>
    </w:p>
    <w:p>
      <w:pPr>
        <w:pStyle w:val="BodyText"/>
        <w:spacing w:line="271" w:lineRule="exact" w:before="0"/>
        <w:ind w:right="202"/>
        <w:jc w:val="left"/>
      </w:pPr>
      <w:r>
        <w:rPr/>
        <w:t>方式对该组合进行管理；</w:t>
      </w:r>
    </w:p>
    <w:p>
      <w:pPr>
        <w:pStyle w:val="BodyText"/>
        <w:spacing w:line="264" w:lineRule="auto" w:before="37"/>
        <w:ind w:right="213" w:firstLine="420"/>
        <w:jc w:val="both"/>
      </w:pPr>
      <w:r>
        <w:rPr>
          <w:rFonts w:ascii="Times New Roman" w:hAnsi="Times New Roman" w:cs="Times New Roman" w:eastAsia="Times New Roman" w:hint="default"/>
          <w:spacing w:val="2"/>
        </w:rPr>
        <w:t>c</w:t>
      </w:r>
      <w:r>
        <w:rPr>
          <w:spacing w:val="2"/>
        </w:rPr>
        <w:t>、属于衍生金融工具，但是被指定为有效套期工具的衍生工具、属于财务担保合同的衍生工具、与</w:t>
      </w:r>
      <w:r>
        <w:rPr>
          <w:w w:val="99"/>
        </w:rPr>
        <w:t> </w:t>
      </w:r>
      <w:r>
        <w:rPr>
          <w:spacing w:val="4"/>
        </w:rPr>
        <w:t>在活跃市场中没有报价且其公允价值不能可靠计量的权益工具投资挂钩并须通过交付该权益工具结算的</w:t>
      </w:r>
      <w:r>
        <w:rPr>
          <w:w w:val="99"/>
        </w:rPr>
        <w:t> </w:t>
      </w:r>
      <w:r>
        <w:rPr/>
        <w:t>衍生工具除外。</w:t>
      </w:r>
    </w:p>
    <w:p>
      <w:pPr>
        <w:pStyle w:val="BodyText"/>
        <w:spacing w:line="273" w:lineRule="auto" w:before="16"/>
        <w:ind w:right="212" w:firstLine="420"/>
        <w:jc w:val="both"/>
      </w:pPr>
      <w:r>
        <w:rPr>
          <w:w w:val="95"/>
        </w:rPr>
        <w:t>只有符合以下条件之一，金融资产或金融负债才可在初始计量时指定为以公允价值计量且其变动计入</w:t>
      </w:r>
      <w:r>
        <w:rPr>
          <w:w w:val="99"/>
        </w:rPr>
        <w:t> </w:t>
      </w:r>
      <w:r>
        <w:rPr/>
        <w:t>损益的金融资产或金融负债：</w:t>
      </w:r>
    </w:p>
    <w:p>
      <w:pPr>
        <w:pStyle w:val="BodyText"/>
        <w:spacing w:line="256" w:lineRule="auto"/>
        <w:ind w:right="213" w:firstLine="420"/>
        <w:jc w:val="both"/>
      </w:pPr>
      <w:r>
        <w:rPr>
          <w:rFonts w:ascii="Times New Roman" w:hAnsi="Times New Roman" w:cs="Times New Roman" w:eastAsia="Times New Roman" w:hint="default"/>
          <w:spacing w:val="2"/>
          <w:w w:val="95"/>
        </w:rPr>
        <w:t>d</w:t>
      </w:r>
      <w:r>
        <w:rPr>
          <w:spacing w:val="2"/>
          <w:w w:val="95"/>
        </w:rPr>
        <w:t>、该项指定可以消除或明显减少由于金融资产或金融负债的计量基础不同所导致的相关利得或损失</w:t>
      </w:r>
      <w:r>
        <w:rPr>
          <w:spacing w:val="-82"/>
          <w:w w:val="95"/>
        </w:rPr>
        <w:t> </w:t>
      </w:r>
      <w:r>
        <w:rPr>
          <w:spacing w:val="-82"/>
          <w:w w:val="95"/>
        </w:rPr>
      </w:r>
      <w:r>
        <w:rPr/>
        <w:t>在确认或计量方面不一致的情况；</w:t>
      </w:r>
    </w:p>
    <w:p>
      <w:pPr>
        <w:pStyle w:val="BodyText"/>
        <w:spacing w:line="256" w:lineRule="auto" w:before="22"/>
        <w:ind w:right="213" w:firstLine="420"/>
        <w:jc w:val="both"/>
      </w:pPr>
      <w:r>
        <w:rPr>
          <w:rFonts w:ascii="Times New Roman" w:hAnsi="Times New Roman" w:cs="Times New Roman" w:eastAsia="Times New Roman" w:hint="default"/>
          <w:spacing w:val="2"/>
        </w:rPr>
        <w:t>e</w:t>
      </w:r>
      <w:r>
        <w:rPr>
          <w:spacing w:val="2"/>
        </w:rPr>
        <w:t>、风险管理或投资策略的正式书面文件已载明，该金融资产组合、该金融负债组合、或该金融资产</w:t>
      </w:r>
      <w:r>
        <w:rPr>
          <w:w w:val="99"/>
        </w:rPr>
        <w:t> </w:t>
      </w:r>
      <w:r>
        <w:rPr/>
        <w:t>和金融负债组合，以公允价值为基础进行管理、评价并向关键管理人员报告；</w:t>
      </w:r>
    </w:p>
    <w:p>
      <w:pPr>
        <w:pStyle w:val="BodyText"/>
        <w:spacing w:line="256" w:lineRule="auto" w:before="22"/>
        <w:ind w:right="108" w:firstLine="420"/>
        <w:jc w:val="left"/>
      </w:pPr>
      <w:r>
        <w:rPr>
          <w:rFonts w:ascii="Times New Roman" w:hAnsi="Times New Roman" w:cs="Times New Roman" w:eastAsia="Times New Roman" w:hint="default"/>
          <w:spacing w:val="-4"/>
          <w:w w:val="99"/>
        </w:rPr>
        <w:t>f</w:t>
      </w:r>
      <w:r>
        <w:rPr>
          <w:spacing w:val="-4"/>
          <w:w w:val="99"/>
        </w:rPr>
        <w:t>、包含一项或多项嵌入衍生工具的混合工具，除非嵌入衍生工具对混合工具的现金流量没有重大改变，</w:t>
      </w:r>
      <w:r>
        <w:rPr>
          <w:w w:val="99"/>
        </w:rPr>
        <w:t> </w:t>
      </w:r>
      <w:r>
        <w:rPr/>
        <w:t>或所嵌入的衍生工具明显不应当从相关混合工具中分拆；</w:t>
      </w:r>
    </w:p>
    <w:p>
      <w:pPr>
        <w:pStyle w:val="BodyText"/>
        <w:spacing w:line="240" w:lineRule="auto" w:before="22"/>
        <w:ind w:left="532" w:right="108"/>
        <w:jc w:val="left"/>
      </w:pPr>
      <w:r>
        <w:rPr>
          <w:rFonts w:ascii="Times New Roman" w:hAnsi="Times New Roman" w:cs="Times New Roman" w:eastAsia="Times New Roman" w:hint="default"/>
          <w:spacing w:val="2"/>
        </w:rPr>
        <w:t>g</w:t>
      </w:r>
      <w:r>
        <w:rPr>
          <w:spacing w:val="2"/>
        </w:rPr>
        <w:t>、包含需要分拆但无法在取得时或后续的资产负债表日对其进行单独计量的嵌入衍生工具的混合工</w:t>
      </w:r>
    </w:p>
    <w:p>
      <w:pPr>
        <w:pStyle w:val="BodyText"/>
        <w:spacing w:line="240" w:lineRule="auto" w:before="21"/>
        <w:ind w:right="202"/>
        <w:jc w:val="left"/>
      </w:pPr>
      <w:r>
        <w:rPr/>
        <w:t>具。</w:t>
      </w:r>
    </w:p>
    <w:p>
      <w:pPr>
        <w:pStyle w:val="BodyText"/>
        <w:spacing w:line="240" w:lineRule="auto" w:before="37"/>
        <w:ind w:left="532" w:right="108"/>
        <w:jc w:val="left"/>
      </w:pPr>
      <w:r>
        <w:rPr/>
        <w:t>本公司对以公允价值计量且其变动计入当期损益的金融资产或金融负债，在取得时以公允价值（扣除</w:t>
      </w:r>
    </w:p>
    <w:p>
      <w:pPr>
        <w:pStyle w:val="BodyText"/>
        <w:spacing w:line="240" w:lineRule="auto" w:before="37"/>
        <w:ind w:right="108"/>
        <w:jc w:val="left"/>
      </w:pPr>
      <w:r>
        <w:rPr/>
        <w:t>已宣告但尚未发放的现金股利或已到付息期但尚未领取的债券利息）作为初始确认金额，相关的交易费用</w:t>
      </w:r>
    </w:p>
    <w:p>
      <w:pPr>
        <w:spacing w:after="0" w:line="240"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73" w:lineRule="auto" w:before="34"/>
        <w:ind w:right="112"/>
        <w:jc w:val="both"/>
      </w:pPr>
      <w:r>
        <w:rPr>
          <w:w w:val="95"/>
        </w:rPr>
        <w:t>计入当期损益。持有期间将取得的利息或现金股利确认为投资收益，期末将公允价值变动计入当期损益。</w:t>
      </w:r>
      <w:r>
        <w:rPr>
          <w:spacing w:val="61"/>
          <w:w w:val="95"/>
        </w:rPr>
        <w:t> </w:t>
      </w:r>
      <w:r>
        <w:rPr>
          <w:spacing w:val="61"/>
          <w:w w:val="95"/>
        </w:rPr>
      </w:r>
      <w:r>
        <w:rPr/>
        <w:t>处置时，其公允价值与初始入账金额之间的差额确认为投资收益，同时调整公允价值变动损益。</w:t>
      </w:r>
    </w:p>
    <w:p>
      <w:pPr>
        <w:pStyle w:val="BodyText"/>
        <w:spacing w:line="256" w:lineRule="auto"/>
        <w:ind w:left="532" w:right="0"/>
        <w:jc w:val="left"/>
      </w:pPr>
      <w:r>
        <w:rPr>
          <w:rFonts w:ascii="Times New Roman" w:hAnsi="Times New Roman" w:cs="Times New Roman" w:eastAsia="Times New Roman" w:hint="default"/>
        </w:rPr>
        <w:t>2</w:t>
      </w:r>
      <w:r>
        <w:rPr/>
        <w:t>）应收款项</w:t>
      </w:r>
      <w:r>
        <w:rPr>
          <w:w w:val="99"/>
        </w:rPr>
        <w:t> </w:t>
      </w:r>
      <w:r>
        <w:rPr>
          <w:w w:val="95"/>
        </w:rPr>
        <w:t>本公司对外销售商品或提供劳务形成的应收债权，以及公司持有的其他企业的不包括在活跃市场上有</w:t>
      </w:r>
      <w:r>
        <w:rPr/>
      </w:r>
    </w:p>
    <w:p>
      <w:pPr>
        <w:pStyle w:val="BodyText"/>
        <w:spacing w:line="273" w:lineRule="auto" w:before="22"/>
        <w:ind w:right="132"/>
        <w:jc w:val="both"/>
      </w:pPr>
      <w:r>
        <w:rPr>
          <w:w w:val="95"/>
        </w:rPr>
        <w:t>报价的债务工具的债权，包括应收账款、其他应收款等，以向购货方应收的合同或协议价款作为初始确认</w:t>
      </w:r>
      <w:r>
        <w:rPr>
          <w:spacing w:val="40"/>
          <w:w w:val="95"/>
        </w:rPr>
        <w:t> </w:t>
      </w:r>
      <w:r>
        <w:rPr>
          <w:spacing w:val="40"/>
          <w:w w:val="95"/>
        </w:rPr>
      </w:r>
      <w:r>
        <w:rPr/>
        <w:t>金额；具有融资性质的，按其现值进行初始确认。</w:t>
      </w:r>
    </w:p>
    <w:p>
      <w:pPr>
        <w:pStyle w:val="BodyText"/>
        <w:spacing w:line="240" w:lineRule="auto"/>
        <w:ind w:left="532" w:right="0"/>
        <w:jc w:val="left"/>
      </w:pPr>
      <w:r>
        <w:rPr/>
        <w:t>收回或处置时，将取得的价款与该应收款项账面价值之间的差额计入当期损益。</w:t>
      </w:r>
    </w:p>
    <w:p>
      <w:pPr>
        <w:pStyle w:val="BodyText"/>
        <w:spacing w:line="256" w:lineRule="auto" w:before="37"/>
        <w:ind w:left="532" w:right="0"/>
        <w:jc w:val="left"/>
      </w:pPr>
      <w:r>
        <w:rPr>
          <w:rFonts w:ascii="Times New Roman" w:hAnsi="Times New Roman" w:cs="Times New Roman" w:eastAsia="Times New Roman" w:hint="default"/>
        </w:rPr>
        <w:t>3</w:t>
      </w:r>
      <w:r>
        <w:rPr/>
        <w:t>）持有至到期投资</w:t>
      </w:r>
      <w:r>
        <w:rPr>
          <w:w w:val="99"/>
        </w:rPr>
        <w:t> </w:t>
      </w:r>
      <w:r>
        <w:rPr>
          <w:w w:val="95"/>
        </w:rPr>
        <w:t>持有至到期投资是指到期日固定、回收金额固定或可确定，且本公司有明确意图和能力持有至到期的</w:t>
      </w:r>
      <w:r>
        <w:rPr/>
      </w:r>
    </w:p>
    <w:p>
      <w:pPr>
        <w:pStyle w:val="BodyText"/>
        <w:spacing w:line="273" w:lineRule="auto" w:before="22"/>
        <w:ind w:left="532" w:right="0" w:hanging="420"/>
        <w:jc w:val="left"/>
      </w:pPr>
      <w:r>
        <w:rPr/>
        <w:t>非衍生性金融资产。</w:t>
      </w:r>
      <w:r>
        <w:rPr>
          <w:w w:val="99"/>
        </w:rPr>
        <w:t> </w:t>
      </w:r>
      <w:r>
        <w:rPr>
          <w:w w:val="95"/>
        </w:rPr>
        <w:t>本公司对持有至到期投资，在取得时按公允价值（扣除已到付息期但尚未领取的债券利息）和相关交</w:t>
      </w:r>
      <w:r>
        <w:rPr/>
      </w:r>
    </w:p>
    <w:p>
      <w:pPr>
        <w:pStyle w:val="BodyText"/>
        <w:spacing w:line="273" w:lineRule="auto"/>
        <w:ind w:right="130"/>
        <w:jc w:val="both"/>
      </w:pPr>
      <w:r>
        <w:rPr>
          <w:w w:val="95"/>
        </w:rPr>
        <w:t>易费用之和作为初始确认金额。持有期间按照摊余成本和实际利率计算确认利息收入，计入投资收益。实</w:t>
      </w:r>
      <w:r>
        <w:rPr>
          <w:spacing w:val="43"/>
          <w:w w:val="95"/>
        </w:rPr>
        <w:t> </w:t>
      </w:r>
      <w:r>
        <w:rPr>
          <w:spacing w:val="43"/>
          <w:w w:val="95"/>
        </w:rPr>
      </w:r>
      <w:r>
        <w:rPr>
          <w:w w:val="95"/>
        </w:rPr>
        <w:t>际利率在取得时确定，在该预期存续期间或适用的更短期间内保持不变。处置时，将所取得价款与该投资</w:t>
      </w:r>
      <w:r>
        <w:rPr>
          <w:spacing w:val="43"/>
          <w:w w:val="95"/>
        </w:rPr>
        <w:t> </w:t>
      </w:r>
      <w:r>
        <w:rPr>
          <w:spacing w:val="43"/>
          <w:w w:val="95"/>
        </w:rPr>
      </w:r>
      <w:r>
        <w:rPr/>
        <w:t>账面价值之间的差额计入投资收益。</w:t>
      </w:r>
    </w:p>
    <w:p>
      <w:pPr>
        <w:pStyle w:val="BodyText"/>
        <w:spacing w:line="273" w:lineRule="auto"/>
        <w:ind w:right="132" w:firstLine="420"/>
        <w:jc w:val="both"/>
      </w:pPr>
      <w:r>
        <w:rPr>
          <w:w w:val="95"/>
        </w:rPr>
        <w:t>如果持有至到期投资处置或重分类为其他类金融资产的金额，相对于本公司全部持有至到期投资在出</w:t>
      </w:r>
      <w:r>
        <w:rPr>
          <w:w w:val="99"/>
        </w:rPr>
        <w:t> </w:t>
      </w:r>
      <w:r>
        <w:rPr>
          <w:w w:val="95"/>
        </w:rPr>
        <w:t>售或重分类前的总额较大，在处置或重分类后应立即将其剩余的持有至到期投资重分类为可供出售金融资</w:t>
      </w:r>
      <w:r>
        <w:rPr>
          <w:spacing w:val="37"/>
          <w:w w:val="95"/>
        </w:rPr>
        <w:t> </w:t>
      </w:r>
      <w:r>
        <w:rPr>
          <w:spacing w:val="37"/>
          <w:w w:val="95"/>
        </w:rPr>
      </w:r>
      <w:r>
        <w:rPr>
          <w:w w:val="95"/>
        </w:rPr>
        <w:t>产；重分类日，该投资的账面价值与其公允价值之间的差额计入其他综合收益，在该可供出售金融资产发</w:t>
      </w:r>
      <w:r>
        <w:rPr>
          <w:spacing w:val="40"/>
          <w:w w:val="95"/>
        </w:rPr>
        <w:t> </w:t>
      </w:r>
      <w:r>
        <w:rPr>
          <w:spacing w:val="40"/>
          <w:w w:val="95"/>
        </w:rPr>
      </w:r>
      <w:r>
        <w:rPr/>
        <w:t>生减值或终止确认时转出，计入当期损益。但是，遇到下列情况可以除外：</w:t>
      </w:r>
    </w:p>
    <w:p>
      <w:pPr>
        <w:pStyle w:val="BodyText"/>
        <w:spacing w:line="256" w:lineRule="auto"/>
        <w:ind w:right="130" w:firstLine="420"/>
        <w:jc w:val="both"/>
      </w:pPr>
      <w:r>
        <w:rPr>
          <w:rFonts w:ascii="Times New Roman" w:hAnsi="Times New Roman" w:cs="Times New Roman" w:eastAsia="Times New Roman" w:hint="default"/>
          <w:w w:val="95"/>
        </w:rPr>
        <w:t>a</w:t>
      </w:r>
      <w:r>
        <w:rPr>
          <w:w w:val="95"/>
        </w:rPr>
        <w:t>、出售日或重分类日距离该项投资到期日或赎回日较近</w:t>
      </w:r>
      <w:r>
        <w:rPr>
          <w:rFonts w:ascii="Times New Roman" w:hAnsi="Times New Roman" w:cs="Times New Roman" w:eastAsia="Times New Roman" w:hint="default"/>
          <w:w w:val="95"/>
        </w:rPr>
        <w:t>(</w:t>
      </w:r>
      <w:r>
        <w:rPr>
          <w:w w:val="95"/>
        </w:rPr>
        <w:t>如到期前三个月内</w:t>
      </w:r>
      <w:r>
        <w:rPr>
          <w:rFonts w:ascii="Times New Roman" w:hAnsi="Times New Roman" w:cs="Times New Roman" w:eastAsia="Times New Roman" w:hint="default"/>
          <w:w w:val="95"/>
        </w:rPr>
        <w:t>)</w:t>
      </w:r>
      <w:r>
        <w:rPr>
          <w:w w:val="95"/>
        </w:rPr>
        <w:t>，且市场利率变化对该项</w:t>
      </w:r>
      <w:r>
        <w:rPr>
          <w:w w:val="99"/>
        </w:rPr>
        <w:t> </w:t>
      </w:r>
      <w:r>
        <w:rPr/>
        <w:t>投资的公允价值没有显著影响。</w:t>
      </w:r>
    </w:p>
    <w:p>
      <w:pPr>
        <w:pStyle w:val="BodyText"/>
        <w:spacing w:line="256" w:lineRule="auto" w:before="22"/>
        <w:ind w:left="532" w:right="0"/>
        <w:jc w:val="left"/>
      </w:pPr>
      <w:r>
        <w:rPr>
          <w:rFonts w:ascii="Times New Roman" w:hAnsi="Times New Roman" w:cs="Times New Roman" w:eastAsia="Times New Roman" w:hint="default"/>
        </w:rPr>
        <w:t>b</w:t>
      </w:r>
      <w:r>
        <w:rPr/>
        <w:t>、根据合同约定的偿付方式，企业已收回几乎所有初始本金。</w:t>
      </w:r>
      <w:r>
        <w:rPr>
          <w:w w:val="99"/>
        </w:rPr>
        <w:t> </w:t>
      </w:r>
      <w:r>
        <w:rPr>
          <w:rFonts w:ascii="Times New Roman" w:hAnsi="Times New Roman" w:cs="Times New Roman" w:eastAsia="Times New Roman" w:hint="default"/>
        </w:rPr>
        <w:t>c</w:t>
      </w:r>
      <w:r>
        <w:rPr/>
        <w:t>、出售或重分类是由于企业无法控制、预期不会重复发生且难以合理预计的独立事件所引起。</w:t>
      </w:r>
      <w:r>
        <w:rPr>
          <w:w w:val="99"/>
        </w:rPr>
        <w:t> </w:t>
      </w:r>
      <w:r>
        <w:rPr>
          <w:rFonts w:ascii="Times New Roman" w:hAnsi="Times New Roman" w:cs="Times New Roman" w:eastAsia="Times New Roman" w:hint="default"/>
        </w:rPr>
        <w:t>4</w:t>
      </w:r>
      <w:r>
        <w:rPr/>
        <w:t>）可供出售金融资产</w:t>
      </w:r>
      <w:r>
        <w:rPr>
          <w:w w:val="99"/>
        </w:rPr>
        <w:t> </w:t>
      </w:r>
      <w:r>
        <w:rPr>
          <w:w w:val="95"/>
        </w:rPr>
        <w:t>可供出售金融资产，是指初始确认时即指定为可供出售的非衍生金融资产，以及除其他金融资产类别</w:t>
      </w:r>
      <w:r>
        <w:rPr/>
      </w:r>
    </w:p>
    <w:p>
      <w:pPr>
        <w:pStyle w:val="BodyText"/>
        <w:spacing w:line="273" w:lineRule="auto" w:before="22"/>
        <w:ind w:left="532" w:right="0" w:hanging="420"/>
        <w:jc w:val="left"/>
      </w:pPr>
      <w:r>
        <w:rPr/>
        <w:t>以外的金融资产。</w:t>
      </w:r>
      <w:r>
        <w:rPr>
          <w:w w:val="99"/>
        </w:rPr>
        <w:t> </w:t>
      </w:r>
      <w:r>
        <w:rPr>
          <w:w w:val="95"/>
        </w:rPr>
        <w:t>本公司对可供出售金融资产，在取得时按公允价值（扣除已宣告但尚未发放的现金股利或已到付息期</w:t>
      </w:r>
      <w:r>
        <w:rPr/>
      </w:r>
    </w:p>
    <w:p>
      <w:pPr>
        <w:pStyle w:val="BodyText"/>
        <w:spacing w:line="273" w:lineRule="auto"/>
        <w:ind w:right="130"/>
        <w:jc w:val="both"/>
      </w:pPr>
      <w:r>
        <w:rPr>
          <w:w w:val="95"/>
        </w:rPr>
        <w:t>但尚未领取的债券利息）和相关交易费用之和作为初始确认金额。持有期间将取得的利息或现金股利确认</w:t>
      </w:r>
      <w:r>
        <w:rPr>
          <w:spacing w:val="40"/>
          <w:w w:val="95"/>
        </w:rPr>
        <w:t> </w:t>
      </w:r>
      <w:r>
        <w:rPr>
          <w:spacing w:val="40"/>
          <w:w w:val="95"/>
        </w:rPr>
      </w:r>
      <w:r>
        <w:rPr>
          <w:w w:val="95"/>
        </w:rPr>
        <w:t>为投资收益。可供出售金融资产的公允价值变动形成的利得或损失，除减值损失和外币货币性金融资产形</w:t>
      </w:r>
      <w:r>
        <w:rPr>
          <w:spacing w:val="38"/>
          <w:w w:val="95"/>
        </w:rPr>
        <w:t> </w:t>
      </w:r>
      <w:r>
        <w:rPr>
          <w:spacing w:val="38"/>
          <w:w w:val="95"/>
        </w:rPr>
      </w:r>
      <w:r>
        <w:rPr>
          <w:w w:val="95"/>
        </w:rPr>
        <w:t>成的汇兑差额外，直接计入其他综合收益。处置可供出售金融资产时，将取得的价款与该金融资产账面价</w:t>
      </w:r>
      <w:r>
        <w:rPr>
          <w:spacing w:val="40"/>
          <w:w w:val="95"/>
        </w:rPr>
        <w:t> </w:t>
      </w:r>
      <w:r>
        <w:rPr>
          <w:spacing w:val="40"/>
          <w:w w:val="95"/>
        </w:rPr>
      </w:r>
      <w:r>
        <w:rPr>
          <w:w w:val="95"/>
        </w:rPr>
        <w:t>值之间的差额，计入投资损益；同时，将原直接计入其他综合收益的公允价值变动累计额对应处置部分的</w:t>
      </w:r>
      <w:r>
        <w:rPr>
          <w:spacing w:val="43"/>
          <w:w w:val="95"/>
        </w:rPr>
        <w:t> </w:t>
      </w:r>
      <w:r>
        <w:rPr>
          <w:spacing w:val="43"/>
          <w:w w:val="95"/>
        </w:rPr>
      </w:r>
      <w:r>
        <w:rPr/>
        <w:t>金额转出，计入投资损益。</w:t>
      </w:r>
    </w:p>
    <w:p>
      <w:pPr>
        <w:pStyle w:val="BodyText"/>
        <w:spacing w:line="273" w:lineRule="auto"/>
        <w:ind w:right="135" w:firstLine="420"/>
        <w:jc w:val="both"/>
      </w:pPr>
      <w:r>
        <w:rPr>
          <w:w w:val="95"/>
        </w:rPr>
        <w:t>本公司对在活跃市场中没有报价且其公允价值不能可靠计量的权益工具投资，以及与该权益工具挂钩</w:t>
      </w:r>
      <w:r>
        <w:rPr>
          <w:w w:val="99"/>
        </w:rPr>
        <w:t> </w:t>
      </w:r>
      <w:r>
        <w:rPr/>
        <w:t>并须通过交付该权益工具结算的衍生金融资产，按照成本计量。</w:t>
      </w:r>
    </w:p>
    <w:p>
      <w:pPr>
        <w:pStyle w:val="BodyText"/>
        <w:spacing w:line="256" w:lineRule="auto"/>
        <w:ind w:left="532" w:right="417"/>
        <w:jc w:val="left"/>
      </w:pPr>
      <w:r>
        <w:rPr>
          <w:rFonts w:ascii="Times New Roman" w:hAnsi="Times New Roman" w:cs="Times New Roman" w:eastAsia="Times New Roman" w:hint="default"/>
        </w:rPr>
        <w:t>5</w:t>
      </w:r>
      <w:r>
        <w:rPr/>
        <w:t>）其他金融负债</w:t>
      </w:r>
      <w:r>
        <w:rPr>
          <w:w w:val="99"/>
        </w:rPr>
        <w:t> </w:t>
      </w:r>
      <w:r>
        <w:rPr>
          <w:w w:val="95"/>
        </w:rPr>
        <w:t>按其公允价值和相关交易费用之和作为初始确认金额。采用摊余成本进行后续计量。</w:t>
      </w:r>
      <w:r>
        <w:rPr/>
      </w:r>
    </w:p>
    <w:p>
      <w:pPr>
        <w:spacing w:line="256" w:lineRule="auto" w:before="22"/>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公司发生金融资产转移时，如已将金融资产所有权上几乎所有的风险和报酬转移给转入方，则终止确</w:t>
      </w:r>
      <w:r>
        <w:rPr>
          <w:rFonts w:ascii="宋体" w:hAnsi="宋体" w:cs="宋体" w:eastAsia="宋体" w:hint="default"/>
          <w:sz w:val="21"/>
          <w:szCs w:val="21"/>
        </w:rPr>
      </w:r>
    </w:p>
    <w:p>
      <w:pPr>
        <w:pStyle w:val="BodyText"/>
        <w:spacing w:line="273" w:lineRule="auto" w:before="22"/>
        <w:ind w:left="532" w:right="0" w:hanging="420"/>
        <w:jc w:val="left"/>
      </w:pPr>
      <w:r>
        <w:rPr/>
        <w:t>认该金融资产；如保留了金融资产所有权上几乎所有的风险和报酬的，则不终止确认该金融资产。</w:t>
      </w:r>
      <w:r>
        <w:rPr>
          <w:w w:val="99"/>
        </w:rPr>
        <w:t> </w:t>
      </w:r>
      <w:r>
        <w:rPr>
          <w:w w:val="95"/>
        </w:rPr>
        <w:t>在判断金融资产转移是否满足上述金融资产终止确认条件时，采用实质重于形式的原则。公司将金融</w:t>
      </w:r>
      <w:r>
        <w:rPr/>
      </w:r>
    </w:p>
    <w:p>
      <w:pPr>
        <w:pStyle w:val="BodyText"/>
        <w:spacing w:line="273" w:lineRule="auto"/>
        <w:ind w:right="132"/>
        <w:jc w:val="both"/>
      </w:pPr>
      <w:r>
        <w:rPr>
          <w:w w:val="95"/>
        </w:rPr>
        <w:t>资产转移区分为金融资产整体转移和部分转移。金融资产整体转移满足终止确认条件的，将下列两项金额</w:t>
      </w:r>
      <w:r>
        <w:rPr>
          <w:spacing w:val="40"/>
          <w:w w:val="95"/>
        </w:rPr>
        <w:t> </w:t>
      </w:r>
      <w:r>
        <w:rPr>
          <w:spacing w:val="40"/>
          <w:w w:val="95"/>
        </w:rPr>
      </w:r>
      <w:r>
        <w:rPr/>
        <w:t>的差额计入当期损益：</w:t>
      </w:r>
    </w:p>
    <w:p>
      <w:pPr>
        <w:pStyle w:val="BodyText"/>
        <w:spacing w:line="240" w:lineRule="auto"/>
        <w:ind w:left="532" w:right="0"/>
        <w:jc w:val="left"/>
      </w:pPr>
      <w:r>
        <w:rPr>
          <w:rFonts w:ascii="Times New Roman" w:hAnsi="Times New Roman" w:cs="Times New Roman" w:eastAsia="Times New Roman" w:hint="default"/>
        </w:rPr>
        <w:t>1</w:t>
      </w:r>
      <w:r>
        <w:rPr/>
        <w:t>）所转移金融资产的账面价值；</w:t>
      </w:r>
    </w:p>
    <w:p>
      <w:pPr>
        <w:pStyle w:val="BodyText"/>
        <w:spacing w:line="256" w:lineRule="auto" w:before="21"/>
        <w:ind w:right="133" w:firstLine="420"/>
        <w:jc w:val="both"/>
      </w:pPr>
      <w:r>
        <w:rPr>
          <w:rFonts w:ascii="Times New Roman" w:hAnsi="Times New Roman" w:cs="Times New Roman" w:eastAsia="Times New Roman" w:hint="default"/>
          <w:spacing w:val="2"/>
          <w:w w:val="95"/>
        </w:rPr>
        <w:t>2</w:t>
      </w:r>
      <w:r>
        <w:rPr>
          <w:spacing w:val="2"/>
          <w:w w:val="95"/>
        </w:rPr>
        <w:t>）因转移而收到的对价，与原直接计入所有者权益的公允价值变动累计额（涉及转移的金融资产为</w:t>
      </w:r>
      <w:r>
        <w:rPr>
          <w:spacing w:val="-82"/>
          <w:w w:val="95"/>
        </w:rPr>
        <w:t> </w:t>
      </w:r>
      <w:r>
        <w:rPr>
          <w:spacing w:val="-82"/>
          <w:w w:val="95"/>
        </w:rPr>
      </w:r>
      <w:r>
        <w:rPr/>
        <w:t>可供出售金融资产的情形）之和。</w:t>
      </w:r>
    </w:p>
    <w:p>
      <w:pPr>
        <w:spacing w:after="0" w:line="256" w:lineRule="auto"/>
        <w:jc w:val="both"/>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BodyText"/>
        <w:spacing w:line="273" w:lineRule="auto" w:before="34"/>
        <w:ind w:right="115" w:firstLine="420"/>
        <w:jc w:val="both"/>
      </w:pPr>
      <w:r>
        <w:rPr>
          <w:w w:val="95"/>
        </w:rPr>
        <w:t>金融资产部分转移满足终止确认条件的，将所转移金融资产整体的账面价值，在终止确认部分和未终</w:t>
      </w:r>
      <w:r>
        <w:rPr>
          <w:w w:val="99"/>
        </w:rPr>
        <w:t> </w:t>
      </w:r>
      <w:r>
        <w:rPr/>
        <w:t>止确认部分之间，按照各自的相对公允价值进行分摊，并将下列两项金额的差额计入当期损益：</w:t>
      </w:r>
    </w:p>
    <w:p>
      <w:pPr>
        <w:pStyle w:val="BodyText"/>
        <w:spacing w:line="240" w:lineRule="auto"/>
        <w:ind w:left="532" w:right="0"/>
        <w:jc w:val="left"/>
      </w:pPr>
      <w:r>
        <w:rPr>
          <w:rFonts w:ascii="Times New Roman" w:hAnsi="Times New Roman" w:cs="Times New Roman" w:eastAsia="Times New Roman" w:hint="default"/>
        </w:rPr>
        <w:t>1</w:t>
      </w:r>
      <w:r>
        <w:rPr/>
        <w:t>）终止确认部分的账面价值；</w:t>
      </w:r>
    </w:p>
    <w:p>
      <w:pPr>
        <w:pStyle w:val="BodyText"/>
        <w:spacing w:line="256" w:lineRule="auto" w:before="21"/>
        <w:ind w:right="113" w:firstLine="420"/>
        <w:jc w:val="both"/>
      </w:pPr>
      <w:r>
        <w:rPr>
          <w:rFonts w:ascii="Times New Roman" w:hAnsi="Times New Roman" w:cs="Times New Roman" w:eastAsia="Times New Roman" w:hint="default"/>
          <w:spacing w:val="2"/>
          <w:w w:val="95"/>
        </w:rPr>
        <w:t>2</w:t>
      </w:r>
      <w:r>
        <w:rPr>
          <w:spacing w:val="2"/>
          <w:w w:val="95"/>
        </w:rPr>
        <w:t>）终止确认部分的对价，与原直接计入所有者权益的公允价值变动累计额中对应终止确认部分的金</w:t>
      </w:r>
      <w:r>
        <w:rPr>
          <w:spacing w:val="-82"/>
          <w:w w:val="95"/>
        </w:rPr>
        <w:t> </w:t>
      </w:r>
      <w:r>
        <w:rPr>
          <w:spacing w:val="-82"/>
          <w:w w:val="95"/>
        </w:rPr>
      </w:r>
      <w:r>
        <w:rPr/>
        <w:t>额（涉及转移的金融资产为可供出售金融资产的情形）之和。</w:t>
      </w:r>
    </w:p>
    <w:p>
      <w:pPr>
        <w:pStyle w:val="BodyText"/>
        <w:spacing w:line="240" w:lineRule="auto" w:before="22"/>
        <w:ind w:left="532" w:right="0"/>
        <w:jc w:val="left"/>
      </w:pPr>
      <w:r>
        <w:rPr/>
        <w:t>金融资产转移不满足终止确认条件的，继续确认该金融资产，所收到的对价确认为一项金融负债。</w:t>
      </w:r>
    </w:p>
    <w:p>
      <w:pPr>
        <w:spacing w:line="256"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w w:val="95"/>
          <w:sz w:val="21"/>
          <w:szCs w:val="21"/>
        </w:rPr>
        <w:t>金融负债的的现时义务全部或部分已经解除的，则终止确认该金融负债或其一部分；本公司若与债权</w:t>
      </w:r>
      <w:r>
        <w:rPr>
          <w:rFonts w:ascii="宋体" w:hAnsi="宋体" w:cs="宋体" w:eastAsia="宋体" w:hint="default"/>
          <w:sz w:val="21"/>
          <w:szCs w:val="21"/>
        </w:rPr>
      </w:r>
    </w:p>
    <w:p>
      <w:pPr>
        <w:pStyle w:val="BodyText"/>
        <w:spacing w:line="273" w:lineRule="auto" w:before="22"/>
        <w:ind w:right="112"/>
        <w:jc w:val="both"/>
      </w:pPr>
      <w:r>
        <w:rPr>
          <w:w w:val="95"/>
        </w:rPr>
        <w:t>人签定协议，以承担新金融负债方式替换现存金融负债，且新金融负债与现存金融负债的合同条款实质上</w:t>
      </w:r>
      <w:r>
        <w:rPr>
          <w:spacing w:val="40"/>
          <w:w w:val="95"/>
        </w:rPr>
        <w:t> </w:t>
      </w:r>
      <w:r>
        <w:rPr>
          <w:spacing w:val="40"/>
          <w:w w:val="95"/>
        </w:rPr>
      </w:r>
      <w:r>
        <w:rPr/>
        <w:t>不同的，则终止确认现存金融负债，并同时确认新金融负债。</w:t>
      </w:r>
    </w:p>
    <w:p>
      <w:pPr>
        <w:pStyle w:val="BodyText"/>
        <w:spacing w:line="273" w:lineRule="auto"/>
        <w:ind w:right="115" w:firstLine="420"/>
        <w:jc w:val="both"/>
      </w:pPr>
      <w:r>
        <w:rPr>
          <w:w w:val="95"/>
        </w:rPr>
        <w:t>对现存金融负债全部或部分合同条款作出实质性修改的，则终止确认现存金融负债或其一部分，同时</w:t>
      </w:r>
      <w:r>
        <w:rPr>
          <w:w w:val="99"/>
        </w:rPr>
        <w:t> </w:t>
      </w:r>
      <w:r>
        <w:rPr/>
        <w:t>将修改条款后的金融负债确认为一项新金融负债。</w:t>
      </w:r>
    </w:p>
    <w:p>
      <w:pPr>
        <w:pStyle w:val="BodyText"/>
        <w:spacing w:line="273" w:lineRule="auto"/>
        <w:ind w:right="115" w:firstLine="420"/>
        <w:jc w:val="both"/>
      </w:pPr>
      <w:r>
        <w:rPr>
          <w:w w:val="95"/>
        </w:rPr>
        <w:t>金融负债全部或部分终止确认时，终止确认的金融负债账面价值与支付对价（包括转出的非现金资产</w:t>
      </w:r>
      <w:r>
        <w:rPr>
          <w:w w:val="99"/>
        </w:rPr>
        <w:t> </w:t>
      </w:r>
      <w:r>
        <w:rPr/>
        <w:t>或承担的新金融负债）之间的差额，计入当期损益。</w:t>
      </w:r>
    </w:p>
    <w:p>
      <w:pPr>
        <w:pStyle w:val="BodyText"/>
        <w:spacing w:line="273" w:lineRule="auto"/>
        <w:ind w:right="112" w:firstLine="420"/>
        <w:jc w:val="both"/>
      </w:pPr>
      <w:r>
        <w:rPr>
          <w:w w:val="95"/>
        </w:rPr>
        <w:t>本公司若回购部分金融负债的，在回购日按照继续确认部分与终止确认部分的相对公允价值，将该金</w:t>
      </w:r>
      <w:r>
        <w:rPr>
          <w:w w:val="99"/>
        </w:rPr>
        <w:t> </w:t>
      </w:r>
      <w:r>
        <w:rPr>
          <w:w w:val="95"/>
        </w:rPr>
        <w:t>融负债整体的账面价值进行分配。分配给终止确认部分的账面价值与支付的对价（包括转出的非现金资产</w:t>
      </w:r>
      <w:r>
        <w:rPr>
          <w:spacing w:val="36"/>
          <w:w w:val="95"/>
        </w:rPr>
        <w:t> </w:t>
      </w:r>
      <w:r>
        <w:rPr>
          <w:spacing w:val="36"/>
          <w:w w:val="95"/>
        </w:rPr>
      </w:r>
      <w:r>
        <w:rPr/>
        <w:t>或承担的新金融负债）之间的差额，计入当期损益。</w:t>
      </w:r>
    </w:p>
    <w:p>
      <w:pPr>
        <w:spacing w:line="256"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本公司采用公允价值计量的金融资产和金融负债存在活跃市场的金融资产或金融负债，以活跃市场的</w:t>
      </w:r>
      <w:r>
        <w:rPr>
          <w:rFonts w:ascii="宋体" w:hAnsi="宋体" w:cs="宋体" w:eastAsia="宋体" w:hint="default"/>
          <w:sz w:val="21"/>
          <w:szCs w:val="21"/>
        </w:rPr>
      </w:r>
    </w:p>
    <w:p>
      <w:pPr>
        <w:pStyle w:val="BodyText"/>
        <w:spacing w:line="273" w:lineRule="auto" w:before="22"/>
        <w:ind w:right="110"/>
        <w:jc w:val="both"/>
      </w:pPr>
      <w:r>
        <w:rPr>
          <w:w w:val="95"/>
        </w:rPr>
        <w:t>报价确定其公允价值；不存在活跃市场的金融资产或金融负债，采用估值技术（包括参考熟悉情况并自愿</w:t>
      </w:r>
      <w:r>
        <w:rPr>
          <w:spacing w:val="40"/>
          <w:w w:val="95"/>
        </w:rPr>
        <w:t> </w:t>
      </w:r>
      <w:r>
        <w:rPr>
          <w:spacing w:val="40"/>
          <w:w w:val="95"/>
        </w:rPr>
      </w:r>
      <w:r>
        <w:rPr>
          <w:w w:val="95"/>
        </w:rPr>
        <w:t>交易的各方最近进行的市场交易中使用的价格、参照实质上相同的其他金融工具的当前公允价值、现金流</w:t>
      </w:r>
      <w:r>
        <w:rPr>
          <w:spacing w:val="40"/>
          <w:w w:val="95"/>
        </w:rPr>
        <w:t> </w:t>
      </w:r>
      <w:r>
        <w:rPr>
          <w:spacing w:val="40"/>
          <w:w w:val="95"/>
        </w:rPr>
      </w:r>
      <w:r>
        <w:rPr>
          <w:w w:val="95"/>
        </w:rPr>
        <w:t>量折现法和期权定价模型等）确定其公允价值；初始取得或衍生的金融资产或承担的金融负债，以市场交</w:t>
      </w:r>
      <w:r>
        <w:rPr>
          <w:spacing w:val="43"/>
          <w:w w:val="95"/>
        </w:rPr>
        <w:t> </w:t>
      </w:r>
      <w:r>
        <w:rPr>
          <w:spacing w:val="43"/>
          <w:w w:val="95"/>
        </w:rPr>
      </w:r>
      <w:r>
        <w:rPr/>
        <w:t>易价格作为确定其公允价值的基础。</w:t>
      </w:r>
    </w:p>
    <w:p>
      <w:pPr>
        <w:spacing w:line="256" w:lineRule="auto" w:before="7"/>
        <w:ind w:left="532" w:right="11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4"/>
          <w:sz w:val="21"/>
          <w:szCs w:val="21"/>
        </w:rPr>
        <w:t>资产负债表日对以公允价值计量且其变动计入当期损益的金融资产以外的金融资产的账面价值进行</w:t>
      </w:r>
    </w:p>
    <w:p>
      <w:pPr>
        <w:pStyle w:val="BodyText"/>
        <w:spacing w:line="273" w:lineRule="auto" w:before="22"/>
        <w:ind w:left="532" w:right="2753" w:hanging="420"/>
        <w:jc w:val="left"/>
      </w:pPr>
      <w:r>
        <w:rPr>
          <w:w w:val="95"/>
        </w:rPr>
        <w:t>检查，如有客观证据表明该金融资产发生减值的，计提减值准备。</w:t>
      </w:r>
      <w:r>
        <w:rPr>
          <w:spacing w:val="89"/>
          <w:w w:val="95"/>
        </w:rPr>
        <w:t> </w:t>
      </w:r>
      <w:r>
        <w:rPr>
          <w:spacing w:val="89"/>
          <w:w w:val="95"/>
        </w:rPr>
      </w:r>
      <w:r>
        <w:rPr/>
        <w:t>金融资产发生减值的客观证据，包括但不限于：</w:t>
      </w:r>
      <w:r>
        <w:rPr>
          <w:w w:val="99"/>
        </w:rPr>
        <w:t> </w:t>
      </w:r>
      <w:r>
        <w:rPr>
          <w:rFonts w:ascii="Times New Roman" w:hAnsi="Times New Roman" w:cs="Times New Roman" w:eastAsia="Times New Roman" w:hint="default"/>
        </w:rPr>
        <w:t>1</w:t>
      </w:r>
      <w:r>
        <w:rPr/>
        <w:t>）发行方或债务人发生严重财务困难；</w:t>
      </w:r>
    </w:p>
    <w:p>
      <w:pPr>
        <w:pStyle w:val="BodyText"/>
        <w:spacing w:line="279" w:lineRule="exact" w:before="0"/>
        <w:ind w:left="532" w:right="0"/>
        <w:jc w:val="left"/>
      </w:pP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21"/>
        <w:ind w:left="532" w:right="0"/>
        <w:jc w:val="left"/>
      </w:pP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21"/>
        <w:ind w:left="532" w:right="0"/>
        <w:jc w:val="left"/>
      </w:pPr>
      <w:r>
        <w:rPr>
          <w:rFonts w:ascii="Times New Roman" w:hAnsi="Times New Roman" w:cs="Times New Roman" w:eastAsia="Times New Roman" w:hint="default"/>
        </w:rPr>
        <w:t>4</w:t>
      </w:r>
      <w:r>
        <w:rPr/>
        <w:t>）债务人很可能倒闭或进行其他财务重组；</w:t>
      </w:r>
    </w:p>
    <w:p>
      <w:pPr>
        <w:pStyle w:val="BodyText"/>
        <w:spacing w:line="240" w:lineRule="auto" w:before="21"/>
        <w:ind w:left="532" w:right="0"/>
        <w:jc w:val="left"/>
      </w:pPr>
      <w:r>
        <w:rPr>
          <w:rFonts w:ascii="Times New Roman" w:hAnsi="Times New Roman" w:cs="Times New Roman" w:eastAsia="Times New Roman" w:hint="default"/>
        </w:rPr>
        <w:t>5</w:t>
      </w:r>
      <w:r>
        <w:rPr/>
        <w:t>）因发行方发生重大财务困难，该金融资产无法在活跃市场继续交易；</w:t>
      </w:r>
    </w:p>
    <w:p>
      <w:pPr>
        <w:pStyle w:val="BodyText"/>
        <w:spacing w:line="266" w:lineRule="auto" w:before="21"/>
        <w:ind w:right="110" w:firstLine="420"/>
        <w:jc w:val="both"/>
      </w:pPr>
      <w:r>
        <w:rPr>
          <w:rFonts w:ascii="Times New Roman" w:hAnsi="Times New Roman" w:cs="Times New Roman" w:eastAsia="Times New Roman" w:hint="default"/>
          <w:spacing w:val="2"/>
          <w:w w:val="95"/>
        </w:rPr>
        <w:t>6</w:t>
      </w:r>
      <w:r>
        <w:rPr>
          <w:spacing w:val="2"/>
          <w:w w:val="95"/>
        </w:rPr>
        <w:t>）无法辨认一组金融资产中的某项资产的现金流量是否已经减少，但根据公开的数据对其进行总体</w:t>
      </w:r>
      <w:r>
        <w:rPr>
          <w:spacing w:val="-82"/>
          <w:w w:val="95"/>
        </w:rPr>
        <w:t> </w:t>
      </w:r>
      <w:r>
        <w:rPr>
          <w:spacing w:val="-82"/>
          <w:w w:val="95"/>
        </w:rPr>
      </w:r>
      <w:r>
        <w:rPr>
          <w:w w:val="95"/>
        </w:rPr>
        <w:t>评价后发现，该组金融资产自初始确认以来的预计未来现金流量确已减少且可计量，如该组金融资产的债</w:t>
      </w:r>
      <w:r>
        <w:rPr>
          <w:spacing w:val="40"/>
          <w:w w:val="95"/>
        </w:rPr>
        <w:t> </w:t>
      </w:r>
      <w:r>
        <w:rPr>
          <w:spacing w:val="40"/>
          <w:w w:val="95"/>
        </w:rPr>
      </w:r>
      <w:r>
        <w:rPr>
          <w:w w:val="95"/>
        </w:rPr>
        <w:t>务人支付能力逐步恶化，或债务人所在国家或地区失业率提高、担保物在其所在地区的价格明显下降、所</w:t>
      </w:r>
      <w:r>
        <w:rPr>
          <w:spacing w:val="43"/>
          <w:w w:val="95"/>
        </w:rPr>
        <w:t> </w:t>
      </w:r>
      <w:r>
        <w:rPr>
          <w:spacing w:val="43"/>
          <w:w w:val="95"/>
        </w:rPr>
      </w:r>
      <w:r>
        <w:rPr/>
        <w:t>处行业不景气等；</w:t>
      </w:r>
    </w:p>
    <w:p>
      <w:pPr>
        <w:pStyle w:val="BodyText"/>
        <w:spacing w:line="256" w:lineRule="auto" w:before="14"/>
        <w:ind w:right="113" w:firstLine="420"/>
        <w:jc w:val="both"/>
      </w:pPr>
      <w:r>
        <w:rPr>
          <w:rFonts w:ascii="Times New Roman" w:hAnsi="Times New Roman" w:cs="Times New Roman" w:eastAsia="Times New Roman" w:hint="default"/>
          <w:spacing w:val="2"/>
          <w:w w:val="95"/>
        </w:rPr>
        <w:t>7</w:t>
      </w:r>
      <w:r>
        <w:rPr>
          <w:spacing w:val="2"/>
          <w:w w:val="95"/>
        </w:rPr>
        <w:t>）权益工具发行方经营所处的技术、市场、经济或法律环境等发生重大不利变化，使权益工具投资</w:t>
      </w:r>
      <w:r>
        <w:rPr>
          <w:spacing w:val="-82"/>
          <w:w w:val="95"/>
        </w:rPr>
        <w:t> </w:t>
      </w:r>
      <w:r>
        <w:rPr>
          <w:spacing w:val="-82"/>
          <w:w w:val="95"/>
        </w:rPr>
      </w:r>
      <w:r>
        <w:rPr/>
        <w:t>人可能无法收回投资成本；</w:t>
      </w:r>
    </w:p>
    <w:p>
      <w:pPr>
        <w:pStyle w:val="BodyText"/>
        <w:spacing w:line="261" w:lineRule="auto" w:before="22"/>
        <w:ind w:left="532" w:right="3974"/>
        <w:jc w:val="left"/>
      </w:pPr>
      <w:r>
        <w:rPr>
          <w:rFonts w:ascii="Times New Roman" w:hAnsi="Times New Roman" w:cs="Times New Roman" w:eastAsia="Times New Roman" w:hint="default"/>
          <w:w w:val="95"/>
        </w:rPr>
        <w:t>8</w:t>
      </w:r>
      <w:r>
        <w:rPr>
          <w:w w:val="95"/>
        </w:rPr>
        <w:t>）权益工具投资的公允价值发生严重或非暂时性下跌；</w:t>
      </w:r>
      <w:r>
        <w:rPr>
          <w:spacing w:val="44"/>
          <w:w w:val="95"/>
        </w:rPr>
        <w:t> </w:t>
      </w:r>
      <w:r>
        <w:rPr>
          <w:spacing w:val="44"/>
          <w:w w:val="95"/>
        </w:rPr>
      </w:r>
      <w:r>
        <w:rPr/>
        <w:t>金融资产的具体减值方法如下：</w:t>
      </w:r>
      <w:r>
        <w:rPr>
          <w:w w:val="99"/>
        </w:rPr>
        <w:t> </w:t>
      </w:r>
      <w:r>
        <w:rPr>
          <w:rFonts w:ascii="Times New Roman" w:hAnsi="Times New Roman" w:cs="Times New Roman" w:eastAsia="Times New Roman" w:hint="default"/>
        </w:rPr>
        <w:t>a</w:t>
      </w:r>
      <w:r>
        <w:rPr/>
        <w:t>、可供出售金融资产的减值准备</w:t>
      </w:r>
      <w:r>
        <w:rPr>
          <w:w w:val="99"/>
        </w:rPr>
        <w:t> </w:t>
      </w:r>
      <w:r>
        <w:rPr>
          <w:rFonts w:ascii="Times New Roman" w:hAnsi="Times New Roman" w:cs="Times New Roman" w:eastAsia="Times New Roman" w:hint="default"/>
        </w:rPr>
        <w:t>a</w:t>
      </w:r>
      <w:r>
        <w:rPr/>
        <w:t>、可供出售金融资产的减值准备</w:t>
      </w:r>
    </w:p>
    <w:p>
      <w:pPr>
        <w:pStyle w:val="BodyText"/>
        <w:spacing w:line="273" w:lineRule="auto" w:before="0"/>
        <w:ind w:right="110" w:firstLine="420"/>
        <w:jc w:val="both"/>
      </w:pPr>
      <w:r>
        <w:rPr>
          <w:w w:val="95"/>
        </w:rPr>
        <w:t>本公司于资产负债表日对各项可供出售权益工具投资单独进行检查，若该权益工具投资于资产负债表</w:t>
      </w:r>
      <w:r>
        <w:rPr>
          <w:w w:val="99"/>
        </w:rPr>
        <w:t> </w:t>
      </w:r>
      <w:r>
        <w:rPr/>
        <w:t>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w:t>
      </w:r>
    </w:p>
    <w:p>
      <w:pPr>
        <w:spacing w:after="0" w:line="273" w:lineRule="auto"/>
        <w:jc w:val="both"/>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56" w:lineRule="auto" w:before="34"/>
        <w:ind w:right="202"/>
        <w:jc w:val="left"/>
      </w:pPr>
      <w:r>
        <w:rPr>
          <w:w w:val="95"/>
        </w:rPr>
        <w:t>生减值；若该权益工具投资于资产负债表日的公允价值低于其成本超过</w:t>
      </w:r>
      <w:r>
        <w:rPr>
          <w:rFonts w:ascii="Times New Roman" w:hAnsi="Times New Roman" w:cs="Times New Roman" w:eastAsia="Times New Roman" w:hint="default"/>
          <w:w w:val="95"/>
        </w:rPr>
        <w:t>20%</w:t>
      </w:r>
      <w:r>
        <w:rPr>
          <w:w w:val="95"/>
        </w:rPr>
        <w:t>（含</w:t>
      </w:r>
      <w:r>
        <w:rPr>
          <w:rFonts w:ascii="Times New Roman" w:hAnsi="Times New Roman" w:cs="Times New Roman" w:eastAsia="Times New Roman" w:hint="default"/>
          <w:w w:val="95"/>
        </w:rPr>
        <w:t>20%</w:t>
      </w:r>
      <w:r>
        <w:rPr>
          <w:w w:val="95"/>
        </w:rPr>
        <w:t>）但尚未达到</w:t>
      </w:r>
      <w:r>
        <w:rPr>
          <w:rFonts w:ascii="Times New Roman" w:hAnsi="Times New Roman" w:cs="Times New Roman" w:eastAsia="Times New Roman" w:hint="default"/>
          <w:w w:val="95"/>
        </w:rPr>
        <w:t>50%</w:t>
      </w:r>
      <w:r>
        <w:rPr>
          <w:w w:val="95"/>
        </w:rPr>
        <w:t>的，</w:t>
      </w:r>
      <w:r>
        <w:rPr>
          <w:spacing w:val="50"/>
          <w:w w:val="95"/>
        </w:rPr>
        <w:t> </w:t>
      </w:r>
      <w:r>
        <w:rPr>
          <w:spacing w:val="50"/>
          <w:w w:val="95"/>
        </w:rPr>
      </w:r>
      <w:r>
        <w:rPr/>
        <w:t>本公司会综合考虑其他相关因素诸如价格波动率等，判断该权益工具投资是否发生减值。</w:t>
      </w:r>
    </w:p>
    <w:p>
      <w:pPr>
        <w:pStyle w:val="BodyText"/>
        <w:spacing w:line="261" w:lineRule="auto" w:before="22"/>
        <w:ind w:right="212" w:firstLine="420"/>
        <w:jc w:val="both"/>
      </w:pPr>
      <w:r>
        <w:rPr/>
        <w:t>上段所述</w:t>
      </w:r>
      <w:r>
        <w:rPr>
          <w:rFonts w:ascii="Times New Roman" w:hAnsi="Times New Roman" w:cs="Times New Roman" w:eastAsia="Times New Roman" w:hint="default"/>
        </w:rPr>
        <w:t>“</w:t>
      </w:r>
      <w:r>
        <w:rPr/>
        <w:t>成本</w:t>
      </w:r>
      <w:r>
        <w:rPr>
          <w:rFonts w:ascii="Times New Roman" w:hAnsi="Times New Roman" w:cs="Times New Roman" w:eastAsia="Times New Roman" w:hint="default"/>
        </w:rPr>
        <w:t>”</w:t>
      </w:r>
      <w:r>
        <w:rPr/>
        <w:t>按照可供出售权益工具投资的初始取得成本扣除已收回本金和已摊销金额、原已计入</w:t>
      </w:r>
      <w:r>
        <w:rPr>
          <w:w w:val="99"/>
        </w:rPr>
        <w:t> </w:t>
      </w:r>
      <w:r>
        <w:rPr>
          <w:w w:val="95"/>
        </w:rPr>
        <w:t>损益的减值损失确定；</w:t>
      </w:r>
      <w:r>
        <w:rPr>
          <w:rFonts w:ascii="Times New Roman" w:hAnsi="Times New Roman" w:cs="Times New Roman" w:eastAsia="Times New Roman" w:hint="default"/>
          <w:w w:val="95"/>
        </w:rPr>
        <w:t>“</w:t>
      </w:r>
      <w:r>
        <w:rPr>
          <w:w w:val="95"/>
        </w:rPr>
        <w:t>公允价值</w:t>
      </w:r>
      <w:r>
        <w:rPr>
          <w:rFonts w:ascii="Times New Roman" w:hAnsi="Times New Roman" w:cs="Times New Roman" w:eastAsia="Times New Roman" w:hint="default"/>
          <w:w w:val="95"/>
        </w:rPr>
        <w:t>”</w:t>
      </w:r>
      <w:r>
        <w:rPr>
          <w:w w:val="95"/>
        </w:rPr>
        <w:t>根据证券交易所期末收盘价确定，除非该项可供出售权益工具投资存在</w:t>
      </w:r>
      <w:r>
        <w:rPr>
          <w:spacing w:val="63"/>
          <w:w w:val="95"/>
        </w:rPr>
        <w:t> </w:t>
      </w:r>
      <w:r>
        <w:rPr>
          <w:spacing w:val="63"/>
          <w:w w:val="95"/>
        </w:rPr>
      </w:r>
      <w:r>
        <w:rPr>
          <w:w w:val="95"/>
        </w:rPr>
        <w:t>限售期。对于存在限售期的可供出售权益工具投资，按照证券交易所期末收盘价扣除市场参与者因承担指</w:t>
      </w:r>
      <w:r>
        <w:rPr>
          <w:spacing w:val="40"/>
          <w:w w:val="95"/>
        </w:rPr>
        <w:t> </w:t>
      </w:r>
      <w:r>
        <w:rPr>
          <w:spacing w:val="40"/>
          <w:w w:val="95"/>
        </w:rPr>
      </w:r>
      <w:r>
        <w:rPr/>
        <w:t>定期间内无法在公开市场上出售该权益工具的风险而要求获得的补偿金额后确定。</w:t>
      </w:r>
    </w:p>
    <w:p>
      <w:pPr>
        <w:pStyle w:val="BodyText"/>
        <w:spacing w:line="273" w:lineRule="auto" w:before="18"/>
        <w:ind w:right="210" w:firstLine="420"/>
        <w:jc w:val="both"/>
      </w:pPr>
      <w:r>
        <w:rPr>
          <w:w w:val="95"/>
        </w:rPr>
        <w:t>可供出售金融资产发生减值时，即使该金融资产没有终止确认，本公司将原直接计入其他综合收益的</w:t>
      </w:r>
      <w:r>
        <w:rPr>
          <w:w w:val="99"/>
        </w:rPr>
        <w:t> </w:t>
      </w:r>
      <w:r>
        <w:rPr>
          <w:w w:val="95"/>
        </w:rPr>
        <w:t>因公允价值下降形成的累计损失从其他综合收益转出，计入当期损益。该转出的累计损失，等于可供出售</w:t>
      </w:r>
      <w:r>
        <w:rPr>
          <w:spacing w:val="43"/>
          <w:w w:val="95"/>
        </w:rPr>
        <w:t> </w:t>
      </w:r>
      <w:r>
        <w:rPr>
          <w:spacing w:val="43"/>
          <w:w w:val="95"/>
        </w:rPr>
      </w:r>
      <w:r>
        <w:rPr>
          <w:w w:val="95"/>
        </w:rPr>
        <w:t>金融资产的初始取得成本扣除已收回本金和已摊余金额、当前公允价值和原已计入损益的减值损失后的余   </w:t>
      </w:r>
      <w:r>
        <w:rPr>
          <w:spacing w:val="39"/>
          <w:w w:val="95"/>
        </w:rPr>
        <w:t> </w:t>
      </w:r>
      <w:r>
        <w:rPr>
          <w:spacing w:val="39"/>
          <w:w w:val="95"/>
        </w:rPr>
      </w:r>
      <w:r>
        <w:rPr/>
        <w:t>额。</w:t>
      </w:r>
    </w:p>
    <w:p>
      <w:pPr>
        <w:pStyle w:val="BodyText"/>
        <w:spacing w:line="273" w:lineRule="auto"/>
        <w:ind w:right="212" w:firstLine="420"/>
        <w:jc w:val="both"/>
      </w:pPr>
      <w:r>
        <w:rPr>
          <w:w w:val="95"/>
        </w:rPr>
        <w:t>对于已确认减值损失的可供出售债务工具，在随后的会计期间公允价值已上升且客观上与确认原减值</w:t>
      </w:r>
      <w:r>
        <w:rPr>
          <w:w w:val="99"/>
        </w:rPr>
        <w:t> </w:t>
      </w:r>
      <w:r>
        <w:rPr>
          <w:w w:val="95"/>
        </w:rPr>
        <w:t>损失后发生的事项有关的，原确认的减值损失予以转回计入当期损益；对于可供出售权益工具投资发生的</w:t>
      </w:r>
      <w:r>
        <w:rPr>
          <w:spacing w:val="40"/>
          <w:w w:val="95"/>
        </w:rPr>
        <w:t> </w:t>
      </w:r>
      <w:r>
        <w:rPr>
          <w:spacing w:val="40"/>
          <w:w w:val="95"/>
        </w:rPr>
      </w:r>
      <w:r>
        <w:rPr>
          <w:w w:val="95"/>
        </w:rPr>
        <w:t>减值损失，在该权益工具价值回升时通过权益转回；但在活跃市场中没有报价且其公允价值不能可靠计量</w:t>
      </w:r>
      <w:r>
        <w:rPr>
          <w:spacing w:val="40"/>
          <w:w w:val="95"/>
        </w:rPr>
        <w:t> </w:t>
      </w:r>
      <w:r>
        <w:rPr>
          <w:spacing w:val="40"/>
          <w:w w:val="95"/>
        </w:rPr>
      </w:r>
      <w:r>
        <w:rPr>
          <w:w w:val="95"/>
        </w:rPr>
        <w:t>的权益工具投资，或与该权益工具挂钩并须通过交付该权益工具结算的衍生金融资产发生的减值损失，不</w:t>
      </w:r>
      <w:r>
        <w:rPr>
          <w:spacing w:val="40"/>
          <w:w w:val="95"/>
        </w:rPr>
        <w:t> </w:t>
      </w:r>
      <w:r>
        <w:rPr>
          <w:spacing w:val="40"/>
          <w:w w:val="95"/>
        </w:rPr>
      </w:r>
      <w:r>
        <w:rPr/>
        <w:t>得转回。</w:t>
      </w:r>
    </w:p>
    <w:p>
      <w:pPr>
        <w:pStyle w:val="BodyText"/>
        <w:spacing w:line="256" w:lineRule="auto"/>
        <w:ind w:left="532" w:right="202"/>
        <w:jc w:val="left"/>
      </w:pPr>
      <w:r>
        <w:rPr>
          <w:rFonts w:ascii="Times New Roman" w:hAnsi="Times New Roman" w:cs="Times New Roman" w:eastAsia="Times New Roman" w:hint="default"/>
        </w:rPr>
        <w:t>b</w:t>
      </w:r>
      <w:r>
        <w:rPr/>
        <w:t>、持有至到期投资的减值准备</w:t>
      </w:r>
      <w:r>
        <w:rPr>
          <w:w w:val="99"/>
        </w:rPr>
        <w:t> </w:t>
      </w:r>
      <w:r>
        <w:rPr>
          <w:w w:val="95"/>
        </w:rPr>
        <w:t>对于持有至到期投资，有客观证据表明其发生了减值的，根据其账面价值与预计未来现金流量现值之</w:t>
      </w:r>
      <w:r>
        <w:rPr/>
      </w:r>
    </w:p>
    <w:p>
      <w:pPr>
        <w:pStyle w:val="BodyText"/>
        <w:spacing w:line="273" w:lineRule="auto" w:before="22"/>
        <w:ind w:right="202"/>
        <w:jc w:val="left"/>
      </w:pPr>
      <w:r>
        <w:rPr>
          <w:w w:val="95"/>
        </w:rPr>
        <w:t>间差额计算确认减值损失；计提后如有证据表明其价值已恢复，原确认的减值损失可予以转回，记入当期</w:t>
      </w:r>
      <w:r>
        <w:rPr>
          <w:spacing w:val="43"/>
          <w:w w:val="95"/>
        </w:rPr>
        <w:t> </w:t>
      </w:r>
      <w:r>
        <w:rPr>
          <w:spacing w:val="43"/>
          <w:w w:val="95"/>
        </w:rPr>
      </w:r>
      <w:r>
        <w:rPr/>
        <w:t>损益，但该转回的账面价值不超过假定不计提减值准备情况下该金融资产在转回日的摊余成本。</w:t>
      </w:r>
    </w:p>
    <w:p>
      <w:pPr>
        <w:spacing w:line="256" w:lineRule="auto" w:before="7"/>
        <w:ind w:left="532" w:right="2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w w:val="95"/>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40" w:lineRule="auto" w:before="22"/>
        <w:ind w:right="202"/>
        <w:jc w:val="left"/>
      </w:pPr>
      <w:r>
        <w:rPr/>
        <w:t>抵销后的净额在资产负债表内列示：</w:t>
      </w:r>
    </w:p>
    <w:p>
      <w:pPr>
        <w:pStyle w:val="BodyText"/>
        <w:spacing w:line="240" w:lineRule="auto" w:before="37"/>
        <w:ind w:left="532" w:right="202"/>
        <w:jc w:val="left"/>
      </w:pP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left="532" w:right="202"/>
        <w:jc w:val="left"/>
      </w:pP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7"/>
        <w:rPr>
          <w:rFonts w:ascii="宋体" w:hAnsi="宋体" w:cs="宋体" w:eastAsia="宋体" w:hint="default"/>
          <w:sz w:val="24"/>
          <w:szCs w:val="24"/>
        </w:rPr>
      </w:pPr>
    </w:p>
    <w:p>
      <w:pPr>
        <w:pStyle w:val="Heading4"/>
        <w:spacing w:line="240" w:lineRule="auto"/>
        <w:ind w:right="20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0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万元的应收账款和其他应收款， 确定为单项金额重大的应收款项。</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4"/>
        <w:ind w:right="20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信用风险特征</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0"/>
        <w:ind w:left="112" w:right="202"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9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2" w:right="6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4"/>
        <w:rPr>
          <w:rFonts w:ascii="宋体" w:hAnsi="宋体" w:cs="宋体" w:eastAsia="宋体" w:hint="default"/>
          <w:b/>
          <w:bCs/>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存货的分类</w:t>
      </w:r>
      <w:r>
        <w:rPr>
          <w:b w:val="0"/>
          <w:bCs w:val="0"/>
        </w:rPr>
      </w:r>
    </w:p>
    <w:p>
      <w:pPr>
        <w:pStyle w:val="BodyText"/>
        <w:spacing w:line="273" w:lineRule="auto" w:before="21"/>
        <w:ind w:right="110" w:firstLine="420"/>
        <w:jc w:val="both"/>
      </w:pPr>
      <w:r>
        <w:rPr>
          <w:w w:val="95"/>
        </w:rPr>
        <w:t>存货是指本公司在日常活动中持有以备出售的产成品或商品、处在生产过程中的在产品、在生产过程</w:t>
      </w:r>
      <w:r>
        <w:rPr>
          <w:w w:val="99"/>
        </w:rPr>
        <w:t> </w:t>
      </w:r>
      <w:r>
        <w:rPr>
          <w:w w:val="95"/>
        </w:rPr>
        <w:t>或提供劳务过程中耗用的材料和物料等。主要包括原材料、周转材料、委托加工材料、在产品、自制半成</w:t>
      </w:r>
      <w:r>
        <w:rPr>
          <w:spacing w:val="45"/>
          <w:w w:val="95"/>
        </w:rPr>
        <w:t> </w:t>
      </w:r>
      <w:r>
        <w:rPr>
          <w:spacing w:val="45"/>
          <w:w w:val="95"/>
        </w:rPr>
      </w:r>
      <w:r>
        <w:rPr/>
        <w:t>品、工程成本、库存商品等。</w:t>
      </w:r>
    </w:p>
    <w:p>
      <w:pPr>
        <w:pStyle w:val="BodyText"/>
        <w:spacing w:line="256" w:lineRule="auto"/>
        <w:ind w:left="532" w:right="0" w:hanging="420"/>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99"/>
        </w:rPr>
        <w:t> </w:t>
      </w:r>
      <w:r>
        <w:rPr>
          <w:w w:val="95"/>
        </w:rPr>
        <w:t>存货在取得时，按成本进行初始计量，包括采购成本、加工成本和其他成本。能直接对应工程成本项</w:t>
      </w:r>
      <w:r>
        <w:rPr/>
      </w:r>
    </w:p>
    <w:p>
      <w:pPr>
        <w:pStyle w:val="BodyText"/>
        <w:spacing w:line="273" w:lineRule="auto" w:before="22"/>
        <w:ind w:right="110"/>
        <w:jc w:val="both"/>
      </w:pPr>
      <w:r>
        <w:rPr>
          <w:w w:val="95"/>
        </w:rPr>
        <w:t>目的原材料、库存商品按个别计价法，其余按加权平均法；低值易耗品领用时采用一次摊销法；工程成本</w:t>
      </w:r>
      <w:r>
        <w:rPr>
          <w:spacing w:val="45"/>
          <w:w w:val="95"/>
        </w:rPr>
        <w:t> </w:t>
      </w:r>
      <w:r>
        <w:rPr>
          <w:spacing w:val="45"/>
          <w:w w:val="95"/>
        </w:rPr>
      </w:r>
      <w:r>
        <w:rPr/>
        <w:t>按工程结算进度相应结转成本。</w:t>
      </w:r>
    </w:p>
    <w:p>
      <w:pPr>
        <w:spacing w:line="256" w:lineRule="auto" w:before="7"/>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w w:val="95"/>
          <w:sz w:val="21"/>
          <w:szCs w:val="21"/>
        </w:rPr>
        <w:t>期末对存货进行全面清查后，按存货的成本与可变现净值孰低提取或调整存货跌价准备。产成品、库</w:t>
      </w:r>
      <w:r>
        <w:rPr>
          <w:rFonts w:ascii="宋体" w:hAnsi="宋体" w:cs="宋体" w:eastAsia="宋体" w:hint="default"/>
          <w:sz w:val="21"/>
          <w:szCs w:val="21"/>
        </w:rPr>
      </w:r>
    </w:p>
    <w:p>
      <w:pPr>
        <w:pStyle w:val="BodyText"/>
        <w:spacing w:line="273" w:lineRule="auto" w:before="22"/>
        <w:ind w:right="110"/>
        <w:jc w:val="both"/>
      </w:pPr>
      <w:r>
        <w:rPr>
          <w:w w:val="95"/>
        </w:rPr>
        <w:t>存商品和用于出售的材料等直接用于出售的商品存货，在正常生产经营过程中，以该存货的估计售价减去</w:t>
      </w:r>
      <w:r>
        <w:rPr>
          <w:spacing w:val="40"/>
          <w:w w:val="95"/>
        </w:rPr>
        <w:t> </w:t>
      </w:r>
      <w:r>
        <w:rPr>
          <w:spacing w:val="40"/>
          <w:w w:val="95"/>
        </w:rPr>
      </w:r>
      <w:r>
        <w:rPr>
          <w:w w:val="95"/>
        </w:rPr>
        <w:t>估计的销售费用和相关税费后的金额，确定其可变现净值；需要经过加工的材料存货，在正常生产经营过</w:t>
      </w:r>
      <w:r>
        <w:rPr>
          <w:spacing w:val="43"/>
          <w:w w:val="95"/>
        </w:rPr>
        <w:t> </w:t>
      </w:r>
      <w:r>
        <w:rPr>
          <w:spacing w:val="43"/>
          <w:w w:val="95"/>
        </w:rPr>
      </w:r>
      <w:r>
        <w:rPr>
          <w:w w:val="95"/>
        </w:rPr>
        <w:t>程中，以所生产的产成品的估计售价减去至完工时估计将要发生的成本、估计的销售费用和相关税费后的</w:t>
      </w:r>
      <w:r>
        <w:rPr>
          <w:spacing w:val="37"/>
          <w:w w:val="95"/>
        </w:rPr>
        <w:t> </w:t>
      </w:r>
      <w:r>
        <w:rPr>
          <w:spacing w:val="37"/>
          <w:w w:val="95"/>
        </w:rPr>
      </w:r>
      <w:r>
        <w:rPr>
          <w:w w:val="95"/>
        </w:rPr>
        <w:t>金额，确定其可变现净值；为执行销售合同或者劳务合同而持有的存货，其可变现净值以合同价格为基础</w:t>
      </w:r>
      <w:r>
        <w:rPr>
          <w:spacing w:val="43"/>
          <w:w w:val="95"/>
        </w:rPr>
        <w:t> </w:t>
      </w:r>
      <w:r>
        <w:rPr>
          <w:spacing w:val="43"/>
          <w:w w:val="95"/>
        </w:rPr>
      </w:r>
      <w:r>
        <w:rPr>
          <w:w w:val="95"/>
        </w:rPr>
        <w:t>计算，若持有存货的数量多于销售合同订购数量的，超出部分的存货的可变现净值以一般销售价格为基础  </w:t>
      </w:r>
      <w:r>
        <w:rPr>
          <w:spacing w:val="40"/>
          <w:w w:val="95"/>
        </w:rPr>
        <w:t> </w:t>
      </w:r>
      <w:r>
        <w:rPr>
          <w:spacing w:val="40"/>
          <w:w w:val="95"/>
        </w:rPr>
      </w:r>
      <w:r>
        <w:rPr/>
        <w:t>计算。</w:t>
      </w:r>
    </w:p>
    <w:p>
      <w:pPr>
        <w:pStyle w:val="BodyText"/>
        <w:spacing w:line="273" w:lineRule="auto"/>
        <w:ind w:right="110" w:firstLine="420"/>
        <w:jc w:val="both"/>
      </w:pPr>
      <w:r>
        <w:rPr>
          <w:w w:val="95"/>
        </w:rPr>
        <w:t>期末按照单个存货项目计提存货跌价准备；但对于数量繁多、单价较低的存货，按照存货类别计提存</w:t>
      </w:r>
      <w:r>
        <w:rPr>
          <w:w w:val="99"/>
        </w:rPr>
        <w:t> </w:t>
      </w:r>
      <w:r>
        <w:rPr>
          <w:w w:val="95"/>
        </w:rPr>
        <w:t>货跌价准备；与在同一地区生产和销售的产品系列相关、具有相同或类似最终用途或目的，且难以与其他</w:t>
      </w:r>
      <w:r>
        <w:rPr>
          <w:spacing w:val="43"/>
          <w:w w:val="95"/>
        </w:rPr>
        <w:t> </w:t>
      </w:r>
      <w:r>
        <w:rPr>
          <w:spacing w:val="43"/>
          <w:w w:val="95"/>
        </w:rPr>
      </w:r>
      <w:r>
        <w:rPr/>
        <w:t>项目分开计量的存货，则合并计提存货跌价准备。</w:t>
      </w:r>
    </w:p>
    <w:p>
      <w:pPr>
        <w:pStyle w:val="BodyText"/>
        <w:spacing w:line="240" w:lineRule="auto"/>
        <w:ind w:left="532" w:right="0"/>
        <w:jc w:val="left"/>
      </w:pPr>
      <w:r>
        <w:rPr/>
        <w:t>以前减记存货价值的影响因素已经消失的，减记的金额予以恢复，并在原已计提的存货跌价准备金额</w:t>
      </w:r>
    </w:p>
    <w:p>
      <w:pPr>
        <w:spacing w:after="0" w:line="240"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right="0"/>
        <w:jc w:val="left"/>
      </w:pPr>
      <w:r>
        <w:rPr/>
        <w:t>内转回，转回的金额计入当期损益。</w:t>
      </w:r>
    </w:p>
    <w:p>
      <w:pPr>
        <w:spacing w:line="256" w:lineRule="auto" w:before="37"/>
        <w:ind w:left="532" w:right="76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4"/>
        <w:spacing w:line="240" w:lineRule="auto" w:before="22"/>
        <w:ind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21"/>
        <w:ind w:left="638"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21"/>
        <w:ind w:left="638" w:right="0"/>
        <w:jc w:val="left"/>
      </w:pPr>
      <w:r>
        <w:rPr>
          <w:rFonts w:ascii="Times New Roman" w:hAnsi="Times New Roman" w:cs="Times New Roman" w:eastAsia="Times New Roman" w:hint="default"/>
        </w:rPr>
        <w:t>2)</w:t>
      </w:r>
      <w:r>
        <w:rPr/>
        <w:t>包装物采用一次转销法；</w:t>
      </w:r>
    </w:p>
    <w:p>
      <w:pPr>
        <w:pStyle w:val="BodyText"/>
        <w:spacing w:line="240" w:lineRule="auto" w:before="21"/>
        <w:ind w:left="638" w:right="0"/>
        <w:jc w:val="left"/>
      </w:pPr>
      <w:r>
        <w:rPr>
          <w:rFonts w:ascii="Times New Roman" w:hAnsi="Times New Roman" w:cs="Times New Roman" w:eastAsia="Times New Roman" w:hint="default"/>
        </w:rPr>
        <w:t>3)</w:t>
      </w:r>
      <w:r>
        <w:rPr/>
        <w:t>其他周转材料采用一次转销法摊销。</w:t>
      </w:r>
    </w:p>
    <w:p>
      <w:pPr>
        <w:pStyle w:val="Heading4"/>
        <w:spacing w:line="610" w:lineRule="atLeast" w:before="2"/>
        <w:ind w:right="7170"/>
        <w:jc w:val="left"/>
        <w:rPr>
          <w:b w:val="0"/>
          <w:bCs w:val="0"/>
        </w:rPr>
      </w:pPr>
      <w:r>
        <w:rPr>
          <w:rFonts w:ascii="Times New Roman" w:hAnsi="Times New Roman" w:cs="Times New Roman" w:eastAsia="Times New Roman" w:hint="default"/>
        </w:rPr>
        <w:t>13</w:t>
      </w:r>
      <w:r>
        <w:rPr/>
        <w:t>、划分为持有待售资产</w:t>
      </w:r>
      <w:r>
        <w:rPr>
          <w:w w:val="99"/>
        </w:rPr>
        <w:t> </w:t>
      </w:r>
      <w:r>
        <w:rPr>
          <w:rFonts w:ascii="Times New Roman" w:hAnsi="Times New Roman" w:cs="Times New Roman" w:eastAsia="Times New Roman" w:hint="default"/>
        </w:rPr>
        <w:t>(1)</w:t>
      </w:r>
      <w:r>
        <w:rPr/>
        <w:t>划分为持有待售确认标准</w:t>
      </w:r>
      <w:r>
        <w:rPr>
          <w:b w:val="0"/>
          <w:bCs w:val="0"/>
        </w:rPr>
      </w:r>
    </w:p>
    <w:p>
      <w:pPr>
        <w:pStyle w:val="BodyText"/>
        <w:spacing w:line="240" w:lineRule="auto" w:before="21"/>
        <w:ind w:left="532" w:right="0"/>
        <w:jc w:val="left"/>
      </w:pPr>
      <w:r>
        <w:rPr/>
        <w:t>本公司将同时满足下列条件的企业组成部分（或非流动资产）确认为持有待售组成部分：</w:t>
      </w:r>
    </w:p>
    <w:p>
      <w:pPr>
        <w:pStyle w:val="BodyText"/>
        <w:spacing w:line="240" w:lineRule="auto" w:before="37"/>
        <w:ind w:left="638" w:right="0"/>
        <w:jc w:val="left"/>
      </w:pP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56" w:lineRule="auto" w:before="21"/>
        <w:ind w:right="0" w:firstLine="525"/>
        <w:jc w:val="left"/>
      </w:pPr>
      <w:r>
        <w:rPr>
          <w:rFonts w:ascii="Times New Roman" w:hAnsi="Times New Roman" w:cs="Times New Roman" w:eastAsia="Times New Roman" w:hint="default"/>
          <w:w w:val="95"/>
        </w:rPr>
        <w:t>2</w:t>
      </w:r>
      <w:r>
        <w:rPr>
          <w:w w:val="95"/>
        </w:rPr>
        <w:t>）企业已经就处置该组成部分作出决议，如按规定需得到股东批准的，已经取得股东大会或相应权</w:t>
      </w:r>
      <w:r>
        <w:rPr>
          <w:w w:val="99"/>
        </w:rPr>
        <w:t> </w:t>
      </w:r>
      <w:r>
        <w:rPr/>
        <w:t>力机构的批准；</w:t>
      </w:r>
    </w:p>
    <w:p>
      <w:pPr>
        <w:pStyle w:val="BodyText"/>
        <w:spacing w:line="240" w:lineRule="auto" w:before="22"/>
        <w:ind w:left="638" w:right="0"/>
        <w:jc w:val="left"/>
      </w:pP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21"/>
        <w:ind w:left="638" w:right="0"/>
        <w:jc w:val="left"/>
      </w:pPr>
      <w:r>
        <w:rPr>
          <w:rFonts w:ascii="Times New Roman" w:hAnsi="Times New Roman" w:cs="Times New Roman" w:eastAsia="Times New Roman" w:hint="default"/>
        </w:rPr>
        <w:t>4</w:t>
      </w:r>
      <w:r>
        <w:rPr/>
        <w:t>）该项转让将在一年内完成。</w:t>
      </w:r>
    </w:p>
    <w:p>
      <w:pPr>
        <w:spacing w:line="256" w:lineRule="auto" w:before="21"/>
        <w:ind w:left="518" w:right="0" w:hanging="40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划分为持有待售核算方法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本公司对于持有待售的固定资产，调整该项固定资产的预计净残值，使该固定资产的预计净残值反映</w:t>
      </w:r>
      <w:r>
        <w:rPr>
          <w:rFonts w:ascii="宋体" w:hAnsi="宋体" w:cs="宋体" w:eastAsia="宋体" w:hint="default"/>
          <w:sz w:val="21"/>
          <w:szCs w:val="21"/>
        </w:rPr>
      </w:r>
    </w:p>
    <w:p>
      <w:pPr>
        <w:pStyle w:val="BodyText"/>
        <w:spacing w:line="273" w:lineRule="auto" w:before="22"/>
        <w:ind w:right="112"/>
        <w:jc w:val="both"/>
      </w:pPr>
      <w:r>
        <w:rPr>
          <w:w w:val="95"/>
        </w:rPr>
        <w:t>其公允价值减去处置费用后的金额，但不超过符合持有待售条件时该项固定资产的原账面价值，原账面价</w:t>
      </w:r>
      <w:r>
        <w:rPr>
          <w:spacing w:val="38"/>
          <w:w w:val="95"/>
        </w:rPr>
        <w:t> </w:t>
      </w:r>
      <w:r>
        <w:rPr>
          <w:spacing w:val="38"/>
          <w:w w:val="95"/>
        </w:rPr>
      </w:r>
      <w:r>
        <w:rPr>
          <w:w w:val="95"/>
        </w:rPr>
        <w:t>值高于调整后预计净残值的差额，应作为资产减值损失计入当期损益。持有待售的固定资产不计提折旧或</w:t>
      </w:r>
      <w:r>
        <w:rPr>
          <w:spacing w:val="40"/>
          <w:w w:val="95"/>
        </w:rPr>
        <w:t> </w:t>
      </w:r>
      <w:r>
        <w:rPr>
          <w:spacing w:val="40"/>
          <w:w w:val="95"/>
        </w:rPr>
      </w:r>
      <w:r>
        <w:rPr/>
        <w:t>摊销，按照账面价值与公允价值减去处置费用后的净额孰低进行计量。</w:t>
      </w:r>
    </w:p>
    <w:p>
      <w:pPr>
        <w:pStyle w:val="BodyText"/>
        <w:spacing w:line="264" w:lineRule="auto"/>
        <w:ind w:right="112" w:firstLine="405"/>
        <w:jc w:val="both"/>
      </w:pPr>
      <w:r>
        <w:rPr>
          <w:w w:val="95"/>
        </w:rPr>
        <w:t>符合持有待售条件的权益性投资、无形资产等其他非流动资产，比照上述原则处理，但不包括递延所</w:t>
      </w:r>
      <w:r>
        <w:rPr>
          <w:spacing w:val="-72"/>
          <w:w w:val="95"/>
        </w:rPr>
        <w:t> </w:t>
      </w:r>
      <w:r>
        <w:rPr>
          <w:spacing w:val="-72"/>
          <w:w w:val="95"/>
        </w:rPr>
      </w:r>
      <w:r>
        <w:rPr>
          <w:w w:val="95"/>
        </w:rPr>
        <w:t>得税资产、《企业会计准则第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金融工具确认和计量》规范的金融资产、以公允价值计量的投资性</w:t>
      </w:r>
      <w:r>
        <w:rPr>
          <w:spacing w:val="41"/>
          <w:w w:val="95"/>
        </w:rPr>
        <w:t> </w:t>
      </w:r>
      <w:r>
        <w:rPr>
          <w:spacing w:val="41"/>
          <w:w w:val="95"/>
        </w:rPr>
      </w:r>
      <w:r>
        <w:rPr/>
        <w:t>房地产和生物资产、保险合同中产生的合同权利。</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spacing w:line="256"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w w:val="95"/>
          <w:sz w:val="21"/>
          <w:szCs w:val="21"/>
        </w:rPr>
        <w:t>如果本公司按照相关约定与其他参与方集体控制某项安排，并且对该安排回报具有重大影响的活动决</w:t>
      </w:r>
      <w:r>
        <w:rPr>
          <w:rFonts w:ascii="宋体" w:hAnsi="宋体" w:cs="宋体" w:eastAsia="宋体" w:hint="default"/>
          <w:sz w:val="21"/>
          <w:szCs w:val="21"/>
        </w:rPr>
      </w:r>
    </w:p>
    <w:p>
      <w:pPr>
        <w:pStyle w:val="BodyText"/>
        <w:spacing w:line="273" w:lineRule="auto" w:before="22"/>
        <w:ind w:right="0"/>
        <w:jc w:val="left"/>
      </w:pPr>
      <w:r>
        <w:rPr>
          <w:w w:val="95"/>
        </w:rPr>
        <w:t>策，需要经过分享控制权的参与方一致同意时才存在，则视为本公司与其他参与方共同控制某项安排，该</w:t>
      </w:r>
      <w:r>
        <w:rPr>
          <w:spacing w:val="43"/>
          <w:w w:val="95"/>
        </w:rPr>
        <w:t> </w:t>
      </w:r>
      <w:r>
        <w:rPr>
          <w:spacing w:val="43"/>
          <w:w w:val="95"/>
        </w:rPr>
      </w:r>
      <w:r>
        <w:rPr/>
        <w:t>安排即属于合营安排。</w:t>
      </w:r>
    </w:p>
    <w:p>
      <w:pPr>
        <w:pStyle w:val="BodyText"/>
        <w:spacing w:line="273" w:lineRule="auto"/>
        <w:ind w:right="110" w:firstLine="420"/>
        <w:jc w:val="both"/>
      </w:pPr>
      <w:r>
        <w:rPr>
          <w:w w:val="95"/>
        </w:rPr>
        <w:t>合营安排通过单独主体达成的，根据相关约定判断本公司对该单独主体的净资产享有权利时，将该单</w:t>
      </w:r>
      <w:r>
        <w:rPr>
          <w:w w:val="99"/>
        </w:rPr>
        <w:t> </w:t>
      </w:r>
      <w:r>
        <w:rPr>
          <w:w w:val="95"/>
        </w:rPr>
        <w:t>独主体作为合营企业，采用权益法核算。若根据相关约定判断本公司并非对该单独主体的净资产享有权利</w:t>
      </w:r>
      <w:r>
        <w:rPr>
          <w:spacing w:val="37"/>
          <w:w w:val="95"/>
        </w:rPr>
        <w:t> </w:t>
      </w:r>
      <w:r>
        <w:rPr>
          <w:spacing w:val="37"/>
          <w:w w:val="95"/>
        </w:rPr>
      </w:r>
      <w:r>
        <w:rPr>
          <w:w w:val="95"/>
        </w:rPr>
        <w:t>时，该单独主体作为共同经营，本公司确认与共同经营利益份额相关的项目，并按照相关企业会计准则的</w:t>
      </w:r>
      <w:r>
        <w:rPr>
          <w:spacing w:val="43"/>
          <w:w w:val="95"/>
        </w:rPr>
        <w:t> </w:t>
      </w:r>
      <w:r>
        <w:rPr>
          <w:spacing w:val="43"/>
          <w:w w:val="95"/>
        </w:rPr>
      </w:r>
      <w:r>
        <w:rPr/>
        <w:t>规定进行会计处理。</w:t>
      </w:r>
    </w:p>
    <w:p>
      <w:pPr>
        <w:pStyle w:val="BodyText"/>
        <w:spacing w:line="273" w:lineRule="auto"/>
        <w:ind w:right="112" w:firstLine="420"/>
        <w:jc w:val="both"/>
      </w:pPr>
      <w:r>
        <w:rPr>
          <w:w w:val="95"/>
        </w:rPr>
        <w:t>重大影响，是指投资方对被投资单位的财务和经营政策有参与决策的权力，但并不能够控制或者与其</w:t>
      </w:r>
      <w:r>
        <w:rPr>
          <w:w w:val="99"/>
        </w:rPr>
        <w:t> </w:t>
      </w:r>
      <w:r>
        <w:rPr>
          <w:w w:val="95"/>
        </w:rPr>
        <w:t>他方一起共同控制这些政策的制定。本公司通过以下一种或多种情形，并综合考虑所有事实和情况后，判</w:t>
      </w:r>
      <w:r>
        <w:rPr>
          <w:spacing w:val="40"/>
          <w:w w:val="95"/>
        </w:rPr>
        <w:t> </w:t>
      </w:r>
      <w:r>
        <w:rPr>
          <w:spacing w:val="40"/>
          <w:w w:val="95"/>
        </w:rPr>
      </w:r>
      <w:r>
        <w:rPr/>
        <w:t>断对被投资单位具有重大影响。</w:t>
      </w:r>
    </w:p>
    <w:p>
      <w:pPr>
        <w:pStyle w:val="BodyText"/>
        <w:spacing w:line="240" w:lineRule="auto"/>
        <w:ind w:left="532" w:right="0"/>
        <w:jc w:val="left"/>
      </w:pPr>
      <w:r>
        <w:rPr>
          <w:rFonts w:ascii="Times New Roman" w:hAnsi="Times New Roman" w:cs="Times New Roman" w:eastAsia="Times New Roman" w:hint="default"/>
        </w:rPr>
        <w:t>1</w:t>
      </w:r>
      <w:r>
        <w:rPr/>
        <w:t>）在被投资单位的董事会或类似权力机构中派有代表；</w:t>
      </w:r>
    </w:p>
    <w:p>
      <w:pPr>
        <w:pStyle w:val="BodyText"/>
        <w:spacing w:line="240" w:lineRule="auto" w:before="21"/>
        <w:ind w:left="532" w:right="0"/>
        <w:jc w:val="left"/>
      </w:pPr>
      <w:r>
        <w:rPr>
          <w:rFonts w:ascii="Times New Roman" w:hAnsi="Times New Roman" w:cs="Times New Roman" w:eastAsia="Times New Roman" w:hint="default"/>
        </w:rPr>
        <w:t>2</w:t>
      </w:r>
      <w:r>
        <w:rPr/>
        <w:t>）参与被投资单位财务和经营政策制定过程；</w:t>
      </w:r>
    </w:p>
    <w:p>
      <w:pPr>
        <w:pStyle w:val="BodyText"/>
        <w:spacing w:line="240" w:lineRule="auto" w:before="21"/>
        <w:ind w:left="532" w:right="0"/>
        <w:jc w:val="left"/>
      </w:pPr>
      <w:r>
        <w:rPr>
          <w:rFonts w:ascii="Times New Roman" w:hAnsi="Times New Roman" w:cs="Times New Roman" w:eastAsia="Times New Roman" w:hint="default"/>
        </w:rPr>
        <w:t>3</w:t>
      </w:r>
      <w:r>
        <w:rPr/>
        <w:t>）与被投资单位之间发生重要交易；</w:t>
      </w:r>
    </w:p>
    <w:p>
      <w:pPr>
        <w:pStyle w:val="BodyText"/>
        <w:spacing w:line="240" w:lineRule="auto" w:before="21"/>
        <w:ind w:left="532" w:right="0"/>
        <w:jc w:val="left"/>
      </w:pPr>
      <w:r>
        <w:rPr>
          <w:rFonts w:ascii="Times New Roman" w:hAnsi="Times New Roman" w:cs="Times New Roman" w:eastAsia="Times New Roman" w:hint="default"/>
        </w:rPr>
        <w:t>4</w:t>
      </w:r>
      <w:r>
        <w:rPr/>
        <w:t>）向被投资单位派出管理人员；</w:t>
      </w:r>
    </w:p>
    <w:p>
      <w:pPr>
        <w:pStyle w:val="BodyText"/>
        <w:spacing w:line="240" w:lineRule="auto" w:before="21"/>
        <w:ind w:left="532" w:right="0"/>
        <w:jc w:val="left"/>
      </w:pPr>
      <w:r>
        <w:rPr>
          <w:rFonts w:ascii="Times New Roman" w:hAnsi="Times New Roman" w:cs="Times New Roman" w:eastAsia="Times New Roman" w:hint="default"/>
        </w:rPr>
        <w:t>5</w:t>
      </w:r>
      <w:r>
        <w:rPr/>
        <w:t>）向被投资单位提供关键技术资料。</w:t>
      </w:r>
    </w:p>
    <w:p>
      <w:pPr>
        <w:spacing w:after="0" w:line="240"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）投资成本的确定</w:t>
      </w:r>
      <w:r>
        <w:rPr>
          <w:b w:val="0"/>
          <w:bCs w:val="0"/>
        </w:rPr>
      </w:r>
    </w:p>
    <w:p>
      <w:pPr>
        <w:pStyle w:val="BodyText"/>
        <w:spacing w:line="256" w:lineRule="auto" w:before="21"/>
        <w:ind w:right="133" w:firstLine="420"/>
        <w:jc w:val="both"/>
      </w:pPr>
      <w:r>
        <w:rPr>
          <w:rFonts w:ascii="Times New Roman" w:hAnsi="Times New Roman" w:cs="Times New Roman" w:eastAsia="Times New Roman" w:hint="default"/>
          <w:spacing w:val="2"/>
          <w:w w:val="95"/>
        </w:rPr>
        <w:t>1</w:t>
      </w:r>
      <w:r>
        <w:rPr>
          <w:spacing w:val="2"/>
          <w:w w:val="95"/>
        </w:rPr>
        <w:t>）企业合并形成的长期股权投资，具体会计政策详见本附注四／（五）同一控制下和非同一控制下</w:t>
      </w:r>
      <w:r>
        <w:rPr>
          <w:spacing w:val="-82"/>
          <w:w w:val="95"/>
        </w:rPr>
        <w:t> </w:t>
      </w:r>
      <w:r>
        <w:rPr>
          <w:spacing w:val="-82"/>
          <w:w w:val="95"/>
        </w:rPr>
      </w:r>
      <w:r>
        <w:rPr/>
        <w:t>企业合并的会计处理方法</w:t>
      </w:r>
    </w:p>
    <w:p>
      <w:pPr>
        <w:pStyle w:val="BodyText"/>
        <w:spacing w:line="256" w:lineRule="auto" w:before="22"/>
        <w:ind w:left="532" w:right="0"/>
        <w:jc w:val="left"/>
      </w:pPr>
      <w:r>
        <w:rPr>
          <w:rFonts w:ascii="Times New Roman" w:hAnsi="Times New Roman" w:cs="Times New Roman" w:eastAsia="Times New Roman" w:hint="default"/>
        </w:rPr>
        <w:t>2</w:t>
      </w:r>
      <w:r>
        <w:rPr/>
        <w:t>）其他方式取得的长期股权投资</w:t>
      </w:r>
      <w:r>
        <w:rPr>
          <w:w w:val="99"/>
        </w:rPr>
        <w:t> </w:t>
      </w:r>
      <w:r>
        <w:rPr>
          <w:w w:val="95"/>
        </w:rPr>
        <w:t>以支付现金方式取得的长期股权投资，按照实际支付的购买价款作为初始投资成本。初始投资成本包</w:t>
      </w:r>
      <w:r>
        <w:rPr/>
      </w:r>
    </w:p>
    <w:p>
      <w:pPr>
        <w:pStyle w:val="BodyText"/>
        <w:spacing w:line="273" w:lineRule="auto" w:before="22"/>
        <w:ind w:left="532" w:right="0" w:hanging="420"/>
        <w:jc w:val="left"/>
      </w:pPr>
      <w:r>
        <w:rPr/>
        <w:t>括与取得长期股权投资直接相关的费用、税金及其他必要支出。</w:t>
      </w:r>
      <w:r>
        <w:rPr>
          <w:w w:val="99"/>
        </w:rPr>
        <w:t> </w:t>
      </w:r>
      <w:r>
        <w:rPr>
          <w:w w:val="95"/>
        </w:rPr>
        <w:t>以发行权益性证券取得的长期股权投资，按照发行权益性证券的公允价值作为初始投资成本；发行或</w:t>
      </w:r>
      <w:r>
        <w:rPr/>
      </w:r>
    </w:p>
    <w:p>
      <w:pPr>
        <w:pStyle w:val="BodyText"/>
        <w:spacing w:line="273" w:lineRule="auto"/>
        <w:ind w:left="532" w:right="0" w:hanging="420"/>
        <w:jc w:val="left"/>
      </w:pPr>
      <w:r>
        <w:rPr/>
        <w:t>取得自身权益工具时发生的交易费用，可直接归属于权益性交易的从权益中扣减。</w:t>
      </w:r>
      <w:r>
        <w:rPr>
          <w:w w:val="99"/>
        </w:rPr>
        <w:t> </w:t>
      </w:r>
      <w:r>
        <w:rPr>
          <w:w w:val="95"/>
        </w:rPr>
        <w:t>在非货币性资产交换具备商业实质和换入资产或换出资产的公允价值能够可靠计量的前提下，非货币</w:t>
      </w:r>
      <w:r>
        <w:rPr/>
      </w:r>
    </w:p>
    <w:p>
      <w:pPr>
        <w:pStyle w:val="BodyText"/>
        <w:spacing w:line="273" w:lineRule="auto"/>
        <w:ind w:right="132"/>
        <w:jc w:val="both"/>
      </w:pPr>
      <w:r>
        <w:rPr>
          <w:w w:val="95"/>
        </w:rPr>
        <w:t>性资产交换换入的长期股权投资以换出资产的公允价值为基础确定其初始投资成本，除非有确凿证据表明</w:t>
      </w:r>
      <w:r>
        <w:rPr>
          <w:spacing w:val="39"/>
          <w:w w:val="95"/>
        </w:rPr>
        <w:t> </w:t>
      </w:r>
      <w:r>
        <w:rPr>
          <w:spacing w:val="39"/>
          <w:w w:val="95"/>
        </w:rPr>
      </w:r>
      <w:r>
        <w:rPr>
          <w:w w:val="95"/>
        </w:rPr>
        <w:t>换入资产的公允价值更加可靠；不满足上述前提的非货币性资产交换，以换出资产的账面价值和应支付的</w:t>
      </w:r>
      <w:r>
        <w:rPr>
          <w:spacing w:val="40"/>
          <w:w w:val="95"/>
        </w:rPr>
        <w:t> </w:t>
      </w:r>
      <w:r>
        <w:rPr>
          <w:spacing w:val="40"/>
          <w:w w:val="95"/>
        </w:rPr>
      </w:r>
      <w:r>
        <w:rPr/>
        <w:t>相关税费作为换入长期股权投资的初始投资成本。</w:t>
      </w:r>
    </w:p>
    <w:p>
      <w:pPr>
        <w:pStyle w:val="BodyText"/>
        <w:spacing w:line="240" w:lineRule="auto"/>
        <w:ind w:left="532" w:right="0"/>
        <w:jc w:val="left"/>
      </w:pPr>
      <w:r>
        <w:rPr/>
        <w:t>通过债务重组取得的长期股权投资，其初始投资成本按照公允价值为基础确定。</w:t>
      </w:r>
    </w:p>
    <w:p>
      <w:pPr>
        <w:pStyle w:val="Heading4"/>
        <w:spacing w:line="240" w:lineRule="auto" w:before="37"/>
        <w:ind w:right="0"/>
        <w:jc w:val="left"/>
        <w:rPr>
          <w:b w:val="0"/>
          <w:bCs w:val="0"/>
        </w:rPr>
      </w:pPr>
      <w:r>
        <w:rPr/>
        <w:t>（</w:t>
      </w:r>
      <w:r>
        <w:rPr>
          <w:rFonts w:ascii="Times New Roman" w:hAnsi="Times New Roman" w:cs="Times New Roman" w:eastAsia="Times New Roman" w:hint="default"/>
        </w:rPr>
        <w:t>3</w:t>
      </w:r>
      <w:r>
        <w:rPr/>
        <w:t>）后续计量及损益确认</w:t>
      </w:r>
      <w:r>
        <w:rPr>
          <w:b w:val="0"/>
          <w:bCs w:val="0"/>
        </w:rPr>
      </w:r>
    </w:p>
    <w:p>
      <w:pPr>
        <w:pStyle w:val="BodyText"/>
        <w:spacing w:line="256" w:lineRule="auto" w:before="21"/>
        <w:ind w:left="532" w:right="0"/>
        <w:jc w:val="left"/>
      </w:pPr>
      <w:r>
        <w:rPr>
          <w:rFonts w:ascii="Times New Roman" w:hAnsi="Times New Roman" w:cs="Times New Roman" w:eastAsia="Times New Roman" w:hint="default"/>
        </w:rPr>
        <w:t>1</w:t>
      </w:r>
      <w:r>
        <w:rPr/>
        <w:t>）成本法</w:t>
      </w:r>
      <w:r>
        <w:rPr>
          <w:w w:val="99"/>
        </w:rPr>
        <w:t> </w:t>
      </w:r>
      <w:r>
        <w:rPr>
          <w:w w:val="95"/>
        </w:rPr>
        <w:t>本公司能够对被投资单位实施控制的长期股权投资采用成本法核算，并按照初始投资成本计价，追加</w:t>
      </w:r>
      <w:r>
        <w:rPr/>
      </w:r>
    </w:p>
    <w:p>
      <w:pPr>
        <w:pStyle w:val="BodyText"/>
        <w:spacing w:line="273" w:lineRule="auto" w:before="22"/>
        <w:ind w:left="532" w:right="0" w:hanging="420"/>
        <w:jc w:val="left"/>
      </w:pPr>
      <w:r>
        <w:rPr/>
        <w:t>或收回投资调整长期股权投资的成本。</w:t>
      </w:r>
      <w:r>
        <w:rPr>
          <w:w w:val="99"/>
        </w:rPr>
        <w:t> </w:t>
      </w:r>
      <w:r>
        <w:rPr>
          <w:w w:val="95"/>
        </w:rPr>
        <w:t>除取得投资时实际支付的价款或对价中包含的已宣告但尚未发放的现金股利或利润外，本公司按照享</w:t>
      </w:r>
      <w:r>
        <w:rPr/>
      </w:r>
    </w:p>
    <w:p>
      <w:pPr>
        <w:pStyle w:val="BodyText"/>
        <w:spacing w:line="240" w:lineRule="auto"/>
        <w:ind w:right="0"/>
        <w:jc w:val="left"/>
      </w:pPr>
      <w:r>
        <w:rPr/>
        <w:t>有被投资单位宣告分派的现金股利或利润确认为当期投资收益。</w:t>
      </w:r>
    </w:p>
    <w:p>
      <w:pPr>
        <w:pStyle w:val="BodyText"/>
        <w:spacing w:line="256" w:lineRule="auto" w:before="37"/>
        <w:ind w:left="532" w:right="0"/>
        <w:jc w:val="left"/>
      </w:pPr>
      <w:r>
        <w:rPr>
          <w:rFonts w:ascii="Times New Roman" w:hAnsi="Times New Roman" w:cs="Times New Roman" w:eastAsia="Times New Roman" w:hint="default"/>
        </w:rPr>
        <w:t>2</w:t>
      </w:r>
      <w:r>
        <w:rPr/>
        <w:t>）权益法</w:t>
      </w:r>
      <w:r>
        <w:rPr>
          <w:w w:val="99"/>
        </w:rPr>
        <w:t> </w:t>
      </w:r>
      <w:r>
        <w:rPr>
          <w:w w:val="95"/>
        </w:rPr>
        <w:t>本公司对联营企业和合营企业的长期股权投资采用权益法核算；对于其中一部分通过风险投资机构、</w:t>
      </w:r>
      <w:r>
        <w:rPr/>
      </w:r>
    </w:p>
    <w:p>
      <w:pPr>
        <w:pStyle w:val="BodyText"/>
        <w:spacing w:line="273" w:lineRule="auto" w:before="22"/>
        <w:ind w:right="0"/>
        <w:jc w:val="left"/>
      </w:pPr>
      <w:r>
        <w:rPr>
          <w:w w:val="95"/>
        </w:rPr>
        <w:t>共同基金、信托公司或包括投连险基金在内的类似主体间接持有的联营企业的权益性投资，采用公允价值</w:t>
      </w:r>
      <w:r>
        <w:rPr>
          <w:spacing w:val="37"/>
          <w:w w:val="95"/>
        </w:rPr>
        <w:t> </w:t>
      </w:r>
      <w:r>
        <w:rPr>
          <w:spacing w:val="37"/>
          <w:w w:val="95"/>
        </w:rPr>
      </w:r>
      <w:r>
        <w:rPr/>
        <w:t>计量且其变动计入损益。</w:t>
      </w:r>
    </w:p>
    <w:p>
      <w:pPr>
        <w:pStyle w:val="BodyText"/>
        <w:spacing w:line="273" w:lineRule="auto"/>
        <w:ind w:right="132" w:firstLine="420"/>
        <w:jc w:val="both"/>
      </w:pPr>
      <w:r>
        <w:rPr>
          <w:w w:val="95"/>
        </w:rPr>
        <w:t>长期股权投资的初始投资成本大于投资时应享有被投资单位可辨认净资产公允价值份额的差额，不调</w:t>
      </w:r>
      <w:r>
        <w:rPr>
          <w:w w:val="99"/>
        </w:rPr>
        <w:t> </w:t>
      </w:r>
      <w:r>
        <w:rPr>
          <w:w w:val="95"/>
        </w:rPr>
        <w:t>整长期股权投资的初始投资成本；初始投资成本小于投资时应享有被投资单位可辨认净资产公允价值份额</w:t>
      </w:r>
      <w:r>
        <w:rPr>
          <w:spacing w:val="39"/>
          <w:w w:val="95"/>
        </w:rPr>
        <w:t> </w:t>
      </w:r>
      <w:r>
        <w:rPr>
          <w:spacing w:val="39"/>
          <w:w w:val="95"/>
        </w:rPr>
      </w:r>
      <w:r>
        <w:rPr/>
        <w:t>的差额，计入当期损益。</w:t>
      </w:r>
    </w:p>
    <w:p>
      <w:pPr>
        <w:pStyle w:val="BodyText"/>
        <w:spacing w:line="273" w:lineRule="auto"/>
        <w:ind w:right="130" w:firstLine="420"/>
        <w:jc w:val="both"/>
      </w:pPr>
      <w:r>
        <w:rPr>
          <w:spacing w:val="4"/>
        </w:rPr>
        <w:t>本公司取得长期股权投资后，按照应享有或应分担的被投资单位实现的净损益和其他综合收益的份</w:t>
      </w:r>
      <w:r>
        <w:rPr>
          <w:w w:val="99"/>
        </w:rPr>
        <w:t> </w:t>
      </w:r>
      <w:r>
        <w:rPr>
          <w:w w:val="95"/>
        </w:rPr>
        <w:t>额，分别确认投资收益和其他综合收益，同时调整长期股权投资的账面价值；并按照被投资单位宣告分派</w:t>
      </w:r>
      <w:r>
        <w:rPr>
          <w:spacing w:val="43"/>
          <w:w w:val="95"/>
        </w:rPr>
        <w:t> </w:t>
      </w:r>
      <w:r>
        <w:rPr>
          <w:spacing w:val="43"/>
          <w:w w:val="95"/>
        </w:rPr>
      </w:r>
      <w:r>
        <w:rPr>
          <w:w w:val="95"/>
        </w:rPr>
        <w:t>的利润或现金股利计算应享有的部分，相应减少长期股权投资的账面价值；对于被投资单位除净损益、其</w:t>
      </w:r>
      <w:r>
        <w:rPr>
          <w:spacing w:val="43"/>
          <w:w w:val="95"/>
        </w:rPr>
        <w:t> </w:t>
      </w:r>
      <w:r>
        <w:rPr>
          <w:spacing w:val="43"/>
          <w:w w:val="95"/>
        </w:rPr>
      </w:r>
      <w:r>
        <w:rPr/>
        <w:t>他综合收益和利润分配以外所有者权益的其他变动，调整长期股权投资的账面价值并计入所有者权益。</w:t>
      </w:r>
    </w:p>
    <w:p>
      <w:pPr>
        <w:pStyle w:val="BodyText"/>
        <w:spacing w:line="273" w:lineRule="auto"/>
        <w:ind w:right="132" w:firstLine="420"/>
        <w:jc w:val="both"/>
      </w:pPr>
      <w:r>
        <w:rPr>
          <w:w w:val="95"/>
        </w:rPr>
        <w:t>本公司在确认应享有被投资单位净损益的份额时，以取得投资时被投资单位各项可辨认资产等的公允</w:t>
      </w:r>
      <w:r>
        <w:rPr>
          <w:w w:val="99"/>
        </w:rPr>
        <w:t> </w:t>
      </w:r>
      <w:r>
        <w:rPr>
          <w:w w:val="95"/>
        </w:rPr>
        <w:t>价值为基础，对被投资单位的净利润进行调整后确认。本公司与联营企业、合营企业之间发生的未实现内</w:t>
      </w:r>
      <w:r>
        <w:rPr>
          <w:spacing w:val="40"/>
          <w:w w:val="95"/>
        </w:rPr>
        <w:t> </w:t>
      </w:r>
      <w:r>
        <w:rPr>
          <w:spacing w:val="40"/>
          <w:w w:val="95"/>
        </w:rPr>
      </w:r>
      <w:r>
        <w:rPr/>
        <w:t>部交易损益按照应享有的比例计算归属于本公司的部分予以抵销，在此基础上确认投资损益。</w:t>
      </w:r>
    </w:p>
    <w:p>
      <w:pPr>
        <w:pStyle w:val="BodyText"/>
        <w:spacing w:line="273" w:lineRule="auto"/>
        <w:ind w:right="130" w:firstLine="420"/>
        <w:jc w:val="both"/>
      </w:pPr>
      <w:r>
        <w:rPr>
          <w:w w:val="95"/>
        </w:rPr>
        <w:t>本公司确认应分担被投资单位发生的亏损时，按照以下顺序进行处理：首先，冲减长期股权投资的账</w:t>
      </w:r>
      <w:r>
        <w:rPr>
          <w:spacing w:val="-97"/>
          <w:w w:val="95"/>
        </w:rPr>
        <w:t> </w:t>
      </w:r>
      <w:r>
        <w:rPr>
          <w:spacing w:val="-97"/>
          <w:w w:val="95"/>
        </w:rPr>
      </w:r>
      <w:r>
        <w:rPr>
          <w:w w:val="95"/>
        </w:rPr>
        <w:t>面价值。其次，长期股权投资的账面价值不足以冲减的，以其他实质上构成对被投资单位净投资的长期权</w:t>
      </w:r>
      <w:r>
        <w:rPr>
          <w:spacing w:val="40"/>
          <w:w w:val="95"/>
        </w:rPr>
        <w:t> </w:t>
      </w:r>
      <w:r>
        <w:rPr>
          <w:spacing w:val="40"/>
          <w:w w:val="95"/>
        </w:rPr>
      </w:r>
      <w:r>
        <w:rPr>
          <w:w w:val="95"/>
        </w:rPr>
        <w:t>益账面价值为限继续确认投资损失，冲减长期应收项目等的账面价值。最后，经过上述处理，按照投资合</w:t>
      </w:r>
      <w:r>
        <w:rPr>
          <w:spacing w:val="41"/>
          <w:w w:val="95"/>
        </w:rPr>
        <w:t> </w:t>
      </w:r>
      <w:r>
        <w:rPr>
          <w:spacing w:val="41"/>
          <w:w w:val="95"/>
        </w:rPr>
      </w:r>
      <w:r>
        <w:rPr/>
        <w:t>同或协议约定企业仍承担额外义务的，按预计承担的义务确认预计负债，计入当期投资损失。</w:t>
      </w:r>
    </w:p>
    <w:p>
      <w:pPr>
        <w:pStyle w:val="BodyText"/>
        <w:spacing w:line="273" w:lineRule="auto"/>
        <w:ind w:right="130" w:firstLine="420"/>
        <w:jc w:val="both"/>
      </w:pPr>
      <w:r>
        <w:rPr>
          <w:w w:val="95"/>
        </w:rPr>
        <w:t>被投资单位以后期间实现盈利的，公司在扣除未确认的亏损分担额后，按与上述相反的顺序处理，减</w:t>
      </w:r>
      <w:r>
        <w:rPr>
          <w:spacing w:val="-97"/>
          <w:w w:val="95"/>
        </w:rPr>
        <w:t> </w:t>
      </w:r>
      <w:r>
        <w:rPr>
          <w:spacing w:val="-97"/>
          <w:w w:val="95"/>
        </w:rPr>
      </w:r>
      <w:r>
        <w:rPr>
          <w:w w:val="95"/>
        </w:rPr>
        <w:t>记已确认预计负债的账面余额、恢复其他实质上构成对被投资单位净投资的长期权益及长期股权投资的账</w:t>
      </w:r>
      <w:r>
        <w:rPr>
          <w:spacing w:val="37"/>
          <w:w w:val="95"/>
        </w:rPr>
        <w:t> </w:t>
      </w:r>
      <w:r>
        <w:rPr>
          <w:spacing w:val="37"/>
          <w:w w:val="95"/>
        </w:rPr>
      </w:r>
      <w:r>
        <w:rPr/>
        <w:t>面价值后，恢复确认投资收益。</w:t>
      </w:r>
    </w:p>
    <w:p>
      <w:pPr>
        <w:pStyle w:val="Heading4"/>
        <w:spacing w:line="240" w:lineRule="auto" w:before="7"/>
        <w:ind w:right="0"/>
        <w:jc w:val="left"/>
        <w:rPr>
          <w:b w:val="0"/>
          <w:bCs w:val="0"/>
        </w:rPr>
      </w:pPr>
      <w:r>
        <w:rPr/>
        <w:t>（</w:t>
      </w:r>
      <w:r>
        <w:rPr>
          <w:rFonts w:ascii="Times New Roman" w:hAnsi="Times New Roman" w:cs="Times New Roman" w:eastAsia="Times New Roman" w:hint="default"/>
        </w:rPr>
        <w:t>4</w:t>
      </w:r>
      <w:r>
        <w:rPr/>
        <w:t>）长期股权投资核算方法的转换</w:t>
      </w:r>
      <w:r>
        <w:rPr>
          <w:b w:val="0"/>
          <w:bCs w:val="0"/>
        </w:rPr>
      </w:r>
    </w:p>
    <w:p>
      <w:pPr>
        <w:pStyle w:val="BodyText"/>
        <w:spacing w:line="256" w:lineRule="auto" w:before="21"/>
        <w:ind w:left="532" w:right="0"/>
        <w:jc w:val="left"/>
      </w:pPr>
      <w:r>
        <w:rPr>
          <w:rFonts w:ascii="Times New Roman" w:hAnsi="Times New Roman" w:cs="Times New Roman" w:eastAsia="Times New Roman" w:hint="default"/>
        </w:rPr>
        <w:t>1</w:t>
      </w:r>
      <w:r>
        <w:rPr/>
        <w:t>）公允价值计量转权益法核算</w:t>
      </w:r>
      <w:r>
        <w:rPr>
          <w:w w:val="99"/>
        </w:rPr>
        <w:t> </w:t>
      </w:r>
      <w:r>
        <w:rPr>
          <w:w w:val="95"/>
        </w:rPr>
        <w:t>本公司原持有的对被投资单位不具有控制、共同控制或重大影响的按金融工具确认和计量准则进行会</w:t>
      </w:r>
      <w:r>
        <w:rPr/>
      </w:r>
    </w:p>
    <w:p>
      <w:pPr>
        <w:pStyle w:val="BodyText"/>
        <w:spacing w:line="240" w:lineRule="auto" w:before="22"/>
        <w:ind w:right="0"/>
        <w:jc w:val="left"/>
      </w:pPr>
      <w:r>
        <w:rPr>
          <w:spacing w:val="4"/>
        </w:rPr>
        <w:t>计处理的权益性投资，因追加投资等原因能够对被投资单位施加重大影响或实施共同控制但不构成控制</w:t>
      </w:r>
    </w:p>
    <w:p>
      <w:pPr>
        <w:spacing w:after="0" w:line="240" w:lineRule="auto"/>
        <w:jc w:val="left"/>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BodyText"/>
        <w:spacing w:line="256" w:lineRule="auto" w:before="34"/>
        <w:ind w:right="202"/>
        <w:jc w:val="left"/>
      </w:pPr>
      <w:r>
        <w:rPr>
          <w:w w:val="95"/>
        </w:rPr>
        <w:t>的，按照《企业会计准则第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金融工具确认和计量》确定的原持有的股权投资的公允价值加上新增</w:t>
      </w:r>
      <w:r>
        <w:rPr>
          <w:spacing w:val="42"/>
          <w:w w:val="95"/>
        </w:rPr>
        <w:t> </w:t>
      </w:r>
      <w:r>
        <w:rPr>
          <w:spacing w:val="42"/>
          <w:w w:val="95"/>
        </w:rPr>
      </w:r>
      <w:r>
        <w:rPr/>
        <w:t>投资成本之和，作为改按权益法核算的初始投资成本。</w:t>
      </w:r>
    </w:p>
    <w:p>
      <w:pPr>
        <w:pStyle w:val="BodyText"/>
        <w:spacing w:line="273" w:lineRule="auto" w:before="22"/>
        <w:ind w:right="212" w:firstLine="420"/>
        <w:jc w:val="both"/>
      </w:pPr>
      <w:r>
        <w:rPr>
          <w:w w:val="95"/>
        </w:rPr>
        <w:t>原持有的股权投资分类为可供出售金融资产的，其公允价值与账面价值之间的差额，以及原计入其他</w:t>
      </w:r>
      <w:r>
        <w:rPr>
          <w:w w:val="99"/>
        </w:rPr>
        <w:t> </w:t>
      </w:r>
      <w:r>
        <w:rPr/>
        <w:t>综合收益的累计公允价值变动转入改按权益法核算的当期损益。</w:t>
      </w:r>
    </w:p>
    <w:p>
      <w:pPr>
        <w:pStyle w:val="BodyText"/>
        <w:spacing w:line="273" w:lineRule="auto"/>
        <w:ind w:right="212" w:firstLine="420"/>
        <w:jc w:val="both"/>
      </w:pPr>
      <w:r>
        <w:rPr>
          <w:spacing w:val="4"/>
        </w:rPr>
        <w:t>按权益法核算的初始投资成本小于按照追加投资后全新的持股比例计算确定的应享有被投资单位在</w:t>
      </w:r>
      <w:r>
        <w:rPr>
          <w:w w:val="99"/>
        </w:rPr>
        <w:t> </w:t>
      </w:r>
      <w:r>
        <w:rPr>
          <w:w w:val="95"/>
        </w:rPr>
        <w:t>追加投资日可辨认净资产公允价值份额之间的差额，调整长期股权投资的账面价值，并计入当期营业外收   </w:t>
      </w:r>
      <w:r>
        <w:rPr>
          <w:spacing w:val="40"/>
          <w:w w:val="95"/>
        </w:rPr>
        <w:t> </w:t>
      </w:r>
      <w:r>
        <w:rPr>
          <w:spacing w:val="40"/>
          <w:w w:val="95"/>
        </w:rPr>
      </w:r>
      <w:r>
        <w:rPr/>
        <w:t>入。</w:t>
      </w:r>
    </w:p>
    <w:p>
      <w:pPr>
        <w:pStyle w:val="BodyText"/>
        <w:spacing w:line="256" w:lineRule="auto"/>
        <w:ind w:left="532" w:right="202"/>
        <w:jc w:val="left"/>
      </w:pPr>
      <w:r>
        <w:rPr>
          <w:rFonts w:ascii="Times New Roman" w:hAnsi="Times New Roman" w:cs="Times New Roman" w:eastAsia="Times New Roman" w:hint="default"/>
        </w:rPr>
        <w:t>2</w:t>
      </w:r>
      <w:r>
        <w:rPr/>
        <w:t>）公允价值计量或权益法核算转成本法核算</w:t>
      </w:r>
      <w:r>
        <w:rPr>
          <w:w w:val="99"/>
        </w:rPr>
        <w:t> </w:t>
      </w:r>
      <w:r>
        <w:rPr>
          <w:w w:val="95"/>
        </w:rPr>
        <w:t>本公司原持有的对被投资单位不具有控制、共同控制或重大影响的按金融工具确认和计量准则进行会</w:t>
      </w:r>
      <w:r>
        <w:rPr/>
      </w:r>
    </w:p>
    <w:p>
      <w:pPr>
        <w:pStyle w:val="BodyText"/>
        <w:spacing w:line="273" w:lineRule="auto" w:before="22"/>
        <w:ind w:right="210"/>
        <w:jc w:val="both"/>
      </w:pPr>
      <w:r>
        <w:rPr>
          <w:w w:val="95"/>
        </w:rPr>
        <w:t>计处理的权益性投资，或原持有对联营企业、合营企业的长期股权投资，因追加投资等原因能够对非同一</w:t>
      </w:r>
      <w:r>
        <w:rPr>
          <w:spacing w:val="43"/>
          <w:w w:val="95"/>
        </w:rPr>
        <w:t> </w:t>
      </w:r>
      <w:r>
        <w:rPr>
          <w:spacing w:val="43"/>
          <w:w w:val="95"/>
        </w:rPr>
      </w:r>
      <w:r>
        <w:rPr>
          <w:w w:val="95"/>
        </w:rPr>
        <w:t>控制下的被投资单位实施控制的，在编制个别财务报表时，按照原持有的股权投资账面价值加上新增投资</w:t>
      </w:r>
      <w:r>
        <w:rPr>
          <w:spacing w:val="37"/>
          <w:w w:val="95"/>
        </w:rPr>
        <w:t> </w:t>
      </w:r>
      <w:r>
        <w:rPr>
          <w:spacing w:val="37"/>
          <w:w w:val="95"/>
        </w:rPr>
      </w:r>
      <w:r>
        <w:rPr/>
        <w:t>成本之和，作为改按成本法核算的初始投资成本。</w:t>
      </w:r>
    </w:p>
    <w:p>
      <w:pPr>
        <w:pStyle w:val="BodyText"/>
        <w:spacing w:line="273" w:lineRule="auto"/>
        <w:ind w:right="202" w:firstLine="420"/>
        <w:jc w:val="left"/>
      </w:pPr>
      <w:r>
        <w:rPr>
          <w:w w:val="95"/>
        </w:rPr>
        <w:t>购买日之前持有的股权投资因采用权益法核算而确认的其他综合收益，在处置该项投资时采用与被投</w:t>
      </w:r>
      <w:r>
        <w:rPr>
          <w:w w:val="99"/>
        </w:rPr>
        <w:t> </w:t>
      </w:r>
      <w:r>
        <w:rPr/>
        <w:t>资单位直接处置相关资产或负债相同的基础进行会计处理。</w:t>
      </w:r>
    </w:p>
    <w:p>
      <w:pPr>
        <w:pStyle w:val="BodyText"/>
        <w:spacing w:line="256" w:lineRule="auto"/>
        <w:ind w:right="202" w:firstLine="420"/>
        <w:jc w:val="left"/>
      </w:pPr>
      <w:r>
        <w:rPr>
          <w:w w:val="95"/>
        </w:rPr>
        <w:t>购买日之前持有的股权投资按照《企业会计准则第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金融工具确认和计量》的有关规定进行会</w:t>
      </w:r>
      <w:r>
        <w:rPr>
          <w:w w:val="99"/>
        </w:rPr>
        <w:t> </w:t>
      </w:r>
      <w:r>
        <w:rPr/>
        <w:t>计处理的，原计入其他综合收益的累计公允价值变动在改按成本法核算时转入当期损益。</w:t>
      </w:r>
    </w:p>
    <w:p>
      <w:pPr>
        <w:pStyle w:val="BodyText"/>
        <w:spacing w:line="256" w:lineRule="auto" w:before="22"/>
        <w:ind w:left="532" w:right="202"/>
        <w:jc w:val="left"/>
      </w:pPr>
      <w:r>
        <w:rPr>
          <w:rFonts w:ascii="Times New Roman" w:hAnsi="Times New Roman" w:cs="Times New Roman" w:eastAsia="Times New Roman" w:hint="default"/>
        </w:rPr>
        <w:t>3</w:t>
      </w:r>
      <w:r>
        <w:rPr/>
        <w:t>）权益法核算转公允价值计量</w:t>
      </w:r>
      <w:r>
        <w:rPr>
          <w:w w:val="99"/>
        </w:rPr>
        <w:t> </w:t>
      </w:r>
      <w:r>
        <w:rPr>
          <w:w w:val="95"/>
        </w:rPr>
        <w:t>本公司因处置部分股权投资等原因丧失了对被投资单位的共同控制或重大影响的，处置后的剩余股权</w:t>
      </w:r>
      <w:r>
        <w:rPr/>
      </w:r>
    </w:p>
    <w:p>
      <w:pPr>
        <w:pStyle w:val="BodyText"/>
        <w:spacing w:line="256" w:lineRule="auto" w:before="22"/>
        <w:ind w:right="212"/>
        <w:jc w:val="both"/>
      </w:pPr>
      <w:r>
        <w:rPr>
          <w:w w:val="95"/>
        </w:rPr>
        <w:t>改按《企业会计准则第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金融工具确认和计量》核算，其在丧失共同控制或重大影响之日的公允价</w:t>
      </w:r>
      <w:r>
        <w:rPr>
          <w:spacing w:val="40"/>
          <w:w w:val="95"/>
        </w:rPr>
        <w:t> </w:t>
      </w:r>
      <w:r>
        <w:rPr>
          <w:spacing w:val="40"/>
          <w:w w:val="95"/>
        </w:rPr>
      </w:r>
      <w:r>
        <w:rPr/>
        <w:t>值与账面价值之间的差额计入当期损益。</w:t>
      </w:r>
    </w:p>
    <w:p>
      <w:pPr>
        <w:pStyle w:val="BodyText"/>
        <w:spacing w:line="273" w:lineRule="auto" w:before="22"/>
        <w:ind w:right="202" w:firstLine="420"/>
        <w:jc w:val="left"/>
      </w:pPr>
      <w:r>
        <w:rPr>
          <w:w w:val="95"/>
        </w:rPr>
        <w:t>原股权投资因采用权益法核算而确认的其他综合收益，在终止采用权益法核算时采用与被投资单位直</w:t>
      </w:r>
      <w:r>
        <w:rPr>
          <w:w w:val="99"/>
        </w:rPr>
        <w:t> </w:t>
      </w:r>
      <w:r>
        <w:rPr/>
        <w:t>接处置相关资产或负债相同的基础进行会计处理。</w:t>
      </w:r>
    </w:p>
    <w:p>
      <w:pPr>
        <w:pStyle w:val="BodyText"/>
        <w:spacing w:line="256" w:lineRule="auto"/>
        <w:ind w:left="532" w:right="202"/>
        <w:jc w:val="left"/>
      </w:pPr>
      <w:r>
        <w:rPr>
          <w:rFonts w:ascii="Times New Roman" w:hAnsi="Times New Roman" w:cs="Times New Roman" w:eastAsia="Times New Roman" w:hint="default"/>
        </w:rPr>
        <w:t>4</w:t>
      </w:r>
      <w:r>
        <w:rPr/>
        <w:t>）成本法转权益法</w:t>
      </w:r>
      <w:r>
        <w:rPr>
          <w:w w:val="99"/>
        </w:rPr>
        <w:t> </w:t>
      </w:r>
      <w:r>
        <w:rPr>
          <w:w w:val="95"/>
        </w:rPr>
        <w:t>本公司因处置部分权益性投资等原因丧失了对被投资单位的控制的，在编制个别财务报表时，处置后</w:t>
      </w:r>
      <w:r>
        <w:rPr/>
      </w:r>
    </w:p>
    <w:p>
      <w:pPr>
        <w:pStyle w:val="BodyText"/>
        <w:spacing w:line="273" w:lineRule="auto" w:before="22"/>
        <w:ind w:right="215"/>
        <w:jc w:val="both"/>
      </w:pPr>
      <w:r>
        <w:rPr>
          <w:w w:val="95"/>
        </w:rPr>
        <w:t>的剩余股权能够对被投资单位实施共同控制或施加重大影响的，改按权益法核算，并对该剩余股权视同自</w:t>
      </w:r>
      <w:r>
        <w:rPr>
          <w:spacing w:val="37"/>
          <w:w w:val="95"/>
        </w:rPr>
        <w:t> </w:t>
      </w:r>
      <w:r>
        <w:rPr>
          <w:spacing w:val="37"/>
          <w:w w:val="95"/>
        </w:rPr>
      </w:r>
      <w:r>
        <w:rPr/>
        <w:t>取得时即采用权益法核算进行调整。</w:t>
      </w:r>
    </w:p>
    <w:p>
      <w:pPr>
        <w:pStyle w:val="BodyText"/>
        <w:spacing w:line="256" w:lineRule="auto"/>
        <w:ind w:left="532" w:right="202"/>
        <w:jc w:val="left"/>
      </w:pPr>
      <w:r>
        <w:rPr>
          <w:rFonts w:ascii="Times New Roman" w:hAnsi="Times New Roman" w:cs="Times New Roman" w:eastAsia="Times New Roman" w:hint="default"/>
        </w:rPr>
        <w:t>5</w:t>
      </w:r>
      <w:r>
        <w:rPr/>
        <w:t>）成本法转公允价值计量</w:t>
      </w:r>
      <w:r>
        <w:rPr>
          <w:w w:val="99"/>
        </w:rPr>
        <w:t> </w:t>
      </w:r>
      <w:r>
        <w:rPr>
          <w:w w:val="95"/>
        </w:rPr>
        <w:t>本公司因处置部分权益性投资等原因丧失了对被投资单位的控制的，在编制个别财务报表时，处置后</w:t>
      </w:r>
      <w:r>
        <w:rPr/>
      </w:r>
    </w:p>
    <w:p>
      <w:pPr>
        <w:pStyle w:val="BodyText"/>
        <w:spacing w:line="256" w:lineRule="auto" w:before="22"/>
        <w:ind w:right="105"/>
        <w:jc w:val="left"/>
      </w:pPr>
      <w:r>
        <w:rPr/>
        <w:t>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w:t>
      </w:r>
      <w:r>
        <w:rPr>
          <w:w w:val="99"/>
        </w:rPr>
        <w:t> </w:t>
      </w:r>
      <w:r>
        <w:rPr>
          <w:spacing w:val="-3"/>
        </w:rPr>
        <w:t>确认和计量》的有关规定进行会计处理，其在丧失控制之日的公允价值与账面价值间的差额计入当期损益。</w:t>
      </w:r>
    </w:p>
    <w:p>
      <w:pPr>
        <w:spacing w:line="256" w:lineRule="auto" w:before="22"/>
        <w:ind w:left="532" w:right="2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w w:val="95"/>
          <w:sz w:val="21"/>
          <w:szCs w:val="21"/>
        </w:rPr>
        <w:t>处置长期股权投资，其账面价值与实际取得价款之间的差额，应当计入当期损益。采用权益法核算的</w:t>
      </w:r>
      <w:r>
        <w:rPr>
          <w:rFonts w:ascii="宋体" w:hAnsi="宋体" w:cs="宋体" w:eastAsia="宋体" w:hint="default"/>
          <w:sz w:val="21"/>
          <w:szCs w:val="21"/>
        </w:rPr>
      </w:r>
    </w:p>
    <w:p>
      <w:pPr>
        <w:pStyle w:val="BodyText"/>
        <w:spacing w:line="273" w:lineRule="auto" w:before="22"/>
        <w:ind w:right="212"/>
        <w:jc w:val="both"/>
      </w:pPr>
      <w:r>
        <w:rPr>
          <w:w w:val="95"/>
        </w:rPr>
        <w:t>长期股权投资，在处置该项投资时，采用与被投资单位直接处置相关资产或负债相同的基础，按相应比例</w:t>
      </w:r>
      <w:r>
        <w:rPr>
          <w:spacing w:val="41"/>
          <w:w w:val="95"/>
        </w:rPr>
        <w:t> </w:t>
      </w:r>
      <w:r>
        <w:rPr>
          <w:spacing w:val="41"/>
          <w:w w:val="95"/>
        </w:rPr>
      </w:r>
      <w:r>
        <w:rPr/>
        <w:t>对原计入其他综合收益的部分进行会计处理。</w:t>
      </w:r>
    </w:p>
    <w:p>
      <w:pPr>
        <w:pStyle w:val="BodyText"/>
        <w:spacing w:line="273" w:lineRule="auto"/>
        <w:ind w:right="202" w:firstLine="420"/>
        <w:jc w:val="left"/>
      </w:pPr>
      <w:r>
        <w:rPr>
          <w:w w:val="95"/>
        </w:rPr>
        <w:t>处置对子公司股权投资的各项交易的条款、条件以及经济影响符合以下一种或多种情况，将多次交易</w:t>
      </w:r>
      <w:r>
        <w:rPr>
          <w:w w:val="99"/>
        </w:rPr>
        <w:t> </w:t>
      </w:r>
      <w:r>
        <w:rPr/>
        <w:t>事项作为一揽子交易进行会计处理：</w:t>
      </w:r>
    </w:p>
    <w:p>
      <w:pPr>
        <w:pStyle w:val="BodyText"/>
        <w:spacing w:line="240" w:lineRule="auto"/>
        <w:ind w:left="532" w:right="202"/>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532" w:right="202"/>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32" w:right="202"/>
        <w:jc w:val="left"/>
      </w:pPr>
      <w:r>
        <w:rPr>
          <w:rFonts w:ascii="Times New Roman" w:hAnsi="Times New Roman" w:cs="Times New Roman" w:eastAsia="Times New Roman" w:hint="default"/>
        </w:rPr>
        <w:t>3</w:t>
      </w:r>
      <w:r>
        <w:rPr/>
        <w:t>）一项交易的发生取决于其他至少一项交易的发生；</w:t>
      </w:r>
    </w:p>
    <w:p>
      <w:pPr>
        <w:pStyle w:val="BodyText"/>
        <w:spacing w:line="256" w:lineRule="auto" w:before="21"/>
        <w:ind w:left="532" w:right="202"/>
        <w:jc w:val="left"/>
      </w:pPr>
      <w:r>
        <w:rPr>
          <w:rFonts w:ascii="Times New Roman" w:hAnsi="Times New Roman" w:cs="Times New Roman" w:eastAsia="Times New Roman" w:hint="default"/>
        </w:rPr>
        <w:t>4</w:t>
      </w:r>
      <w:r>
        <w:rPr/>
        <w:t>）一项交易单独看是不经济的，但是和其他交易一并考虑时是经济的。</w:t>
      </w:r>
      <w:r>
        <w:rPr>
          <w:w w:val="99"/>
        </w:rPr>
        <w:t> </w:t>
      </w:r>
      <w:r>
        <w:rPr>
          <w:w w:val="95"/>
        </w:rPr>
        <w:t>因处置部分股权投资或其他原因丧失了对原有子公司控制权的，不属于一揽子交易的，区分个别财务</w:t>
      </w:r>
      <w:r>
        <w:rPr/>
      </w:r>
    </w:p>
    <w:p>
      <w:pPr>
        <w:pStyle w:val="BodyText"/>
        <w:spacing w:line="273" w:lineRule="auto" w:before="22"/>
        <w:ind w:left="532" w:right="202" w:hanging="420"/>
        <w:jc w:val="left"/>
      </w:pPr>
      <w:r>
        <w:rPr/>
        <w:t>报表和合并财务报表进行相关会计处理：</w:t>
      </w:r>
      <w:r>
        <w:rPr>
          <w:w w:val="99"/>
        </w:rPr>
        <w:t> </w:t>
      </w:r>
      <w:r>
        <w:rPr>
          <w:w w:val="95"/>
        </w:rPr>
        <w:t>在个别财务报表中，对于处置的股权，其账面价值与实际取得价款之间的差额计入当期损益。处置后</w:t>
      </w:r>
      <w:r>
        <w:rPr/>
      </w:r>
    </w:p>
    <w:p>
      <w:pPr>
        <w:pStyle w:val="BodyText"/>
        <w:spacing w:line="240" w:lineRule="auto"/>
        <w:ind w:right="108"/>
        <w:jc w:val="left"/>
      </w:pPr>
      <w:r>
        <w:rPr/>
        <w:t>的剩余股权能够对被投资单位实施共同控制或施加重大影响的，改按权益法核算，并对该剩余股权视同自</w:t>
      </w:r>
    </w:p>
    <w:p>
      <w:pPr>
        <w:spacing w:after="0" w:line="240" w:lineRule="auto"/>
        <w:jc w:val="left"/>
        <w:sectPr>
          <w:footerReference w:type="default" r:id="rId26"/>
          <w:pgSz w:w="11910" w:h="16840"/>
          <w:pgMar w:footer="978" w:header="746" w:top="1040" w:bottom="1160" w:left="1020" w:right="920"/>
          <w:pgNumType w:start="90"/>
        </w:sectPr>
      </w:pPr>
    </w:p>
    <w:p>
      <w:pPr>
        <w:spacing w:line="240" w:lineRule="auto" w:before="6"/>
        <w:rPr>
          <w:rFonts w:ascii="宋体" w:hAnsi="宋体" w:cs="宋体" w:eastAsia="宋体" w:hint="default"/>
          <w:sz w:val="25"/>
          <w:szCs w:val="25"/>
        </w:rPr>
      </w:pPr>
    </w:p>
    <w:p>
      <w:pPr>
        <w:pStyle w:val="BodyText"/>
        <w:spacing w:line="264" w:lineRule="auto" w:before="34"/>
        <w:ind w:right="130"/>
        <w:jc w:val="both"/>
      </w:pPr>
      <w:r>
        <w:rPr>
          <w:spacing w:val="4"/>
        </w:rPr>
        <w:t>取得时即采用权益法核算进行调整；处置后的剩余股权不能对被投资单位实施共同控制或施加重大影响</w:t>
      </w:r>
      <w:r>
        <w:rPr>
          <w:w w:val="99"/>
        </w:rPr>
        <w:t> </w:t>
      </w:r>
      <w:r>
        <w:rPr>
          <w:w w:val="95"/>
        </w:rPr>
        <w:t>的，改按《企业会计准则第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金融工具确认和计量》的有关规定进行会计处理，其在丧失控制之日</w:t>
      </w:r>
      <w:r>
        <w:rPr>
          <w:spacing w:val="45"/>
          <w:w w:val="95"/>
        </w:rPr>
        <w:t> </w:t>
      </w:r>
      <w:r>
        <w:rPr>
          <w:spacing w:val="45"/>
          <w:w w:val="95"/>
        </w:rPr>
      </w:r>
      <w:r>
        <w:rPr/>
        <w:t>的公允价值与账面价值间的差额计入当期损益。</w:t>
      </w:r>
    </w:p>
    <w:p>
      <w:pPr>
        <w:pStyle w:val="BodyText"/>
        <w:spacing w:line="273" w:lineRule="auto" w:before="16"/>
        <w:ind w:right="130" w:firstLine="420"/>
        <w:jc w:val="both"/>
      </w:pPr>
      <w:r>
        <w:rPr>
          <w:w w:val="95"/>
        </w:rPr>
        <w:t>在合并财务报表中，对于在丧失对子公司控制权以前的各项交易，处置价款与处置长期股权投资相应</w:t>
      </w:r>
      <w:r>
        <w:rPr>
          <w:w w:val="99"/>
        </w:rPr>
        <w:t> </w:t>
      </w:r>
      <w:r>
        <w:rPr>
          <w:w w:val="95"/>
        </w:rPr>
        <w:t>对享有子公司自购买日或合并日开始持续计算的净资产份额之间的差额，调整资本公积（股本溢价），资</w:t>
      </w:r>
      <w:r>
        <w:rPr>
          <w:spacing w:val="44"/>
          <w:w w:val="95"/>
        </w:rPr>
        <w:t> </w:t>
      </w:r>
      <w:r>
        <w:rPr>
          <w:spacing w:val="44"/>
          <w:w w:val="95"/>
        </w:rPr>
      </w:r>
      <w:r>
        <w:rPr>
          <w:w w:val="95"/>
        </w:rPr>
        <w:t>本公积不足冲减的，调整留存收益；在丧失对子公司控制权时，对于剩余股权，按照其在丧失控制权日的</w:t>
      </w:r>
      <w:r>
        <w:rPr>
          <w:spacing w:val="42"/>
          <w:w w:val="95"/>
        </w:rPr>
        <w:t> </w:t>
      </w:r>
      <w:r>
        <w:rPr>
          <w:spacing w:val="42"/>
          <w:w w:val="95"/>
        </w:rPr>
      </w:r>
      <w:r>
        <w:rPr>
          <w:w w:val="95"/>
        </w:rPr>
        <w:t>公允价值进行重新计量。处置股权取得的对价与剩余股权公允价值之和，减去按原持股比例计算应享有原</w:t>
      </w:r>
      <w:r>
        <w:rPr>
          <w:spacing w:val="37"/>
          <w:w w:val="95"/>
        </w:rPr>
        <w:t> </w:t>
      </w:r>
      <w:r>
        <w:rPr>
          <w:spacing w:val="37"/>
          <w:w w:val="95"/>
        </w:rPr>
      </w:r>
      <w:r>
        <w:rPr>
          <w:w w:val="95"/>
        </w:rPr>
        <w:t>有子公司自购买日开始持续计算的净资产的份额之间的差额，计入丧失控制权当期的投资收益，同时冲减</w:t>
      </w:r>
      <w:r>
        <w:rPr>
          <w:spacing w:val="37"/>
          <w:w w:val="95"/>
        </w:rPr>
        <w:t> </w:t>
      </w:r>
      <w:r>
        <w:rPr>
          <w:spacing w:val="37"/>
          <w:w w:val="95"/>
        </w:rPr>
      </w:r>
      <w:r>
        <w:rPr/>
        <w:t>商誉。与原有子公司股权投资相关的其他综合收益等，在丧失控制权时转为当期投资收益。</w:t>
      </w:r>
    </w:p>
    <w:p>
      <w:pPr>
        <w:pStyle w:val="BodyText"/>
        <w:spacing w:line="273" w:lineRule="auto"/>
        <w:ind w:right="132" w:firstLine="420"/>
        <w:jc w:val="both"/>
      </w:pPr>
      <w:r>
        <w:rPr>
          <w:w w:val="95"/>
        </w:rPr>
        <w:t>处置对子公司股权投资直至丧失控制权的各项交易属于一揽子交易的，将各项交易作为一项处置子公</w:t>
      </w:r>
      <w:r>
        <w:rPr>
          <w:w w:val="99"/>
        </w:rPr>
        <w:t> </w:t>
      </w:r>
      <w:r>
        <w:rPr/>
        <w:t>司股权投资并丧失控制权的交易进行会计处理，区分个别财务报表和合并财务报表进行相关会计处理：</w:t>
      </w:r>
    </w:p>
    <w:p>
      <w:pPr>
        <w:pStyle w:val="BodyText"/>
        <w:spacing w:line="256" w:lineRule="auto"/>
        <w:ind w:right="133" w:firstLine="420"/>
        <w:jc w:val="both"/>
      </w:pPr>
      <w:r>
        <w:rPr>
          <w:rFonts w:ascii="Times New Roman" w:hAnsi="Times New Roman" w:cs="Times New Roman" w:eastAsia="Times New Roman" w:hint="default"/>
          <w:spacing w:val="2"/>
          <w:w w:val="95"/>
        </w:rPr>
        <w:t>1</w:t>
      </w:r>
      <w:r>
        <w:rPr>
          <w:spacing w:val="2"/>
          <w:w w:val="95"/>
        </w:rPr>
        <w:t>）在个别财务报表中，在丧失控制权之前每一次处置价款与处置的股权对应的长期股权投资账面价</w:t>
      </w:r>
      <w:r>
        <w:rPr>
          <w:spacing w:val="-82"/>
          <w:w w:val="95"/>
        </w:rPr>
        <w:t> </w:t>
      </w:r>
      <w:r>
        <w:rPr>
          <w:spacing w:val="-82"/>
          <w:w w:val="95"/>
        </w:rPr>
      </w:r>
      <w:r>
        <w:rPr/>
        <w:t>值之间的差额，确认为其他综合收益，在丧失控制权时一并转入丧失控制权当期的损益。</w:t>
      </w:r>
    </w:p>
    <w:p>
      <w:pPr>
        <w:pStyle w:val="BodyText"/>
        <w:spacing w:line="256" w:lineRule="auto" w:before="22"/>
        <w:ind w:right="133" w:firstLine="420"/>
        <w:jc w:val="both"/>
      </w:pPr>
      <w:r>
        <w:rPr>
          <w:rFonts w:ascii="Times New Roman" w:hAnsi="Times New Roman" w:cs="Times New Roman" w:eastAsia="Times New Roman" w:hint="default"/>
          <w:spacing w:val="2"/>
          <w:w w:val="95"/>
        </w:rPr>
        <w:t>2</w:t>
      </w:r>
      <w:r>
        <w:rPr>
          <w:spacing w:val="2"/>
          <w:w w:val="95"/>
        </w:rPr>
        <w:t>）在合并财务报表中，在丧失控制权之前每一次处置价款与处置投资对应的享有该子公司净资产份</w:t>
      </w:r>
      <w:r>
        <w:rPr>
          <w:spacing w:val="-82"/>
          <w:w w:val="95"/>
        </w:rPr>
        <w:t> </w:t>
      </w:r>
      <w:r>
        <w:rPr>
          <w:spacing w:val="-82"/>
          <w:w w:val="95"/>
        </w:rPr>
      </w:r>
      <w:r>
        <w:rPr/>
        <w:t>额的差额，确认为其他综合收益，在丧失控制权时一并转入丧失控制权当期的损益。</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7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3"/>
        <w:ind w:right="112" w:firstLine="420"/>
        <w:jc w:val="both"/>
      </w:pPr>
      <w:r>
        <w:rPr>
          <w:w w:val="95"/>
        </w:rPr>
        <w:t>投资性房地产是指为赚取租金或资本增值，或两者兼有而持有的房地产，包括已出租的土地使用权、</w:t>
      </w:r>
      <w:r>
        <w:rPr>
          <w:spacing w:val="-79"/>
          <w:w w:val="95"/>
        </w:rPr>
        <w:t> </w:t>
      </w:r>
      <w:r>
        <w:rPr>
          <w:spacing w:val="-79"/>
          <w:w w:val="95"/>
        </w:rPr>
      </w:r>
      <w:r>
        <w:rPr/>
        <w:t>持有并准备增值后转让的土地使用权、已出租的建筑物。</w:t>
      </w:r>
    </w:p>
    <w:p>
      <w:pPr>
        <w:pStyle w:val="BodyText"/>
        <w:spacing w:line="273" w:lineRule="auto"/>
        <w:ind w:right="132" w:firstLine="420"/>
        <w:jc w:val="both"/>
      </w:pPr>
      <w:r>
        <w:rPr>
          <w:w w:val="95"/>
        </w:rPr>
        <w:t>本公司的投资性房地产按其成本作为入账价值，外购投资性房地产的成本包括购买价款、相关税费和</w:t>
      </w:r>
      <w:r>
        <w:rPr>
          <w:w w:val="99"/>
        </w:rPr>
        <w:t> </w:t>
      </w:r>
      <w:r>
        <w:rPr>
          <w:w w:val="95"/>
        </w:rPr>
        <w:t>可直接归属于该资产的其他支出；自行建造投资性房地产的成本，由建造该项资产达到预定可使用状态前</w:t>
      </w:r>
      <w:r>
        <w:rPr>
          <w:spacing w:val="40"/>
          <w:w w:val="95"/>
        </w:rPr>
        <w:t> </w:t>
      </w:r>
      <w:r>
        <w:rPr>
          <w:spacing w:val="40"/>
          <w:w w:val="95"/>
        </w:rPr>
      </w:r>
      <w:r>
        <w:rPr/>
        <w:t>所发生的必要支出构成。</w:t>
      </w:r>
    </w:p>
    <w:p>
      <w:pPr>
        <w:pStyle w:val="BodyText"/>
        <w:spacing w:line="273" w:lineRule="auto"/>
        <w:ind w:right="132" w:firstLine="420"/>
        <w:jc w:val="both"/>
      </w:pPr>
      <w:r>
        <w:rPr>
          <w:w w:val="95"/>
        </w:rPr>
        <w:t>本公司对投资性房地产采用成本模式进行后续计量，按其预计使用寿命及净残值率对建筑物和土地使</w:t>
      </w:r>
      <w:r>
        <w:rPr>
          <w:w w:val="99"/>
        </w:rPr>
        <w:t> </w:t>
      </w:r>
      <w:r>
        <w:rPr/>
        <w:t>用权计提折旧或摊销。投资性房地产的预计使用寿命、净残值率及年折旧（摊销）率列示如下：</w:t>
      </w:r>
    </w:p>
    <w:p>
      <w:pPr>
        <w:spacing w:before="57"/>
        <w:ind w:left="0" w:right="609" w:firstLine="0"/>
        <w:jc w:val="right"/>
        <w:rPr>
          <w:rFonts w:ascii="宋体" w:hAnsi="宋体" w:cs="宋体" w:eastAsia="宋体" w:hint="default"/>
          <w:sz w:val="18"/>
          <w:szCs w:val="18"/>
        </w:rPr>
      </w:pPr>
      <w:r>
        <w:rPr/>
        <w:pict>
          <v:shape style="position:absolute;margin-left:84.089996pt;margin-top:1.122217pt;width:427.5pt;height:35.4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1"/>
                    <w:gridCol w:w="2031"/>
                    <w:gridCol w:w="2216"/>
                    <w:gridCol w:w="1830"/>
                  </w:tblGrid>
                  <w:tr>
                    <w:trPr>
                      <w:trHeight w:val="3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tabs>
                            <w:tab w:pos="448" w:val="left" w:leader="none"/>
                          </w:tabs>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7"/>
                          <w:jc w:val="center"/>
                          <w:rPr>
                            <w:rFonts w:ascii="Times New Roman" w:hAnsi="Times New Roman" w:cs="Times New Roman" w:eastAsia="Times New Roman" w:hint="default"/>
                            <w:sz w:val="18"/>
                            <w:szCs w:val="18"/>
                          </w:rPr>
                        </w:pPr>
                        <w:r>
                          <w:rPr>
                            <w:rFonts w:ascii="宋体" w:hAnsi="宋体" w:cs="宋体" w:eastAsia="宋体" w:hint="default"/>
                            <w:spacing w:val="-6"/>
                            <w:sz w:val="18"/>
                            <w:szCs w:val="18"/>
                          </w:rPr>
                          <w:t>年折旧（摊销）率（</w:t>
                        </w:r>
                        <w:r>
                          <w:rPr>
                            <w:rFonts w:ascii="Times New Roman" w:hAnsi="Times New Roman" w:cs="Times New Roman" w:eastAsia="Times New Roman" w:hint="default"/>
                            <w:spacing w:val="-6"/>
                            <w:sz w:val="18"/>
                            <w:szCs w:val="18"/>
                          </w:rPr>
                          <w:t>%</w:t>
                        </w:r>
                      </w:p>
                    </w:tc>
                  </w:tr>
                  <w:tr>
                    <w:trPr>
                      <w:trHeight w:val="3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30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3.17</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3" w:lineRule="auto" w:before="34"/>
        <w:ind w:right="130" w:firstLine="420"/>
        <w:jc w:val="both"/>
      </w:pPr>
      <w:r>
        <w:rPr>
          <w:w w:val="95"/>
        </w:rPr>
        <w:t>投资性房地产的用途改变为自用时，自改变之日起，本公司将该投资性房地产转换为固定资产或无形</w:t>
      </w:r>
      <w:r>
        <w:rPr>
          <w:w w:val="99"/>
        </w:rPr>
        <w:t> </w:t>
      </w:r>
      <w:r>
        <w:rPr>
          <w:w w:val="95"/>
        </w:rPr>
        <w:t>资产。自用房地产的用途改变为赚取租金或资本增值时，自改变之日起，本公司将固定资产或无形资产转</w:t>
      </w:r>
      <w:r>
        <w:rPr>
          <w:spacing w:val="43"/>
          <w:w w:val="95"/>
        </w:rPr>
        <w:t> </w:t>
      </w:r>
      <w:r>
        <w:rPr>
          <w:spacing w:val="43"/>
          <w:w w:val="95"/>
        </w:rPr>
      </w:r>
      <w:r>
        <w:rPr/>
        <w:t>换为投资性房地产。发生转换时，以转换前的账面价值作为转换后的入账价值。</w:t>
      </w:r>
    </w:p>
    <w:p>
      <w:pPr>
        <w:pStyle w:val="BodyText"/>
        <w:spacing w:line="273" w:lineRule="auto" w:before="8"/>
        <w:ind w:left="532" w:right="0"/>
        <w:jc w:val="left"/>
      </w:pPr>
      <w:r>
        <w:rPr>
          <w:w w:val="95"/>
        </w:rPr>
        <w:t>公司对存在减值迹象的，估计其可收回金额，可收回金额低于其账面价值的，确认相应的减值损失。</w:t>
      </w:r>
      <w:r>
        <w:rPr>
          <w:spacing w:val="41"/>
          <w:w w:val="95"/>
        </w:rPr>
        <w:t> </w:t>
      </w:r>
      <w:r>
        <w:rPr>
          <w:spacing w:val="41"/>
          <w:w w:val="95"/>
        </w:rPr>
      </w:r>
      <w:r>
        <w:rPr/>
        <w:t>投资性房地产减值损失一经确认，不再转回。</w:t>
      </w:r>
      <w:r>
        <w:rPr>
          <w:w w:val="99"/>
        </w:rPr>
        <w:t> </w:t>
      </w:r>
      <w:r>
        <w:rPr>
          <w:w w:val="95"/>
        </w:rPr>
        <w:t>当投资性房地产被处置，或者永久退出使用且预计不能从其处置中取得经济利益时，终止确认该项投</w:t>
      </w:r>
      <w:r>
        <w:rPr/>
      </w:r>
    </w:p>
    <w:p>
      <w:pPr>
        <w:pStyle w:val="BodyText"/>
        <w:spacing w:line="273" w:lineRule="auto"/>
        <w:ind w:right="0"/>
        <w:jc w:val="left"/>
      </w:pPr>
      <w:r>
        <w:rPr>
          <w:w w:val="95"/>
        </w:rPr>
        <w:t>资性房地产。投资性房地产出售、转让、报废或毁损的处置收入扣除其账面价值和相关税费后的金额计入</w:t>
      </w:r>
      <w:r>
        <w:rPr>
          <w:spacing w:val="40"/>
          <w:w w:val="95"/>
        </w:rPr>
        <w:t> </w:t>
      </w:r>
      <w:r>
        <w:rPr>
          <w:spacing w:val="40"/>
          <w:w w:val="95"/>
        </w:rPr>
      </w:r>
      <w:r>
        <w:rPr/>
        <w:t>当期损益。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固定资产指为生产商品、提供劳务、出租或经营管理而持有，并且使用寿命超过一个会计年度的有形资产。固定资产在同时</w:t>
      </w:r>
    </w:p>
    <w:p>
      <w:pPr>
        <w:spacing w:after="0"/>
        <w:jc w:val="left"/>
        <w:rPr>
          <w:rFonts w:ascii="宋体" w:hAnsi="宋体" w:cs="宋体" w:eastAsia="宋体" w:hint="default"/>
          <w:sz w:val="18"/>
          <w:szCs w:val="18"/>
        </w:rPr>
        <w:sectPr>
          <w:pgSz w:w="11910" w:h="16840"/>
          <w:pgMar w:header="746" w:footer="978" w:top="1040" w:bottom="1160" w:left="1020" w:right="100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满足下列条件时予以确认：</w:t>
      </w:r>
      <w:r>
        <w:rPr>
          <w:rFonts w:ascii="宋体" w:hAnsi="宋体" w:cs="宋体" w:eastAsia="宋体" w:hint="default"/>
          <w:spacing w:val="-43"/>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）与该固定资产有关的经济利益很可能流入企业；</w:t>
      </w:r>
      <w:r>
        <w:rPr>
          <w:rFonts w:ascii="宋体" w:hAnsi="宋体" w:cs="宋体" w:eastAsia="宋体" w:hint="default"/>
          <w:spacing w:val="-46"/>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）该固定资产的成本能够可靠地计量。</w:t>
      </w:r>
    </w:p>
    <w:p>
      <w:pPr>
        <w:spacing w:line="240" w:lineRule="auto" w:before="10"/>
        <w:rPr>
          <w:rFonts w:ascii="宋体" w:hAnsi="宋体" w:cs="宋体" w:eastAsia="宋体" w:hint="default"/>
          <w:sz w:val="25"/>
          <w:szCs w:val="25"/>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19.00%-11.88%</w:t>
            </w:r>
          </w:p>
        </w:tc>
      </w:tr>
    </w:tbl>
    <w:p>
      <w:pPr>
        <w:spacing w:line="240" w:lineRule="auto" w:before="5"/>
        <w:rPr>
          <w:rFonts w:ascii="宋体" w:hAnsi="宋体" w:cs="宋体" w:eastAsia="宋体" w:hint="default"/>
          <w:b/>
          <w:bCs/>
          <w:sz w:val="19"/>
          <w:szCs w:val="19"/>
        </w:rPr>
      </w:pPr>
    </w:p>
    <w:p>
      <w:pPr>
        <w:pStyle w:val="Heading4"/>
        <w:spacing w:line="240" w:lineRule="auto" w:before="34"/>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before="0"/>
        <w:ind w:left="472" w:right="184" w:firstLine="0"/>
        <w:jc w:val="left"/>
        <w:rPr>
          <w:rFonts w:ascii="宋体" w:hAnsi="宋体" w:cs="宋体" w:eastAsia="宋体" w:hint="default"/>
          <w:sz w:val="18"/>
          <w:szCs w:val="18"/>
        </w:rPr>
      </w:pPr>
      <w:r>
        <w:rPr>
          <w:rFonts w:ascii="宋体" w:hAnsi="宋体" w:cs="宋体" w:eastAsia="宋体" w:hint="default"/>
          <w:sz w:val="18"/>
          <w:szCs w:val="18"/>
        </w:rPr>
        <w:t>当本公司租入的固定资产符合下列一项或数项标准时，确认为融资租入固定资产：</w:t>
      </w:r>
    </w:p>
    <w:p>
      <w:pPr>
        <w:spacing w:before="115"/>
        <w:ind w:left="472" w:right="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）在租赁期届满时，租赁资产的所有权转移给本公司。</w:t>
      </w:r>
    </w:p>
    <w:p>
      <w:pPr>
        <w:spacing w:line="300" w:lineRule="auto" w:before="103"/>
        <w:ind w:left="112" w:right="18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）本公司有购买租赁资产的选择权，所订立的购买价款预计将远低于行使选择权时租赁资产的公允价值，因而在租赁 开始日就可以合理确定本公司将会行使这种选择权。</w:t>
      </w:r>
    </w:p>
    <w:p>
      <w:pPr>
        <w:spacing w:before="72"/>
        <w:ind w:left="472" w:right="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）即使资产的所有权不转移，但租赁期占租赁资产使用寿命的大部分。</w:t>
      </w:r>
    </w:p>
    <w:p>
      <w:pPr>
        <w:spacing w:before="101"/>
        <w:ind w:left="472" w:right="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）本公司在租赁开始日的最低租赁付款额现值，几乎相当于租赁开始日租赁资产公允价值。</w:t>
      </w:r>
    </w:p>
    <w:p>
      <w:pPr>
        <w:spacing w:line="340" w:lineRule="auto" w:before="103"/>
        <w:ind w:left="472" w:right="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）租赁资产性质特殊，如果不作较大改造，只有本公司才能使用。 </w:t>
      </w:r>
      <w:r>
        <w:rPr>
          <w:rFonts w:ascii="宋体" w:hAnsi="宋体" w:cs="宋体" w:eastAsia="宋体" w:hint="default"/>
          <w:spacing w:val="-2"/>
          <w:sz w:val="18"/>
          <w:szCs w:val="18"/>
        </w:rPr>
        <w:t>融资租赁租入的固定资产，按租赁开始日租赁资产公允价值与最低租赁付款额的现值两者中较低者，作为入账价值。最</w:t>
      </w:r>
    </w:p>
    <w:p>
      <w:pPr>
        <w:spacing w:line="316" w:lineRule="auto" w:before="1"/>
        <w:ind w:left="112" w:right="192" w:firstLine="0"/>
        <w:jc w:val="both"/>
        <w:rPr>
          <w:rFonts w:ascii="宋体" w:hAnsi="宋体" w:cs="宋体" w:eastAsia="宋体" w:hint="default"/>
          <w:sz w:val="18"/>
          <w:szCs w:val="18"/>
        </w:rPr>
      </w:pPr>
      <w:r>
        <w:rPr>
          <w:rFonts w:ascii="宋体" w:hAnsi="宋体" w:cs="宋体" w:eastAsia="宋体" w:hint="default"/>
          <w:spacing w:val="-2"/>
          <w:sz w:val="18"/>
          <w:szCs w:val="18"/>
        </w:rPr>
        <w:t>低租赁付款额作为长期应付款的入账价值，其差额作为未确认融资费用。在租赁谈判和签订租赁合同过程中发生的，可归属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于租赁项目的手续费、律师费、差旅费、印花税等初始直接费用，计入租入资产价值。未确认融资费用在租赁期内各个期间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采用实际利率法进行分摊。</w:t>
      </w:r>
    </w:p>
    <w:p>
      <w:pPr>
        <w:spacing w:line="316" w:lineRule="auto" w:before="57"/>
        <w:ind w:left="112" w:right="192" w:firstLine="360"/>
        <w:jc w:val="both"/>
        <w:rPr>
          <w:rFonts w:ascii="宋体" w:hAnsi="宋体" w:cs="宋体" w:eastAsia="宋体" w:hint="default"/>
          <w:sz w:val="18"/>
          <w:szCs w:val="18"/>
        </w:rPr>
      </w:pPr>
      <w:r>
        <w:rPr>
          <w:rFonts w:ascii="宋体" w:hAnsi="宋体" w:cs="宋体" w:eastAsia="宋体" w:hint="default"/>
          <w:spacing w:val="-2"/>
          <w:sz w:val="18"/>
          <w:szCs w:val="18"/>
        </w:rPr>
        <w:t>本公司采用与自有固定资产相一致的折旧政策计提融资租入固定资产折旧。能够合理确定租赁期届满时取得租赁资产所</w:t>
      </w:r>
      <w:r>
        <w:rPr>
          <w:rFonts w:ascii="宋体" w:hAnsi="宋体" w:cs="宋体" w:eastAsia="宋体" w:hint="default"/>
          <w:sz w:val="18"/>
          <w:szCs w:val="18"/>
        </w:rPr>
        <w:t> </w:t>
      </w:r>
      <w:r>
        <w:rPr>
          <w:rFonts w:ascii="宋体" w:hAnsi="宋体" w:cs="宋体" w:eastAsia="宋体" w:hint="default"/>
          <w:spacing w:val="-2"/>
          <w:sz w:val="18"/>
          <w:szCs w:val="18"/>
        </w:rPr>
        <w:t>有权的，在租赁资产使用寿命内计提折旧。无法合理确定租赁期届满时能够取得租赁资产所有权的，在租赁期与租赁资产使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用寿命两者中较短的期间内计提折旧。</w:t>
      </w:r>
    </w:p>
    <w:p>
      <w:pPr>
        <w:pStyle w:val="Heading4"/>
        <w:spacing w:line="612" w:lineRule="exact" w:before="51"/>
        <w:ind w:right="8093"/>
        <w:jc w:val="left"/>
        <w:rPr>
          <w:b w:val="0"/>
          <w:bCs w:val="0"/>
        </w:rPr>
      </w:pPr>
      <w:r>
        <w:rPr>
          <w:rFonts w:ascii="Times New Roman" w:hAnsi="Times New Roman" w:cs="Times New Roman" w:eastAsia="Times New Roman" w:hint="default"/>
        </w:rPr>
        <w:t>17</w:t>
      </w:r>
      <w:r>
        <w:rPr/>
        <w:t>、在建工程</w:t>
      </w:r>
      <w:r>
        <w:rPr>
          <w:w w:val="99"/>
        </w:rPr>
        <w:t> </w:t>
      </w:r>
      <w:r>
        <w:rPr>
          <w:rFonts w:ascii="Times New Roman" w:hAnsi="Times New Roman" w:cs="Times New Roman" w:eastAsia="Times New Roman" w:hint="default"/>
        </w:rPr>
        <w:t>(1)</w:t>
      </w:r>
      <w:r>
        <w:rPr/>
        <w:t>在建工程的类别</w:t>
      </w:r>
      <w:r>
        <w:rPr>
          <w:b w:val="0"/>
          <w:bCs w:val="0"/>
        </w:rPr>
      </w:r>
    </w:p>
    <w:p>
      <w:pPr>
        <w:pStyle w:val="BodyText"/>
        <w:spacing w:line="219" w:lineRule="exact" w:before="0"/>
        <w:ind w:left="429" w:right="184"/>
        <w:jc w:val="left"/>
      </w:pPr>
      <w:r>
        <w:rPr/>
        <w:t>本公司在建工程包括建筑工程、安装工程、技术改造工程和大修理工程等。</w:t>
      </w:r>
    </w:p>
    <w:p>
      <w:pPr>
        <w:spacing w:line="256" w:lineRule="auto" w:before="37"/>
        <w:ind w:left="429" w:right="184" w:hanging="3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在建工程项目按建造该项资产达到预定可使用状态前所发生的全部支出，作为固定资产的入账价值。</w:t>
      </w:r>
      <w:r>
        <w:rPr>
          <w:rFonts w:ascii="宋体" w:hAnsi="宋体" w:cs="宋体" w:eastAsia="宋体" w:hint="default"/>
          <w:spacing w:val="2"/>
          <w:sz w:val="21"/>
          <w:szCs w:val="21"/>
        </w:rPr>
      </w:r>
    </w:p>
    <w:p>
      <w:pPr>
        <w:pStyle w:val="BodyText"/>
        <w:spacing w:line="273" w:lineRule="auto" w:before="22"/>
        <w:ind w:right="190"/>
        <w:jc w:val="both"/>
      </w:pPr>
      <w:r>
        <w:rPr>
          <w:w w:val="95"/>
        </w:rPr>
        <w:t>所建造的固定资产在建工程已达到预定可使用状态，但尚未办理竣工决算的，自达到预定可使用状态之日</w:t>
      </w:r>
      <w:r>
        <w:rPr>
          <w:spacing w:val="37"/>
          <w:w w:val="95"/>
        </w:rPr>
        <w:t> </w:t>
      </w:r>
      <w:r>
        <w:rPr>
          <w:spacing w:val="37"/>
          <w:w w:val="95"/>
        </w:rPr>
      </w:r>
      <w:r>
        <w:rPr>
          <w:w w:val="95"/>
        </w:rPr>
        <w:t>起，根据工程预算、造价或者工程实际成本等，按估计的价值转入固定资产，并按本公司固定资产折旧政</w:t>
      </w:r>
      <w:r>
        <w:rPr>
          <w:spacing w:val="44"/>
          <w:w w:val="95"/>
        </w:rPr>
        <w:t> </w:t>
      </w:r>
      <w:r>
        <w:rPr>
          <w:spacing w:val="44"/>
          <w:w w:val="95"/>
        </w:rPr>
      </w:r>
      <w:r>
        <w:rPr>
          <w:w w:val="95"/>
        </w:rPr>
        <w:t>策计提固定资产的折旧，待办理竣工决算后，再按实际成本调整原来的暂估价值，但不调整原已计提的折  </w:t>
      </w:r>
      <w:r>
        <w:rPr>
          <w:spacing w:val="43"/>
          <w:w w:val="95"/>
        </w:rPr>
        <w:t> </w:t>
      </w:r>
      <w:r>
        <w:rPr>
          <w:spacing w:val="43"/>
          <w:w w:val="95"/>
        </w:rPr>
      </w:r>
      <w:r>
        <w:rPr/>
        <w:t>旧额。</w:t>
      </w:r>
    </w:p>
    <w:p>
      <w:pPr>
        <w:spacing w:line="240" w:lineRule="auto" w:before="7"/>
        <w:rPr>
          <w:rFonts w:ascii="宋体" w:hAnsi="宋体" w:cs="宋体" w:eastAsia="宋体" w:hint="default"/>
          <w:sz w:val="23"/>
          <w:szCs w:val="23"/>
        </w:rPr>
      </w:pPr>
    </w:p>
    <w:p>
      <w:pPr>
        <w:pStyle w:val="Heading4"/>
        <w:spacing w:line="506" w:lineRule="auto"/>
        <w:ind w:right="7039"/>
        <w:jc w:val="left"/>
        <w:rPr>
          <w:b w:val="0"/>
          <w:bCs w:val="0"/>
        </w:rPr>
      </w:pPr>
      <w:r>
        <w:rPr>
          <w:rFonts w:ascii="Times New Roman" w:hAnsi="Times New Roman" w:cs="Times New Roman" w:eastAsia="Times New Roman" w:hint="default"/>
        </w:rPr>
        <w:t>18</w:t>
      </w:r>
      <w:r>
        <w:rPr/>
        <w:t>、借款费用</w:t>
      </w:r>
      <w:r>
        <w:rPr>
          <w:w w:val="99"/>
        </w:rPr>
        <w:t> </w:t>
      </w:r>
      <w:r>
        <w:rPr>
          <w:rFonts w:ascii="Times New Roman" w:hAnsi="Times New Roman" w:cs="Times New Roman" w:eastAsia="Times New Roman" w:hint="default"/>
        </w:rPr>
        <w:t>(1)</w:t>
      </w:r>
      <w:r>
        <w:rPr/>
        <w:t>借款费用资本化的确认原则</w:t>
      </w:r>
      <w:r>
        <w:rPr>
          <w:b w:val="0"/>
          <w:bCs w:val="0"/>
        </w:rPr>
      </w:r>
    </w:p>
    <w:p>
      <w:pPr>
        <w:spacing w:after="0" w:line="506" w:lineRule="auto"/>
        <w:jc w:val="left"/>
        <w:sectPr>
          <w:footerReference w:type="default" r:id="rId27"/>
          <w:pgSz w:w="11910" w:h="16840"/>
          <w:pgMar w:footer="978" w:header="746" w:top="1040" w:bottom="1160" w:left="1020" w:right="940"/>
          <w:pgNumType w:start="92"/>
        </w:sectPr>
      </w:pPr>
    </w:p>
    <w:p>
      <w:pPr>
        <w:spacing w:line="240" w:lineRule="auto" w:before="6"/>
        <w:rPr>
          <w:rFonts w:ascii="宋体" w:hAnsi="宋体" w:cs="宋体" w:eastAsia="宋体" w:hint="default"/>
          <w:b/>
          <w:bCs/>
          <w:sz w:val="25"/>
          <w:szCs w:val="25"/>
        </w:rPr>
      </w:pPr>
    </w:p>
    <w:p>
      <w:pPr>
        <w:pStyle w:val="BodyText"/>
        <w:spacing w:line="273" w:lineRule="auto" w:before="34"/>
        <w:ind w:right="132" w:firstLine="420"/>
        <w:jc w:val="both"/>
      </w:pPr>
      <w:r>
        <w:rPr>
          <w:w w:val="95"/>
        </w:rPr>
        <w:t>公司发生的借款费用，可直接归属于符合资本化条件的资产的购建或者生产的，在符合资本化条件的</w:t>
      </w:r>
      <w:r>
        <w:rPr>
          <w:w w:val="99"/>
        </w:rPr>
        <w:t> </w:t>
      </w:r>
      <w:r>
        <w:rPr>
          <w:w w:val="95"/>
        </w:rPr>
        <w:t>情况下开始资本化，计入相关资产成本；其他借款费用，在发生时根据其发生额确认为费用，计入当期损   </w:t>
      </w:r>
      <w:r>
        <w:rPr>
          <w:spacing w:val="42"/>
          <w:w w:val="95"/>
        </w:rPr>
        <w:t> </w:t>
      </w:r>
      <w:r>
        <w:rPr>
          <w:spacing w:val="42"/>
          <w:w w:val="95"/>
        </w:rPr>
      </w:r>
      <w:r>
        <w:rPr/>
        <w:t>益。</w:t>
      </w:r>
    </w:p>
    <w:p>
      <w:pPr>
        <w:pStyle w:val="BodyText"/>
        <w:spacing w:line="273" w:lineRule="auto"/>
        <w:ind w:right="0" w:firstLine="420"/>
        <w:jc w:val="left"/>
      </w:pPr>
      <w:r>
        <w:rPr>
          <w:w w:val="95"/>
        </w:rPr>
        <w:t>符合资本化条件的资产，是指需要经过相当长时间的购建或者生产活动才能达到预定可使用或者可销</w:t>
      </w:r>
      <w:r>
        <w:rPr>
          <w:w w:val="99"/>
        </w:rPr>
        <w:t> </w:t>
      </w:r>
      <w:r>
        <w:rPr/>
        <w:t>售状态的固定资产、投资性房地产和存货等资产。</w:t>
      </w:r>
    </w:p>
    <w:p>
      <w:pPr>
        <w:pStyle w:val="BodyText"/>
        <w:spacing w:line="240" w:lineRule="auto"/>
        <w:ind w:left="532" w:right="0"/>
        <w:jc w:val="left"/>
      </w:pPr>
      <w:r>
        <w:rPr/>
        <w:t>借款费用同时满足下列条件时开始资本化：</w:t>
      </w:r>
    </w:p>
    <w:p>
      <w:pPr>
        <w:pStyle w:val="BodyText"/>
        <w:spacing w:line="256" w:lineRule="auto" w:before="37"/>
        <w:ind w:right="0" w:firstLine="511"/>
        <w:jc w:val="left"/>
      </w:pPr>
      <w:r>
        <w:rPr>
          <w:rFonts w:ascii="Times New Roman" w:hAnsi="Times New Roman" w:cs="Times New Roman" w:eastAsia="Times New Roman" w:hint="default"/>
          <w:w w:val="95"/>
        </w:rPr>
        <w:t>1</w:t>
      </w:r>
      <w:r>
        <w:rPr>
          <w:w w:val="95"/>
        </w:rPr>
        <w:t>）资产支出已经发生，资产支出包括为购建或者生产符合资本化条件的资产而以支付现金、转移非</w:t>
      </w:r>
      <w:r>
        <w:rPr>
          <w:w w:val="99"/>
        </w:rPr>
        <w:t> </w:t>
      </w:r>
      <w:r>
        <w:rPr/>
        <w:t>现金资产或者承担带息债务形式发生的支出；</w:t>
      </w:r>
    </w:p>
    <w:p>
      <w:pPr>
        <w:pStyle w:val="BodyText"/>
        <w:spacing w:line="240" w:lineRule="auto" w:before="22"/>
        <w:ind w:left="624" w:right="0"/>
        <w:jc w:val="left"/>
      </w:pPr>
      <w:r>
        <w:rPr>
          <w:rFonts w:ascii="Times New Roman" w:hAnsi="Times New Roman" w:cs="Times New Roman" w:eastAsia="Times New Roman" w:hint="default"/>
        </w:rPr>
        <w:t>2</w:t>
      </w:r>
      <w:r>
        <w:rPr/>
        <w:t>）借款费用已经发生；</w:t>
      </w:r>
    </w:p>
    <w:p>
      <w:pPr>
        <w:pStyle w:val="BodyText"/>
        <w:spacing w:line="240" w:lineRule="auto" w:before="21"/>
        <w:ind w:left="624" w:right="0"/>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56" w:lineRule="auto" w:before="21"/>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before="22"/>
        <w:ind w:right="0"/>
        <w:jc w:val="left"/>
      </w:pPr>
      <w:r>
        <w:rPr/>
        <w:t>包括在内。</w:t>
      </w:r>
    </w:p>
    <w:p>
      <w:pPr>
        <w:pStyle w:val="BodyText"/>
        <w:spacing w:line="273" w:lineRule="auto" w:before="37"/>
        <w:ind w:left="532" w:right="0"/>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0"/>
        <w:jc w:val="left"/>
      </w:pPr>
      <w:r>
        <w:rPr/>
        <w:t>止资本化。</w:t>
      </w:r>
    </w:p>
    <w:p>
      <w:pPr>
        <w:pStyle w:val="BodyText"/>
        <w:spacing w:line="273" w:lineRule="auto" w:before="37"/>
        <w:ind w:right="0" w:firstLine="420"/>
        <w:jc w:val="left"/>
      </w:pPr>
      <w:r>
        <w:rPr>
          <w:w w:val="95"/>
        </w:rPr>
        <w:t>购建或者生产的资产的各部分分别完工，但必须等到整体完工后才可使用或可对外销售的，在该资产</w:t>
      </w:r>
      <w:r>
        <w:rPr>
          <w:w w:val="99"/>
        </w:rPr>
        <w:t> </w:t>
      </w:r>
      <w:r>
        <w:rPr/>
        <w:t>整体完工时停止借款费用资本化。</w:t>
      </w:r>
    </w:p>
    <w:p>
      <w:pPr>
        <w:pStyle w:val="BodyText"/>
        <w:spacing w:line="256" w:lineRule="auto"/>
        <w:ind w:left="532" w:right="0" w:hanging="42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w w:val="95"/>
        </w:rPr>
        <w:t>符合资本化条件的资产在购建或生产过程中发生的非正常中断、且中断时间连续超过</w:t>
      </w:r>
      <w:r>
        <w:rPr>
          <w:rFonts w:ascii="Times New Roman" w:hAnsi="Times New Roman" w:cs="Times New Roman" w:eastAsia="Times New Roman" w:hint="default"/>
          <w:spacing w:val="2"/>
          <w:w w:val="95"/>
        </w:rPr>
        <w:t>3</w:t>
      </w:r>
      <w:r>
        <w:rPr>
          <w:spacing w:val="2"/>
          <w:w w:val="95"/>
        </w:rPr>
        <w:t>个月的，则借</w:t>
      </w:r>
      <w:r>
        <w:rPr>
          <w:spacing w:val="2"/>
        </w:rPr>
      </w:r>
    </w:p>
    <w:p>
      <w:pPr>
        <w:pStyle w:val="BodyText"/>
        <w:spacing w:line="273" w:lineRule="auto" w:before="5"/>
        <w:ind w:right="132"/>
        <w:jc w:val="both"/>
      </w:pP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spacing w:line="256" w:lineRule="auto" w:before="7"/>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专门借款的利息费用（扣除尚未动用的借款资金存入银行取得的利息收入或者进行暂时性投资取得的</w:t>
      </w:r>
      <w:r>
        <w:rPr>
          <w:rFonts w:ascii="宋体" w:hAnsi="宋体" w:cs="宋体" w:eastAsia="宋体" w:hint="default"/>
          <w:sz w:val="21"/>
          <w:szCs w:val="21"/>
        </w:rPr>
      </w:r>
    </w:p>
    <w:p>
      <w:pPr>
        <w:pStyle w:val="BodyText"/>
        <w:spacing w:line="273" w:lineRule="auto" w:before="22"/>
        <w:ind w:right="0"/>
        <w:jc w:val="left"/>
      </w:pPr>
      <w:r>
        <w:rPr>
          <w:w w:val="95"/>
        </w:rPr>
        <w:t>投资收益）及其辅助费用在所购建或者生产的符合资本化条件的资产达到预定可使用或者可销售状态前，</w:t>
      </w:r>
      <w:r>
        <w:rPr>
          <w:spacing w:val="61"/>
          <w:w w:val="95"/>
        </w:rPr>
        <w:t> </w:t>
      </w:r>
      <w:r>
        <w:rPr>
          <w:spacing w:val="61"/>
          <w:w w:val="95"/>
        </w:rPr>
      </w:r>
      <w:r>
        <w:rPr/>
        <w:t>予以资本化。</w:t>
      </w:r>
    </w:p>
    <w:p>
      <w:pPr>
        <w:pStyle w:val="BodyText"/>
        <w:spacing w:line="273" w:lineRule="auto"/>
        <w:ind w:right="0" w:firstLine="420"/>
        <w:jc w:val="left"/>
      </w:pPr>
      <w:r>
        <w:rPr>
          <w:w w:val="95"/>
        </w:rPr>
        <w:t>根据累计资产支出超过专门借款部分的资产支出加权平均数乘以所占用一般借款的资本化率，计算确</w:t>
      </w:r>
      <w:r>
        <w:rPr>
          <w:w w:val="99"/>
        </w:rPr>
        <w:t> </w:t>
      </w:r>
      <w:r>
        <w:rPr/>
        <w:t>定一般借款应予资本化的利息金额。资本化率根据一般借款加权平均利率计算确定。</w:t>
      </w:r>
    </w:p>
    <w:p>
      <w:pPr>
        <w:pStyle w:val="BodyText"/>
        <w:spacing w:line="273" w:lineRule="auto"/>
        <w:ind w:right="0" w:firstLine="420"/>
        <w:jc w:val="left"/>
      </w:pPr>
      <w:r>
        <w:rPr>
          <w:w w:val="95"/>
        </w:rPr>
        <w:t>借款存在折价或者溢价的，按照实际利率法确定每一会计期间应摊销的折价或者溢价金额，调整每期</w:t>
      </w:r>
      <w:r>
        <w:rPr>
          <w:w w:val="99"/>
        </w:rPr>
        <w:t> </w:t>
      </w:r>
      <w:r>
        <w:rPr/>
        <w:t>利息金额。</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spacing w:line="506"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w w:val="95"/>
          <w:sz w:val="21"/>
          <w:szCs w:val="21"/>
        </w:rPr>
        <w:t>无形资产是指本公司拥有或者控制的没有实物形态的可辨认非货币性资产。</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spacing w:line="256" w:lineRule="auto" w:before="34"/>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w w:val="95"/>
          <w:sz w:val="21"/>
          <w:szCs w:val="21"/>
        </w:rPr>
        <w:t>外购无形资产的成本，包括购买价款、相关税费以及直接归属于使该项资产达到预定用途所发生的其</w:t>
      </w:r>
      <w:r>
        <w:rPr>
          <w:rFonts w:ascii="宋体" w:hAnsi="宋体" w:cs="宋体" w:eastAsia="宋体" w:hint="default"/>
          <w:sz w:val="21"/>
          <w:szCs w:val="21"/>
        </w:rPr>
      </w:r>
    </w:p>
    <w:p>
      <w:pPr>
        <w:pStyle w:val="BodyText"/>
        <w:spacing w:line="273" w:lineRule="auto" w:before="22"/>
        <w:ind w:right="0"/>
        <w:jc w:val="left"/>
      </w:pPr>
      <w:r>
        <w:rPr>
          <w:w w:val="95"/>
        </w:rPr>
        <w:t>他支出。购买无形资产的价款超过正常信用条件延期支付，实质上具有融资性质的，无形资产的成本以购</w:t>
      </w:r>
      <w:r>
        <w:rPr>
          <w:spacing w:val="40"/>
          <w:w w:val="95"/>
        </w:rPr>
        <w:t> </w:t>
      </w:r>
      <w:r>
        <w:rPr>
          <w:spacing w:val="40"/>
          <w:w w:val="95"/>
        </w:rPr>
      </w:r>
      <w:r>
        <w:rPr/>
        <w:t>买价款的现值为基础确定。</w:t>
      </w:r>
    </w:p>
    <w:p>
      <w:pPr>
        <w:pStyle w:val="BodyText"/>
        <w:spacing w:line="273" w:lineRule="auto"/>
        <w:ind w:right="132" w:firstLine="420"/>
        <w:jc w:val="both"/>
      </w:pPr>
      <w:r>
        <w:rPr>
          <w:w w:val="95"/>
        </w:rPr>
        <w:t>债务重组取得债务人用以抵债的无形资产，以该无形资产的公允价值为基础确定其入账价值，并将重</w:t>
      </w:r>
      <w:r>
        <w:rPr>
          <w:w w:val="99"/>
        </w:rPr>
        <w:t> </w:t>
      </w:r>
      <w:r>
        <w:rPr/>
        <w:t>组债务的账面价值与该用以抵债的无形资产公允价值之间的差额，计入当期损益。</w:t>
      </w:r>
    </w:p>
    <w:p>
      <w:pPr>
        <w:pStyle w:val="BodyText"/>
        <w:spacing w:line="273" w:lineRule="auto"/>
        <w:ind w:right="132" w:firstLine="420"/>
        <w:jc w:val="both"/>
      </w:pPr>
      <w:r>
        <w:rPr>
          <w:w w:val="95"/>
        </w:rPr>
        <w:t>在非货币性资产交换具备商业实质且换入资产或换出资产的公允价值能够可靠计量的前提下，非货币</w:t>
      </w:r>
      <w:r>
        <w:rPr>
          <w:w w:val="99"/>
        </w:rPr>
        <w:t> </w:t>
      </w:r>
      <w:r>
        <w:rPr>
          <w:w w:val="95"/>
        </w:rPr>
        <w:t>性资产交换换入的无形资产以换出资产的公允价值为基础确定其入账价值，除非有确凿证据表明换入资产</w:t>
      </w:r>
      <w:r>
        <w:rPr>
          <w:spacing w:val="39"/>
          <w:w w:val="95"/>
        </w:rPr>
        <w:t> </w:t>
      </w:r>
      <w:r>
        <w:rPr>
          <w:spacing w:val="39"/>
          <w:w w:val="95"/>
        </w:rPr>
      </w:r>
      <w:r>
        <w:rPr>
          <w:w w:val="95"/>
        </w:rPr>
        <w:t>的公允价值更加可靠；不满足上述前提的非货币性资产交换，以换出资产的账面价值和应支付的相关税费</w:t>
      </w:r>
      <w:r>
        <w:rPr>
          <w:spacing w:val="40"/>
          <w:w w:val="95"/>
        </w:rPr>
        <w:t> </w:t>
      </w:r>
      <w:r>
        <w:rPr>
          <w:spacing w:val="40"/>
          <w:w w:val="95"/>
        </w:rPr>
      </w:r>
      <w:r>
        <w:rPr/>
        <w:t>作为换入无形资产的成本，不确认损益。</w:t>
      </w:r>
    </w:p>
    <w:p>
      <w:pPr>
        <w:pStyle w:val="BodyText"/>
        <w:spacing w:line="273" w:lineRule="auto"/>
        <w:ind w:right="135" w:firstLine="420"/>
        <w:jc w:val="both"/>
      </w:pPr>
      <w:r>
        <w:rPr>
          <w:w w:val="95"/>
        </w:rPr>
        <w:t>以同一控制下的企业吸收合并方式取得的无形资产按被合并方的账面价值确定其入账价值；以非同一</w:t>
      </w:r>
      <w:r>
        <w:rPr>
          <w:w w:val="99"/>
        </w:rPr>
        <w:t> </w:t>
      </w:r>
      <w:r>
        <w:rPr/>
        <w:t>控制下的企业吸收合并方式取得的无形资产按公允价值确定其入账价值。</w:t>
      </w:r>
    </w:p>
    <w:p>
      <w:pPr>
        <w:pStyle w:val="BodyText"/>
        <w:spacing w:line="273" w:lineRule="auto"/>
        <w:ind w:right="130" w:firstLine="420"/>
        <w:jc w:val="both"/>
      </w:pPr>
      <w:r>
        <w:rPr>
          <w:w w:val="95"/>
        </w:rPr>
        <w:t>内部自行开发的无形资产，其成本包括：开发该无形资产时耗用的材料、劳务成本、注册费、在开发</w:t>
      </w:r>
      <w:r>
        <w:rPr>
          <w:spacing w:val="-97"/>
          <w:w w:val="95"/>
        </w:rPr>
        <w:t> </w:t>
      </w:r>
      <w:r>
        <w:rPr>
          <w:spacing w:val="-97"/>
          <w:w w:val="95"/>
        </w:rPr>
      </w:r>
      <w:r>
        <w:rPr>
          <w:w w:val="95"/>
        </w:rPr>
        <w:t>过程中使用的其他专利权和特许权的摊销以及满足资本化条件的利息费用，以及为使该无形资产达到预定</w:t>
      </w:r>
      <w:r>
        <w:rPr>
          <w:spacing w:val="39"/>
          <w:w w:val="95"/>
        </w:rPr>
        <w:t> </w:t>
      </w:r>
      <w:r>
        <w:rPr>
          <w:spacing w:val="39"/>
          <w:w w:val="95"/>
        </w:rPr>
      </w:r>
      <w:r>
        <w:rPr/>
        <w:t>用途前所发生的其他直接费用。</w:t>
      </w:r>
    </w:p>
    <w:p>
      <w:pPr>
        <w:pStyle w:val="BodyText"/>
        <w:spacing w:line="266" w:lineRule="auto"/>
        <w:ind w:left="532" w:right="0" w:hanging="420"/>
        <w:jc w:val="left"/>
      </w:pPr>
      <w:r>
        <w:rPr>
          <w:rFonts w:ascii="Times New Roman" w:hAnsi="Times New Roman" w:cs="Times New Roman" w:eastAsia="Times New Roman" w:hint="default"/>
          <w:b/>
          <w:bCs/>
        </w:rPr>
        <w:t>2</w:t>
      </w:r>
      <w:r>
        <w:rPr>
          <w:rFonts w:ascii="宋体" w:hAnsi="宋体" w:cs="宋体" w:eastAsia="宋体" w:hint="default"/>
          <w:b/>
          <w:bCs/>
        </w:rPr>
        <w:t>）无形资产的后续计量</w:t>
      </w:r>
      <w:r>
        <w:rPr>
          <w:rFonts w:ascii="宋体" w:hAnsi="宋体" w:cs="宋体" w:eastAsia="宋体" w:hint="default"/>
          <w:b/>
          <w:bCs/>
          <w:w w:val="99"/>
        </w:rPr>
        <w:t> </w:t>
      </w:r>
      <w:r>
        <w:rPr>
          <w:w w:val="95"/>
        </w:rPr>
        <w:t>本公司在取得无形资产时分析判断其使用寿命，划分为使用寿命有限和使用寿命不确定的无形资产。</w:t>
      </w:r>
      <w:r>
        <w:rPr>
          <w:spacing w:val="-79"/>
          <w:w w:val="95"/>
        </w:rPr>
        <w:t> </w:t>
      </w:r>
      <w:r>
        <w:rPr>
          <w:spacing w:val="-79"/>
          <w:w w:val="95"/>
        </w:rPr>
      </w:r>
      <w:r>
        <w:rPr/>
        <w:t>使用寿命有限的无形资产</w:t>
      </w:r>
      <w:r>
        <w:rPr>
          <w:w w:val="99"/>
        </w:rPr>
        <w:t> </w:t>
      </w:r>
      <w:r>
        <w:rPr>
          <w:w w:val="95"/>
        </w:rPr>
        <w:t>对于使用寿命有限的无形资产，在为企业带来经济利益的期限内按直线法摊销。使用寿命有限的无形</w:t>
      </w:r>
      <w:r>
        <w:rPr/>
      </w:r>
    </w:p>
    <w:p>
      <w:pPr>
        <w:pStyle w:val="BodyText"/>
        <w:spacing w:line="240" w:lineRule="auto" w:before="14"/>
        <w:ind w:right="0"/>
        <w:jc w:val="left"/>
      </w:pPr>
      <w:r>
        <w:rPr/>
        <w:t>资产预计寿命及依据如下：</w:t>
      </w:r>
    </w:p>
    <w:p>
      <w:pPr>
        <w:spacing w:line="240" w:lineRule="auto" w:before="12"/>
        <w:rPr>
          <w:rFonts w:ascii="宋体" w:hAnsi="宋体" w:cs="宋体" w:eastAsia="宋体" w:hint="default"/>
          <w:sz w:val="3"/>
          <w:szCs w:val="3"/>
        </w:rPr>
      </w:pPr>
    </w:p>
    <w:tbl>
      <w:tblPr>
        <w:tblW w:w="0" w:type="auto"/>
        <w:jc w:val="left"/>
        <w:tblInd w:w="715" w:type="dxa"/>
        <w:tblLayout w:type="fixed"/>
        <w:tblCellMar>
          <w:top w:w="0" w:type="dxa"/>
          <w:left w:w="0" w:type="dxa"/>
          <w:bottom w:w="0" w:type="dxa"/>
          <w:right w:w="0" w:type="dxa"/>
        </w:tblCellMar>
        <w:tblLook w:val="01E0"/>
      </w:tblPr>
      <w:tblGrid>
        <w:gridCol w:w="2806"/>
        <w:gridCol w:w="1872"/>
        <w:gridCol w:w="3742"/>
      </w:tblGrid>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  据</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工业出让地</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依权属有效期内</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内部开发形成的无形资产</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依技术进步、权属有效内使用</w:t>
            </w:r>
          </w:p>
        </w:tc>
      </w:tr>
    </w:tbl>
    <w:p>
      <w:pPr>
        <w:spacing w:line="240" w:lineRule="auto" w:before="7"/>
        <w:rPr>
          <w:rFonts w:ascii="宋体" w:hAnsi="宋体" w:cs="宋体" w:eastAsia="宋体" w:hint="default"/>
          <w:sz w:val="5"/>
          <w:szCs w:val="5"/>
        </w:rPr>
      </w:pPr>
    </w:p>
    <w:p>
      <w:pPr>
        <w:pStyle w:val="BodyText"/>
        <w:spacing w:line="273" w:lineRule="auto" w:before="34"/>
        <w:ind w:left="532" w:right="0" w:firstLine="105"/>
        <w:jc w:val="left"/>
      </w:pPr>
      <w:r>
        <w:rPr/>
        <w:t>每期末，对使用寿命有限的无形资产的使用寿命及摊销方法进行复核。</w:t>
      </w:r>
      <w:r>
        <w:rPr>
          <w:w w:val="99"/>
        </w:rPr>
        <w:t> </w:t>
      </w:r>
      <w:r>
        <w:rPr>
          <w:w w:val="95"/>
        </w:rPr>
        <w:t>经复核，本期期末无形资产的使用寿命及摊销方法与以前估计未有不同。</w:t>
      </w:r>
      <w:r>
        <w:rPr/>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spacing w:line="264" w:lineRule="auto" w:before="0"/>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99"/>
          <w:sz w:val="21"/>
          <w:szCs w:val="21"/>
        </w:rPr>
        <w:t> </w:t>
      </w:r>
      <w:r>
        <w:rPr>
          <w:rFonts w:ascii="宋体" w:hAnsi="宋体" w:cs="宋体" w:eastAsia="宋体" w:hint="default"/>
          <w:w w:val="95"/>
          <w:sz w:val="21"/>
          <w:szCs w:val="21"/>
        </w:rPr>
        <w:t>开发阶段：在进行商业性生产或使用前，将研究成果或其他知识应用于某项计划或设计，以生产出新</w:t>
      </w:r>
      <w:r>
        <w:rPr>
          <w:rFonts w:ascii="宋体" w:hAnsi="宋体" w:cs="宋体" w:eastAsia="宋体" w:hint="default"/>
          <w:sz w:val="21"/>
          <w:szCs w:val="21"/>
        </w:rPr>
      </w:r>
    </w:p>
    <w:p>
      <w:pPr>
        <w:pStyle w:val="BodyText"/>
        <w:spacing w:line="273" w:lineRule="auto" w:before="16"/>
        <w:ind w:left="532" w:right="0" w:hanging="420"/>
        <w:jc w:val="left"/>
      </w:pPr>
      <w:r>
        <w:rPr/>
        <w:t>的或具有实质性改进的材料、装置、产品等活动的阶段。</w:t>
      </w:r>
      <w:r>
        <w:rPr>
          <w:w w:val="99"/>
        </w:rPr>
        <w:t> </w:t>
      </w:r>
      <w:r>
        <w:rPr>
          <w:w w:val="95"/>
        </w:rPr>
        <w:t>内部研究开发项目研究阶段的支出，在发生时计入当期损益。</w:t>
      </w:r>
      <w:r>
        <w:rPr/>
      </w:r>
    </w:p>
    <w:p>
      <w:pPr>
        <w:pStyle w:val="BodyText"/>
        <w:spacing w:line="261" w:lineRule="auto"/>
        <w:ind w:left="532" w:right="122" w:hanging="420"/>
        <w:jc w:val="left"/>
      </w:pP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r>
        <w:rPr>
          <w:w w:val="99"/>
        </w:rPr>
        <w:t> </w:t>
      </w:r>
      <w:r>
        <w:rPr>
          <w:rFonts w:ascii="Times New Roman" w:hAnsi="Times New Roman" w:cs="Times New Roman" w:eastAsia="Times New Roman" w:hint="default"/>
        </w:rPr>
        <w:t>a</w:t>
      </w:r>
      <w:r>
        <w:rPr/>
        <w:t>、完成该无形资产以使其能够使用或出售在技术上具有可行性；</w:t>
      </w:r>
      <w:r>
        <w:rPr>
          <w:w w:val="99"/>
        </w:rPr>
        <w:t> </w:t>
      </w:r>
      <w:r>
        <w:rPr>
          <w:rFonts w:ascii="Times New Roman" w:hAnsi="Times New Roman" w:cs="Times New Roman" w:eastAsia="Times New Roman" w:hint="default"/>
        </w:rPr>
        <w:t>b</w:t>
      </w:r>
      <w:r>
        <w:rPr/>
        <w:t>、具有完成该无形资产并使用或出售的意图；</w:t>
      </w:r>
      <w:r>
        <w:rPr>
          <w:w w:val="99"/>
        </w:rPr>
        <w:t> </w:t>
      </w: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w:t>
      </w:r>
    </w:p>
    <w:p>
      <w:pPr>
        <w:pStyle w:val="BodyText"/>
        <w:spacing w:line="240" w:lineRule="auto" w:before="0"/>
        <w:ind w:right="0"/>
        <w:jc w:val="left"/>
      </w:pPr>
      <w:r>
        <w:rPr/>
        <w:t>身存在市场，无形资产将在内部使用的，能够证明其有用性；</w:t>
      </w:r>
    </w:p>
    <w:p>
      <w:pPr>
        <w:pStyle w:val="BodyText"/>
        <w:spacing w:line="256" w:lineRule="auto" w:before="37"/>
        <w:ind w:right="0" w:firstLine="420"/>
        <w:jc w:val="left"/>
      </w:pPr>
      <w:r>
        <w:rPr>
          <w:rFonts w:ascii="Times New Roman" w:hAnsi="Times New Roman" w:cs="Times New Roman" w:eastAsia="Times New Roman" w:hint="default"/>
          <w:spacing w:val="2"/>
          <w:w w:val="95"/>
        </w:rPr>
        <w:t>d</w:t>
      </w:r>
      <w:r>
        <w:rPr>
          <w:spacing w:val="2"/>
          <w:w w:val="95"/>
        </w:rPr>
        <w:t>、有足够的技术、财务资源和其他资源支持，以完成该无形资产的开发，并有能力使用或出售该无</w:t>
      </w:r>
      <w:r>
        <w:rPr>
          <w:spacing w:val="-82"/>
          <w:w w:val="95"/>
        </w:rPr>
        <w:t> </w:t>
      </w:r>
      <w:r>
        <w:rPr>
          <w:spacing w:val="-82"/>
          <w:w w:val="95"/>
        </w:rPr>
      </w:r>
      <w:r>
        <w:rPr/>
        <w:t>形资产；</w:t>
      </w:r>
    </w:p>
    <w:p>
      <w:pPr>
        <w:pStyle w:val="BodyText"/>
        <w:spacing w:line="256" w:lineRule="auto" w:before="22"/>
        <w:ind w:left="532" w:right="0"/>
        <w:jc w:val="left"/>
      </w:pPr>
      <w:r>
        <w:rPr>
          <w:rFonts w:ascii="Times New Roman" w:hAnsi="Times New Roman" w:cs="Times New Roman" w:eastAsia="Times New Roman" w:hint="default"/>
        </w:rPr>
        <w:t>e</w:t>
      </w:r>
      <w:r>
        <w:rPr/>
        <w:t>、归属于该无形资产开发阶段的支出能够可靠地计量。</w:t>
      </w:r>
      <w:r>
        <w:rPr>
          <w:w w:val="99"/>
        </w:rPr>
        <w:t> </w:t>
      </w:r>
      <w:r>
        <w:rPr>
          <w:w w:val="95"/>
        </w:rPr>
        <w:t>不满足上述条件的开发阶段的支出，于发生时计入当期损益。以前期间已计入损益的开发支出不在以</w:t>
      </w:r>
      <w:r>
        <w:rPr/>
      </w:r>
    </w:p>
    <w:p>
      <w:pPr>
        <w:pStyle w:val="BodyText"/>
        <w:spacing w:line="240" w:lineRule="auto" w:before="22"/>
        <w:ind w:right="0"/>
        <w:jc w:val="left"/>
      </w:pPr>
      <w:r>
        <w:rPr/>
        <w:t>后期间重新确认为资产。已资本化的开发阶段的支出在资产负债表上列示为开发支出，自该项目达到预定</w:t>
      </w:r>
    </w:p>
    <w:p>
      <w:pPr>
        <w:spacing w:after="0" w:line="240" w:lineRule="auto"/>
        <w:jc w:val="left"/>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BodyText"/>
        <w:spacing w:line="240" w:lineRule="auto" w:before="34"/>
        <w:ind w:right="202"/>
        <w:jc w:val="left"/>
      </w:pPr>
      <w:r>
        <w:rPr/>
        <w:t>用途之日起转为无形资产。</w:t>
      </w:r>
    </w:p>
    <w:p>
      <w:pPr>
        <w:pStyle w:val="BodyText"/>
        <w:spacing w:line="590" w:lineRule="atLeast" w:before="38"/>
        <w:ind w:left="532" w:right="202" w:hanging="420"/>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w w:val="95"/>
        </w:rPr>
        <w:t>本公司在资产负债表日判断长期资产是否存在可能发生减值的迹象。如果长期资产存在减值迹象的，</w:t>
      </w:r>
      <w:r>
        <w:rPr/>
      </w:r>
    </w:p>
    <w:p>
      <w:pPr>
        <w:pStyle w:val="BodyText"/>
        <w:spacing w:line="273" w:lineRule="auto" w:before="37"/>
        <w:ind w:right="202"/>
        <w:jc w:val="left"/>
      </w:pPr>
      <w:r>
        <w:rPr>
          <w:w w:val="95"/>
        </w:rPr>
        <w:t>以单项资产为基础估计其可收回金额；难以对单项资产的可收回金额进行估计的，以该资产所属的资产组</w:t>
      </w:r>
      <w:r>
        <w:rPr>
          <w:spacing w:val="37"/>
          <w:w w:val="95"/>
        </w:rPr>
        <w:t> </w:t>
      </w:r>
      <w:r>
        <w:rPr>
          <w:spacing w:val="37"/>
          <w:w w:val="95"/>
        </w:rPr>
      </w:r>
      <w:r>
        <w:rPr/>
        <w:t>为基础确定资产组的可收回金额。</w:t>
      </w:r>
    </w:p>
    <w:p>
      <w:pPr>
        <w:pStyle w:val="BodyText"/>
        <w:spacing w:line="273" w:lineRule="auto"/>
        <w:ind w:right="212" w:firstLine="420"/>
        <w:jc w:val="both"/>
      </w:pPr>
      <w:r>
        <w:rPr>
          <w:w w:val="95"/>
        </w:rPr>
        <w:t>资产可收回金额的估计，根据其公允价值减去处置费用后的净额与资产预计未来现金流量的现值两者</w:t>
      </w:r>
      <w:r>
        <w:rPr>
          <w:w w:val="99"/>
        </w:rPr>
        <w:t> </w:t>
      </w:r>
      <w:r>
        <w:rPr/>
        <w:t>之间较高者确定。</w:t>
      </w:r>
    </w:p>
    <w:p>
      <w:pPr>
        <w:pStyle w:val="BodyText"/>
        <w:spacing w:line="273" w:lineRule="auto"/>
        <w:ind w:right="212" w:firstLine="420"/>
        <w:jc w:val="both"/>
      </w:pPr>
      <w:r>
        <w:rPr>
          <w:w w:val="95"/>
        </w:rPr>
        <w:t>可收回金额的计量结果表明，长期资产的可收回金额低于其账面价值的，将长期资产的账面价值减记</w:t>
      </w:r>
      <w:r>
        <w:rPr>
          <w:w w:val="99"/>
        </w:rPr>
        <w:t> </w:t>
      </w:r>
      <w:r>
        <w:rPr>
          <w:w w:val="95"/>
        </w:rPr>
        <w:t>至可收回金额，减记的金额确认为资产减值损失，计入当期损益，同时计提相应的资产减值准备。资产减</w:t>
      </w:r>
      <w:r>
        <w:rPr>
          <w:spacing w:val="42"/>
          <w:w w:val="95"/>
        </w:rPr>
        <w:t> </w:t>
      </w:r>
      <w:r>
        <w:rPr>
          <w:spacing w:val="42"/>
          <w:w w:val="95"/>
        </w:rPr>
      </w:r>
      <w:r>
        <w:rPr/>
        <w:t>值损失一经确认，在以后会计期间不得转回。</w:t>
      </w:r>
    </w:p>
    <w:p>
      <w:pPr>
        <w:pStyle w:val="BodyText"/>
        <w:spacing w:line="273" w:lineRule="auto"/>
        <w:ind w:right="215" w:firstLine="420"/>
        <w:jc w:val="both"/>
      </w:pPr>
      <w:r>
        <w:rPr>
          <w:w w:val="95"/>
        </w:rPr>
        <w:t>资产减值损失确认后，减值资产的折旧或者摊销费用在未来期间作相应调整，以使该资产在剩余使用</w:t>
      </w:r>
      <w:r>
        <w:rPr>
          <w:w w:val="99"/>
        </w:rPr>
        <w:t> </w:t>
      </w:r>
      <w:r>
        <w:rPr/>
        <w:t>寿命内，系统地分摊调整后的资产账面价值（扣除预计净残值）。</w:t>
      </w:r>
    </w:p>
    <w:p>
      <w:pPr>
        <w:pStyle w:val="BodyText"/>
        <w:spacing w:line="240" w:lineRule="auto"/>
        <w:ind w:left="532" w:right="108"/>
        <w:jc w:val="left"/>
      </w:pPr>
      <w:r>
        <w:rPr/>
        <w:t>因企业合并所形成的商誉和使用寿命不确定的无形资产，无论是否存在减值迹象，每年都进行减值测</w:t>
      </w:r>
    </w:p>
    <w:p>
      <w:pPr>
        <w:pStyle w:val="BodyText"/>
        <w:spacing w:line="240" w:lineRule="auto" w:before="37"/>
        <w:ind w:right="202"/>
        <w:jc w:val="left"/>
      </w:pPr>
      <w:r>
        <w:rPr/>
        <w:t>试。</w:t>
      </w:r>
    </w:p>
    <w:p>
      <w:pPr>
        <w:pStyle w:val="BodyText"/>
        <w:spacing w:line="240" w:lineRule="auto" w:before="37"/>
        <w:ind w:left="532" w:right="108"/>
        <w:jc w:val="left"/>
      </w:pPr>
      <w:r>
        <w:rPr/>
        <w:t>商誉结合与其相关的资产组或者资产组组合进行减值测试。在对包含商誉的相关资产组或者资产组组</w:t>
      </w:r>
    </w:p>
    <w:p>
      <w:pPr>
        <w:pStyle w:val="BodyText"/>
        <w:spacing w:line="273" w:lineRule="auto" w:before="37"/>
        <w:ind w:right="212"/>
        <w:jc w:val="both"/>
      </w:pPr>
      <w:r>
        <w:rPr>
          <w:w w:val="95"/>
        </w:rPr>
        <w:t>合进行减值测试时，如与商誉相关的资产组或者资产组组合存在减值迹象的，先对不包含商誉的资产组或</w:t>
      </w:r>
      <w:r>
        <w:rPr>
          <w:spacing w:val="37"/>
          <w:w w:val="95"/>
        </w:rPr>
        <w:t> </w:t>
      </w:r>
      <w:r>
        <w:rPr>
          <w:spacing w:val="37"/>
          <w:w w:val="95"/>
        </w:rPr>
      </w:r>
      <w:r>
        <w:rPr>
          <w:w w:val="95"/>
        </w:rPr>
        <w:t>者资产组组合进行减值测试，计算可收回金额，并与相关账面价值相比较，确认相应的减值损失。再对包</w:t>
      </w:r>
      <w:r>
        <w:rPr>
          <w:spacing w:val="41"/>
          <w:w w:val="95"/>
        </w:rPr>
        <w:t> </w:t>
      </w:r>
      <w:r>
        <w:rPr>
          <w:spacing w:val="41"/>
          <w:w w:val="95"/>
        </w:rPr>
      </w:r>
      <w:r>
        <w:rPr>
          <w:w w:val="95"/>
        </w:rPr>
        <w:t>含商誉的资产组或者资产组组合进行减值测试，比较这些相关资产组或者资产组组合的账面价值（包括所</w:t>
      </w:r>
      <w:r>
        <w:rPr>
          <w:spacing w:val="40"/>
          <w:w w:val="95"/>
        </w:rPr>
        <w:t> </w:t>
      </w:r>
      <w:r>
        <w:rPr>
          <w:spacing w:val="40"/>
          <w:w w:val="95"/>
        </w:rPr>
      </w:r>
      <w:r>
        <w:rPr>
          <w:w w:val="95"/>
        </w:rPr>
        <w:t>分摊的商誉的账面价值部分）与其可收回金额，如相关资产组或者资产组组合的可收回金额低于其账面价</w:t>
      </w:r>
      <w:r>
        <w:rPr>
          <w:spacing w:val="40"/>
          <w:w w:val="95"/>
        </w:rPr>
        <w:t> </w:t>
      </w:r>
      <w:r>
        <w:rPr>
          <w:spacing w:val="40"/>
          <w:w w:val="95"/>
        </w:rPr>
      </w:r>
      <w:r>
        <w:rPr/>
        <w:t>值的，确认商誉的减值损失。</w:t>
      </w:r>
    </w:p>
    <w:p>
      <w:pPr>
        <w:spacing w:line="240" w:lineRule="auto" w:before="9"/>
        <w:rPr>
          <w:rFonts w:ascii="宋体" w:hAnsi="宋体" w:cs="宋体" w:eastAsia="宋体" w:hint="default"/>
          <w:sz w:val="23"/>
          <w:szCs w:val="23"/>
        </w:rPr>
      </w:pPr>
    </w:p>
    <w:p>
      <w:pPr>
        <w:pStyle w:val="Heading4"/>
        <w:spacing w:line="240" w:lineRule="auto"/>
        <w:ind w:right="202"/>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18"/>
        <w:ind w:right="202"/>
        <w:jc w:val="left"/>
        <w:rPr>
          <w:b w:val="0"/>
          <w:bCs w:val="0"/>
        </w:rPr>
      </w:pPr>
      <w:r>
        <w:rPr>
          <w:rFonts w:ascii="Times New Roman" w:hAnsi="Times New Roman" w:cs="Times New Roman" w:eastAsia="Times New Roman" w:hint="default"/>
        </w:rPr>
        <w:t>24</w:t>
      </w:r>
      <w:r>
        <w:rPr/>
        <w:t>、职工薪酬</w:t>
      </w:r>
      <w:r>
        <w:rPr>
          <w:b w:val="0"/>
          <w:bCs w:val="0"/>
        </w:rPr>
      </w:r>
    </w:p>
    <w:p>
      <w:pPr>
        <w:spacing w:line="600" w:lineRule="atLeast" w:before="12"/>
        <w:ind w:left="532" w:right="21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4"/>
          <w:sz w:val="21"/>
          <w:szCs w:val="21"/>
        </w:rPr>
        <w:t>短期薪酬是指本公司在职工提供相关服务的年度报告期间结束后十二个月内需要全部予以支付的职</w:t>
      </w:r>
    </w:p>
    <w:p>
      <w:pPr>
        <w:pStyle w:val="BodyText"/>
        <w:spacing w:line="273" w:lineRule="auto" w:before="37"/>
        <w:ind w:right="105"/>
        <w:jc w:val="left"/>
      </w:pPr>
      <w:r>
        <w:rPr>
          <w:spacing w:val="-3"/>
        </w:rPr>
        <w:t>工薪酬，离职后福利和辞退福利除外。本公司在职工提供服务的会计期间，将应付的短期薪酬确认为负债，</w:t>
      </w:r>
      <w:r>
        <w:rPr>
          <w:w w:val="99"/>
        </w:rPr>
        <w:t> </w:t>
      </w:r>
      <w:r>
        <w:rPr/>
        <w:t>并根据职工提供服务的受益对象计入相关资产成本和费用。</w:t>
      </w:r>
    </w:p>
    <w:p>
      <w:pPr>
        <w:spacing w:line="590" w:lineRule="atLeast" w:before="8"/>
        <w:ind w:left="532" w:right="2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离职后福利是指本公司为获得职工提供的服务而在职工退休或与企业解除劳动关系后，提供的各种形</w:t>
      </w:r>
      <w:r>
        <w:rPr>
          <w:rFonts w:ascii="宋体" w:hAnsi="宋体" w:cs="宋体" w:eastAsia="宋体" w:hint="default"/>
          <w:sz w:val="21"/>
          <w:szCs w:val="21"/>
        </w:rPr>
      </w:r>
    </w:p>
    <w:p>
      <w:pPr>
        <w:pStyle w:val="BodyText"/>
        <w:spacing w:line="273" w:lineRule="auto" w:before="37"/>
        <w:ind w:left="532" w:right="202" w:hanging="420"/>
        <w:jc w:val="left"/>
      </w:pPr>
      <w:r>
        <w:rPr/>
        <w:t>式的报酬和福利，短期薪酬和辞退福利除外。离职后福利计划分类为设定提存计划和设定受益计划。</w:t>
      </w:r>
      <w:r>
        <w:rPr>
          <w:w w:val="99"/>
        </w:rPr>
        <w:t> </w:t>
      </w:r>
      <w:r>
        <w:rPr>
          <w:w w:val="95"/>
        </w:rPr>
        <w:t>离职后福利设定提存计划主要为参加由各地劳动及社会保障机构组织实施的社会基本养老保险、失业</w:t>
      </w:r>
      <w:r>
        <w:rPr/>
      </w:r>
    </w:p>
    <w:p>
      <w:pPr>
        <w:pStyle w:val="BodyText"/>
        <w:spacing w:line="273" w:lineRule="auto"/>
        <w:ind w:right="202"/>
        <w:jc w:val="left"/>
      </w:pPr>
      <w:r>
        <w:rPr>
          <w:w w:val="95"/>
        </w:rPr>
        <w:t>保险等</w:t>
      </w:r>
      <w:r>
        <w:rPr>
          <w:color w:val="0000CC"/>
          <w:w w:val="95"/>
        </w:rPr>
        <w:t>。</w:t>
      </w:r>
      <w:r>
        <w:rPr>
          <w:w w:val="95"/>
        </w:rPr>
        <w:t>在职工为本公司提供服务的会计期间，将根据设定提存计划计算的应缴存金额确认为负债，并计</w:t>
      </w:r>
      <w:r>
        <w:rPr>
          <w:spacing w:val="43"/>
          <w:w w:val="95"/>
        </w:rPr>
        <w:t> </w:t>
      </w:r>
      <w:r>
        <w:rPr>
          <w:spacing w:val="43"/>
          <w:w w:val="95"/>
        </w:rPr>
      </w:r>
      <w:r>
        <w:rPr/>
        <w:t>入当期损益或相关资产成本。</w:t>
      </w:r>
      <w:r>
        <w:rPr>
          <w:w w:val="99"/>
        </w:rPr>
        <w:t> </w:t>
      </w:r>
      <w:r>
        <w:rPr/>
        <w:t>本公司按照国家规定的标准和年金计划定期缴付上述款项后，不再有其他的支付义务。</w:t>
      </w:r>
    </w:p>
    <w:p>
      <w:pPr>
        <w:spacing w:after="0" w:line="273"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Heading4"/>
        <w:spacing w:line="240" w:lineRule="auto" w:before="34"/>
        <w:ind w:right="20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02" w:firstLine="420"/>
        <w:jc w:val="left"/>
      </w:pPr>
      <w:r>
        <w:rPr>
          <w:w w:val="95"/>
        </w:rPr>
        <w:t>辞退福利是指本公司在职工劳动合同到期之前解除与职工的劳动关系，或者为鼓励职工自愿接受裁减</w:t>
      </w:r>
      <w:r>
        <w:rPr>
          <w:w w:val="99"/>
        </w:rPr>
        <w:t> </w:t>
      </w:r>
      <w:r>
        <w:rPr/>
        <w:t>而给予职工的补偿，在发生当期计入当期损益。</w:t>
      </w:r>
    </w:p>
    <w:p>
      <w:pPr>
        <w:spacing w:line="240" w:lineRule="auto" w:before="9"/>
        <w:rPr>
          <w:rFonts w:ascii="宋体" w:hAnsi="宋体" w:cs="宋体" w:eastAsia="宋体" w:hint="default"/>
          <w:sz w:val="23"/>
          <w:szCs w:val="23"/>
        </w:rPr>
      </w:pPr>
    </w:p>
    <w:p>
      <w:pPr>
        <w:pStyle w:val="Heading4"/>
        <w:spacing w:line="240" w:lineRule="auto"/>
        <w:ind w:right="20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202"/>
        <w:jc w:val="left"/>
      </w:pPr>
      <w:r>
        <w:rPr/>
        <w:t>其他长期职工福利是指除短期薪酬、离职后福利、辞退福利之外的其他所有职工福利。</w:t>
      </w:r>
      <w:r>
        <w:rPr>
          <w:w w:val="99"/>
        </w:rPr>
        <w:t> </w:t>
      </w:r>
      <w:r>
        <w:rPr>
          <w:w w:val="95"/>
        </w:rPr>
        <w:t>对符合设定提存计划条件的其他长期职工福利，在职工为本公司提供服务的会计期间，将应缴存金额</w:t>
      </w:r>
      <w:r>
        <w:rPr/>
      </w:r>
    </w:p>
    <w:p>
      <w:pPr>
        <w:pStyle w:val="BodyText"/>
        <w:spacing w:line="273" w:lineRule="auto"/>
        <w:ind w:right="202"/>
        <w:jc w:val="left"/>
      </w:pPr>
      <w:r>
        <w:rPr>
          <w:w w:val="95"/>
        </w:rPr>
        <w:t>确认为负债，并计入当期损益或相关资产成本；除上述情形外的其他长期职工福利，在资产负债表日，将</w:t>
      </w:r>
      <w:r>
        <w:rPr>
          <w:spacing w:val="43"/>
          <w:w w:val="95"/>
        </w:rPr>
        <w:t> </w:t>
      </w:r>
      <w:r>
        <w:rPr>
          <w:spacing w:val="43"/>
          <w:w w:val="95"/>
        </w:rPr>
      </w:r>
      <w:r>
        <w:rPr/>
        <w:t>设定受益计划产生的福利义务归属于职工提供服务的期间，并计入当期损益或相关资产成本。</w:t>
      </w:r>
    </w:p>
    <w:p>
      <w:pPr>
        <w:spacing w:line="240" w:lineRule="auto" w:before="7"/>
        <w:rPr>
          <w:rFonts w:ascii="宋体" w:hAnsi="宋体" w:cs="宋体" w:eastAsia="宋体" w:hint="default"/>
          <w:sz w:val="23"/>
          <w:szCs w:val="23"/>
        </w:rPr>
      </w:pPr>
    </w:p>
    <w:p>
      <w:pPr>
        <w:pStyle w:val="Heading4"/>
        <w:spacing w:line="240" w:lineRule="auto"/>
        <w:ind w:right="202"/>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left="532" w:right="2440"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w w:val="95"/>
        </w:rPr>
        <w:t>与或有事项相关的义务同时满足下列条件时，本公司确认为预计负债：</w:t>
      </w:r>
      <w:r>
        <w:rPr>
          <w:w w:val="99"/>
        </w:rPr>
        <w:t> </w:t>
      </w:r>
      <w:r>
        <w:rPr/>
        <w:t>该义务是本公司承担的现时义务；</w:t>
      </w:r>
      <w:r>
        <w:rPr>
          <w:w w:val="99"/>
        </w:rPr>
        <w:t> </w:t>
      </w:r>
      <w:r>
        <w:rPr/>
        <w:t>履行该义务很可能导致经济利益流出本公司；</w:t>
      </w:r>
      <w:r>
        <w:rPr>
          <w:w w:val="99"/>
        </w:rPr>
        <w:t> </w:t>
      </w:r>
      <w:r>
        <w:rPr/>
        <w:t>该义务的金额能够可靠地计量。</w:t>
      </w:r>
    </w:p>
    <w:p>
      <w:pPr>
        <w:spacing w:line="256" w:lineRule="auto" w:before="12"/>
        <w:ind w:left="532" w:right="24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本公司预计负债按履行相关现时义务所需的支出的最佳估计数进行初始计量。</w:t>
      </w:r>
      <w:r>
        <w:rPr>
          <w:rFonts w:ascii="宋体" w:hAnsi="宋体" w:cs="宋体" w:eastAsia="宋体" w:hint="default"/>
          <w:sz w:val="21"/>
          <w:szCs w:val="21"/>
        </w:rPr>
      </w:r>
    </w:p>
    <w:p>
      <w:pPr>
        <w:pStyle w:val="BodyText"/>
        <w:spacing w:line="273" w:lineRule="auto" w:before="22"/>
        <w:ind w:right="202" w:firstLine="420"/>
        <w:jc w:val="left"/>
      </w:pPr>
      <w:r>
        <w:rPr>
          <w:w w:val="95"/>
        </w:rPr>
        <w:t>本公司在确定最佳估计数时，综合考虑与或有事项有关的风险、不确定性和货币时间价值等因素。对</w:t>
      </w:r>
      <w:r>
        <w:rPr>
          <w:spacing w:val="-97"/>
          <w:w w:val="95"/>
        </w:rPr>
        <w:t> </w:t>
      </w:r>
      <w:r>
        <w:rPr>
          <w:spacing w:val="-97"/>
          <w:w w:val="95"/>
        </w:rPr>
      </w:r>
      <w:r>
        <w:rPr/>
        <w:t>于货币时间价值影响重大的，通过对相关未来现金流出进行折现后确定最佳估计数。</w:t>
      </w:r>
    </w:p>
    <w:p>
      <w:pPr>
        <w:pStyle w:val="BodyText"/>
        <w:spacing w:line="273" w:lineRule="auto"/>
        <w:ind w:left="532" w:right="202"/>
        <w:jc w:val="left"/>
      </w:pPr>
      <w:r>
        <w:rPr/>
        <w:t>最佳估计数分别以下情况处理：</w:t>
      </w:r>
      <w:r>
        <w:rPr>
          <w:w w:val="99"/>
        </w:rPr>
        <w:t> </w:t>
      </w:r>
      <w:r>
        <w:rPr>
          <w:w w:val="95"/>
        </w:rPr>
        <w:t>所需支出存在一个连续范围（或区间），且该范围内各种结果发生的可能性相同的，则最佳估计数按</w:t>
      </w:r>
      <w:r>
        <w:rPr/>
      </w:r>
    </w:p>
    <w:p>
      <w:pPr>
        <w:pStyle w:val="BodyText"/>
        <w:spacing w:line="273" w:lineRule="auto" w:before="8"/>
        <w:ind w:left="532" w:right="202" w:hanging="420"/>
        <w:jc w:val="left"/>
      </w:pPr>
      <w:r>
        <w:rPr/>
        <w:t>照该范围的中间值即上下限金额的平均数确定。</w:t>
      </w:r>
      <w:r>
        <w:rPr>
          <w:w w:val="99"/>
        </w:rPr>
        <w:t> </w:t>
      </w:r>
      <w:r>
        <w:rPr>
          <w:w w:val="95"/>
        </w:rPr>
        <w:t>所需支出不存在一个连续范围（或区间），或虽然存在一个连续范围但该范围内各种结果发生的可能</w:t>
      </w:r>
      <w:r>
        <w:rPr/>
      </w:r>
    </w:p>
    <w:p>
      <w:pPr>
        <w:pStyle w:val="BodyText"/>
        <w:spacing w:line="273" w:lineRule="auto"/>
        <w:ind w:right="202"/>
        <w:jc w:val="left"/>
      </w:pPr>
      <w:r>
        <w:rPr>
          <w:w w:val="95"/>
        </w:rPr>
        <w:t>性不相同的，如或有事项涉及单个项目的，则最佳估计数按照最可能发生金额确定；如或有事项涉及多个</w:t>
      </w:r>
      <w:r>
        <w:rPr>
          <w:spacing w:val="40"/>
          <w:w w:val="95"/>
        </w:rPr>
        <w:t> </w:t>
      </w:r>
      <w:r>
        <w:rPr>
          <w:spacing w:val="40"/>
          <w:w w:val="95"/>
        </w:rPr>
      </w:r>
      <w:r>
        <w:rPr/>
        <w:t>项目的，则最佳估计数按各种可能结果及相关概率计算确定。</w:t>
      </w:r>
    </w:p>
    <w:p>
      <w:pPr>
        <w:pStyle w:val="BodyText"/>
        <w:spacing w:line="273" w:lineRule="auto" w:before="8"/>
        <w:ind w:right="202" w:firstLine="420"/>
        <w:jc w:val="left"/>
      </w:pPr>
      <w:r>
        <w:rPr>
          <w:w w:val="95"/>
        </w:rPr>
        <w:t>本公司清偿预计负债所需支出全部或部分预期由第三方补偿的，补偿金额在基本确定能够收到时，作</w:t>
      </w:r>
      <w:r>
        <w:rPr>
          <w:w w:val="99"/>
        </w:rPr>
        <w:t> </w:t>
      </w:r>
      <w:r>
        <w:rPr/>
        <w:t>为资产单独确认，确认的补偿金额不超过预计负债的账面价值。</w:t>
      </w:r>
    </w:p>
    <w:p>
      <w:pPr>
        <w:spacing w:line="240" w:lineRule="auto" w:before="7"/>
        <w:rPr>
          <w:rFonts w:ascii="宋体" w:hAnsi="宋体" w:cs="宋体" w:eastAsia="宋体" w:hint="default"/>
          <w:sz w:val="23"/>
          <w:szCs w:val="23"/>
        </w:rPr>
      </w:pPr>
    </w:p>
    <w:p>
      <w:pPr>
        <w:pStyle w:val="Heading4"/>
        <w:spacing w:line="240" w:lineRule="auto"/>
        <w:ind w:right="202"/>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9"/>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4"/>
        <w:spacing w:line="240" w:lineRule="auto"/>
        <w:ind w:right="202"/>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Heading4"/>
        <w:spacing w:line="610" w:lineRule="atLeast" w:before="34"/>
        <w:ind w:right="6005"/>
        <w:jc w:val="left"/>
        <w:rPr>
          <w:b w:val="0"/>
          <w:bCs w:val="0"/>
        </w:rPr>
      </w:pPr>
      <w:r>
        <w:rPr>
          <w:rFonts w:ascii="Times New Roman" w:hAnsi="Times New Roman" w:cs="Times New Roman" w:eastAsia="Times New Roman" w:hint="default"/>
        </w:rPr>
        <w:t>28</w:t>
      </w:r>
      <w:r>
        <w:rPr/>
        <w:t>、收入</w:t>
      </w:r>
      <w:r>
        <w:rPr>
          <w:w w:val="99"/>
        </w:rPr>
        <w:t> </w:t>
      </w:r>
      <w:r>
        <w:rPr>
          <w:rFonts w:ascii="Times New Roman" w:hAnsi="Times New Roman" w:cs="Times New Roman" w:eastAsia="Times New Roman" w:hint="default"/>
        </w:rPr>
        <w:t>(1)</w:t>
      </w:r>
      <w:r>
        <w:rPr/>
        <w:t>销售商品收入确认时间的具体判断标准</w:t>
      </w:r>
      <w:r>
        <w:rPr>
          <w:b w:val="0"/>
          <w:bCs w:val="0"/>
        </w:rPr>
      </w:r>
    </w:p>
    <w:p>
      <w:pPr>
        <w:pStyle w:val="BodyText"/>
        <w:spacing w:line="273" w:lineRule="auto" w:before="21"/>
        <w:ind w:right="105" w:firstLine="420"/>
        <w:jc w:val="left"/>
      </w:pPr>
      <w:r>
        <w:rPr/>
        <w:t>公司已将商品所有权上的主要风险和报酬转移给购买方；公司既没有保留与所有权相联系的继续管理</w:t>
      </w:r>
      <w:r>
        <w:rPr>
          <w:w w:val="99"/>
        </w:rPr>
        <w:t> </w:t>
      </w:r>
      <w:r>
        <w:rPr>
          <w:spacing w:val="-3"/>
        </w:rPr>
        <w:t>权，也没有对已售出的商品实施有效控制；收入的金额能够可靠地计量；相关的经济利益很可能流入企业；</w:t>
      </w:r>
    </w:p>
    <w:p>
      <w:pPr>
        <w:spacing w:after="0" w:line="273"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73" w:lineRule="auto" w:before="34"/>
        <w:ind w:left="532" w:right="0" w:hanging="420"/>
        <w:jc w:val="left"/>
      </w:pPr>
      <w:r>
        <w:rPr/>
        <w:t>相关的已发生或将发生的成本能够可靠地计量时，确认商品销售收入实现。</w:t>
      </w:r>
      <w:r>
        <w:rPr>
          <w:w w:val="99"/>
        </w:rPr>
        <w:t> </w:t>
      </w:r>
      <w:r>
        <w:rPr>
          <w:w w:val="95"/>
        </w:rPr>
        <w:t>合同或协议价款的收取采用递延方式，实质上具有融资性质的，按照应收的合同或协议价款的公允价</w:t>
      </w:r>
      <w:r>
        <w:rPr/>
      </w:r>
    </w:p>
    <w:p>
      <w:pPr>
        <w:pStyle w:val="BodyText"/>
        <w:spacing w:line="240" w:lineRule="auto"/>
        <w:ind w:right="0"/>
        <w:jc w:val="left"/>
      </w:pPr>
      <w:r>
        <w:rPr/>
        <w:t>值确定销售商品收入金额。</w:t>
      </w:r>
    </w:p>
    <w:p>
      <w:pPr>
        <w:spacing w:line="256" w:lineRule="auto" w:before="37"/>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w w:val="95"/>
          <w:sz w:val="21"/>
          <w:szCs w:val="21"/>
        </w:rPr>
        <w:t>与交易相关的经济利益很可能流入企业，收入的金额能够可靠地计量时，分别下列情况确定让渡资产</w:t>
      </w:r>
      <w:r>
        <w:rPr>
          <w:rFonts w:ascii="宋体" w:hAnsi="宋体" w:cs="宋体" w:eastAsia="宋体" w:hint="default"/>
          <w:sz w:val="21"/>
          <w:szCs w:val="21"/>
        </w:rPr>
      </w:r>
    </w:p>
    <w:p>
      <w:pPr>
        <w:pStyle w:val="BodyText"/>
        <w:spacing w:line="240" w:lineRule="auto" w:before="22"/>
        <w:ind w:right="0"/>
        <w:jc w:val="left"/>
      </w:pPr>
      <w:r>
        <w:rPr/>
        <w:t>使用权收入金额：</w:t>
      </w:r>
    </w:p>
    <w:p>
      <w:pPr>
        <w:pStyle w:val="BodyText"/>
        <w:spacing w:line="240" w:lineRule="auto" w:before="37"/>
        <w:ind w:left="624" w:right="0"/>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624" w:right="0"/>
        <w:jc w:val="left"/>
      </w:pPr>
      <w:r>
        <w:rPr>
          <w:rFonts w:ascii="Times New Roman" w:hAnsi="Times New Roman" w:cs="Times New Roman" w:eastAsia="Times New Roman" w:hint="default"/>
        </w:rPr>
        <w:t>2</w:t>
      </w:r>
      <w:r>
        <w:rPr/>
        <w:t>）使用费收入金额，按照有关合同或协议约定的收费时间和方法计算确定。</w:t>
      </w:r>
    </w:p>
    <w:p>
      <w:pPr>
        <w:pStyle w:val="Heading4"/>
        <w:spacing w:line="240" w:lineRule="auto" w:before="21"/>
        <w:ind w:right="0"/>
        <w:jc w:val="left"/>
        <w:rPr>
          <w:b w:val="0"/>
          <w:bCs w:val="0"/>
        </w:rPr>
      </w:pPr>
      <w:r>
        <w:rPr>
          <w:rFonts w:ascii="Times New Roman" w:hAnsi="Times New Roman" w:cs="Times New Roman" w:eastAsia="Times New Roman" w:hint="default"/>
        </w:rPr>
        <w:t>(3)</w:t>
      </w:r>
      <w:r>
        <w:rPr/>
        <w:t>提供劳务收入的确认依据和方法</w:t>
      </w:r>
      <w:r>
        <w:rPr>
          <w:b w:val="0"/>
          <w:bCs w:val="0"/>
        </w:rPr>
      </w:r>
    </w:p>
    <w:p>
      <w:pPr>
        <w:pStyle w:val="BodyText"/>
        <w:spacing w:line="256" w:lineRule="auto" w:before="21"/>
        <w:ind w:right="113" w:firstLine="420"/>
        <w:jc w:val="both"/>
      </w:pPr>
      <w:r>
        <w:rPr>
          <w:rFonts w:ascii="Times New Roman" w:hAnsi="Times New Roman" w:cs="Times New Roman" w:eastAsia="Times New Roman" w:hint="default"/>
          <w:spacing w:val="2"/>
          <w:w w:val="95"/>
        </w:rPr>
        <w:t>1</w:t>
      </w:r>
      <w:r>
        <w:rPr>
          <w:spacing w:val="2"/>
          <w:w w:val="95"/>
        </w:rPr>
        <w:t>）在资产负债表日提供劳务交易的结果能够可靠估计的，采用完工百分比法确认提供劳务收入。提</w:t>
      </w:r>
      <w:r>
        <w:rPr>
          <w:spacing w:val="-82"/>
          <w:w w:val="95"/>
        </w:rPr>
        <w:t> </w:t>
      </w:r>
      <w:r>
        <w:rPr>
          <w:spacing w:val="-82"/>
          <w:w w:val="95"/>
        </w:rPr>
      </w:r>
      <w:r>
        <w:rPr/>
        <w:t>供劳务交易的完工进度，依据已完工作的测量确定。</w:t>
      </w:r>
    </w:p>
    <w:p>
      <w:pPr>
        <w:pStyle w:val="BodyText"/>
        <w:spacing w:line="261" w:lineRule="auto" w:before="22"/>
        <w:ind w:left="624" w:right="3614" w:hanging="92"/>
        <w:jc w:val="left"/>
      </w:pPr>
      <w:r>
        <w:rPr>
          <w:w w:val="95"/>
        </w:rPr>
        <w:t>提供劳务交易的结果能够可靠估计，是指同时满足下列条件：</w:t>
      </w:r>
      <w:r>
        <w:rPr>
          <w:spacing w:val="69"/>
          <w:w w:val="95"/>
        </w:rPr>
        <w:t> </w:t>
      </w:r>
      <w:r>
        <w:rPr>
          <w:spacing w:val="69"/>
          <w:w w:val="95"/>
        </w:rPr>
      </w:r>
      <w:r>
        <w:rPr>
          <w:rFonts w:ascii="Times New Roman" w:hAnsi="Times New Roman" w:cs="Times New Roman" w:eastAsia="Times New Roman" w:hint="default"/>
        </w:rPr>
        <w:t>a</w:t>
      </w:r>
      <w:r>
        <w:rPr/>
        <w:t>、收入的金额能够可靠地计量；</w:t>
      </w:r>
      <w:r>
        <w:rPr>
          <w:w w:val="99"/>
        </w:rPr>
        <w:t> </w:t>
      </w:r>
      <w:r>
        <w:rPr>
          <w:rFonts w:ascii="Times New Roman" w:hAnsi="Times New Roman" w:cs="Times New Roman" w:eastAsia="Times New Roman" w:hint="default"/>
        </w:rPr>
        <w:t>b</w:t>
      </w:r>
      <w:r>
        <w:rPr/>
        <w:t>相关的经济利益很可能流入企业；</w:t>
      </w:r>
      <w:r>
        <w:rPr>
          <w:w w:val="99"/>
        </w:rPr>
        <w:t> </w:t>
      </w:r>
      <w:r>
        <w:rPr>
          <w:rFonts w:ascii="Times New Roman" w:hAnsi="Times New Roman" w:cs="Times New Roman" w:eastAsia="Times New Roman" w:hint="default"/>
        </w:rPr>
        <w:t>c</w:t>
      </w:r>
      <w:r>
        <w:rPr/>
        <w:t>、交易的完工进度能够可靠地确定；</w:t>
      </w:r>
      <w:r>
        <w:rPr>
          <w:w w:val="99"/>
        </w:rPr>
        <w:t> </w:t>
      </w:r>
      <w:r>
        <w:rPr>
          <w:rFonts w:ascii="Times New Roman" w:hAnsi="Times New Roman" w:cs="Times New Roman" w:eastAsia="Times New Roman" w:hint="default"/>
        </w:rPr>
        <w:t>d</w:t>
      </w:r>
      <w:r>
        <w:rPr/>
        <w:t>、交易中已发生和将发生的成本能够可靠地计量。</w:t>
      </w:r>
    </w:p>
    <w:p>
      <w:pPr>
        <w:pStyle w:val="BodyText"/>
        <w:spacing w:line="266" w:lineRule="auto" w:before="0"/>
        <w:ind w:right="112" w:firstLine="405"/>
        <w:jc w:val="both"/>
      </w:pPr>
      <w:r>
        <w:rPr>
          <w:rFonts w:ascii="Times New Roman" w:hAnsi="Times New Roman" w:cs="Times New Roman" w:eastAsia="Times New Roman" w:hint="default"/>
          <w:spacing w:val="2"/>
        </w:rPr>
        <w:t>2</w:t>
      </w:r>
      <w:r>
        <w:rPr>
          <w:spacing w:val="2"/>
        </w:rPr>
        <w:t>）按照已收或应收的合同或协议价款确定提供劳务收入总额，但已收或应收的合同或协议价款不公</w:t>
      </w:r>
      <w:r>
        <w:rPr>
          <w:w w:val="99"/>
        </w:rPr>
        <w:t> </w:t>
      </w:r>
      <w:r>
        <w:rPr>
          <w:w w:val="95"/>
        </w:rPr>
        <w:t>允的除外。资产负债表日按照提供劳务收入总额乘以完工进度扣除以前会计期间累计已确认提供劳务收入</w:t>
      </w:r>
      <w:r>
        <w:rPr>
          <w:spacing w:val="39"/>
          <w:w w:val="95"/>
        </w:rPr>
        <w:t> </w:t>
      </w:r>
      <w:r>
        <w:rPr>
          <w:spacing w:val="39"/>
          <w:w w:val="95"/>
        </w:rPr>
      </w:r>
      <w:r>
        <w:rPr>
          <w:w w:val="95"/>
        </w:rPr>
        <w:t>后的金额，确认当期提供劳务收入；同时，按照提供劳务估计总成本乘以完工进度扣除以前会计期间累计</w:t>
      </w:r>
      <w:r>
        <w:rPr>
          <w:spacing w:val="40"/>
          <w:w w:val="95"/>
        </w:rPr>
        <w:t> </w:t>
      </w:r>
      <w:r>
        <w:rPr>
          <w:spacing w:val="40"/>
          <w:w w:val="95"/>
        </w:rPr>
      </w:r>
      <w:r>
        <w:rPr/>
        <w:t>已确认劳务成本后的金额，结转当期劳务成本。</w:t>
      </w:r>
    </w:p>
    <w:p>
      <w:pPr>
        <w:pStyle w:val="BodyText"/>
        <w:spacing w:line="240" w:lineRule="auto" w:before="14"/>
        <w:ind w:left="532" w:right="0"/>
        <w:jc w:val="left"/>
      </w:pPr>
      <w:r>
        <w:rPr/>
        <w:t>在资产负债表日提供劳务交易结果不能够可靠估计的，分别下列情况处理：</w:t>
      </w:r>
    </w:p>
    <w:p>
      <w:pPr>
        <w:pStyle w:val="BodyText"/>
        <w:spacing w:line="256" w:lineRule="auto" w:before="37"/>
        <w:ind w:right="112" w:firstLine="511"/>
        <w:jc w:val="both"/>
      </w:pPr>
      <w:r>
        <w:rPr>
          <w:rFonts w:ascii="Times New Roman" w:hAnsi="Times New Roman" w:cs="Times New Roman" w:eastAsia="Times New Roman" w:hint="default"/>
        </w:rPr>
        <w:t>a</w:t>
      </w:r>
      <w:r>
        <w:rPr/>
        <w:t>、已经发生的劳务成本预计能够得到补偿的，按照已经发生的劳务成本金额确认提供劳务收入，并</w:t>
      </w:r>
      <w:r>
        <w:rPr>
          <w:w w:val="99"/>
        </w:rPr>
        <w:t> </w:t>
      </w:r>
      <w:r>
        <w:rPr/>
        <w:t>按相同金额结转劳务成本。</w:t>
      </w:r>
    </w:p>
    <w:p>
      <w:pPr>
        <w:pStyle w:val="BodyText"/>
        <w:spacing w:line="256" w:lineRule="auto" w:before="22"/>
        <w:ind w:right="112" w:firstLine="511"/>
        <w:jc w:val="both"/>
      </w:pPr>
      <w:r>
        <w:rPr>
          <w:rFonts w:ascii="Times New Roman" w:hAnsi="Times New Roman" w:cs="Times New Roman" w:eastAsia="Times New Roman" w:hint="default"/>
          <w:w w:val="95"/>
        </w:rPr>
        <w:t>b</w:t>
      </w:r>
      <w:r>
        <w:rPr>
          <w:w w:val="95"/>
        </w:rPr>
        <w:t>、已经发生的劳务成本预计不能够得到补偿的，将已经发生的劳务成本计入当期损益，不确认提供</w:t>
      </w:r>
      <w:r>
        <w:rPr>
          <w:w w:val="99"/>
        </w:rPr>
        <w:t> </w:t>
      </w:r>
      <w:r>
        <w:rPr/>
        <w:t>劳务收入。</w:t>
      </w:r>
    </w:p>
    <w:p>
      <w:pPr>
        <w:pStyle w:val="BodyText"/>
        <w:spacing w:line="273" w:lineRule="auto" w:before="22"/>
        <w:ind w:right="110" w:firstLine="420"/>
        <w:jc w:val="both"/>
      </w:pPr>
      <w:r>
        <w:rPr>
          <w:w w:val="95"/>
        </w:rPr>
        <w:t>本公司与其他企业签订的合同或协议包括销售商品和提供劳务时，销售商品部分和提供劳务部分能够</w:t>
      </w:r>
      <w:r>
        <w:rPr>
          <w:w w:val="99"/>
        </w:rPr>
        <w:t> </w:t>
      </w:r>
      <w:r>
        <w:rPr>
          <w:w w:val="95"/>
        </w:rPr>
        <w:t>区分且能够单独计量的，将销售商品的部分作为销售商品处理，将提供劳务的部分作为提供劳务处理。销</w:t>
      </w:r>
      <w:r>
        <w:rPr>
          <w:spacing w:val="43"/>
          <w:w w:val="95"/>
        </w:rPr>
        <w:t> </w:t>
      </w:r>
      <w:r>
        <w:rPr>
          <w:spacing w:val="43"/>
          <w:w w:val="95"/>
        </w:rPr>
      </w:r>
      <w:r>
        <w:rPr>
          <w:w w:val="95"/>
        </w:rPr>
        <w:t>售商品部分和提供劳务部分不能够区分，或虽能区分但不能够单独计量的，将销售商品部分和提供劳务部</w:t>
      </w:r>
      <w:r>
        <w:rPr>
          <w:spacing w:val="40"/>
          <w:w w:val="95"/>
        </w:rPr>
        <w:t> </w:t>
      </w:r>
      <w:r>
        <w:rPr>
          <w:spacing w:val="40"/>
          <w:w w:val="95"/>
        </w:rPr>
      </w:r>
      <w:r>
        <w:rPr/>
        <w:t>分全部作为销售商品处理。</w:t>
      </w:r>
    </w:p>
    <w:p>
      <w:pPr>
        <w:pStyle w:val="BodyText"/>
        <w:spacing w:line="256" w:lineRule="auto"/>
        <w:ind w:left="624" w:right="5009" w:hanging="92"/>
        <w:jc w:val="left"/>
      </w:pPr>
      <w:r>
        <w:rPr>
          <w:rFonts w:ascii="Times New Roman" w:hAnsi="Times New Roman" w:cs="Times New Roman" w:eastAsia="Times New Roman" w:hint="default"/>
        </w:rPr>
        <w:t>3</w:t>
      </w:r>
      <w:r>
        <w:rPr/>
        <w:t>）具体地，本公司的收入确认原则方法如下：</w:t>
      </w:r>
      <w:r>
        <w:rPr>
          <w:w w:val="99"/>
        </w:rPr>
        <w:t> </w:t>
      </w:r>
      <w:r>
        <w:rPr>
          <w:rFonts w:ascii="Times New Roman" w:hAnsi="Times New Roman" w:cs="Times New Roman" w:eastAsia="Times New Roman" w:hint="default"/>
        </w:rPr>
        <w:t>a</w:t>
      </w:r>
      <w:r>
        <w:rPr/>
        <w:t>、系统集成项目收入：</w:t>
      </w:r>
    </w:p>
    <w:p>
      <w:pPr>
        <w:pStyle w:val="BodyText"/>
        <w:spacing w:line="273" w:lineRule="auto" w:before="5"/>
        <w:ind w:right="114" w:firstLine="511"/>
        <w:jc w:val="both"/>
      </w:pPr>
      <w:r>
        <w:rPr>
          <w:spacing w:val="2"/>
        </w:rPr>
        <w:t>一般系统集成项目为一次性确认收入，即服务已经提供，并经接受服务方验收合格，取得相关的收</w:t>
      </w:r>
      <w:r>
        <w:rPr>
          <w:w w:val="99"/>
        </w:rPr>
        <w:t> </w:t>
      </w:r>
      <w:r>
        <w:rPr/>
        <w:t>款依据时确认为收入的实现。</w:t>
      </w:r>
    </w:p>
    <w:p>
      <w:pPr>
        <w:pStyle w:val="BodyText"/>
        <w:spacing w:line="273" w:lineRule="auto"/>
        <w:ind w:right="114" w:firstLine="511"/>
        <w:jc w:val="both"/>
      </w:pPr>
      <w:r>
        <w:rPr>
          <w:spacing w:val="2"/>
        </w:rPr>
        <w:t>复杂的系统集成项目，按工程项目服务已提供，接受服务方或并工程监理第三方，根据工程进度检</w:t>
      </w:r>
      <w:r>
        <w:rPr>
          <w:w w:val="99"/>
        </w:rPr>
        <w:t> </w:t>
      </w:r>
      <w:r>
        <w:rPr/>
        <w:t>验情况确认工程结算报告，公司据此开出结算票据取得相关的收款依据时确认收入的实现。</w:t>
      </w:r>
    </w:p>
    <w:p>
      <w:pPr>
        <w:pStyle w:val="BodyText"/>
        <w:spacing w:line="264" w:lineRule="auto"/>
        <w:ind w:right="110" w:firstLine="511"/>
        <w:jc w:val="both"/>
      </w:pPr>
      <w:r>
        <w:rPr>
          <w:rFonts w:ascii="Times New Roman" w:hAnsi="Times New Roman" w:cs="Times New Roman" w:eastAsia="Times New Roman" w:hint="default"/>
          <w:w w:val="95"/>
        </w:rPr>
        <w:t>b</w:t>
      </w:r>
      <w:r>
        <w:rPr>
          <w:w w:val="95"/>
        </w:rPr>
        <w:t>、技术服务项目收入：主要是指为各类系统集成项目提供后续的维护、改造及支持服务。收入确认</w:t>
      </w:r>
      <w:r>
        <w:rPr>
          <w:w w:val="99"/>
        </w:rPr>
        <w:t> </w:t>
      </w:r>
      <w:r>
        <w:rPr>
          <w:w w:val="95"/>
        </w:rPr>
        <w:t>的原则方法：根据服务合同，在服务期内维护及支持服务已提供并验收合格，公司开出结算票据或已取得</w:t>
      </w:r>
      <w:r>
        <w:rPr>
          <w:spacing w:val="43"/>
          <w:w w:val="95"/>
        </w:rPr>
        <w:t> </w:t>
      </w:r>
      <w:r>
        <w:rPr>
          <w:spacing w:val="43"/>
          <w:w w:val="95"/>
        </w:rPr>
      </w:r>
      <w:r>
        <w:rPr/>
        <w:t>收款的依据时，确认收入的实现。</w:t>
      </w:r>
    </w:p>
    <w:p>
      <w:pPr>
        <w:pStyle w:val="BodyText"/>
        <w:spacing w:line="264" w:lineRule="auto" w:before="16"/>
        <w:ind w:right="112" w:firstLine="511"/>
        <w:jc w:val="both"/>
      </w:pPr>
      <w:r>
        <w:rPr>
          <w:rFonts w:ascii="Times New Roman" w:hAnsi="Times New Roman" w:cs="Times New Roman" w:eastAsia="Times New Roman" w:hint="default"/>
        </w:rPr>
        <w:t>c</w:t>
      </w:r>
      <w:r>
        <w:rPr/>
        <w:t>、技术转让项目收入：主要是指公司自主或联合研发的软件系统转让项目。收入确认的原则方法：</w:t>
      </w:r>
      <w:r>
        <w:rPr>
          <w:w w:val="99"/>
        </w:rPr>
        <w:t> </w:t>
      </w:r>
      <w:r>
        <w:rPr>
          <w:w w:val="95"/>
        </w:rPr>
        <w:t>根据技术转让合同，技术已转让并验收，与合同相关的收入已经取得或取得收款的依据，相关的成本能够</w:t>
      </w:r>
      <w:r>
        <w:rPr>
          <w:spacing w:val="40"/>
          <w:w w:val="95"/>
        </w:rPr>
        <w:t> </w:t>
      </w:r>
      <w:r>
        <w:rPr>
          <w:spacing w:val="40"/>
          <w:w w:val="95"/>
        </w:rPr>
      </w:r>
      <w:r>
        <w:rPr/>
        <w:t>可靠计量时，确认收入的实现。</w:t>
      </w:r>
    </w:p>
    <w:p>
      <w:pPr>
        <w:pStyle w:val="BodyText"/>
        <w:spacing w:line="264" w:lineRule="auto" w:before="16"/>
        <w:ind w:right="110" w:firstLine="511"/>
        <w:jc w:val="both"/>
      </w:pPr>
      <w:r>
        <w:rPr>
          <w:rFonts w:ascii="Times New Roman" w:hAnsi="Times New Roman" w:cs="Times New Roman" w:eastAsia="Times New Roman" w:hint="default"/>
          <w:w w:val="95"/>
        </w:rPr>
        <w:t>d</w:t>
      </w:r>
      <w:r>
        <w:rPr>
          <w:w w:val="95"/>
        </w:rPr>
        <w:t>、商品销售：主要指公司销售的光通讯产品，收入确认的原则方法：公司产品已经发出，已将产品</w:t>
      </w:r>
      <w:r>
        <w:rPr>
          <w:w w:val="99"/>
        </w:rPr>
        <w:t> </w:t>
      </w:r>
      <w:r>
        <w:rPr>
          <w:w w:val="95"/>
        </w:rPr>
        <w:t>所有权上的重要风险和报酬转移给买方，公司不再对该商品实施继续管理权和实际控制权，相关的收入已</w:t>
      </w:r>
      <w:r>
        <w:rPr>
          <w:spacing w:val="37"/>
          <w:w w:val="95"/>
        </w:rPr>
        <w:t> </w:t>
      </w:r>
      <w:r>
        <w:rPr>
          <w:spacing w:val="37"/>
          <w:w w:val="95"/>
        </w:rPr>
      </w:r>
      <w:r>
        <w:rPr/>
        <w:t>收到或取得了收取货款的证据，并且与销售该商品有关的成本能够可靠的计量时，确认收入的实现。</w:t>
      </w:r>
    </w:p>
    <w:p>
      <w:pPr>
        <w:spacing w:after="0" w:line="264" w:lineRule="auto"/>
        <w:jc w:val="both"/>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0"/>
        <w:jc w:val="left"/>
      </w:pPr>
      <w:r>
        <w:rPr/>
        <w:t>与资产相关的政府补助，是指本公司取得的、用于购建或以其他方式形成长期资产的政府补助。</w:t>
      </w:r>
      <w:r>
        <w:rPr>
          <w:w w:val="99"/>
        </w:rPr>
        <w:t> </w:t>
      </w:r>
      <w:r>
        <w:rPr>
          <w:w w:val="95"/>
        </w:rPr>
        <w:t>与资产相关的政府补助，确认为递延收益，按照所建造或购买的资产使用年限分期计入营业外收入；</w:t>
      </w:r>
      <w:r>
        <w:rPr/>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0"/>
        <w:jc w:val="left"/>
      </w:pPr>
      <w:r>
        <w:rPr/>
        <w:t>与收益相关的政府补助，是指除与资产相关的政府补助之外的政府补助。</w:t>
      </w:r>
      <w:r>
        <w:rPr>
          <w:w w:val="99"/>
        </w:rPr>
        <w:t> </w:t>
      </w:r>
      <w:r>
        <w:rPr>
          <w:w w:val="95"/>
        </w:rPr>
        <w:t>与收益相关的政府补助，用于补偿企业以后期间的相关费用或损失的，确认为递延收益，在确认相关</w:t>
      </w:r>
      <w:r>
        <w:rPr/>
      </w:r>
    </w:p>
    <w:p>
      <w:pPr>
        <w:pStyle w:val="BodyText"/>
        <w:spacing w:line="273" w:lineRule="auto"/>
        <w:ind w:right="0"/>
        <w:jc w:val="left"/>
      </w:pPr>
      <w:r>
        <w:rPr>
          <w:w w:val="95"/>
        </w:rPr>
        <w:t>费用的期间计入当期营业外收入；用于补偿企业已发生的相关费用或损失的，取得时直接计入当期营业外  </w:t>
      </w:r>
      <w:r>
        <w:rPr>
          <w:spacing w:val="37"/>
          <w:w w:val="95"/>
        </w:rPr>
        <w:t> </w:t>
      </w:r>
      <w:r>
        <w:rPr>
          <w:spacing w:val="37"/>
          <w:w w:val="95"/>
        </w:rPr>
      </w:r>
      <w:r>
        <w:rPr/>
        <w:t>收入。</w:t>
      </w:r>
    </w:p>
    <w:p>
      <w:pPr>
        <w:spacing w:line="614" w:lineRule="exact" w:before="62"/>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BodyText"/>
        <w:spacing w:line="219" w:lineRule="exact" w:before="0"/>
        <w:ind w:right="0"/>
        <w:jc w:val="left"/>
      </w:pPr>
      <w:r>
        <w:rPr/>
        <w:t>确认。于资产负债表日，递延所得税资产和递延所得税负债，按照预期收回该资产或清偿该负债期间的适</w:t>
      </w:r>
    </w:p>
    <w:p>
      <w:pPr>
        <w:pStyle w:val="BodyText"/>
        <w:spacing w:line="240" w:lineRule="auto" w:before="37"/>
        <w:ind w:right="0"/>
        <w:jc w:val="left"/>
      </w:pPr>
      <w:r>
        <w:rPr/>
        <w:t>用税率计量。</w:t>
      </w:r>
    </w:p>
    <w:p>
      <w:pPr>
        <w:spacing w:line="256" w:lineRule="auto" w:before="37"/>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w w:val="95"/>
          <w:sz w:val="21"/>
          <w:szCs w:val="21"/>
        </w:rPr>
        <w:t>本公司以很可能取得用来抵扣可抵扣暂时性差异、能够结转以后年度的可抵扣亏损和税款抵减的应纳</w:t>
      </w:r>
      <w:r>
        <w:rPr>
          <w:rFonts w:ascii="宋体" w:hAnsi="宋体" w:cs="宋体" w:eastAsia="宋体" w:hint="default"/>
          <w:sz w:val="21"/>
          <w:szCs w:val="21"/>
        </w:rPr>
      </w:r>
    </w:p>
    <w:p>
      <w:pPr>
        <w:pStyle w:val="BodyText"/>
        <w:spacing w:line="273" w:lineRule="auto" w:before="22"/>
        <w:ind w:right="0"/>
        <w:jc w:val="left"/>
      </w:pPr>
      <w:r>
        <w:rPr>
          <w:w w:val="95"/>
        </w:rPr>
        <w:t>税所得额为限，确认由可抵扣暂时性差异产生的递延所得税资产。但是，同时具有下列特征的交易中因资</w:t>
      </w:r>
      <w:r>
        <w:rPr>
          <w:spacing w:val="43"/>
          <w:w w:val="95"/>
        </w:rPr>
        <w:t> </w:t>
      </w:r>
      <w:r>
        <w:rPr>
          <w:spacing w:val="43"/>
          <w:w w:val="95"/>
        </w:rPr>
      </w:r>
      <w:r>
        <w:rPr/>
        <w:t>产或负债的初始确认所产生的递延所得税资产不予确认：</w:t>
      </w:r>
    </w:p>
    <w:p>
      <w:pPr>
        <w:pStyle w:val="BodyText"/>
        <w:spacing w:line="240" w:lineRule="auto"/>
        <w:ind w:left="624" w:right="0"/>
        <w:jc w:val="left"/>
      </w:pPr>
      <w:r>
        <w:rPr>
          <w:rFonts w:ascii="Times New Roman" w:hAnsi="Times New Roman" w:cs="Times New Roman" w:eastAsia="Times New Roman" w:hint="default"/>
        </w:rPr>
        <w:t>1</w:t>
      </w:r>
      <w:r>
        <w:rPr/>
        <w:t>）该交易不是企业合并；</w:t>
      </w:r>
    </w:p>
    <w:p>
      <w:pPr>
        <w:pStyle w:val="BodyText"/>
        <w:spacing w:line="256" w:lineRule="auto" w:before="21"/>
        <w:ind w:left="532" w:right="0" w:firstLine="91"/>
        <w:jc w:val="left"/>
      </w:pPr>
      <w:r>
        <w:rPr>
          <w:rFonts w:ascii="Times New Roman" w:hAnsi="Times New Roman" w:cs="Times New Roman" w:eastAsia="Times New Roman" w:hint="default"/>
        </w:rPr>
        <w:t>2</w:t>
      </w:r>
      <w:r>
        <w:rPr/>
        <w:t>）交易发生时既不影响会计利润也不影响应纳税所得额或可抵扣亏损。</w:t>
      </w:r>
      <w:r>
        <w:rPr>
          <w:w w:val="99"/>
        </w:rPr>
        <w:t> </w:t>
      </w:r>
      <w:r>
        <w:rPr>
          <w:w w:val="95"/>
        </w:rPr>
        <w:t>对于与联营企业投资相关的可抵扣暂时性差异，同时满足下列条件的，确认相应的递延所得税资产：</w:t>
      </w:r>
      <w:r>
        <w:rPr/>
      </w:r>
    </w:p>
    <w:p>
      <w:pPr>
        <w:pStyle w:val="BodyText"/>
        <w:spacing w:line="240" w:lineRule="auto" w:before="22"/>
        <w:ind w:right="0"/>
        <w:jc w:val="left"/>
      </w:pPr>
      <w:r>
        <w:rPr/>
        <w:t>暂时性差异在可预见的未来很可能转回，且未来很可能获得用来抵扣可抵扣暂时性差异的应纳税所得额。</w:t>
      </w:r>
    </w:p>
    <w:p>
      <w:pPr>
        <w:spacing w:line="264" w:lineRule="auto" w:before="37"/>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w w:val="95"/>
          <w:sz w:val="21"/>
          <w:szCs w:val="21"/>
        </w:rPr>
        <w:t>公司将当期与以前期间应交未交的应纳税暂时性差异确认为递延所得税负债。但不包括：</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）商誉的初始确认所形成的暂时性差异；</w:t>
      </w:r>
    </w:p>
    <w:p>
      <w:pPr>
        <w:pStyle w:val="BodyText"/>
        <w:spacing w:line="256" w:lineRule="auto" w:before="0"/>
        <w:ind w:right="0" w:firstLine="420"/>
        <w:jc w:val="left"/>
      </w:pPr>
      <w:r>
        <w:rPr>
          <w:rFonts w:ascii="Times New Roman" w:hAnsi="Times New Roman" w:cs="Times New Roman" w:eastAsia="Times New Roman" w:hint="default"/>
          <w:spacing w:val="2"/>
          <w:w w:val="95"/>
        </w:rPr>
        <w:t>2</w:t>
      </w:r>
      <w:r>
        <w:rPr>
          <w:spacing w:val="2"/>
          <w:w w:val="95"/>
        </w:rPr>
        <w:t>）非企业合并形成的交易或事项，且该交易或事项发生时既不影响会计利润，也不影响应纳税所得</w:t>
      </w:r>
      <w:r>
        <w:rPr>
          <w:spacing w:val="-82"/>
          <w:w w:val="95"/>
        </w:rPr>
        <w:t> </w:t>
      </w:r>
      <w:r>
        <w:rPr>
          <w:spacing w:val="-82"/>
          <w:w w:val="95"/>
        </w:rPr>
      </w:r>
      <w:r>
        <w:rPr/>
        <w:t>额（或可抵扣亏损）所形成的暂时性差异；</w:t>
      </w:r>
    </w:p>
    <w:p>
      <w:pPr>
        <w:pStyle w:val="BodyText"/>
        <w:spacing w:line="256" w:lineRule="auto" w:before="22"/>
        <w:ind w:right="128" w:firstLine="403"/>
        <w:jc w:val="left"/>
      </w:pPr>
      <w:r>
        <w:rPr>
          <w:rFonts w:ascii="Times New Roman" w:hAnsi="Times New Roman" w:cs="Times New Roman" w:eastAsia="Times New Roman" w:hint="default"/>
          <w:spacing w:val="2"/>
        </w:rPr>
        <w:t>3</w:t>
      </w:r>
      <w:r>
        <w:rPr>
          <w:spacing w:val="2"/>
        </w:rPr>
        <w:t>）对于与子公司、联营企业投资相关的应纳税暂时性差异，该暂时性差异转回的时间能够控制并且</w:t>
      </w:r>
      <w:r>
        <w:rPr>
          <w:w w:val="99"/>
        </w:rPr>
        <w:t> </w:t>
      </w:r>
      <w:r>
        <w:rPr/>
        <w:t>该暂时性差异在可预见的未来很可能不会转回。</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firstLine="420"/>
        <w:jc w:val="left"/>
      </w:pPr>
      <w:r>
        <w:rPr>
          <w:rFonts w:ascii="Times New Roman" w:hAnsi="Times New Roman" w:cs="Times New Roman" w:eastAsia="Times New Roman" w:hint="default"/>
          <w:spacing w:val="2"/>
          <w:w w:val="95"/>
        </w:rPr>
        <w:t>1</w:t>
      </w:r>
      <w:r>
        <w:rPr>
          <w:spacing w:val="2"/>
          <w:w w:val="95"/>
        </w:rPr>
        <w:t>）公司租入资产所支付的租赁费，在不扣除免租期的整个租赁期内，按直线法进行分摊，计入当期</w:t>
      </w:r>
      <w:r>
        <w:rPr>
          <w:spacing w:val="-82"/>
          <w:w w:val="95"/>
        </w:rPr>
        <w:t> </w:t>
      </w:r>
      <w:r>
        <w:rPr>
          <w:spacing w:val="-82"/>
          <w:w w:val="95"/>
        </w:rPr>
      </w:r>
      <w:r>
        <w:rPr/>
        <w:t>费用。公司支付的与租赁交易相关的初始直接费用，计入当期费用。</w:t>
      </w:r>
    </w:p>
    <w:p>
      <w:pPr>
        <w:pStyle w:val="BodyText"/>
        <w:spacing w:line="273" w:lineRule="auto" w:before="22"/>
        <w:ind w:right="0" w:firstLine="420"/>
        <w:jc w:val="left"/>
      </w:pPr>
      <w:r>
        <w:rPr>
          <w:w w:val="95"/>
        </w:rPr>
        <w:t>资产出租方承担了应由公司承担的与租赁相关的费用时，公司将该部分费用从租金总额中扣除，按扣</w:t>
      </w:r>
      <w:r>
        <w:rPr>
          <w:w w:val="99"/>
        </w:rPr>
        <w:t> </w:t>
      </w:r>
      <w:r>
        <w:rPr/>
        <w:t>除后的租金费用在租赁期内分摊，计入当期费用。</w:t>
      </w:r>
    </w:p>
    <w:p>
      <w:pPr>
        <w:pStyle w:val="BodyText"/>
        <w:spacing w:line="256" w:lineRule="auto"/>
        <w:ind w:right="0" w:firstLine="420"/>
        <w:jc w:val="left"/>
      </w:pPr>
      <w:r>
        <w:rPr>
          <w:rFonts w:ascii="Times New Roman" w:hAnsi="Times New Roman" w:cs="Times New Roman" w:eastAsia="Times New Roman" w:hint="default"/>
          <w:spacing w:val="2"/>
          <w:w w:val="95"/>
        </w:rPr>
        <w:t>2</w:t>
      </w:r>
      <w:r>
        <w:rPr>
          <w:spacing w:val="2"/>
          <w:w w:val="95"/>
        </w:rPr>
        <w:t>）公司出租资产所收取的租赁费，在不扣除免租期的整个租赁期内，按直线法进行分摊，确认为租</w:t>
      </w:r>
      <w:r>
        <w:rPr>
          <w:spacing w:val="-82"/>
          <w:w w:val="95"/>
        </w:rPr>
        <w:t> </w:t>
      </w:r>
      <w:r>
        <w:rPr>
          <w:spacing w:val="-82"/>
          <w:w w:val="95"/>
        </w:rPr>
      </w:r>
      <w:r>
        <w:rPr>
          <w:w w:val="95"/>
        </w:rPr>
        <w:t>赁收入。公司支付的与租赁交易相关的初始直接费用，计入当期费用；如金额较大的，则予以资本化，在</w:t>
      </w:r>
      <w:r>
        <w:rPr/>
      </w:r>
    </w:p>
    <w:p>
      <w:pPr>
        <w:spacing w:after="0" w:line="256" w:lineRule="auto"/>
        <w:jc w:val="left"/>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BodyText"/>
        <w:spacing w:line="273" w:lineRule="auto" w:before="34"/>
        <w:ind w:left="532" w:right="0" w:hanging="420"/>
        <w:jc w:val="left"/>
      </w:pPr>
      <w:r>
        <w:rPr/>
        <w:t>整个租赁期间内按照与租赁收入确认相同的基础分期计入当期收益。</w:t>
      </w:r>
      <w:r>
        <w:rPr>
          <w:w w:val="99"/>
        </w:rPr>
        <w:t> </w:t>
      </w:r>
      <w:r>
        <w:rPr>
          <w:w w:val="95"/>
        </w:rPr>
        <w:t>公司承担了应由承租方承担的与租赁相关的费用时，公司将该部分费用从租金收入总额中扣除，按扣</w:t>
      </w:r>
      <w:r>
        <w:rPr/>
      </w:r>
    </w:p>
    <w:p>
      <w:pPr>
        <w:pStyle w:val="BodyText"/>
        <w:spacing w:line="240" w:lineRule="auto"/>
        <w:ind w:right="0"/>
        <w:jc w:val="left"/>
      </w:pPr>
      <w:r>
        <w:rPr/>
        <w:t>除后的租金费用在租赁期内分配。</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 w:firstLine="420"/>
        <w:jc w:val="both"/>
      </w:pP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）融资租入资产：公司在承租开始日，将租赁资产公允价值与最低租赁付款额现值两者中较低者作</w:t>
      </w:r>
      <w:r>
        <w:rPr>
          <w:w w:val="99"/>
        </w:rPr>
        <w:t> </w:t>
      </w:r>
      <w:r>
        <w:rPr>
          <w:w w:val="95"/>
        </w:rPr>
        <w:t>为租入资产的入账价值，将最低租赁付款额作为长期应付款的入账价值，其差额作为未确认的融资费用。</w:t>
      </w:r>
      <w:r>
        <w:rPr/>
      </w:r>
    </w:p>
    <w:p>
      <w:pPr>
        <w:pStyle w:val="BodyText"/>
        <w:spacing w:line="240" w:lineRule="auto" w:before="22"/>
        <w:ind w:left="532" w:right="0"/>
        <w:jc w:val="left"/>
      </w:pPr>
      <w:r>
        <w:rPr/>
        <w:t>公司采用实际利率法对未确认的融资费用，在资产租赁期间内摊销，计入财务费用。</w:t>
      </w:r>
    </w:p>
    <w:p>
      <w:pPr>
        <w:pStyle w:val="BodyText"/>
        <w:spacing w:line="264" w:lineRule="auto" w:before="37"/>
        <w:ind w:right="133" w:firstLine="420"/>
        <w:jc w:val="both"/>
      </w:pPr>
      <w:r>
        <w:rPr>
          <w:rFonts w:ascii="Times New Roman" w:hAnsi="Times New Roman" w:cs="Times New Roman" w:eastAsia="Times New Roman" w:hint="default"/>
          <w:spacing w:val="2"/>
          <w:w w:val="95"/>
        </w:rPr>
        <w:t>2</w:t>
      </w:r>
      <w:r>
        <w:rPr>
          <w:spacing w:val="2"/>
          <w:w w:val="95"/>
        </w:rPr>
        <w:t>）融资租出资产：公司在租赁开始日，将应收融资租赁款，未担保余值之和与其现值的差额确认为</w:t>
      </w:r>
      <w:r>
        <w:rPr>
          <w:spacing w:val="-82"/>
          <w:w w:val="95"/>
        </w:rPr>
        <w:t> </w:t>
      </w:r>
      <w:r>
        <w:rPr>
          <w:spacing w:val="-82"/>
          <w:w w:val="95"/>
        </w:rPr>
      </w:r>
      <w:r>
        <w:rPr>
          <w:w w:val="95"/>
        </w:rPr>
        <w:t>未实现融资收益，在将来收到租金的各期间内确认为租赁收入，公司发生的与出租交易相关的初始直接费</w:t>
      </w:r>
      <w:r>
        <w:rPr>
          <w:spacing w:val="37"/>
          <w:w w:val="95"/>
        </w:rPr>
        <w:t> </w:t>
      </w:r>
      <w:r>
        <w:rPr>
          <w:spacing w:val="37"/>
          <w:w w:val="95"/>
        </w:rPr>
      </w:r>
      <w:r>
        <w:rPr/>
        <w:t>用，计入应收融资租赁款的初始计量中，并减少租赁期内确认的收益金额。</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pict>
          <v:group style="position:absolute;margin-left:361.649994pt;margin-top:37.532227pt;width:141.5pt;height:66.650pt;mso-position-horizontal-relative:page;mso-position-vertical-relative:paragraph;z-index:-846328" coordorigin="7233,751" coordsize="2830,1333">
            <v:shape style="position:absolute;left:7233;top:751;width:2830;height:1333" coordorigin="7233,751" coordsize="2830,1333" path="m7233,751l10063,751,10063,2084,7233,2084,7233,751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6096"/>
        <w:gridCol w:w="2835"/>
        <w:gridCol w:w="638"/>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96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3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8" w:hRule="exact"/>
        </w:trPr>
        <w:tc>
          <w:tcPr>
            <w:tcW w:w="6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根据新修订的《长期股权投资准则》</w:t>
            </w:r>
            <w:r>
              <w:rPr>
                <w:rFonts w:ascii="宋体" w:hAnsi="宋体" w:cs="宋体" w:eastAsia="宋体" w:hint="default"/>
                <w:spacing w:val="1"/>
                <w:sz w:val="18"/>
                <w:szCs w:val="18"/>
              </w:rPr>
              <w:t> </w:t>
            </w:r>
            <w:r>
              <w:rPr>
                <w:rFonts w:ascii="宋体" w:hAnsi="宋体" w:cs="宋体" w:eastAsia="宋体" w:hint="default"/>
                <w:sz w:val="18"/>
                <w:szCs w:val="18"/>
              </w:rPr>
              <w:t>，将原成本法核算的对被投资单位不具</w:t>
            </w:r>
          </w:p>
        </w:tc>
        <w:tc>
          <w:tcPr>
            <w:tcW w:w="2835"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r>
      <w:tr>
        <w:trPr>
          <w:trHeight w:val="312" w:hRule="exact"/>
        </w:trPr>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有控制</w:t>
            </w:r>
            <w:r>
              <w:rPr>
                <w:rFonts w:ascii="宋体" w:hAnsi="宋体" w:cs="宋体" w:eastAsia="宋体" w:hint="default"/>
                <w:spacing w:val="-84"/>
                <w:sz w:val="18"/>
                <w:szCs w:val="18"/>
              </w:rPr>
              <w:t>、</w:t>
            </w:r>
            <w:r>
              <w:rPr>
                <w:rFonts w:ascii="宋体" w:hAnsi="宋体" w:cs="宋体" w:eastAsia="宋体" w:hint="default"/>
                <w:sz w:val="18"/>
                <w:szCs w:val="18"/>
              </w:rPr>
              <w:t>共同控制或重大影响的权益性投资纳入可供出售金融资产核算</w:t>
            </w:r>
            <w:r>
              <w:rPr>
                <w:rFonts w:ascii="宋体" w:hAnsi="宋体" w:cs="宋体" w:eastAsia="宋体" w:hint="default"/>
                <w:spacing w:val="-87"/>
                <w:sz w:val="18"/>
                <w:szCs w:val="18"/>
              </w:rPr>
              <w:t>，</w:t>
            </w:r>
            <w:r>
              <w:rPr>
                <w:rFonts w:ascii="宋体" w:hAnsi="宋体" w:cs="宋体" w:eastAsia="宋体" w:hint="default"/>
                <w:sz w:val="18"/>
                <w:szCs w:val="18"/>
              </w:rPr>
              <w:t>其中</w:t>
            </w:r>
            <w:r>
              <w:rPr>
                <w:rFonts w:ascii="宋体" w:hAnsi="宋体" w:cs="宋体" w:eastAsia="宋体" w:hint="default"/>
                <w:spacing w:val="-34"/>
                <w:sz w:val="18"/>
                <w:szCs w:val="18"/>
              </w:rPr>
              <w:t>：</w:t>
            </w:r>
            <w:r>
              <w:rPr>
                <w:rFonts w:ascii="宋体" w:hAnsi="宋体" w:cs="宋体" w:eastAsia="宋体" w:hint="default"/>
                <w:sz w:val="18"/>
                <w:szCs w:val="18"/>
              </w:rPr>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《安徽皖通科技股份有限公司第三</w:t>
            </w:r>
          </w:p>
        </w:tc>
        <w:tc>
          <w:tcPr>
            <w:tcW w:w="638" w:type="dxa"/>
            <w:vMerge/>
            <w:tcBorders>
              <w:left w:val="single" w:sz="4" w:space="0" w:color="000000"/>
              <w:right w:val="single" w:sz="4" w:space="0" w:color="000000"/>
            </w:tcBorders>
          </w:tcPr>
          <w:p>
            <w:pPr/>
          </w:p>
        </w:tc>
      </w:tr>
      <w:tr>
        <w:trPr>
          <w:trHeight w:val="312" w:hRule="exact"/>
        </w:trPr>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在活跃市场中没有报价</w:t>
            </w:r>
            <w:r>
              <w:rPr>
                <w:rFonts w:ascii="宋体" w:hAnsi="宋体" w:cs="宋体" w:eastAsia="宋体" w:hint="default"/>
                <w:spacing w:val="-80"/>
                <w:sz w:val="18"/>
                <w:szCs w:val="18"/>
              </w:rPr>
              <w:t>、</w:t>
            </w:r>
            <w:r>
              <w:rPr>
                <w:rFonts w:ascii="宋体" w:hAnsi="宋体" w:cs="宋体" w:eastAsia="宋体" w:hint="default"/>
                <w:sz w:val="18"/>
                <w:szCs w:val="18"/>
              </w:rPr>
              <w:t>公允价值不能可靠计量的权益工具按照成本进行后续</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届董事会第十五次会议决议》</w:t>
            </w:r>
          </w:p>
        </w:tc>
        <w:tc>
          <w:tcPr>
            <w:tcW w:w="638" w:type="dxa"/>
            <w:vMerge/>
            <w:tcBorders>
              <w:left w:val="single" w:sz="4" w:space="0" w:color="000000"/>
              <w:right w:val="single" w:sz="4" w:space="0" w:color="000000"/>
            </w:tcBorders>
          </w:tcPr>
          <w:p>
            <w:pPr/>
          </w:p>
        </w:tc>
      </w:tr>
      <w:tr>
        <w:trPr>
          <w:trHeight w:val="356" w:hRule="exact"/>
        </w:trPr>
        <w:tc>
          <w:tcPr>
            <w:tcW w:w="60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计量，其他权益工具按公允价值进行后续计量。</w:t>
            </w:r>
          </w:p>
        </w:tc>
        <w:tc>
          <w:tcPr>
            <w:tcW w:w="2835"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r>
      <w:tr>
        <w:trPr>
          <w:trHeight w:val="362" w:hRule="exact"/>
        </w:trPr>
        <w:tc>
          <w:tcPr>
            <w:tcW w:w="6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根据修订后的《企业会计准则第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37"/>
                <w:sz w:val="18"/>
                <w:szCs w:val="18"/>
              </w:rPr>
              <w:t> </w:t>
            </w:r>
            <w:r>
              <w:rPr>
                <w:rFonts w:ascii="宋体" w:hAnsi="宋体" w:cs="宋体" w:eastAsia="宋体" w:hint="default"/>
                <w:spacing w:val="-3"/>
                <w:sz w:val="18"/>
                <w:szCs w:val="18"/>
              </w:rPr>
              <w:t>，根据列报要求将递</w:t>
            </w: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《安徽皖通科技股份有限公司第三</w:t>
            </w:r>
          </w:p>
        </w:tc>
        <w:tc>
          <w:tcPr>
            <w:tcW w:w="638" w:type="dxa"/>
            <w:vMerge w:val="restart"/>
            <w:tcBorders>
              <w:top w:val="single" w:sz="4" w:space="0" w:color="000000"/>
              <w:left w:val="single" w:sz="4" w:space="0" w:color="000000"/>
              <w:right w:val="single" w:sz="4" w:space="0" w:color="000000"/>
            </w:tcBorders>
          </w:tcPr>
          <w:p>
            <w:pPr/>
          </w:p>
        </w:tc>
      </w:tr>
      <w:tr>
        <w:trPr>
          <w:trHeight w:val="352" w:hRule="exact"/>
        </w:trPr>
        <w:tc>
          <w:tcPr>
            <w:tcW w:w="60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延收益单独列报。</w:t>
            </w: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届董事会第十五次会议决议》</w:t>
            </w:r>
          </w:p>
        </w:tc>
        <w:tc>
          <w:tcPr>
            <w:tcW w:w="638" w:type="dxa"/>
            <w:vMerge/>
            <w:tcBorders>
              <w:left w:val="single" w:sz="4" w:space="0" w:color="000000"/>
              <w:bottom w:val="single" w:sz="4" w:space="0" w:color="000000"/>
              <w:right w:val="single" w:sz="4" w:space="0" w:color="000000"/>
            </w:tcBorders>
          </w:tcPr>
          <w:p>
            <w:pPr/>
          </w:p>
        </w:tc>
      </w:tr>
    </w:tbl>
    <w:p>
      <w:pPr>
        <w:pStyle w:val="BodyText"/>
        <w:spacing w:line="260" w:lineRule="exact" w:before="0"/>
        <w:ind w:left="532" w:right="0"/>
        <w:jc w:val="left"/>
      </w:pPr>
      <w:r>
        <w:rPr/>
        <w:t>会计政策变更说明：</w:t>
      </w:r>
    </w:p>
    <w:p>
      <w:pPr>
        <w:pStyle w:val="BodyText"/>
        <w:spacing w:line="264" w:lineRule="auto" w:before="37"/>
        <w:ind w:right="132" w:firstLine="420"/>
        <w:jc w:val="both"/>
      </w:pPr>
      <w:r>
        <w:rPr>
          <w:w w:val="95"/>
        </w:rPr>
        <w:t>财政部于</w:t>
      </w:r>
      <w:r>
        <w:rPr>
          <w:rFonts w:ascii="Times New Roman" w:hAnsi="Times New Roman" w:cs="Times New Roman" w:eastAsia="Times New Roman" w:hint="default"/>
          <w:w w:val="95"/>
        </w:rPr>
        <w:t>2014</w:t>
      </w:r>
      <w:r>
        <w:rPr>
          <w:w w:val="95"/>
        </w:rPr>
        <w:t>年陆续颁布或修订了一系列企业会计准则，本公司已按要求于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1</w:t>
      </w:r>
      <w:r>
        <w:rPr>
          <w:w w:val="95"/>
        </w:rPr>
        <w:t>日执行新的该</w:t>
      </w:r>
      <w:r>
        <w:rPr>
          <w:w w:val="99"/>
        </w:rPr>
        <w:t> </w:t>
      </w:r>
      <w:r>
        <w:rPr>
          <w:w w:val="95"/>
        </w:rPr>
        <w:t>等企业会计准则，并按照新准则的衔接规定对比较财务报表进行调整。执行新准则对比较财务报表影响说</w:t>
      </w:r>
      <w:r>
        <w:rPr>
          <w:spacing w:val="40"/>
          <w:w w:val="95"/>
        </w:rPr>
        <w:t> </w:t>
      </w:r>
      <w:r>
        <w:rPr>
          <w:spacing w:val="40"/>
          <w:w w:val="95"/>
        </w:rPr>
      </w:r>
      <w:r>
        <w:rPr/>
        <w:t>明如下：</w:t>
      </w:r>
    </w:p>
    <w:p>
      <w:pPr>
        <w:pStyle w:val="BodyText"/>
        <w:spacing w:line="256" w:lineRule="auto" w:before="16"/>
        <w:ind w:left="532" w:right="0"/>
        <w:jc w:val="left"/>
      </w:pPr>
      <w:r>
        <w:rPr>
          <w:rFonts w:ascii="Times New Roman" w:hAnsi="Times New Roman" w:cs="Times New Roman" w:eastAsia="Times New Roman" w:hint="default"/>
        </w:rPr>
        <w:t>1)</w:t>
      </w:r>
      <w:r>
        <w:rPr/>
        <w:t>长期股权投资</w:t>
      </w:r>
      <w:r>
        <w:rPr>
          <w:w w:val="99"/>
        </w:rPr>
        <w:t> </w:t>
      </w:r>
      <w:r>
        <w:rPr>
          <w:w w:val="95"/>
        </w:rPr>
        <w:t>本公司根据新修订的《长期股权投资准则》，将原成本法核算的对被投资单位不具有控制、共同控制</w:t>
      </w:r>
      <w:r>
        <w:rPr/>
      </w:r>
    </w:p>
    <w:p>
      <w:pPr>
        <w:pStyle w:val="BodyText"/>
        <w:spacing w:line="273" w:lineRule="auto" w:before="22"/>
        <w:ind w:right="130"/>
        <w:jc w:val="both"/>
      </w:pPr>
      <w:r>
        <w:rPr>
          <w:w w:val="95"/>
        </w:rPr>
        <w:t>或重大影响的权益性投资纳入可供出售金融资产核算，其中：在活跃市场中没有报价、公允价值不能可靠</w:t>
      </w:r>
      <w:r>
        <w:rPr>
          <w:spacing w:val="43"/>
          <w:w w:val="95"/>
        </w:rPr>
        <w:t> </w:t>
      </w:r>
      <w:r>
        <w:rPr>
          <w:spacing w:val="43"/>
          <w:w w:val="95"/>
        </w:rPr>
      </w:r>
      <w:r>
        <w:rPr>
          <w:w w:val="95"/>
        </w:rPr>
        <w:t>计量的权益工具按照成本进行后续计量，其他权益工具按公允价值进行后续计量。上述会计政策变更追溯</w:t>
      </w:r>
      <w:r>
        <w:rPr>
          <w:spacing w:val="37"/>
          <w:w w:val="95"/>
        </w:rPr>
        <w:t> </w:t>
      </w:r>
      <w:r>
        <w:rPr>
          <w:spacing w:val="37"/>
          <w:w w:val="95"/>
        </w:rPr>
      </w:r>
      <w:r>
        <w:rPr/>
        <w:t>调整影响如下：</w:t>
      </w:r>
    </w:p>
    <w:p>
      <w:pPr>
        <w:spacing w:line="240" w:lineRule="auto" w:before="6"/>
        <w:rPr>
          <w:rFonts w:ascii="宋体" w:hAnsi="宋体" w:cs="宋体" w:eastAsia="宋体" w:hint="default"/>
          <w:sz w:val="24"/>
          <w:szCs w:val="24"/>
        </w:rPr>
      </w:pPr>
    </w:p>
    <w:p>
      <w:pPr>
        <w:pStyle w:val="BodyText"/>
        <w:spacing w:line="240" w:lineRule="auto" w:before="0"/>
        <w:ind w:left="0" w:right="555"/>
        <w:jc w:val="right"/>
      </w:pPr>
      <w:r>
        <w:rPr>
          <w:w w:val="95"/>
        </w:rPr>
        <w:t>单位：元</w:t>
      </w:r>
      <w:r>
        <w:rPr/>
      </w:r>
    </w:p>
    <w:p>
      <w:pPr>
        <w:spacing w:line="240" w:lineRule="auto" w:before="13"/>
        <w:rPr>
          <w:rFonts w:ascii="宋体" w:hAnsi="宋体" w:cs="宋体" w:eastAsia="宋体" w:hint="default"/>
          <w:sz w:val="3"/>
          <w:szCs w:val="3"/>
        </w:rPr>
      </w:pPr>
    </w:p>
    <w:tbl>
      <w:tblPr>
        <w:tblW w:w="0" w:type="auto"/>
        <w:jc w:val="left"/>
        <w:tblInd w:w="546" w:type="dxa"/>
        <w:tblLayout w:type="fixed"/>
        <w:tblCellMar>
          <w:top w:w="0" w:type="dxa"/>
          <w:left w:w="0" w:type="dxa"/>
          <w:bottom w:w="0" w:type="dxa"/>
          <w:right w:w="0" w:type="dxa"/>
        </w:tblCellMar>
        <w:tblLook w:val="01E0"/>
      </w:tblPr>
      <w:tblGrid>
        <w:gridCol w:w="2360"/>
        <w:gridCol w:w="714"/>
        <w:gridCol w:w="1563"/>
        <w:gridCol w:w="1275"/>
        <w:gridCol w:w="1475"/>
        <w:gridCol w:w="1371"/>
      </w:tblGrid>
      <w:tr>
        <w:trPr>
          <w:trHeight w:val="347" w:hRule="exact"/>
        </w:trPr>
        <w:tc>
          <w:tcPr>
            <w:tcW w:w="2360"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20"/>
              <w:ind w:left="7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14" w:type="dxa"/>
            <w:vMerge w:val="restart"/>
            <w:tcBorders>
              <w:top w:val="single" w:sz="6" w:space="0" w:color="000000"/>
              <w:left w:val="single" w:sz="6" w:space="0" w:color="000000"/>
              <w:right w:val="single" w:sz="6" w:space="0" w:color="000000"/>
            </w:tcBorders>
            <w:shd w:val="clear" w:color="auto" w:fill="D8D8D8"/>
          </w:tcPr>
          <w:p>
            <w:pPr>
              <w:pStyle w:val="TableParagraph"/>
              <w:spacing w:line="316" w:lineRule="auto" w:before="20"/>
              <w:ind w:left="35" w:right="33"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1563" w:type="dxa"/>
            <w:vMerge w:val="restart"/>
            <w:tcBorders>
              <w:top w:val="single" w:sz="6" w:space="0" w:color="000000"/>
              <w:left w:val="single" w:sz="6" w:space="0" w:color="000000"/>
              <w:right w:val="single" w:sz="6" w:space="0" w:color="000000"/>
            </w:tcBorders>
            <w:shd w:val="clear" w:color="auto" w:fill="D8D8D8"/>
          </w:tcPr>
          <w:p>
            <w:pPr>
              <w:pStyle w:val="TableParagraph"/>
              <w:spacing w:line="300" w:lineRule="auto" w:before="20"/>
              <w:ind w:left="5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日归属 于母公司股东权益</w:t>
            </w:r>
          </w:p>
        </w:tc>
        <w:tc>
          <w:tcPr>
            <w:tcW w:w="4121" w:type="dxa"/>
            <w:gridSpan w:val="3"/>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659" w:hRule="exact"/>
        </w:trPr>
        <w:tc>
          <w:tcPr>
            <w:tcW w:w="2360" w:type="dxa"/>
            <w:vMerge/>
            <w:tcBorders>
              <w:left w:val="single" w:sz="6" w:space="0" w:color="000000"/>
              <w:bottom w:val="single" w:sz="6" w:space="0" w:color="000000"/>
              <w:right w:val="single" w:sz="6" w:space="0" w:color="000000"/>
            </w:tcBorders>
            <w:shd w:val="clear" w:color="auto" w:fill="D8D8D8"/>
          </w:tcPr>
          <w:p>
            <w:pPr/>
          </w:p>
        </w:tc>
        <w:tc>
          <w:tcPr>
            <w:tcW w:w="714" w:type="dxa"/>
            <w:vMerge/>
            <w:tcBorders>
              <w:left w:val="single" w:sz="6" w:space="0" w:color="000000"/>
              <w:bottom w:val="single" w:sz="6" w:space="0" w:color="000000"/>
              <w:right w:val="single" w:sz="6" w:space="0" w:color="000000"/>
            </w:tcBorders>
            <w:shd w:val="clear" w:color="auto" w:fill="D8D8D8"/>
          </w:tcPr>
          <w:p>
            <w:pPr/>
          </w:p>
        </w:tc>
        <w:tc>
          <w:tcPr>
            <w:tcW w:w="1563" w:type="dxa"/>
            <w:vMerge/>
            <w:tcBorders>
              <w:left w:val="single" w:sz="6" w:space="0" w:color="000000"/>
              <w:bottom w:val="single" w:sz="6" w:space="0" w:color="000000"/>
              <w:right w:val="single" w:sz="6" w:space="0" w:color="000000"/>
            </w:tcBorders>
            <w:shd w:val="clear" w:color="auto" w:fill="D8D8D8"/>
          </w:tcPr>
          <w:p>
            <w:pPr/>
          </w:p>
        </w:tc>
        <w:tc>
          <w:tcPr>
            <w:tcW w:w="127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47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9"/>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7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316" w:lineRule="auto" w:before="21"/>
              <w:ind w:left="317" w:right="137" w:hanging="180"/>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r>
      <w:tr>
        <w:trPr>
          <w:trHeight w:val="347"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安徽高速物流股份有限公司</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9.77</w:t>
            </w:r>
          </w:p>
        </w:tc>
        <w:tc>
          <w:tcPr>
            <w:tcW w:w="156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0" w:right="0"/>
              <w:jc w:val="center"/>
              <w:rPr>
                <w:rFonts w:ascii="Times New Roman" w:hAnsi="Times New Roman" w:cs="Times New Roman" w:eastAsia="Times New Roman" w:hint="default"/>
                <w:sz w:val="20"/>
                <w:szCs w:val="20"/>
              </w:rPr>
            </w:pPr>
            <w:r>
              <w:rPr>
                <w:rFonts w:ascii="Times New Roman"/>
                <w:sz w:val="20"/>
              </w:rPr>
              <w:t>-9,463,199.69</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9,463,199.69</w:t>
            </w:r>
          </w:p>
        </w:tc>
        <w:tc>
          <w:tcPr>
            <w:tcW w:w="137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56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0" w:right="0"/>
              <w:jc w:val="center"/>
              <w:rPr>
                <w:rFonts w:ascii="Times New Roman" w:hAnsi="Times New Roman" w:cs="Times New Roman" w:eastAsia="Times New Roman" w:hint="default"/>
                <w:sz w:val="20"/>
                <w:szCs w:val="20"/>
              </w:rPr>
            </w:pPr>
            <w:r>
              <w:rPr>
                <w:rFonts w:ascii="Times New Roman"/>
                <w:sz w:val="20"/>
              </w:rPr>
              <w:t>-9,463,199.69</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9,463,199.69</w:t>
            </w:r>
          </w:p>
        </w:tc>
        <w:tc>
          <w:tcPr>
            <w:tcW w:w="13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6" w:footer="978" w:top="1040" w:bottom="1160" w:left="1020" w:right="10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34"/>
        <w:ind w:left="532" w:right="0"/>
        <w:jc w:val="left"/>
      </w:pPr>
      <w:r>
        <w:rPr/>
        <w:t>财务报表列报准则变动对于合并财务报表的影响</w:t>
      </w:r>
    </w:p>
    <w:p>
      <w:pPr>
        <w:pStyle w:val="BodyText"/>
        <w:spacing w:line="256" w:lineRule="auto" w:before="37"/>
        <w:ind w:right="0" w:firstLine="420"/>
        <w:jc w:val="left"/>
      </w:pPr>
      <w:r>
        <w:rPr>
          <w:rFonts w:ascii="Times New Roman" w:hAnsi="Times New Roman" w:cs="Times New Roman" w:eastAsia="Times New Roman" w:hint="default"/>
          <w:spacing w:val="2"/>
          <w:w w:val="95"/>
        </w:rPr>
        <w:t>2</w:t>
      </w:r>
      <w:r>
        <w:rPr>
          <w:spacing w:val="2"/>
          <w:w w:val="95"/>
        </w:rPr>
        <w:t>）本公司根据修订后的《企业会计准则第</w:t>
      </w:r>
      <w:r>
        <w:rPr>
          <w:rFonts w:ascii="Times New Roman" w:hAnsi="Times New Roman" w:cs="Times New Roman" w:eastAsia="Times New Roman" w:hint="default"/>
          <w:spacing w:val="2"/>
          <w:w w:val="95"/>
        </w:rPr>
        <w:t>30</w:t>
      </w:r>
      <w:r>
        <w:rPr>
          <w:spacing w:val="2"/>
          <w:w w:val="95"/>
        </w:rPr>
        <w:t>号</w:t>
      </w:r>
      <w:r>
        <w:rPr>
          <w:rFonts w:ascii="Times New Roman" w:hAnsi="Times New Roman" w:cs="Times New Roman" w:eastAsia="Times New Roman" w:hint="default"/>
          <w:spacing w:val="2"/>
          <w:w w:val="95"/>
        </w:rPr>
        <w:t>—</w:t>
      </w:r>
      <w:r>
        <w:rPr>
          <w:spacing w:val="2"/>
          <w:w w:val="95"/>
        </w:rPr>
        <w:t>财务报表列报》，根据列报要求将递延收益单独列</w:t>
      </w:r>
      <w:r>
        <w:rPr>
          <w:spacing w:val="-86"/>
          <w:w w:val="95"/>
        </w:rPr>
        <w:t> </w:t>
      </w:r>
      <w:r>
        <w:rPr>
          <w:spacing w:val="-86"/>
          <w:w w:val="95"/>
        </w:rPr>
      </w:r>
      <w:r>
        <w:rPr/>
        <w:t>报，并对年初数采用追溯调整法进行调整列报，追溯调整影响如下：</w:t>
      </w:r>
    </w:p>
    <w:p>
      <w:pPr>
        <w:spacing w:line="240" w:lineRule="auto" w:before="7"/>
        <w:rPr>
          <w:rFonts w:ascii="宋体" w:hAnsi="宋体" w:cs="宋体" w:eastAsia="宋体" w:hint="default"/>
          <w:sz w:val="25"/>
          <w:szCs w:val="25"/>
        </w:rPr>
      </w:pPr>
    </w:p>
    <w:p>
      <w:pPr>
        <w:pStyle w:val="BodyText"/>
        <w:spacing w:line="240" w:lineRule="auto" w:before="0"/>
        <w:ind w:left="0" w:right="638"/>
        <w:jc w:val="right"/>
      </w:pPr>
      <w:r>
        <w:rPr>
          <w:w w:val="95"/>
        </w:rPr>
        <w:t>单位：元</w:t>
      </w:r>
      <w:r>
        <w:rPr/>
      </w:r>
    </w:p>
    <w:p>
      <w:pPr>
        <w:spacing w:line="240" w:lineRule="auto" w:before="12"/>
        <w:rPr>
          <w:rFonts w:ascii="宋体" w:hAnsi="宋体" w:cs="宋体" w:eastAsia="宋体" w:hint="default"/>
          <w:sz w:val="3"/>
          <w:szCs w:val="3"/>
        </w:rPr>
      </w:pPr>
    </w:p>
    <w:tbl>
      <w:tblPr>
        <w:tblW w:w="0" w:type="auto"/>
        <w:jc w:val="left"/>
        <w:tblInd w:w="661" w:type="dxa"/>
        <w:tblLayout w:type="fixed"/>
        <w:tblCellMar>
          <w:top w:w="0" w:type="dxa"/>
          <w:left w:w="0" w:type="dxa"/>
          <w:bottom w:w="0" w:type="dxa"/>
          <w:right w:w="0" w:type="dxa"/>
        </w:tblCellMar>
        <w:tblLook w:val="01E0"/>
      </w:tblPr>
      <w:tblGrid>
        <w:gridCol w:w="2386"/>
        <w:gridCol w:w="1535"/>
        <w:gridCol w:w="1537"/>
        <w:gridCol w:w="1535"/>
        <w:gridCol w:w="1535"/>
      </w:tblGrid>
      <w:tr>
        <w:trPr>
          <w:trHeight w:val="347" w:hRule="exact"/>
        </w:trPr>
        <w:tc>
          <w:tcPr>
            <w:tcW w:w="2386"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9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070" w:type="dxa"/>
            <w:gridSpan w:val="2"/>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8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2386" w:type="dxa"/>
            <w:vMerge/>
            <w:tcBorders>
              <w:left w:val="single" w:sz="6" w:space="0" w:color="000000"/>
              <w:bottom w:val="single" w:sz="6" w:space="0" w:color="000000"/>
              <w:right w:val="single" w:sz="6" w:space="0" w:color="000000"/>
            </w:tcBorders>
            <w:shd w:val="clear" w:color="auto" w:fill="D8D8D8"/>
          </w:tcPr>
          <w:p>
            <w:pPr/>
          </w:p>
        </w:tc>
        <w:tc>
          <w:tcPr>
            <w:tcW w:w="153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48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49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3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48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49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35"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69" w:right="0"/>
              <w:jc w:val="left"/>
              <w:rPr>
                <w:rFonts w:ascii="Times New Roman" w:hAnsi="Times New Roman" w:cs="Times New Roman" w:eastAsia="Times New Roman" w:hint="default"/>
                <w:sz w:val="20"/>
                <w:szCs w:val="20"/>
              </w:rPr>
            </w:pPr>
            <w:r>
              <w:rPr>
                <w:rFonts w:ascii="Times New Roman"/>
                <w:sz w:val="20"/>
              </w:rPr>
              <w:t>1,300,000.00</w:t>
            </w:r>
          </w:p>
        </w:tc>
        <w:tc>
          <w:tcPr>
            <w:tcW w:w="1535"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66" w:right="0"/>
              <w:jc w:val="left"/>
              <w:rPr>
                <w:rFonts w:ascii="Times New Roman" w:hAnsi="Times New Roman" w:cs="Times New Roman" w:eastAsia="Times New Roman" w:hint="default"/>
                <w:sz w:val="20"/>
                <w:szCs w:val="20"/>
              </w:rPr>
            </w:pPr>
            <w:r>
              <w:rPr>
                <w:rFonts w:ascii="Times New Roman"/>
                <w:sz w:val="20"/>
              </w:rPr>
              <w:t>1,557,600.00</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68" w:right="0"/>
              <w:jc w:val="left"/>
              <w:rPr>
                <w:rFonts w:ascii="Times New Roman" w:hAnsi="Times New Roman" w:cs="Times New Roman" w:eastAsia="Times New Roman" w:hint="default"/>
                <w:sz w:val="20"/>
                <w:szCs w:val="20"/>
              </w:rPr>
            </w:pPr>
            <w:r>
              <w:rPr>
                <w:rFonts w:ascii="Times New Roman"/>
                <w:sz w:val="20"/>
              </w:rPr>
              <w:t>1,300,000.00</w:t>
            </w:r>
          </w:p>
        </w:tc>
        <w:tc>
          <w:tcPr>
            <w:tcW w:w="1537"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68" w:right="0"/>
              <w:jc w:val="left"/>
              <w:rPr>
                <w:rFonts w:ascii="Times New Roman" w:hAnsi="Times New Roman" w:cs="Times New Roman" w:eastAsia="Times New Roman" w:hint="default"/>
                <w:sz w:val="20"/>
                <w:szCs w:val="20"/>
              </w:rPr>
            </w:pPr>
            <w:r>
              <w:rPr>
                <w:rFonts w:ascii="Times New Roman"/>
                <w:sz w:val="20"/>
              </w:rPr>
              <w:t>1,557,600.00</w:t>
            </w:r>
          </w:p>
        </w:tc>
        <w:tc>
          <w:tcPr>
            <w:tcW w:w="153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68" w:right="0"/>
              <w:jc w:val="left"/>
              <w:rPr>
                <w:rFonts w:ascii="Times New Roman" w:hAnsi="Times New Roman" w:cs="Times New Roman" w:eastAsia="Times New Roman" w:hint="default"/>
                <w:sz w:val="20"/>
                <w:szCs w:val="20"/>
              </w:rPr>
            </w:pPr>
            <w:r>
              <w:rPr>
                <w:rFonts w:ascii="Times New Roman"/>
                <w:sz w:val="20"/>
              </w:rPr>
              <w:t>1,300,000.00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69" w:right="0"/>
              <w:jc w:val="left"/>
              <w:rPr>
                <w:rFonts w:ascii="Times New Roman" w:hAnsi="Times New Roman" w:cs="Times New Roman" w:eastAsia="Times New Roman" w:hint="default"/>
                <w:sz w:val="20"/>
                <w:szCs w:val="20"/>
              </w:rPr>
            </w:pPr>
            <w:r>
              <w:rPr>
                <w:rFonts w:ascii="Times New Roman"/>
                <w:sz w:val="20"/>
              </w:rPr>
              <w:t>1,300,000.00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68" w:right="0"/>
              <w:jc w:val="left"/>
              <w:rPr>
                <w:rFonts w:ascii="Times New Roman" w:hAnsi="Times New Roman" w:cs="Times New Roman" w:eastAsia="Times New Roman" w:hint="default"/>
                <w:sz w:val="20"/>
                <w:szCs w:val="20"/>
              </w:rPr>
            </w:pPr>
            <w:r>
              <w:rPr>
                <w:rFonts w:ascii="Times New Roman"/>
                <w:sz w:val="20"/>
              </w:rPr>
              <w:t>1,557,600.00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66" w:right="0"/>
              <w:jc w:val="left"/>
              <w:rPr>
                <w:rFonts w:ascii="Times New Roman" w:hAnsi="Times New Roman" w:cs="Times New Roman" w:eastAsia="Times New Roman" w:hint="default"/>
                <w:sz w:val="20"/>
                <w:szCs w:val="20"/>
              </w:rPr>
            </w:pPr>
            <w:r>
              <w:rPr>
                <w:rFonts w:ascii="Times New Roman"/>
                <w:sz w:val="20"/>
              </w:rPr>
              <w:t>1,557,600.00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62"/>
        <w:gridCol w:w="1842"/>
        <w:gridCol w:w="1560"/>
        <w:gridCol w:w="1204"/>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5"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开始适用的时点</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49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随着公司业务规模的不断扩大，承建的大额合同项目占公司合</w:t>
            </w:r>
          </w:p>
        </w:tc>
        <w:tc>
          <w:tcPr>
            <w:tcW w:w="1842"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
        </w:tc>
      </w:tr>
      <w:tr>
        <w:trPr>
          <w:trHeight w:val="312"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同总额的比重明显增加，由于合同的建设方主要系大型国有控</w:t>
            </w:r>
          </w:p>
        </w:tc>
        <w:tc>
          <w:tcPr>
            <w:tcW w:w="184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204" w:type="dxa"/>
            <w:vMerge/>
            <w:tcBorders>
              <w:left w:val="single" w:sz="4" w:space="0" w:color="000000"/>
              <w:right w:val="single" w:sz="4" w:space="0" w:color="000000"/>
            </w:tcBorders>
          </w:tcPr>
          <w:p>
            <w:pPr/>
          </w:p>
        </w:tc>
      </w:tr>
      <w:tr>
        <w:trPr>
          <w:trHeight w:val="312"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股企业和政府部门，信用等级高，发生坏账的可能性小，因此</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《安徽皖通科技股份</w:t>
            </w:r>
          </w:p>
        </w:tc>
        <w:tc>
          <w:tcPr>
            <w:tcW w:w="1560" w:type="dxa"/>
            <w:tcBorders>
              <w:top w:val="nil" w:sz="6" w:space="0" w:color="auto"/>
              <w:left w:val="single" w:sz="4" w:space="0" w:color="000000"/>
              <w:bottom w:val="nil" w:sz="6" w:space="0" w:color="auto"/>
              <w:right w:val="single" w:sz="4" w:space="0" w:color="000000"/>
            </w:tcBorders>
          </w:tcPr>
          <w:p>
            <w:pPr/>
          </w:p>
        </w:tc>
        <w:tc>
          <w:tcPr>
            <w:tcW w:w="1204" w:type="dxa"/>
            <w:vMerge/>
            <w:tcBorders>
              <w:left w:val="single" w:sz="4" w:space="0" w:color="000000"/>
              <w:right w:val="single" w:sz="4" w:space="0" w:color="000000"/>
            </w:tcBorders>
          </w:tcPr>
          <w:p>
            <w:pPr/>
          </w:p>
        </w:tc>
      </w:tr>
      <w:tr>
        <w:trPr>
          <w:trHeight w:val="317"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公司综合评估了应收款项的构成、安全性以及近年来应收款项</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有限公司第三届董事</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vMerge/>
            <w:tcBorders>
              <w:left w:val="single" w:sz="4" w:space="0" w:color="000000"/>
              <w:right w:val="single" w:sz="4" w:space="0" w:color="000000"/>
            </w:tcBorders>
          </w:tcPr>
          <w:p>
            <w:pPr/>
          </w:p>
        </w:tc>
      </w:tr>
      <w:tr>
        <w:trPr>
          <w:trHeight w:val="307"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的回款管理及坏账核销情况后，为了能够更加公允、恰当地反</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会第七次会议决议》</w:t>
            </w:r>
          </w:p>
        </w:tc>
        <w:tc>
          <w:tcPr>
            <w:tcW w:w="1560" w:type="dxa"/>
            <w:tcBorders>
              <w:top w:val="nil" w:sz="6" w:space="0" w:color="auto"/>
              <w:left w:val="single" w:sz="4" w:space="0" w:color="000000"/>
              <w:bottom w:val="nil" w:sz="6" w:space="0" w:color="auto"/>
              <w:right w:val="single" w:sz="4" w:space="0" w:color="000000"/>
            </w:tcBorders>
          </w:tcPr>
          <w:p>
            <w:pPr/>
          </w:p>
        </w:tc>
        <w:tc>
          <w:tcPr>
            <w:tcW w:w="1204" w:type="dxa"/>
            <w:vMerge/>
            <w:tcBorders>
              <w:left w:val="single" w:sz="4" w:space="0" w:color="000000"/>
              <w:right w:val="single" w:sz="4" w:space="0" w:color="000000"/>
            </w:tcBorders>
          </w:tcPr>
          <w:p>
            <w:pPr/>
          </w:p>
        </w:tc>
      </w:tr>
      <w:tr>
        <w:trPr>
          <w:trHeight w:val="312"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映公司的财务状况和经营成果，对应收款项（包括应收账款和</w:t>
            </w:r>
          </w:p>
        </w:tc>
        <w:tc>
          <w:tcPr>
            <w:tcW w:w="184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204" w:type="dxa"/>
            <w:vMerge/>
            <w:tcBorders>
              <w:left w:val="single" w:sz="4" w:space="0" w:color="000000"/>
              <w:right w:val="single" w:sz="4" w:space="0" w:color="000000"/>
            </w:tcBorders>
          </w:tcPr>
          <w:p>
            <w:pPr/>
          </w:p>
        </w:tc>
      </w:tr>
      <w:tr>
        <w:trPr>
          <w:trHeight w:val="357" w:hRule="exact"/>
        </w:trPr>
        <w:tc>
          <w:tcPr>
            <w:tcW w:w="49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其他应收款）按账龄分析法计提坏账准备的比例进行变更。</w:t>
            </w:r>
          </w:p>
        </w:tc>
        <w:tc>
          <w:tcPr>
            <w:tcW w:w="184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spacing w:line="484" w:lineRule="auto" w:before="34"/>
        <w:ind w:left="112" w:right="79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业务收入、技术服务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工程收入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15%-25%</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 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安徽皖通科技股份有限公司</w:t>
            </w:r>
            <w:r>
              <w:rPr>
                <w:rFonts w:ascii="Times New Roman" w:hAnsi="Times New Roman" w:cs="Times New Roman" w:eastAsia="Times New Roman" w:hint="default"/>
                <w:sz w:val="18"/>
                <w:szCs w:val="18"/>
              </w:rPr>
              <w:t>*1</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footerReference w:type="default" r:id="rId28"/>
          <w:pgSz w:w="11910" w:h="16840"/>
          <w:pgMar w:footer="978" w:header="746" w:top="1040" w:bottom="1160" w:left="1020" w:right="1020"/>
          <w:pgNumType w:start="10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天津市天安怡和信息技术有限公司</w:t>
            </w:r>
            <w:r>
              <w:rPr>
                <w:rFonts w:ascii="Times New Roman" w:hAnsi="Times New Roman" w:cs="Times New Roman" w:eastAsia="Times New Roman" w:hint="default"/>
                <w:sz w:val="18"/>
                <w:szCs w:val="18"/>
              </w:rPr>
              <w:t>*2</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烟台华东电子软件技术有限公司</w:t>
            </w:r>
            <w:r>
              <w:rPr>
                <w:rFonts w:ascii="Times New Roman" w:hAnsi="Times New Roman" w:cs="Times New Roman" w:eastAsia="Times New Roman" w:hint="default"/>
                <w:sz w:val="18"/>
                <w:szCs w:val="18"/>
              </w:rPr>
              <w:t>*3</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安徽汉高信息科技有限公司</w:t>
            </w:r>
            <w:r>
              <w:rPr>
                <w:rFonts w:ascii="Times New Roman" w:hAnsi="Times New Roman" w:cs="Times New Roman" w:eastAsia="Times New Roman" w:hint="default"/>
                <w:sz w:val="18"/>
                <w:szCs w:val="18"/>
              </w:rPr>
              <w:t>*4</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4"/>
        <w:spacing w:line="240" w:lineRule="auto" w:before="34"/>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32" w:right="189"/>
        <w:jc w:val="left"/>
      </w:pPr>
      <w:r>
        <w:rPr/>
        <w:t>（</w:t>
      </w:r>
      <w:r>
        <w:rPr>
          <w:rFonts w:ascii="Times New Roman" w:hAnsi="Times New Roman" w:cs="Times New Roman" w:eastAsia="Times New Roman" w:hint="default"/>
        </w:rPr>
        <w:t>1</w:t>
      </w:r>
      <w:r>
        <w:rPr/>
        <w:t>）增值税</w:t>
      </w:r>
      <w:r>
        <w:rPr>
          <w:w w:val="99"/>
        </w:rPr>
        <w:t> </w:t>
      </w:r>
      <w:r>
        <w:rPr/>
        <w:t>主要是系统集成项目配套的机器设备及销售的光通讯产品，按照应税收入的</w:t>
      </w:r>
      <w:r>
        <w:rPr>
          <w:rFonts w:ascii="Times New Roman" w:hAnsi="Times New Roman" w:cs="Times New Roman" w:eastAsia="Times New Roman" w:hint="default"/>
        </w:rPr>
        <w:t>17%</w:t>
      </w:r>
      <w:r>
        <w:rPr/>
        <w:t>税率计算销项税额，</w:t>
      </w:r>
    </w:p>
    <w:p>
      <w:pPr>
        <w:pStyle w:val="BodyText"/>
        <w:spacing w:line="261" w:lineRule="auto" w:before="5"/>
        <w:ind w:right="187"/>
        <w:jc w:val="both"/>
      </w:pPr>
      <w:r>
        <w:rPr>
          <w:w w:val="95"/>
        </w:rPr>
        <w:t>扣除允许在当年抵扣的进项税额后，缴纳增值税。其中，对于自行开发生产的软件产品部分执行财政部国</w:t>
      </w:r>
      <w:r>
        <w:rPr>
          <w:spacing w:val="40"/>
          <w:w w:val="95"/>
        </w:rPr>
        <w:t> </w:t>
      </w:r>
      <w:r>
        <w:rPr>
          <w:spacing w:val="40"/>
          <w:w w:val="95"/>
        </w:rPr>
      </w:r>
      <w:r>
        <w:rPr>
          <w:spacing w:val="-1"/>
        </w:rPr>
        <w:t>家税务总局</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日联合发文《关于软件产品增值税政策的通知》（财税</w:t>
      </w:r>
      <w:r>
        <w:rPr>
          <w:rFonts w:ascii="Times New Roman" w:hAnsi="Times New Roman" w:cs="Times New Roman" w:eastAsia="Times New Roman" w:hint="default"/>
          <w:spacing w:val="-1"/>
        </w:rPr>
        <w:t>[2011]100</w:t>
      </w:r>
      <w:r>
        <w:rPr>
          <w:spacing w:val="-1"/>
        </w:rPr>
        <w:t>号）的规定，即</w:t>
      </w:r>
      <w:r>
        <w:rPr>
          <w:w w:val="99"/>
        </w:rPr>
        <w:t> </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日起继续</w:t>
      </w:r>
      <w:r>
        <w:rPr>
          <w:rFonts w:ascii="Times New Roman" w:hAnsi="Times New Roman" w:cs="Times New Roman" w:eastAsia="Times New Roman" w:hint="default"/>
        </w:rPr>
        <w:t>“</w:t>
      </w:r>
      <w:r>
        <w:rPr/>
        <w:t>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w:t>
      </w:r>
      <w:r>
        <w:rPr>
          <w:spacing w:val="-54"/>
        </w:rPr>
        <w:t> </w:t>
      </w:r>
      <w:r>
        <w:rPr>
          <w:spacing w:val="-54"/>
        </w:rPr>
      </w:r>
      <w:r>
        <w:rPr/>
        <w:t>退政策</w:t>
      </w:r>
      <w:r>
        <w:rPr>
          <w:rFonts w:ascii="Times New Roman" w:hAnsi="Times New Roman" w:cs="Times New Roman" w:eastAsia="Times New Roman" w:hint="default"/>
        </w:rPr>
        <w:t>”</w:t>
      </w:r>
      <w:r>
        <w:rPr/>
        <w:t>。</w:t>
      </w:r>
    </w:p>
    <w:p>
      <w:pPr>
        <w:pStyle w:val="BodyText"/>
        <w:spacing w:line="256" w:lineRule="auto" w:before="0"/>
        <w:ind w:left="532" w:right="184"/>
        <w:jc w:val="left"/>
      </w:pPr>
      <w:r>
        <w:rPr/>
        <w:t>（</w:t>
      </w:r>
      <w:r>
        <w:rPr>
          <w:rFonts w:ascii="Times New Roman" w:hAnsi="Times New Roman" w:cs="Times New Roman" w:eastAsia="Times New Roman" w:hint="default"/>
        </w:rPr>
        <w:t>2</w:t>
      </w:r>
      <w:r>
        <w:rPr/>
        <w:t>）营业税</w:t>
      </w:r>
      <w:r>
        <w:rPr>
          <w:w w:val="99"/>
        </w:rPr>
        <w:t> </w:t>
      </w:r>
      <w:r>
        <w:rPr>
          <w:spacing w:val="2"/>
          <w:w w:val="95"/>
        </w:rPr>
        <w:t>公司技术转让收入执行财政部和国家税务总局财税字（</w:t>
      </w:r>
      <w:r>
        <w:rPr>
          <w:rFonts w:ascii="Times New Roman" w:hAnsi="Times New Roman" w:cs="Times New Roman" w:eastAsia="Times New Roman" w:hint="default"/>
          <w:spacing w:val="2"/>
          <w:w w:val="95"/>
        </w:rPr>
        <w:t>1999</w:t>
      </w:r>
      <w:r>
        <w:rPr>
          <w:spacing w:val="2"/>
          <w:w w:val="95"/>
        </w:rPr>
        <w:t>）</w:t>
      </w:r>
      <w:r>
        <w:rPr>
          <w:rFonts w:ascii="Times New Roman" w:hAnsi="Times New Roman" w:cs="Times New Roman" w:eastAsia="Times New Roman" w:hint="default"/>
          <w:spacing w:val="2"/>
          <w:w w:val="95"/>
        </w:rPr>
        <w:t>273</w:t>
      </w:r>
      <w:r>
        <w:rPr>
          <w:spacing w:val="2"/>
          <w:w w:val="95"/>
        </w:rPr>
        <w:t>号文关于贯彻落实《中共中央国务</w:t>
      </w:r>
      <w:r>
        <w:rPr>
          <w:spacing w:val="2"/>
        </w:rPr>
      </w:r>
    </w:p>
    <w:p>
      <w:pPr>
        <w:pStyle w:val="BodyText"/>
        <w:spacing w:line="273" w:lineRule="auto" w:before="5"/>
        <w:ind w:right="190"/>
        <w:jc w:val="both"/>
      </w:pPr>
      <w:r>
        <w:rPr>
          <w:w w:val="95"/>
        </w:rPr>
        <w:t>院关于加强技术创新，发展高科技，实现产业化的决定》有关税收问题的通知的规定，免征营业税；对于</w:t>
      </w:r>
      <w:r>
        <w:rPr>
          <w:spacing w:val="43"/>
          <w:w w:val="95"/>
        </w:rPr>
        <w:t> </w:t>
      </w:r>
      <w:r>
        <w:rPr>
          <w:spacing w:val="43"/>
          <w:w w:val="95"/>
        </w:rPr>
      </w:r>
      <w:r>
        <w:rPr/>
        <w:t>技术收入的认定，执行皖地税政一字（</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063</w:t>
      </w:r>
      <w:r>
        <w:rPr/>
        <w:t>号文规定。</w:t>
      </w:r>
    </w:p>
    <w:p>
      <w:pPr>
        <w:pStyle w:val="BodyText"/>
        <w:spacing w:line="261" w:lineRule="auto" w:before="0"/>
        <w:ind w:right="190" w:firstLine="420"/>
        <w:jc w:val="both"/>
      </w:pPr>
      <w:r>
        <w:rPr>
          <w:spacing w:val="2"/>
          <w:w w:val="95"/>
        </w:rPr>
        <w:t>根据财政部和国家税务总局印发《财政部国家税务总局关于在北京等</w:t>
      </w:r>
      <w:r>
        <w:rPr>
          <w:rFonts w:ascii="Times New Roman" w:hAnsi="Times New Roman" w:cs="Times New Roman" w:eastAsia="Times New Roman" w:hint="default"/>
          <w:spacing w:val="2"/>
          <w:w w:val="95"/>
        </w:rPr>
        <w:t>8</w:t>
      </w:r>
      <w:r>
        <w:rPr>
          <w:spacing w:val="2"/>
          <w:w w:val="95"/>
        </w:rPr>
        <w:t>省市开展交通运输业和部分现</w:t>
      </w:r>
      <w:r>
        <w:rPr>
          <w:spacing w:val="-82"/>
          <w:w w:val="95"/>
        </w:rPr>
        <w:t> </w:t>
      </w:r>
      <w:r>
        <w:rPr>
          <w:spacing w:val="-82"/>
          <w:w w:val="95"/>
        </w:rPr>
      </w:r>
      <w:r>
        <w:rPr>
          <w:w w:val="95"/>
        </w:rPr>
        <w:t>代服务业营业税改征增值税试点的通知》（</w:t>
      </w:r>
      <w:hyperlink r:id="rId29">
        <w:r>
          <w:rPr>
            <w:w w:val="95"/>
          </w:rPr>
          <w:t>财税</w:t>
        </w:r>
      </w:hyperlink>
      <w:r>
        <w:rPr>
          <w:w w:val="95"/>
        </w:rPr>
        <w:t>〔2012〕71号），将交通运输业和部分现代服务业营业税</w:t>
      </w:r>
      <w:r>
        <w:rPr>
          <w:spacing w:val="40"/>
          <w:w w:val="95"/>
        </w:rPr>
        <w:t> </w:t>
      </w:r>
      <w:r>
        <w:rPr>
          <w:spacing w:val="40"/>
          <w:w w:val="95"/>
        </w:rPr>
      </w:r>
      <w:r>
        <w:rPr>
          <w:w w:val="95"/>
        </w:rPr>
        <w:t>改征增值税试点范围。其中新旧税制转换时间为：北京市为</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1</w:t>
      </w:r>
      <w:r>
        <w:rPr>
          <w:w w:val="95"/>
        </w:rPr>
        <w:t>日，江苏省、安徽省为</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10</w:t>
      </w:r>
      <w:r>
        <w:rPr>
          <w:w w:val="95"/>
        </w:rPr>
        <w:t>月</w:t>
      </w:r>
      <w:r>
        <w:rPr>
          <w:spacing w:val="45"/>
          <w:w w:val="95"/>
        </w:rPr>
        <w:t> </w:t>
      </w:r>
      <w:r>
        <w:rPr>
          <w:rFonts w:ascii="Times New Roman" w:hAnsi="Times New Roman" w:cs="Times New Roman" w:eastAsia="Times New Roman" w:hint="default"/>
          <w:spacing w:val="2"/>
          <w:w w:val="95"/>
        </w:rPr>
        <w:t>1</w:t>
      </w:r>
      <w:r>
        <w:rPr>
          <w:spacing w:val="2"/>
          <w:w w:val="95"/>
        </w:rPr>
        <w:t>日，福建省、广东省为</w:t>
      </w:r>
      <w:r>
        <w:rPr>
          <w:rFonts w:ascii="Times New Roman" w:hAnsi="Times New Roman" w:cs="Times New Roman" w:eastAsia="Times New Roman" w:hint="default"/>
          <w:spacing w:val="2"/>
          <w:w w:val="95"/>
        </w:rPr>
        <w:t>2012</w:t>
      </w:r>
      <w:r>
        <w:rPr>
          <w:spacing w:val="2"/>
          <w:w w:val="95"/>
        </w:rPr>
        <w:t>年</w:t>
      </w:r>
      <w:r>
        <w:rPr>
          <w:rFonts w:ascii="Times New Roman" w:hAnsi="Times New Roman" w:cs="Times New Roman" w:eastAsia="Times New Roman" w:hint="default"/>
          <w:spacing w:val="2"/>
          <w:w w:val="95"/>
        </w:rPr>
        <w:t>11</w:t>
      </w:r>
      <w:r>
        <w:rPr>
          <w:spacing w:val="2"/>
          <w:w w:val="95"/>
        </w:rPr>
        <w:t>月</w:t>
      </w:r>
      <w:r>
        <w:rPr>
          <w:rFonts w:ascii="Times New Roman" w:hAnsi="Times New Roman" w:cs="Times New Roman" w:eastAsia="Times New Roman" w:hint="default"/>
          <w:spacing w:val="2"/>
          <w:w w:val="95"/>
        </w:rPr>
        <w:t>1</w:t>
      </w:r>
      <w:r>
        <w:rPr>
          <w:spacing w:val="2"/>
          <w:w w:val="95"/>
        </w:rPr>
        <w:t>日，天津市、浙江省、湖北省为</w:t>
      </w:r>
      <w:r>
        <w:rPr>
          <w:rFonts w:ascii="Times New Roman" w:hAnsi="Times New Roman" w:cs="Times New Roman" w:eastAsia="Times New Roman" w:hint="default"/>
          <w:spacing w:val="2"/>
          <w:w w:val="95"/>
        </w:rPr>
        <w:t>2012</w:t>
      </w:r>
      <w:r>
        <w:rPr>
          <w:spacing w:val="2"/>
          <w:w w:val="95"/>
        </w:rPr>
        <w:t>年</w:t>
      </w:r>
      <w:r>
        <w:rPr>
          <w:rFonts w:ascii="Times New Roman" w:hAnsi="Times New Roman" w:cs="Times New Roman" w:eastAsia="Times New Roman" w:hint="default"/>
          <w:spacing w:val="2"/>
          <w:w w:val="95"/>
        </w:rPr>
        <w:t>12</w:t>
      </w:r>
      <w:r>
        <w:rPr>
          <w:spacing w:val="2"/>
          <w:w w:val="95"/>
        </w:rPr>
        <w:t>月</w:t>
      </w:r>
      <w:r>
        <w:rPr>
          <w:rFonts w:ascii="Times New Roman" w:hAnsi="Times New Roman" w:cs="Times New Roman" w:eastAsia="Times New Roman" w:hint="default"/>
          <w:spacing w:val="2"/>
          <w:w w:val="95"/>
        </w:rPr>
        <w:t>1</w:t>
      </w:r>
      <w:r>
        <w:rPr>
          <w:spacing w:val="2"/>
          <w:w w:val="95"/>
        </w:rPr>
        <w:t>日。施行营业税改增值</w:t>
      </w:r>
      <w:r>
        <w:rPr>
          <w:spacing w:val="34"/>
          <w:w w:val="95"/>
        </w:rPr>
        <w:t> </w:t>
      </w:r>
      <w:r>
        <w:rPr>
          <w:spacing w:val="34"/>
          <w:w w:val="95"/>
        </w:rPr>
      </w:r>
      <w:r>
        <w:rPr/>
        <w:t>税后，公司的技术服务收入和技术转让收入由原来的缴纳</w:t>
      </w:r>
      <w:r>
        <w:rPr>
          <w:rFonts w:ascii="Times New Roman" w:hAnsi="Times New Roman" w:cs="Times New Roman" w:eastAsia="Times New Roman" w:hint="default"/>
        </w:rPr>
        <w:t>5%</w:t>
      </w:r>
      <w:r>
        <w:rPr/>
        <w:t>的营业税变成了缴纳</w:t>
      </w:r>
      <w:r>
        <w:rPr>
          <w:rFonts w:ascii="Times New Roman" w:hAnsi="Times New Roman" w:cs="Times New Roman" w:eastAsia="Times New Roman" w:hint="default"/>
        </w:rPr>
        <w:t>6%</w:t>
      </w:r>
      <w:r>
        <w:rPr/>
        <w:t>的增值税。截止</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范围已推广到全国试行。</w:t>
      </w:r>
    </w:p>
    <w:p>
      <w:pPr>
        <w:pStyle w:val="BodyText"/>
        <w:spacing w:line="240" w:lineRule="auto" w:before="0"/>
        <w:ind w:left="532" w:right="184"/>
        <w:jc w:val="left"/>
      </w:pPr>
      <w:r>
        <w:rPr/>
        <w:t>（</w:t>
      </w:r>
      <w:r>
        <w:rPr>
          <w:rFonts w:ascii="Times New Roman" w:hAnsi="Times New Roman" w:cs="Times New Roman" w:eastAsia="Times New Roman" w:hint="default"/>
        </w:rPr>
        <w:t>3</w:t>
      </w:r>
      <w:r>
        <w:rPr/>
        <w:t>）所得额</w:t>
      </w:r>
    </w:p>
    <w:p>
      <w:pPr>
        <w:pStyle w:val="BodyText"/>
        <w:spacing w:line="256" w:lineRule="auto" w:before="21"/>
        <w:ind w:right="187" w:firstLine="585"/>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日，本公司取得安徽省科技厅、安徽省财政厅、安徽省国家税务局、安徽省地方税务</w:t>
      </w:r>
      <w:r>
        <w:rPr>
          <w:w w:val="99"/>
        </w:rPr>
        <w:t> </w:t>
      </w:r>
      <w:r>
        <w:rPr>
          <w:spacing w:val="-1"/>
          <w:w w:val="95"/>
        </w:rPr>
        <w:t>局联合颁发的《高新技术企业证书》（证书编号为</w:t>
      </w:r>
      <w:r>
        <w:rPr>
          <w:rFonts w:ascii="Times New Roman" w:hAnsi="Times New Roman" w:cs="Times New Roman" w:eastAsia="Times New Roman" w:hint="default"/>
          <w:spacing w:val="-1"/>
          <w:w w:val="95"/>
        </w:rPr>
        <w:t>GF201434000328</w:t>
      </w:r>
      <w:r>
        <w:rPr>
          <w:spacing w:val="-1"/>
          <w:w w:val="95"/>
        </w:rPr>
        <w:t>），有效期三年。根据有关规定，本公</w:t>
      </w:r>
      <w:r>
        <w:rPr>
          <w:spacing w:val="45"/>
          <w:w w:val="95"/>
        </w:rPr>
        <w:t> </w:t>
      </w:r>
      <w:r>
        <w:rPr>
          <w:spacing w:val="45"/>
          <w:w w:val="95"/>
        </w:rPr>
      </w:r>
      <w:r>
        <w:rPr/>
        <w:t>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年度连续三年享受国家关于高新技术企业的相关优惠政策，按</w:t>
      </w:r>
      <w:r>
        <w:rPr>
          <w:rFonts w:ascii="Times New Roman" w:hAnsi="Times New Roman" w:cs="Times New Roman" w:eastAsia="Times New Roman" w:hint="default"/>
        </w:rPr>
        <w:t>15%</w:t>
      </w:r>
      <w:r>
        <w:rPr/>
        <w:t>的税率计缴企</w:t>
      </w:r>
      <w:r>
        <w:rPr>
          <w:w w:val="99"/>
        </w:rPr>
        <w:t> </w:t>
      </w:r>
      <w:r>
        <w:rPr/>
        <w:t>业所得税。</w:t>
      </w:r>
    </w:p>
    <w:p>
      <w:pPr>
        <w:pStyle w:val="BodyText"/>
        <w:spacing w:line="256" w:lineRule="auto" w:before="22"/>
        <w:ind w:right="187" w:firstLine="525"/>
        <w:jc w:val="both"/>
      </w:pPr>
      <w:r>
        <w:rPr>
          <w:rFonts w:ascii="Times New Roman" w:hAnsi="Times New Roman" w:cs="Times New Roman" w:eastAsia="Times New Roman" w:hint="default"/>
          <w:w w:val="95"/>
        </w:rPr>
        <w:t>2</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10</w:t>
      </w:r>
      <w:r>
        <w:rPr>
          <w:w w:val="95"/>
        </w:rPr>
        <w:t>月</w:t>
      </w:r>
      <w:r>
        <w:rPr>
          <w:rFonts w:ascii="Times New Roman" w:hAnsi="Times New Roman" w:cs="Times New Roman" w:eastAsia="Times New Roman" w:hint="default"/>
          <w:w w:val="95"/>
        </w:rPr>
        <w:t>21</w:t>
      </w:r>
      <w:r>
        <w:rPr>
          <w:w w:val="95"/>
        </w:rPr>
        <w:t>日，天津市天安怡和信息技术有限公司取得天津市科技厅、天津市财政局、天津市</w:t>
      </w:r>
      <w:r>
        <w:rPr>
          <w:w w:val="99"/>
        </w:rPr>
        <w:t> </w:t>
      </w:r>
      <w:r>
        <w:rPr>
          <w:spacing w:val="-1"/>
          <w:w w:val="95"/>
        </w:rPr>
        <w:t>国家税务局、天津市地方税务局联合颁发的《高新技术企业证书》（证书编号为</w:t>
      </w:r>
      <w:r>
        <w:rPr>
          <w:rFonts w:ascii="Times New Roman" w:hAnsi="Times New Roman" w:cs="Times New Roman" w:eastAsia="Times New Roman" w:hint="default"/>
          <w:spacing w:val="-1"/>
          <w:w w:val="95"/>
        </w:rPr>
        <w:t>GF201412000274</w:t>
      </w:r>
      <w:r>
        <w:rPr>
          <w:spacing w:val="-1"/>
          <w:w w:val="95"/>
        </w:rPr>
        <w:t>），有效</w:t>
      </w:r>
      <w:r>
        <w:rPr>
          <w:spacing w:val="42"/>
          <w:w w:val="95"/>
        </w:rPr>
        <w:t> </w:t>
      </w:r>
      <w:r>
        <w:rPr>
          <w:spacing w:val="42"/>
          <w:w w:val="95"/>
        </w:rPr>
      </w:r>
      <w:r>
        <w:rPr>
          <w:w w:val="95"/>
        </w:rPr>
        <w:t>期三年。根据有关规定，本公司</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2016</w:t>
      </w:r>
      <w:r>
        <w:rPr>
          <w:w w:val="95"/>
        </w:rPr>
        <w:t>年度连续三年享受国家关于高新技术企业的相关优</w:t>
      </w:r>
      <w:r>
        <w:rPr>
          <w:spacing w:val="44"/>
          <w:w w:val="95"/>
        </w:rPr>
        <w:t> </w:t>
      </w:r>
      <w:r>
        <w:rPr>
          <w:spacing w:val="44"/>
          <w:w w:val="95"/>
        </w:rPr>
      </w:r>
      <w:r>
        <w:rPr/>
        <w:t>惠政策，按</w:t>
      </w:r>
      <w:r>
        <w:rPr>
          <w:rFonts w:ascii="Times New Roman" w:hAnsi="Times New Roman" w:cs="Times New Roman" w:eastAsia="Times New Roman" w:hint="default"/>
        </w:rPr>
        <w:t>15%</w:t>
      </w:r>
      <w:r>
        <w:rPr/>
        <w:t>的税率计缴企业所得税。</w:t>
      </w:r>
    </w:p>
    <w:p>
      <w:pPr>
        <w:pStyle w:val="BodyText"/>
        <w:spacing w:line="256" w:lineRule="auto" w:before="5"/>
        <w:ind w:right="187" w:firstLine="525"/>
        <w:jc w:val="both"/>
      </w:pPr>
      <w:r>
        <w:rPr>
          <w:rFonts w:ascii="Times New Roman" w:hAnsi="Times New Roman" w:cs="Times New Roman" w:eastAsia="Times New Roman" w:hint="default"/>
          <w:w w:val="95"/>
        </w:rPr>
        <w:t>3</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10</w:t>
      </w:r>
      <w:r>
        <w:rPr>
          <w:w w:val="95"/>
        </w:rPr>
        <w:t>月</w:t>
      </w:r>
      <w:r>
        <w:rPr>
          <w:rFonts w:ascii="Times New Roman" w:hAnsi="Times New Roman" w:cs="Times New Roman" w:eastAsia="Times New Roman" w:hint="default"/>
          <w:w w:val="95"/>
        </w:rPr>
        <w:t>31</w:t>
      </w:r>
      <w:r>
        <w:rPr>
          <w:w w:val="95"/>
        </w:rPr>
        <w:t>日，根据山东省科技厅、山东省财政厅、山东省国家税务局、山东省地方税务局联</w:t>
      </w:r>
      <w:r>
        <w:rPr>
          <w:w w:val="99"/>
        </w:rPr>
        <w:t> </w:t>
      </w:r>
      <w:r>
        <w:rPr>
          <w:spacing w:val="-1"/>
          <w:w w:val="95"/>
        </w:rPr>
        <w:t>合发布的《关于公布山东省</w:t>
      </w:r>
      <w:r>
        <w:rPr>
          <w:rFonts w:ascii="Times New Roman" w:hAnsi="Times New Roman" w:cs="Times New Roman" w:eastAsia="Times New Roman" w:hint="default"/>
          <w:spacing w:val="-1"/>
          <w:w w:val="95"/>
        </w:rPr>
        <w:t>2014</w:t>
      </w:r>
      <w:r>
        <w:rPr>
          <w:spacing w:val="-1"/>
          <w:w w:val="95"/>
        </w:rPr>
        <w:t>年拟认定高新技术企业名单的通知》（鲁科函字</w:t>
      </w:r>
      <w:r>
        <w:rPr>
          <w:rFonts w:ascii="Times New Roman" w:hAnsi="Times New Roman" w:cs="Times New Roman" w:eastAsia="Times New Roman" w:hint="default"/>
          <w:spacing w:val="-1"/>
          <w:w w:val="95"/>
        </w:rPr>
        <w:t>[2014]136</w:t>
      </w:r>
      <w:r>
        <w:rPr>
          <w:spacing w:val="-1"/>
          <w:w w:val="95"/>
        </w:rPr>
        <w:t>号），烟台华东</w:t>
      </w:r>
      <w:r>
        <w:rPr>
          <w:spacing w:val="67"/>
          <w:w w:val="95"/>
        </w:rPr>
        <w:t> </w:t>
      </w:r>
      <w:r>
        <w:rPr>
          <w:spacing w:val="67"/>
          <w:w w:val="95"/>
        </w:rPr>
      </w:r>
      <w:r>
        <w:rPr>
          <w:w w:val="95"/>
        </w:rPr>
        <w:t>电子软件技术有限公司在公布的名单中。根据有关规定，本公司</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2016</w:t>
      </w:r>
      <w:r>
        <w:rPr>
          <w:w w:val="95"/>
        </w:rPr>
        <w:t>年度连续三年享受</w:t>
      </w:r>
      <w:r>
        <w:rPr>
          <w:spacing w:val="44"/>
          <w:w w:val="95"/>
        </w:rPr>
        <w:t> </w:t>
      </w:r>
      <w:r>
        <w:rPr>
          <w:spacing w:val="44"/>
          <w:w w:val="95"/>
        </w:rPr>
      </w:r>
      <w:r>
        <w:rPr/>
        <w:t>国家关于高新技术企业的相关优惠政策，按</w:t>
      </w:r>
      <w:r>
        <w:rPr>
          <w:rFonts w:ascii="Times New Roman" w:hAnsi="Times New Roman" w:cs="Times New Roman" w:eastAsia="Times New Roman" w:hint="default"/>
        </w:rPr>
        <w:t>15%</w:t>
      </w:r>
      <w:r>
        <w:rPr/>
        <w:t>的税率计缴企业所得税。</w:t>
      </w:r>
    </w:p>
    <w:p>
      <w:pPr>
        <w:pStyle w:val="BodyText"/>
        <w:spacing w:line="256" w:lineRule="auto" w:before="5"/>
        <w:ind w:right="112" w:firstLine="525"/>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日，安徽汉高信息科技有限公司取得安徽省科技厅、安徽省财政厅、安徽省国家税务</w:t>
      </w:r>
      <w:r>
        <w:rPr>
          <w:w w:val="99"/>
        </w:rPr>
        <w:t> </w:t>
      </w:r>
      <w:r>
        <w:rPr>
          <w:w w:val="95"/>
        </w:rPr>
        <w:t>局、安徽省地方税务局联合颁发的《高新技术企业证书》（证书编号为</w:t>
      </w:r>
      <w:r>
        <w:rPr>
          <w:rFonts w:ascii="Times New Roman" w:hAnsi="Times New Roman" w:cs="Times New Roman" w:eastAsia="Times New Roman" w:hint="default"/>
          <w:w w:val="95"/>
        </w:rPr>
        <w:t>GF201434000602</w:t>
      </w:r>
      <w:r>
        <w:rPr>
          <w:w w:val="95"/>
        </w:rPr>
        <w:t>），有效期三年。</w:t>
      </w:r>
      <w:r>
        <w:rPr/>
      </w:r>
    </w:p>
    <w:p>
      <w:pPr>
        <w:spacing w:after="0" w:line="256" w:lineRule="auto"/>
        <w:jc w:val="both"/>
        <w:sectPr>
          <w:pgSz w:w="11910" w:h="16840"/>
          <w:pgMar w:header="746" w:footer="978" w:top="1040" w:bottom="1160" w:left="1020" w:right="940"/>
        </w:sectPr>
      </w:pPr>
    </w:p>
    <w:p>
      <w:pPr>
        <w:spacing w:line="240" w:lineRule="auto" w:before="6"/>
        <w:rPr>
          <w:rFonts w:ascii="宋体" w:hAnsi="宋体" w:cs="宋体" w:eastAsia="宋体" w:hint="default"/>
          <w:sz w:val="25"/>
          <w:szCs w:val="25"/>
        </w:rPr>
      </w:pPr>
    </w:p>
    <w:p>
      <w:pPr>
        <w:pStyle w:val="BodyText"/>
        <w:spacing w:line="256" w:lineRule="auto" w:before="34"/>
        <w:ind w:right="0"/>
        <w:jc w:val="left"/>
      </w:pPr>
      <w:r>
        <w:rPr>
          <w:w w:val="95"/>
        </w:rPr>
        <w:t>根据有关规定，本公司</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2016</w:t>
      </w:r>
      <w:r>
        <w:rPr>
          <w:w w:val="95"/>
        </w:rPr>
        <w:t>年度连续三年享受国家关于高新技术企业的相关优惠政策，</w:t>
      </w:r>
      <w:r>
        <w:rPr>
          <w:spacing w:val="61"/>
          <w:w w:val="95"/>
        </w:rPr>
        <w:t> </w:t>
      </w:r>
      <w:r>
        <w:rPr>
          <w:spacing w:val="61"/>
          <w:w w:val="95"/>
        </w:rPr>
      </w:r>
      <w:r>
        <w:rPr/>
        <w:t>按</w:t>
      </w:r>
      <w:r>
        <w:rPr>
          <w:rFonts w:ascii="Times New Roman" w:hAnsi="Times New Roman" w:cs="Times New Roman" w:eastAsia="Times New Roman" w:hint="default"/>
        </w:rPr>
        <w:t>15%</w:t>
      </w:r>
      <w:r>
        <w:rPr/>
        <w:t>的税率计缴企业所得税。</w:t>
      </w:r>
    </w:p>
    <w:p>
      <w:pPr>
        <w:spacing w:line="240" w:lineRule="auto" w:before="4"/>
        <w:rPr>
          <w:rFonts w:ascii="宋体" w:hAnsi="宋体" w:cs="宋体" w:eastAsia="宋体" w:hint="default"/>
          <w:sz w:val="23"/>
          <w:szCs w:val="23"/>
        </w:rPr>
      </w:pPr>
    </w:p>
    <w:p>
      <w:pPr>
        <w:spacing w:line="487" w:lineRule="auto" w:before="0"/>
        <w:ind w:left="112" w:right="6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7"/>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376,468.65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314,316.25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549,868,469.23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350,693,767.80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18,755,233.16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13,303,017.44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569,000,171.04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364,311,101.49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56" w:lineRule="auto" w:before="0"/>
        <w:ind w:left="532" w:right="0"/>
        <w:jc w:val="left"/>
      </w:pPr>
      <w:r>
        <w:rPr>
          <w:w w:val="95"/>
        </w:rPr>
        <w:t>截至</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日止，本公司不存在质押、冻结，或有潜在收回风险的款项。</w:t>
      </w:r>
      <w:r>
        <w:rPr>
          <w:spacing w:val="50"/>
          <w:w w:val="95"/>
        </w:rPr>
        <w:t> </w:t>
      </w:r>
      <w:r>
        <w:rPr>
          <w:spacing w:val="50"/>
          <w:w w:val="95"/>
        </w:rPr>
      </w:r>
      <w:r>
        <w:rPr/>
        <w:t>其中受限制的货币资金明细如下：</w:t>
      </w:r>
    </w:p>
    <w:p>
      <w:pPr>
        <w:pStyle w:val="BodyText"/>
        <w:spacing w:line="240" w:lineRule="auto" w:before="22"/>
        <w:ind w:left="0" w:right="1476"/>
        <w:jc w:val="right"/>
      </w:pPr>
      <w:r>
        <w:rPr>
          <w:w w:val="95"/>
        </w:rPr>
        <w:t>单位：元</w:t>
      </w:r>
      <w:r>
        <w:rPr/>
      </w:r>
    </w:p>
    <w:p>
      <w:pPr>
        <w:spacing w:line="240" w:lineRule="auto" w:before="0"/>
        <w:rPr>
          <w:rFonts w:ascii="宋体" w:hAnsi="宋体" w:cs="宋体" w:eastAsia="宋体" w:hint="default"/>
          <w:sz w:val="4"/>
          <w:szCs w:val="4"/>
        </w:rPr>
      </w:pPr>
    </w:p>
    <w:tbl>
      <w:tblPr>
        <w:tblW w:w="0" w:type="auto"/>
        <w:jc w:val="left"/>
        <w:tblInd w:w="175" w:type="dxa"/>
        <w:tblLayout w:type="fixed"/>
        <w:tblCellMar>
          <w:top w:w="0" w:type="dxa"/>
          <w:left w:w="0" w:type="dxa"/>
          <w:bottom w:w="0" w:type="dxa"/>
          <w:right w:w="0" w:type="dxa"/>
        </w:tblCellMar>
        <w:tblLook w:val="01E0"/>
      </w:tblPr>
      <w:tblGrid>
        <w:gridCol w:w="4207"/>
        <w:gridCol w:w="2438"/>
        <w:gridCol w:w="2855"/>
      </w:tblGrid>
      <w:tr>
        <w:trPr>
          <w:trHeight w:val="347" w:hRule="exact"/>
        </w:trPr>
        <w:tc>
          <w:tcPr>
            <w:tcW w:w="42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tabs>
                <w:tab w:pos="451" w:val="left" w:leader="none"/>
              </w:tabs>
              <w:spacing w:line="240" w:lineRule="auto" w:before="19"/>
              <w:ind w:left="-1"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3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42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829,992.00</w:t>
            </w:r>
          </w:p>
        </w:tc>
      </w:tr>
      <w:tr>
        <w:trPr>
          <w:trHeight w:val="347" w:hRule="exact"/>
        </w:trPr>
        <w:tc>
          <w:tcPr>
            <w:tcW w:w="42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预付款保证金</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2,049,319.23</w:t>
            </w:r>
          </w:p>
        </w:tc>
        <w:tc>
          <w:tcPr>
            <w:tcW w:w="2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3,437,516.82</w:t>
            </w:r>
          </w:p>
        </w:tc>
      </w:tr>
      <w:tr>
        <w:trPr>
          <w:trHeight w:val="347" w:hRule="exact"/>
        </w:trPr>
        <w:tc>
          <w:tcPr>
            <w:tcW w:w="42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8,757,319.84</w:t>
            </w:r>
          </w:p>
        </w:tc>
        <w:tc>
          <w:tcPr>
            <w:tcW w:w="2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3,906,618.23</w:t>
            </w:r>
          </w:p>
        </w:tc>
      </w:tr>
      <w:tr>
        <w:trPr>
          <w:trHeight w:val="347" w:hRule="exact"/>
        </w:trPr>
        <w:tc>
          <w:tcPr>
            <w:tcW w:w="42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w:t>
            </w:r>
          </w:p>
        </w:tc>
        <w:tc>
          <w:tcPr>
            <w:tcW w:w="2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47" w:hRule="exact"/>
        </w:trPr>
        <w:tc>
          <w:tcPr>
            <w:tcW w:w="42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10,836,639.07</w:t>
            </w:r>
          </w:p>
        </w:tc>
        <w:tc>
          <w:tcPr>
            <w:tcW w:w="2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8,224,127.05</w:t>
            </w:r>
          </w:p>
        </w:tc>
      </w:tr>
    </w:tbl>
    <w:p>
      <w:pPr>
        <w:spacing w:line="240" w:lineRule="auto" w:before="2"/>
        <w:rPr>
          <w:rFonts w:ascii="宋体" w:hAnsi="宋体" w:cs="宋体" w:eastAsia="宋体" w:hint="default"/>
          <w:sz w:val="20"/>
          <w:szCs w:val="20"/>
        </w:rPr>
      </w:pPr>
    </w:p>
    <w:p>
      <w:pPr>
        <w:pStyle w:val="BodyText"/>
        <w:spacing w:line="256" w:lineRule="auto" w:before="34"/>
        <w:ind w:right="0" w:firstLine="379"/>
        <w:jc w:val="left"/>
      </w:pPr>
      <w:r>
        <w:rPr/>
        <w:t>货币资金期末余额较期初增加</w:t>
      </w:r>
      <w:r>
        <w:rPr>
          <w:rFonts w:ascii="Times New Roman" w:hAnsi="Times New Roman" w:cs="Times New Roman" w:eastAsia="Times New Roman" w:hint="default"/>
        </w:rPr>
        <w:t>204,689,069.55</w:t>
      </w:r>
      <w:r>
        <w:rPr/>
        <w:t>元，增长比例为</w:t>
      </w:r>
      <w:r>
        <w:rPr>
          <w:spacing w:val="32"/>
        </w:rPr>
        <w:t> </w:t>
      </w:r>
      <w:r>
        <w:rPr>
          <w:rFonts w:ascii="Times New Roman" w:hAnsi="Times New Roman" w:cs="Times New Roman" w:eastAsia="Times New Roman" w:hint="default"/>
        </w:rPr>
        <w:t>56.19%</w:t>
      </w:r>
      <w:r>
        <w:rPr/>
        <w:t>，主要系本期完成非公开发行收</w:t>
      </w:r>
      <w:r>
        <w:rPr>
          <w:w w:val="99"/>
        </w:rPr>
        <w:t> </w:t>
      </w:r>
      <w:r>
        <w:rPr/>
        <w:t>到募集资金所致。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6,269,199.25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17,696,400.00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6,269,199.25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17,696,400.00</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2,858,274.44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2,858,274.44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应收票据期末余额较期初下降</w:t>
      </w:r>
      <w:r>
        <w:rPr>
          <w:rFonts w:ascii="Times New Roman" w:hAnsi="Times New Roman" w:cs="Times New Roman" w:eastAsia="Times New Roman" w:hint="default"/>
        </w:rPr>
        <w:t>11,427,200.75</w:t>
      </w:r>
      <w:r>
        <w:rPr/>
        <w:t>元，降低比例为</w:t>
      </w:r>
      <w:r>
        <w:rPr>
          <w:spacing w:val="-22"/>
        </w:rPr>
        <w:t> </w:t>
      </w:r>
      <w:r>
        <w:rPr>
          <w:rFonts w:ascii="Times New Roman" w:hAnsi="Times New Roman" w:cs="Times New Roman" w:eastAsia="Times New Roman" w:hint="default"/>
        </w:rPr>
        <w:t>64.57%</w:t>
      </w:r>
      <w:r>
        <w:rPr/>
        <w:t>，主要系本期及时兑付所致。</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277,711,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671.24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9,452,32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3.40%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268,259,3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207,348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,022.12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14,152,08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193,195,93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4.37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277,711,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671.24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9,452,32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3.40%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268,259,3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207,348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,022.12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14,152,08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193,195,93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4.37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4253" w:space="457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194,065,839.94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37,750,586.39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1,887,529.32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231,816,426.33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1,887,529.32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29,097,503.61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2,909,750.36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8,869,668.55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1,773,933.71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7,928,072.75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2,881,113.22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5,296,379.98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1,588,914.00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2,232,489.25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892,995.70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399,203.52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399,203.52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277,711,671.24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9,452,326.61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2"/>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9"/>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40" w:bottom="1160" w:left="1020" w:right="1020"/>
        </w:sectPr>
      </w:pPr>
    </w:p>
    <w:p>
      <w:pPr>
        <w:spacing w:line="340" w:lineRule="auto" w:before="44"/>
        <w:ind w:left="11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4,111,114.51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6394" w:space="2435"/>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588,646.63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after="0"/>
        <w:jc w:val="left"/>
        <w:rPr>
          <w:rFonts w:ascii="宋体" w:hAnsi="宋体" w:cs="宋体" w:eastAsia="宋体" w:hint="default"/>
          <w:sz w:val="18"/>
          <w:szCs w:val="18"/>
        </w:rPr>
        <w:sectPr>
          <w:type w:val="continuous"/>
          <w:pgSz w:w="11910" w:h="16840"/>
          <w:pgMar w:top="1040" w:bottom="1160" w:left="1020" w:right="1020"/>
        </w:sectPr>
      </w:pPr>
    </w:p>
    <w:p>
      <w:pPr>
        <w:spacing w:line="240" w:lineRule="auto" w:before="9"/>
        <w:rPr>
          <w:rFonts w:ascii="宋体" w:hAnsi="宋体" w:cs="宋体" w:eastAsia="宋体" w:hint="default"/>
          <w:sz w:val="26"/>
          <w:szCs w:val="2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243" w:type="dxa"/>
        <w:tblLayout w:type="fixed"/>
        <w:tblCellMar>
          <w:top w:w="0" w:type="dxa"/>
          <w:left w:w="0" w:type="dxa"/>
          <w:bottom w:w="0" w:type="dxa"/>
          <w:right w:w="0" w:type="dxa"/>
        </w:tblCellMar>
        <w:tblLook w:val="01E0"/>
      </w:tblPr>
      <w:tblGrid>
        <w:gridCol w:w="3368"/>
        <w:gridCol w:w="1985"/>
        <w:gridCol w:w="2630"/>
        <w:gridCol w:w="1381"/>
      </w:tblGrid>
      <w:tr>
        <w:trPr>
          <w:trHeight w:val="347" w:hRule="exact"/>
        </w:trPr>
        <w:tc>
          <w:tcPr>
            <w:tcW w:w="33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3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138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51"/>
              <w:jc w:val="righ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7" w:hRule="exact"/>
        </w:trPr>
        <w:tc>
          <w:tcPr>
            <w:tcW w:w="33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31,641,027.48</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11.39</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83,440.24</w:t>
            </w:r>
          </w:p>
        </w:tc>
      </w:tr>
      <w:tr>
        <w:trPr>
          <w:trHeight w:val="347" w:hRule="exact"/>
        </w:trPr>
        <w:tc>
          <w:tcPr>
            <w:tcW w:w="33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25,792,495.47</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9.29</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429,804.05</w:t>
            </w:r>
          </w:p>
        </w:tc>
      </w:tr>
      <w:tr>
        <w:trPr>
          <w:trHeight w:val="347" w:hRule="exact"/>
        </w:trPr>
        <w:tc>
          <w:tcPr>
            <w:tcW w:w="33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24,767,393.44</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8.92</w:t>
            </w: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11,196,595.92</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4.03</w:t>
            </w: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10,662,800.45</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3.84</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647,504.84</w:t>
            </w:r>
          </w:p>
        </w:tc>
      </w:tr>
      <w:tr>
        <w:trPr>
          <w:trHeight w:val="347" w:hRule="exact"/>
        </w:trPr>
        <w:tc>
          <w:tcPr>
            <w:tcW w:w="33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104,060,312.76</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37.47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1,160,749.13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w w:val="95"/>
        </w:rPr>
        <w:t>应收账款期末余额较期初增加</w:t>
      </w:r>
      <w:r>
        <w:rPr>
          <w:rFonts w:ascii="Times New Roman" w:hAnsi="Times New Roman" w:cs="Times New Roman" w:eastAsia="Times New Roman" w:hint="default"/>
          <w:w w:val="95"/>
        </w:rPr>
        <w:t>70,363,649.12</w:t>
      </w:r>
      <w:r>
        <w:rPr>
          <w:w w:val="95"/>
        </w:rPr>
        <w:t>元，增长比例为   </w:t>
      </w:r>
      <w:r>
        <w:rPr>
          <w:spacing w:val="54"/>
          <w:w w:val="95"/>
        </w:rPr>
        <w:t> </w:t>
      </w:r>
      <w:r>
        <w:rPr>
          <w:rFonts w:ascii="Times New Roman" w:hAnsi="Times New Roman" w:cs="Times New Roman" w:eastAsia="Times New Roman" w:hint="default"/>
          <w:w w:val="95"/>
        </w:rPr>
        <w:t>33.94%</w:t>
      </w:r>
      <w:r>
        <w:rPr>
          <w:w w:val="95"/>
        </w:rPr>
        <w:t>，主要系本期随业务增长而增加所</w:t>
      </w:r>
      <w:r>
        <w:rPr/>
      </w:r>
    </w:p>
    <w:p>
      <w:pPr>
        <w:pStyle w:val="BodyText"/>
        <w:spacing w:line="240" w:lineRule="auto" w:before="21"/>
        <w:ind w:right="0"/>
        <w:jc w:val="left"/>
      </w:pPr>
      <w:r>
        <w:rPr/>
        <w:t>致。</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43,761,167.22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64,636,341.37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7,820,444.48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17,220,395.99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2,442,176.58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6,304,734.42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55,920.64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210,742.55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54,079,708.92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88,372,214.33</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5"/>
        <w:rPr>
          <w:rFonts w:ascii="宋体" w:hAnsi="宋体" w:cs="宋体" w:eastAsia="宋体" w:hint="default"/>
          <w:sz w:val="28"/>
          <w:szCs w:val="28"/>
        </w:rPr>
      </w:pPr>
    </w:p>
    <w:p>
      <w:pPr>
        <w:spacing w:before="44"/>
        <w:ind w:left="0" w:right="48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247" w:type="dxa"/>
        <w:tblLayout w:type="fixed"/>
        <w:tblCellMar>
          <w:top w:w="0" w:type="dxa"/>
          <w:left w:w="0" w:type="dxa"/>
          <w:bottom w:w="0" w:type="dxa"/>
          <w:right w:w="0" w:type="dxa"/>
        </w:tblCellMar>
        <w:tblLook w:val="01E0"/>
      </w:tblPr>
      <w:tblGrid>
        <w:gridCol w:w="2660"/>
        <w:gridCol w:w="1275"/>
        <w:gridCol w:w="4003"/>
        <w:gridCol w:w="1418"/>
      </w:tblGrid>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003"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12" w:right="0"/>
              <w:jc w:val="left"/>
              <w:rPr>
                <w:rFonts w:ascii="Times New Roman" w:hAnsi="Times New Roman" w:cs="Times New Roman" w:eastAsia="Times New Roman" w:hint="default"/>
                <w:sz w:val="18"/>
                <w:szCs w:val="18"/>
              </w:rPr>
            </w:pPr>
            <w:r>
              <w:rPr>
                <w:rFonts w:ascii="Times New Roman"/>
                <w:sz w:val="18"/>
              </w:rPr>
              <w:t>2,004,144.80</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757,500.00</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1,246,644.80</w:t>
            </w:r>
            <w:r>
              <w:rPr>
                <w:rFonts w:ascii="宋体" w:hAnsi="宋体" w:cs="宋体" w:eastAsia="宋体" w:hint="default"/>
                <w:sz w:val="18"/>
                <w:szCs w:val="18"/>
              </w:rPr>
              <w:t>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2" w:right="0"/>
              <w:jc w:val="left"/>
              <w:rPr>
                <w:rFonts w:ascii="Times New Roman" w:hAnsi="Times New Roman" w:cs="Times New Roman" w:eastAsia="Times New Roman" w:hint="default"/>
                <w:sz w:val="18"/>
                <w:szCs w:val="18"/>
              </w:rPr>
            </w:pPr>
            <w:r>
              <w:rPr>
                <w:rFonts w:ascii="Times New Roman"/>
                <w:sz w:val="18"/>
              </w:rPr>
              <w:t>2,000,000.00</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2" w:right="0"/>
              <w:jc w:val="left"/>
              <w:rPr>
                <w:rFonts w:ascii="Times New Roman" w:hAnsi="Times New Roman" w:cs="Times New Roman" w:eastAsia="Times New Roman" w:hint="default"/>
                <w:sz w:val="18"/>
                <w:szCs w:val="18"/>
              </w:rPr>
            </w:pPr>
            <w:r>
              <w:rPr>
                <w:rFonts w:ascii="Times New Roman"/>
                <w:sz w:val="18"/>
              </w:rPr>
              <w:t>1,000,000.00</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900,000.00</w:t>
            </w:r>
            <w:r>
              <w:rPr>
                <w:rFonts w:ascii="宋体" w:hAnsi="宋体" w:cs="宋体" w:eastAsia="宋体" w:hint="default"/>
                <w:sz w:val="18"/>
                <w:szCs w:val="18"/>
              </w:rPr>
              <w:t>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12" w:right="0"/>
              <w:jc w:val="left"/>
              <w:rPr>
                <w:rFonts w:ascii="Times New Roman" w:hAnsi="Times New Roman" w:cs="Times New Roman" w:eastAsia="Times New Roman" w:hint="default"/>
                <w:sz w:val="18"/>
                <w:szCs w:val="18"/>
              </w:rPr>
            </w:pPr>
            <w:r>
              <w:rPr>
                <w:rFonts w:ascii="Times New Roman"/>
                <w:sz w:val="18"/>
              </w:rPr>
              <w:t>5,004,144.80</w:t>
            </w:r>
          </w:p>
        </w:tc>
        <w:tc>
          <w:tcPr>
            <w:tcW w:w="400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44"/>
        <w:ind w:left="0" w:right="3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28"/>
        <w:gridCol w:w="1275"/>
        <w:gridCol w:w="2270"/>
        <w:gridCol w:w="1134"/>
        <w:gridCol w:w="1559"/>
      </w:tblGrid>
      <w:tr>
        <w:trPr>
          <w:trHeight w:val="347" w:hRule="exact"/>
        </w:trPr>
        <w:tc>
          <w:tcPr>
            <w:tcW w:w="322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269"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27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占预付账款总额的比例</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55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2,590,826.80</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4.79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2,718,251.93</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2,508,778.27</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2,232,092.34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2,213,266.80</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工程未验收结算</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12,263,216.14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22.68</w:t>
            </w:r>
          </w:p>
        </w:tc>
        <w:tc>
          <w:tcPr>
            <w:tcW w:w="113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t>预付账款期末余额较期初下降</w:t>
      </w:r>
      <w:r>
        <w:rPr>
          <w:rFonts w:ascii="Times New Roman" w:hAnsi="Times New Roman" w:cs="Times New Roman" w:eastAsia="Times New Roman" w:hint="default"/>
        </w:rPr>
        <w:t>34,292,505.41</w:t>
      </w:r>
      <w:r>
        <w:rPr/>
        <w:t>元，下降比例为</w:t>
      </w:r>
      <w:r>
        <w:rPr>
          <w:spacing w:val="-22"/>
        </w:rPr>
        <w:t> </w:t>
      </w:r>
      <w:r>
        <w:rPr>
          <w:rFonts w:ascii="Times New Roman" w:hAnsi="Times New Roman" w:cs="Times New Roman" w:eastAsia="Times New Roman" w:hint="default"/>
        </w:rPr>
        <w:t>38.80%</w:t>
      </w:r>
      <w:r>
        <w:rPr/>
        <w:t>，主要系本期及时结算所致。</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431,814.25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431,814.25</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30"/>
          <w:pgSz w:w="11910" w:h="16840"/>
          <w:pgMar w:footer="978" w:header="746" w:top="1040" w:bottom="1160" w:left="1020" w:right="1020"/>
          <w:pgNumType w:start="106"/>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）重要的账龄超过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76,084,6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95.76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6,553,76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69,530,92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93,018,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426.69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7,504,921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85,513,505.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76,084,6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95.76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6,553,76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69,530,92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93,018,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426.69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85,513,505.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4433" w:space="43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32,635,645.84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11,617,107.49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580,855.37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44,252,753.33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580,855.37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17,688,778.54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1,768,877.86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7,162,346.43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1,432,469.29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6,980,817.46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2,771,564.45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5,053,504.95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1,516,051.49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1,119,665.91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447,866.36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0"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807,646.60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807,646.60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5" w:right="0"/>
              <w:jc w:val="left"/>
              <w:rPr>
                <w:rFonts w:ascii="Times New Roman" w:hAnsi="Times New Roman" w:cs="Times New Roman" w:eastAsia="Times New Roman" w:hint="default"/>
                <w:sz w:val="18"/>
                <w:szCs w:val="18"/>
              </w:rPr>
            </w:pPr>
            <w:r>
              <w:rPr>
                <w:rFonts w:ascii="Times New Roman"/>
                <w:sz w:val="18"/>
              </w:rPr>
              <w:t>76,084,695.76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6,553,766.97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40" w:bottom="1160" w:left="1020" w:right="1020"/>
        </w:sectPr>
      </w:pPr>
    </w:p>
    <w:p>
      <w:pPr>
        <w:spacing w:line="340" w:lineRule="auto" w:before="44"/>
        <w:ind w:left="11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951,154.65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6279" w:space="2551"/>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3d3d3"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67,198,193.59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88,961,379.08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2,139,635.43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1,371,558.39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345,040.45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218,701.43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3,660,000.00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2,741,826.29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466,787.79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76,084,695.76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93,018,426.69</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7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7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6,985,756.00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1,397,151.20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4,599,168.40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3,829,413.43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862,573.67</w:t>
            </w:r>
          </w:p>
        </w:tc>
      </w:tr>
      <w:tr>
        <w:trPr>
          <w:trHeight w:val="362"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358,488.00</w:t>
            </w: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2,321,280.00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3.05%</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660,535.20</w:t>
            </w:r>
          </w:p>
        </w:tc>
      </w:tr>
      <w:tr>
        <w:trPr>
          <w:trHeight w:val="352"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1,962,792.00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2,231,377.50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1,660,000.00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2.93%</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68,582.75</w:t>
            </w:r>
          </w:p>
        </w:tc>
      </w:tr>
      <w:tr>
        <w:trPr>
          <w:trHeight w:val="352"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571,377.50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19,966,995.33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3,024,979.82</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5,154,579.57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4,547,070.13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4,794,128.75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4,186,619.31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3,877,239.58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3,877,239.58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3,481,687.96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3,481,687.96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78,269,763.88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78,269,763.88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71,012,090.20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71,012,090.20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15,593.16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15,593.16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75,896,973.03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75,896,973.03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97,338,485.33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97,338,485.33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163,199,806.06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162,592,296.62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176,642,665.40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176,035,155.96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607,509.44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607,509.44</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3d3d3"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银行结构性存款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1"/>
          <w:pgSz w:w="11910" w:h="16840"/>
          <w:pgMar w:footer="978" w:header="746" w:top="1040" w:bottom="1160" w:left="1020" w:right="1020"/>
          <w:pgNumType w:start="11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8,536,800.31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9,463,199.69</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8,536,800.31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9,463,199.69</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8,536,800.31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9,463,199.69</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9"/>
        <w:gridCol w:w="1915"/>
        <w:gridCol w:w="1915"/>
        <w:gridCol w:w="1915"/>
        <w:gridCol w:w="1915"/>
      </w:tblGrid>
      <w:tr>
        <w:trPr>
          <w:trHeight w:val="714"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413" w:right="26" w:hanging="38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42" w:right="52"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安徽高速 物流股份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8,536,800.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9,463,199.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9.77%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8,536,800.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9,463,199.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2"/>
        <w:gridCol w:w="1327"/>
        <w:gridCol w:w="1328"/>
        <w:gridCol w:w="1328"/>
        <w:gridCol w:w="1327"/>
        <w:gridCol w:w="1328"/>
        <w:gridCol w:w="1328"/>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7" w:right="26" w:hanging="449"/>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08" w:right="28"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8" w:right="26" w:hanging="89"/>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7" w:right="27" w:hanging="449"/>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8,536,800.31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9,463,199.69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8,536,800.31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9,463,199.69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18,000,000.00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619"/>
        <w:gridCol w:w="977"/>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0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武汉宏途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1,106,694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 w:right="0"/>
              <w:jc w:val="left"/>
              <w:rPr>
                <w:rFonts w:ascii="Times New Roman" w:hAnsi="Times New Roman" w:cs="Times New Roman" w:eastAsia="Times New Roman" w:hint="default"/>
                <w:sz w:val="18"/>
                <w:szCs w:val="18"/>
              </w:rPr>
            </w:pPr>
            <w:r>
              <w:rPr>
                <w:rFonts w:ascii="Times New Roman"/>
                <w:sz w:val="18"/>
              </w:rPr>
              <w:t>-943,010.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3" w:right="0"/>
              <w:jc w:val="left"/>
              <w:rPr>
                <w:rFonts w:ascii="Times New Roman" w:hAnsi="Times New Roman" w:cs="Times New Roman" w:eastAsia="Times New Roman" w:hint="default"/>
                <w:sz w:val="18"/>
                <w:szCs w:val="18"/>
              </w:rPr>
            </w:pPr>
            <w:r>
              <w:rPr>
                <w:rFonts w:ascii="Times New Roman"/>
                <w:sz w:val="18"/>
              </w:rPr>
              <w:t>163,684.24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619"/>
        <w:gridCol w:w="977"/>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1"/>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天津玺朗 文化传媒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6,256,361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83,502.88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6,339,864.7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7,363,056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-859,507.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6,503,548.9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7,363,056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-859,507.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6,503,548.9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2,263,495.52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2,263,495.52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2,263,495.52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2,263,495.52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433,676.83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433,676.83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275,821.89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275,821.89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275,821.89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275,821.89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709,498.72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709,498.72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1,553,996.80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1,553,996.80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1,829,818.69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1,829,818.69</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108,917,148.79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18,025,365.24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3,708,200.80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18,336,179.68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5,381,971.66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154,368,866.17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92,274.00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356,465.34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2,828,673.51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2,437,578.64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5,714,991.49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169,410.72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1,714,539.42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2,428,230.64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4,312,180.78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92,274.00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187,054.62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1,114,134.09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9,348.00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1,402,810.71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30,623.93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2,698,264.74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176,346.49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803,733.00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-1,888,565.46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1,820,402.70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30,623.93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129,684.00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592,445.24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803,733.00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263,916.53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1,820,402.70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其他转出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2,568,580.74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-416,098.75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-2,152,481.99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108,978,798.86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15,327,100.50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3,888,319.65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20,361,120.19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9,708,115.76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158,263,454.96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8,018,006.88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1,906,703.48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811,576.43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7,387,276.41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2,612,814.11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20,736,377.31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3,599,082.74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1,475,343.15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471,698.02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1,816,670.84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1,084,209.69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8,447,004.44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3,599,082.74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1,475,343.15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471,698.02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1,816,670.84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1,084,209.69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8,447,004.44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872,903.12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-48,830.96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599,979.29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112,751.33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1,536,802.78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123,279.80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562,822.98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599,979.29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250,720.71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1,536,802.78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其他转出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749,623.32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-611,653.94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-137,969.38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11,617,089.62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2,509,143.51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1,332,105.41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8,603,967.96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3,584,272.47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27,646,578.97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97,361,709.24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12,817,956.99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2,556,214.24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11,757,152.23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6,123,843.29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130,616,875.99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100,899,141.91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16,118,661.76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2,896,624.37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10,948,903.27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2,769,157.55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133,632,488.86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3d3d3"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57"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3"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公司子公司汉高信息购置华亿科技园内</w:t>
            </w:r>
          </w:p>
        </w:tc>
      </w:tr>
      <w:tr>
        <w:trPr>
          <w:trHeight w:val="317"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5,180,411.00</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的建筑面积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1487.04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平方米的二层办公</w:t>
            </w:r>
          </w:p>
        </w:tc>
      </w:tr>
      <w:tr>
        <w:trPr>
          <w:trHeight w:val="352"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3"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用房，因开发商尚未办妥产权手续</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2" w:firstLine="420"/>
        <w:jc w:val="both"/>
      </w:pPr>
      <w:r>
        <w:rPr>
          <w:spacing w:val="17"/>
        </w:rPr>
        <w:t>公司子公司烟台华东电子用创业大厦</w:t>
      </w:r>
      <w:r>
        <w:rPr>
          <w:spacing w:val="-91"/>
        </w:rPr>
        <w:t> </w:t>
      </w:r>
      <w:r>
        <w:rPr>
          <w:rFonts w:ascii="Times New Roman" w:hAnsi="Times New Roman" w:cs="Times New Roman" w:eastAsia="Times New Roman" w:hint="default"/>
          <w:spacing w:val="11"/>
        </w:rPr>
        <w:t>1-3</w:t>
      </w:r>
      <w:r>
        <w:rPr>
          <w:spacing w:val="11"/>
        </w:rPr>
        <w:t>层楼总面积为</w:t>
      </w:r>
      <w:r>
        <w:rPr>
          <w:spacing w:val="-91"/>
        </w:rPr>
        <w:t> </w:t>
      </w:r>
      <w:r>
        <w:rPr>
          <w:rFonts w:ascii="Times New Roman" w:hAnsi="Times New Roman" w:cs="Times New Roman" w:eastAsia="Times New Roman" w:hint="default"/>
          <w:spacing w:val="6"/>
        </w:rPr>
        <w:t>3337.53</w:t>
      </w:r>
      <w:r>
        <w:rPr>
          <w:spacing w:val="6"/>
        </w:rPr>
        <w:t>平方米，</w:t>
      </w:r>
      <w:r>
        <w:rPr>
          <w:spacing w:val="-91"/>
        </w:rPr>
        <w:t> </w:t>
      </w:r>
      <w:r>
        <w:rPr>
          <w:spacing w:val="5"/>
        </w:rPr>
        <w:t>原值</w:t>
      </w:r>
      <w:r>
        <w:rPr>
          <w:rFonts w:ascii="Times New Roman" w:hAnsi="Times New Roman" w:cs="Times New Roman" w:eastAsia="Times New Roman" w:hint="default"/>
          <w:spacing w:val="5"/>
        </w:rPr>
        <w:t>11,937,570</w:t>
      </w:r>
      <w:r>
        <w:rPr>
          <w:spacing w:val="5"/>
        </w:rPr>
        <w:t>元、</w:t>
      </w:r>
      <w:r>
        <w:rPr>
          <w:spacing w:val="-91"/>
        </w:rPr>
        <w:t> </w:t>
      </w:r>
      <w:r>
        <w:rPr>
          <w:spacing w:val="8"/>
        </w:rPr>
        <w:t>净值</w:t>
      </w:r>
      <w:r>
        <w:rPr>
          <w:w w:val="99"/>
        </w:rPr>
        <w:t> </w:t>
      </w:r>
      <w:r>
        <w:rPr>
          <w:rFonts w:ascii="Times New Roman" w:hAnsi="Times New Roman" w:cs="Times New Roman" w:eastAsia="Times New Roman" w:hint="default"/>
        </w:rPr>
        <w:t>10,002,432.80</w:t>
      </w:r>
      <w:r>
        <w:rPr/>
        <w:t>元的房屋（房屋产权证号为烟房权证莱字第</w:t>
      </w:r>
      <w:r>
        <w:rPr>
          <w:rFonts w:ascii="Times New Roman" w:hAnsi="Times New Roman" w:cs="Times New Roman" w:eastAsia="Times New Roman" w:hint="default"/>
        </w:rPr>
        <w:t>013991</w:t>
      </w:r>
      <w:r>
        <w:rPr/>
        <w:t>号、烟房权证莱字第</w:t>
      </w:r>
      <w:r>
        <w:rPr>
          <w:rFonts w:ascii="Times New Roman" w:hAnsi="Times New Roman" w:cs="Times New Roman" w:eastAsia="Times New Roman" w:hint="default"/>
        </w:rPr>
        <w:t>013992</w:t>
      </w:r>
      <w:r>
        <w:rPr/>
        <w:t>号、烟房权证</w:t>
      </w:r>
      <w:r>
        <w:rPr>
          <w:spacing w:val="-90"/>
        </w:rPr>
        <w:t> </w:t>
      </w:r>
      <w:r>
        <w:rPr>
          <w:spacing w:val="-90"/>
        </w:rPr>
      </w:r>
      <w:r>
        <w:rPr/>
        <w:t>莱字第</w:t>
      </w:r>
      <w:r>
        <w:rPr>
          <w:rFonts w:ascii="Times New Roman" w:hAnsi="Times New Roman" w:cs="Times New Roman" w:eastAsia="Times New Roman" w:hint="default"/>
        </w:rPr>
        <w:t>018998</w:t>
      </w:r>
      <w:r>
        <w:rPr/>
        <w:t>）抵押给中国光大银行烟台分行，为该行向华东电子提供的</w:t>
      </w:r>
      <w:r>
        <w:rPr>
          <w:rFonts w:ascii="Times New Roman" w:hAnsi="Times New Roman" w:cs="Times New Roman" w:eastAsia="Times New Roman" w:hint="default"/>
        </w:rPr>
        <w:t>10,000,000.00</w:t>
      </w:r>
      <w:r>
        <w:rPr/>
        <w:t>元综合授信额度提</w:t>
      </w:r>
      <w:r>
        <w:rPr>
          <w:spacing w:val="-91"/>
        </w:rPr>
        <w:t> </w:t>
      </w:r>
      <w:r>
        <w:rPr>
          <w:spacing w:val="-91"/>
        </w:rPr>
      </w:r>
      <w:r>
        <w:rPr/>
        <w:t>供最高额抵押担保，截止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日，本公司申请了履约保函共计</w:t>
      </w:r>
      <w:r>
        <w:rPr>
          <w:rFonts w:ascii="Times New Roman" w:hAnsi="Times New Roman" w:cs="Times New Roman" w:eastAsia="Times New Roman" w:hint="default"/>
        </w:rPr>
        <w:t>536,200.00</w:t>
      </w:r>
      <w:r>
        <w:rPr/>
        <w:t>元，其中用</w:t>
      </w:r>
      <w:r>
        <w:rPr>
          <w:rFonts w:ascii="Times New Roman" w:hAnsi="Times New Roman" w:cs="Times New Roman" w:eastAsia="Times New Roman" w:hint="default"/>
        </w:rPr>
        <w:t>5%</w:t>
      </w:r>
      <w:r>
        <w:rPr/>
        <w:t>货币资金</w:t>
      </w:r>
      <w:r>
        <w:rPr>
          <w:w w:val="99"/>
        </w:rPr>
        <w:t> </w:t>
      </w:r>
      <w:r>
        <w:rPr>
          <w:rFonts w:ascii="Times New Roman" w:hAnsi="Times New Roman" w:cs="Times New Roman" w:eastAsia="Times New Roman" w:hint="default"/>
        </w:rPr>
        <w:t>26,810.00</w:t>
      </w:r>
      <w:r>
        <w:rPr/>
        <w:t>元作为保证金。</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高新区建设服务 外包基地项目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371,650.34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371,650.34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243,598.00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243,598.00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办公大楼监控系 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102,480.29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102,480.29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智能路网管理系 统建设项目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655,077.11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655,077.11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1,026,727.45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1,026,727.45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346,078.29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346,078.29</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4"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4"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9"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智能路</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网管理 系统建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3" w:right="0"/>
              <w:jc w:val="left"/>
              <w:rPr>
                <w:rFonts w:ascii="Times New Roman" w:hAnsi="Times New Roman" w:cs="Times New Roman" w:eastAsia="Times New Roman" w:hint="default"/>
                <w:sz w:val="18"/>
                <w:szCs w:val="18"/>
              </w:rPr>
            </w:pPr>
            <w:r>
              <w:rPr>
                <w:rFonts w:ascii="Times New Roman"/>
                <w:sz w:val="18"/>
              </w:rPr>
              <w:t>66,920,0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655,077.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11</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655,077.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交通运</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9" w:right="0"/>
              <w:jc w:val="center"/>
              <w:rPr>
                <w:rFonts w:ascii="Times New Roman" w:hAnsi="Times New Roman" w:cs="Times New Roman" w:eastAsia="Times New Roman" w:hint="default"/>
                <w:sz w:val="18"/>
                <w:szCs w:val="18"/>
              </w:rPr>
            </w:pPr>
            <w:r>
              <w:rPr>
                <w:rFonts w:ascii="Times New Roman"/>
                <w:sz w:val="18"/>
              </w:rPr>
              <w:t>82,130,0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850,134.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3" w:right="0"/>
              <w:jc w:val="left"/>
              <w:rPr>
                <w:rFonts w:ascii="Times New Roman" w:hAnsi="Times New Roman" w:cs="Times New Roman" w:eastAsia="Times New Roman" w:hint="default"/>
                <w:sz w:val="18"/>
                <w:szCs w:val="18"/>
              </w:rPr>
            </w:pPr>
            <w:r>
              <w:rPr>
                <w:rFonts w:ascii="Times New Roman"/>
                <w:sz w:val="18"/>
              </w:rPr>
              <w:t>850,134.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 w:right="0"/>
              <w:jc w:val="left"/>
              <w:rPr>
                <w:rFonts w:ascii="宋体" w:hAnsi="宋体" w:cs="宋体" w:eastAsia="宋体" w:hint="default"/>
                <w:sz w:val="18"/>
                <w:szCs w:val="18"/>
              </w:rPr>
            </w:pPr>
            <w:r>
              <w:rPr>
                <w:rFonts w:ascii="宋体" w:hAnsi="宋体" w:cs="宋体" w:eastAsia="宋体" w:hint="default"/>
                <w:sz w:val="18"/>
                <w:szCs w:val="18"/>
              </w:rPr>
              <w:t>募股资</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32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输智慧</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09</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09</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信息服</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务平台</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建设项</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市场营</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销及服 务网络</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42,210,0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529,564.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529,564.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1.92%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4"/>
              <w:jc w:val="right"/>
              <w:rPr>
                <w:rFonts w:ascii="Times New Roman" w:hAnsi="Times New Roman" w:cs="Times New Roman" w:eastAsia="Times New Roman" w:hint="default"/>
                <w:sz w:val="18"/>
                <w:szCs w:val="18"/>
              </w:rPr>
            </w:pPr>
            <w:r>
              <w:rPr>
                <w:rFonts w:ascii="Times New Roman"/>
                <w:sz w:val="18"/>
              </w:rPr>
              <w:t>1.92%</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191,260,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2,034,77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1,379,69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202"/>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12" w:right="2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t>在建工程期末余额较期初增加</w:t>
      </w:r>
      <w:r>
        <w:rPr>
          <w:rFonts w:ascii="Times New Roman" w:hAnsi="Times New Roman" w:cs="Times New Roman" w:eastAsia="Times New Roman" w:hint="default"/>
        </w:rPr>
        <w:t>680,649.16</w:t>
      </w:r>
      <w:r>
        <w:rPr/>
        <w:t>元，增长比例为</w:t>
      </w:r>
      <w:r>
        <w:rPr>
          <w:rFonts w:ascii="Times New Roman" w:hAnsi="Times New Roman" w:cs="Times New Roman" w:eastAsia="Times New Roman" w:hint="default"/>
        </w:rPr>
        <w:t>30.84%</w:t>
      </w:r>
      <w:r>
        <w:rPr/>
        <w:t>，主要系本期募集资金项目投入所致。</w:t>
      </w:r>
    </w:p>
    <w:p>
      <w:pPr>
        <w:spacing w:line="240" w:lineRule="auto" w:before="7"/>
        <w:rPr>
          <w:rFonts w:ascii="宋体" w:hAnsi="宋体" w:cs="宋体" w:eastAsia="宋体" w:hint="default"/>
          <w:sz w:val="24"/>
          <w:szCs w:val="24"/>
        </w:rPr>
      </w:pPr>
    </w:p>
    <w:p>
      <w:pPr>
        <w:pStyle w:val="Heading4"/>
        <w:spacing w:line="240" w:lineRule="auto"/>
        <w:ind w:right="202"/>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202"/>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202"/>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02"/>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202"/>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宋体" w:hAnsi="宋体" w:cs="宋体" w:eastAsia="宋体" w:hint="default"/>
          <w:b/>
          <w:bCs/>
          <w:sz w:val="26"/>
          <w:szCs w:val="26"/>
        </w:rPr>
      </w:pPr>
    </w:p>
    <w:p>
      <w:pPr>
        <w:spacing w:before="0"/>
        <w:ind w:left="112" w:right="2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6,779,136.00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25,863,436.45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258,258.13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32,900,830.58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22,850,690.44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22,855,490.44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4,800.00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4,800.00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22,850,690.44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22,850,690.44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6,779,136.00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48,714,126.89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263,058.13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55,756,321.02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768,286.58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3,676,722.32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15,740.85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4,460,749.75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135,576.72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3,733,075.83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28,829.72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3,897,482.27</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3,733,075.83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28,829.72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3,897,482.27</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903,863.30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7,409,798.15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44,570.57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8,358,232.02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5,875,272.70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41,304,328.74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218,487.56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47,398,089.00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6,010,849.42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22,186,714.13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242,517.28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28,440,080.83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87.37%</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0" w:right="127"/>
        <w:jc w:val="right"/>
      </w:pPr>
      <w:r>
        <w:rPr>
          <w:w w:val="95"/>
        </w:rPr>
        <w:t>无形资产期末余额较期初增加</w:t>
      </w:r>
      <w:r>
        <w:rPr>
          <w:rFonts w:ascii="Times New Roman" w:hAnsi="Times New Roman" w:cs="Times New Roman" w:eastAsia="Times New Roman" w:hint="default"/>
          <w:w w:val="95"/>
        </w:rPr>
        <w:t>22,855,490.44</w:t>
      </w:r>
      <w:r>
        <w:rPr>
          <w:w w:val="95"/>
        </w:rPr>
        <w:t>元，增长比例为</w:t>
      </w:r>
      <w:r>
        <w:rPr>
          <w:rFonts w:ascii="Times New Roman" w:hAnsi="Times New Roman" w:cs="Times New Roman" w:eastAsia="Times New Roman" w:hint="default"/>
          <w:w w:val="95"/>
        </w:rPr>
        <w:t>69.47%</w:t>
      </w:r>
      <w:r>
        <w:rPr>
          <w:w w:val="95"/>
        </w:rPr>
        <w:t>，主要系本期自行开发转入所致。</w:t>
      </w:r>
      <w:r>
        <w:rPr/>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2" w:right="51" w:hanging="449"/>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公共安全应急 指挥调度系统</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1,865,936.65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4,539,364.05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32,241.36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6,373,059.34</w:t>
            </w:r>
          </w:p>
        </w:tc>
      </w:tr>
      <w:tr>
        <w:trPr>
          <w:trHeight w:val="40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道路运输车辆</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1,926,561.05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4,229,152.14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27,042.16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6,128,671.03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卫星定位系统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both"/>
              <w:rPr>
                <w:rFonts w:ascii="宋体" w:hAnsi="宋体" w:cs="宋体" w:eastAsia="宋体" w:hint="default"/>
                <w:sz w:val="18"/>
                <w:szCs w:val="18"/>
              </w:rPr>
            </w:pPr>
            <w:r>
              <w:rPr>
                <w:rFonts w:ascii="宋体" w:hAnsi="宋体" w:cs="宋体" w:eastAsia="宋体" w:hint="default"/>
                <w:sz w:val="18"/>
                <w:szCs w:val="18"/>
              </w:rPr>
              <w:t>高速公路运营 综合管理平台 研究开发</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1,155,953.33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1,715,767.60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15,405.38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2,856,315.55</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跨平台高速公 路车道收费系 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2,605,375.53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2,604,647.92</w:t>
            </w: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智能路网管理 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2,639,691.91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364,213.71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2,275,478.20</w:t>
            </w:r>
          </w:p>
        </w:tc>
      </w:tr>
      <w:tr>
        <w:trPr>
          <w:trHeight w:val="133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物联网传感数 据采集及设备 服务管理平台 联管理平台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285,448.01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1,910,238.37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2,195,686.38</w:t>
            </w: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交通运输智慧 信息服务平台</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2,550,886.29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740,592.39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1,810,293.90</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高速公路机电 系统管理信息 化平台</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1,466,860.13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1,901.56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1,464,958.57</w:t>
            </w: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JAVA </w:t>
            </w:r>
            <w:r>
              <w:rPr>
                <w:rFonts w:ascii="Times New Roman" w:hAnsi="Times New Roman" w:cs="Times New Roman" w:eastAsia="Times New Roman" w:hint="default"/>
                <w:sz w:val="18"/>
                <w:szCs w:val="18"/>
              </w:rPr>
              <w:t>EE</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统一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开发平台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407,930.51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938,233.60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1,346,164.11</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智慧交通数据 分析及管理决 策平台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310,935.43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802,388.78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1,113,324.21</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22"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语音数据一体 化车载终端 </w:t>
            </w:r>
            <w:r>
              <w:rPr>
                <w:rFonts w:ascii="Times New Roman" w:hAnsi="Times New Roman" w:cs="Times New Roman" w:eastAsia="Times New Roman" w:hint="default"/>
                <w:sz w:val="18"/>
                <w:szCs w:val="18"/>
              </w:rPr>
              <w:t>8006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1,296,540.69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560,853.74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735,686.95</w:t>
            </w: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流动机械数据 采集终端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911,340.17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350,826.20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560,513.97</w:t>
            </w: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试验室质量管 控系统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551,568.92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281,321.07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270,247.85</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高速公路联网 收费票据管理 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351,147.95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130,818.70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220,329.25</w:t>
            </w: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拌和场生产管 理系统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286,099.44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140,088.70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146,010.74</w:t>
            </w: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高速公路养护 管理系统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233,994.95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129,872.44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104,122.51</w:t>
            </w:r>
          </w:p>
        </w:tc>
      </w:tr>
      <w:tr>
        <w:trPr>
          <w:trHeight w:val="71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电子收费稽查 系统</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3,428,041.16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972,854.75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4,393,189.01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7,706.90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both"/>
              <w:rPr>
                <w:rFonts w:ascii="宋体" w:hAnsi="宋体" w:cs="宋体" w:eastAsia="宋体" w:hint="default"/>
                <w:sz w:val="18"/>
                <w:szCs w:val="18"/>
              </w:rPr>
            </w:pPr>
            <w:r>
              <w:rPr>
                <w:rFonts w:ascii="宋体" w:hAnsi="宋体" w:cs="宋体" w:eastAsia="宋体" w:hint="default"/>
                <w:sz w:val="18"/>
                <w:szCs w:val="18"/>
              </w:rPr>
              <w:t>高速公路联网 收费运行监控 系统研究开发</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1,243,801.95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474,051.74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1,713,815.96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4,037.73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基于三维地图 的监狱人员定 位系统研究</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1,571,938.72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560,388.49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2,127,925.97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4,401.24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监狱指挥调度 管理系统开发</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1,645,736.11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441,728.82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2,083,509.13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3,955.80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路网管理与应 急处置综合数 据平台系统</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5,216,843.25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3,233,344.01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8,425,844.05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24,343.21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both"/>
              <w:rPr>
                <w:rFonts w:ascii="宋体" w:hAnsi="宋体" w:cs="宋体" w:eastAsia="宋体" w:hint="default"/>
                <w:sz w:val="18"/>
                <w:szCs w:val="18"/>
              </w:rPr>
            </w:pPr>
            <w:r>
              <w:rPr>
                <w:rFonts w:ascii="宋体" w:hAnsi="宋体" w:cs="宋体" w:eastAsia="宋体" w:hint="default"/>
                <w:sz w:val="18"/>
                <w:szCs w:val="18"/>
              </w:rPr>
              <w:t>全国车辆购置 税征管便民纳 税服务系统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69,158.22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69,158.22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监狱智能安防 及应急指挥管 理系统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20,618.55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20,618.55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宋体" w:hAnsi="宋体" w:cs="宋体" w:eastAsia="宋体" w:hint="default"/>
                <w:sz w:val="18"/>
                <w:szCs w:val="18"/>
              </w:rPr>
              <w:t>图形车载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899,618.85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558,292.01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1,457,910.86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自动化码头控 制系统</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1,054,176.00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134,665.00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1,188,841.00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智能航运船联 网平台</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1,485,323.61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1,485,323.61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流机运行监控 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1,686,009.69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1,151,087.69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534,922.00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通用船舶代理 管理系统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1,582,210.69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1,582,210.69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拌和站出场监 测系统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180,388.02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180,388.02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拌和站后场管 控系统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185,146.03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185,146.03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拌和站实验室 管控系统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173,523.93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173,523.93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高速公路路况 信息系统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145,016.90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145,016.90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高速公路营运 数据分析系统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203,181.58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203,181.58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高速公路营运 数据管理平台</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770,864.18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770,864.18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7"/>
              <w:jc w:val="center"/>
              <w:rPr>
                <w:rFonts w:ascii="宋体" w:hAnsi="宋体" w:cs="宋体" w:eastAsia="宋体" w:hint="default"/>
                <w:sz w:val="18"/>
                <w:szCs w:val="18"/>
              </w:rPr>
            </w:pPr>
            <w:r>
              <w:rPr>
                <w:rFonts w:ascii="宋体" w:hAnsi="宋体" w:cs="宋体" w:eastAsia="宋体" w:hint="default"/>
                <w:sz w:val="18"/>
                <w:szCs w:val="18"/>
              </w:rPr>
              <w:t>高速公路运行</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169,640.80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169,640.80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公路项目建设 管理系统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1,036,758.01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1,036,758.01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基于超限超载 决策分析模型 研究</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329,598.52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329,598.52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沥青路面施工 质量管控系统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143,440.48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143,440.48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视频综合监控 管理系统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114,952.48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114,952.48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both"/>
              <w:rPr>
                <w:rFonts w:ascii="宋体" w:hAnsi="宋体" w:cs="宋体" w:eastAsia="宋体" w:hint="default"/>
                <w:sz w:val="18"/>
                <w:szCs w:val="18"/>
              </w:rPr>
            </w:pPr>
            <w:r>
              <w:rPr>
                <w:rFonts w:ascii="宋体" w:hAnsi="宋体" w:cs="宋体" w:eastAsia="宋体" w:hint="default"/>
                <w:sz w:val="18"/>
                <w:szCs w:val="18"/>
              </w:rPr>
              <w:t>养护中心智能 养护综合管控 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77,580.45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77,580.45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应急事件处理 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81,372.92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81,372.92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应急指挥移动 终端系统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171,536.66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171,536.66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招投标报名管 理系统</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240,440.26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240,440.26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0"/>
              <w:jc w:val="both"/>
              <w:rPr>
                <w:rFonts w:ascii="宋体" w:hAnsi="宋体" w:cs="宋体" w:eastAsia="宋体" w:hint="default"/>
                <w:sz w:val="18"/>
                <w:szCs w:val="18"/>
              </w:rPr>
            </w:pPr>
            <w:r>
              <w:rPr>
                <w:rFonts w:ascii="宋体" w:hAnsi="宋体" w:cs="宋体" w:eastAsia="宋体" w:hint="default"/>
                <w:sz w:val="18"/>
                <w:szCs w:val="18"/>
              </w:rPr>
              <w:t>高速公路收费 人员模拟培训 考核系统开发</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1,540,491.14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540,527.54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2,081,018.68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安徽省交通运 输专网设计及 关键技术研究</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2,823,270.55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947,825.72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3,771,096.27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25,376,682.71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43,759,090.58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22,542,123.67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16,388,139.14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30,205,510.48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84,135,934.22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84,135,934.22</w:t>
            </w:r>
          </w:p>
        </w:tc>
      </w:tr>
      <w:tr>
        <w:trPr>
          <w:trHeight w:val="71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4,181,796.25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4,181,796.25</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78" w:header="746" w:top="1040" w:bottom="1160" w:left="1020" w:right="1020"/>
          <w:pgNumType w:start="1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2" w:right="0"/>
              <w:jc w:val="left"/>
              <w:rPr>
                <w:rFonts w:ascii="Times New Roman" w:hAnsi="Times New Roman" w:cs="Times New Roman" w:eastAsia="Times New Roman" w:hint="default"/>
                <w:sz w:val="18"/>
                <w:szCs w:val="18"/>
              </w:rPr>
            </w:pPr>
            <w:r>
              <w:rPr>
                <w:rFonts w:ascii="Times New Roman"/>
                <w:sz w:val="18"/>
              </w:rPr>
              <w:t>88,317,730.47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7" w:right="0"/>
              <w:jc w:val="left"/>
              <w:rPr>
                <w:rFonts w:ascii="Times New Roman" w:hAnsi="Times New Roman" w:cs="Times New Roman" w:eastAsia="Times New Roman" w:hint="default"/>
                <w:sz w:val="18"/>
                <w:szCs w:val="18"/>
              </w:rPr>
            </w:pPr>
            <w:r>
              <w:rPr>
                <w:rFonts w:ascii="Times New Roman"/>
                <w:sz w:val="18"/>
              </w:rPr>
              <w:t>88,317,730.47</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7"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357" w:lineRule="auto" w:before="51"/>
        <w:ind w:left="112" w:right="505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33,984,386.08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5,107,353.03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30,801,319.12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4,495,226.83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4,389,964.18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818,896.43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2,709,612.53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494,503.01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4,132,143.31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619,821.50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3,319,022.58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497,853.39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3,149,757.95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472,463.69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233,640.00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45,656,251.52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7,018,534.65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38,387,554.23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5,721,223.23</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8,181,365.33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1,227,204.80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8,841,906.60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1,326,285.99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8,181,365.33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1,227,204.80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8,841,906.60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1,326,285.99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7,018,534.65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5,721,223.23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1,227,204.80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1,326,285.99</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10,199,530.96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6,787,923.80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1,135,241.17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1,158,821.39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11,334,772.13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7,946,745.19</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2016</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349,502.03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349,502.03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391,324.79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454,542.55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354,776.81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354,776.81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39,637.54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1,135,241.17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1,158,821.39</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2" w:firstLine="420"/>
        <w:jc w:val="both"/>
      </w:pPr>
      <w:r>
        <w:rPr>
          <w:spacing w:val="-2"/>
        </w:rPr>
        <w:t>期末余额系子公司安徽汉高信息科技有限公司向中信银行合肥分行借款人民币</w:t>
      </w:r>
      <w:r>
        <w:rPr>
          <w:rFonts w:ascii="Times New Roman" w:hAnsi="Times New Roman" w:cs="Times New Roman" w:eastAsia="Times New Roman" w:hint="default"/>
          <w:spacing w:val="-2"/>
        </w:rPr>
        <w:t>1,000</w:t>
      </w:r>
      <w:r>
        <w:rPr>
          <w:spacing w:val="-2"/>
        </w:rPr>
        <w:t>万元，借款期限自</w:t>
      </w:r>
      <w:r>
        <w:rPr>
          <w:w w:val="99"/>
        </w:rPr>
        <w:t> </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13</w:t>
      </w:r>
      <w:r>
        <w:rPr>
          <w:w w:val="95"/>
        </w:rPr>
        <w:t>日至</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13</w:t>
      </w:r>
      <w:r>
        <w:rPr>
          <w:w w:val="95"/>
        </w:rPr>
        <w:t>日，由安徽皖通科技股份有限公司、安徽省交通物资有限责任公司共同提供</w:t>
      </w:r>
      <w:r>
        <w:rPr>
          <w:spacing w:val="40"/>
          <w:w w:val="95"/>
        </w:rPr>
        <w:t> </w:t>
      </w:r>
      <w:r>
        <w:rPr>
          <w:spacing w:val="40"/>
          <w:w w:val="95"/>
        </w:rPr>
      </w:r>
      <w:r>
        <w:rPr/>
        <w:t>最高额度为</w:t>
      </w:r>
      <w:r>
        <w:rPr>
          <w:rFonts w:ascii="Times New Roman" w:hAnsi="Times New Roman" w:cs="Times New Roman" w:eastAsia="Times New Roman" w:hint="default"/>
        </w:rPr>
        <w:t>4,500</w:t>
      </w:r>
      <w:r>
        <w:rPr/>
        <w:t>万元担保。</w:t>
      </w:r>
    </w:p>
    <w:p>
      <w:pPr>
        <w:pStyle w:val="BodyText"/>
        <w:spacing w:line="256" w:lineRule="auto" w:before="5"/>
        <w:ind w:right="112" w:firstLine="420"/>
        <w:jc w:val="both"/>
      </w:pPr>
      <w:r>
        <w:rPr/>
        <w:t>短期借款期末余额比期初余额增加</w:t>
      </w:r>
      <w:r>
        <w:rPr>
          <w:rFonts w:ascii="Times New Roman" w:hAnsi="Times New Roman" w:cs="Times New Roman" w:eastAsia="Times New Roman" w:hint="default"/>
        </w:rPr>
        <w:t>5,000,000.00</w:t>
      </w:r>
      <w:r>
        <w:rPr/>
        <w:t>元，增长比例为</w:t>
      </w:r>
      <w:r>
        <w:rPr>
          <w:rFonts w:ascii="Times New Roman" w:hAnsi="Times New Roman" w:cs="Times New Roman" w:eastAsia="Times New Roman" w:hint="default"/>
        </w:rPr>
        <w:t>100%</w:t>
      </w:r>
      <w:r>
        <w:rPr/>
        <w:t>，系子公司安徽汉高信息科技有</w:t>
      </w:r>
      <w:r>
        <w:rPr>
          <w:w w:val="99"/>
        </w:rPr>
        <w:t> </w:t>
      </w:r>
      <w:r>
        <w:rPr/>
        <w:t>限公司新增借款所致。</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15,440,560.01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12,791,417.50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15,440,560.01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12,791,417.50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21,241,251.45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16,858,924.02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216,703,244.76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263,639,669.82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237,944,496.21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280,498,593.84</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58,820,045.31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114,194,628.09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886,982.00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59,707,027.31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114,194,628.09</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陕西省交通建设集团公司延志吴高速公 路建设管理处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10,459,841.00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项目完工未结算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佛山广明高速公路有限公司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4,737,152.65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项目完工未结算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上海振华重工电气有限公司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项目完工未结算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16,456,993.65</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4;height:397" coordorigin="13,12" coordsize="4774,397">
              <v:shape style="position:absolute;left:13;top:12;width:4774;height:397" coordorigin="13,12" coordsize="4774,397" path="m13,12l4787,12,4787,409,13,409,13,12xe" filled="true" fillcolor="#d3d3d3" stroked="false">
                <v:path arrowok="t"/>
                <v:fill type="solid"/>
              </v:shape>
            </v:group>
            <v:group style="position:absolute;left:4792;top:12;width:4784;height:397" coordorigin="4792,12" coordsize="4784,397">
              <v:shape style="position:absolute;left:4792;top:12;width:4784;height:397" coordorigin="4792,12" coordsize="4784,397" path="m4792,12l9576,12,9576,409,4792,409,4792,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9,717,839.29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84,138,975.60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80,286,424.46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13,570,390.43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6,765,524.63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6,765,524.63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15,243.70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145,711.20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145,711.20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181,062.28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9,898,901.57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91,065,455.13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87,212,903.99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13,751,452.71</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8,175,219.16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73,885,688.26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70,606,766.61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11,454,140.81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3,045,253.72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3,045,253.72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3,241,710.63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3,241,710.63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2,680,950.13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2,680,950.13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285,883.13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285,883.13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274,877.37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274,877.37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2,512,242.04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2,440,879.04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71,363.00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1,542,620.13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1,454,080.95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951,814.46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2,044,886.62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9,717,839.29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84,138,975.60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80,286,424.46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13,570,390.43</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6,308,936.16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6,308,936.16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456,588.47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456,588.47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6,765,524.63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6,765,524.63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t>期末应付职工薪酬中无拖欠性质的金额。</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2,499,461.25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-31,402.08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5,782,184.06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4,187,709.18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5,267,506.24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5,110,493.61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235,658.03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195,376.64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712,140.08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475,801.79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282,840.16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453,192.74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43,740.87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37,000.14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298,469.22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171,193.00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78,060.17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65,498.74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195,103.27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5,300.59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210,341.05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104,099.31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10,275.89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15,606,575.80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10,784,539.55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08" w:firstLine="316"/>
        <w:jc w:val="left"/>
      </w:pPr>
      <w:r>
        <w:rPr/>
        <w:t>应交税费期末余额比期初余额增加</w:t>
      </w:r>
      <w:r>
        <w:rPr>
          <w:rFonts w:ascii="Times New Roman" w:hAnsi="Times New Roman" w:cs="Times New Roman" w:eastAsia="Times New Roman" w:hint="default"/>
        </w:rPr>
        <w:t>4,822,036.25</w:t>
      </w:r>
      <w:r>
        <w:rPr/>
        <w:t>元，增长比例为</w:t>
      </w:r>
      <w:r>
        <w:rPr>
          <w:rFonts w:ascii="Times New Roman" w:hAnsi="Times New Roman" w:cs="Times New Roman" w:eastAsia="Times New Roman" w:hint="default"/>
        </w:rPr>
        <w:t>44.71%</w:t>
      </w:r>
      <w:r>
        <w:rPr/>
        <w:t>，系由于业务增加以及营改增后</w:t>
      </w:r>
      <w:r>
        <w:rPr>
          <w:w w:val="99"/>
        </w:rPr>
        <w:t> </w:t>
      </w:r>
      <w:r>
        <w:rPr/>
        <w:t>增值税随之增加所致。</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5,022,942.20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2,289,962.47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垫付款项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1,454,709.94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295,653.25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1,088,481.87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1,112,087.54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7,566,134.01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3,697,703.26</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预计一年内转入利润表的递延收益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7"/>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3"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03"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12" w:right="757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7"/>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40" w:bottom="1160" w:left="1020" w:right="1020"/>
        </w:sectPr>
      </w:pPr>
    </w:p>
    <w:p>
      <w:pPr>
        <w:spacing w:line="357"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4613" w:space="421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12" w:right="649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12" w:right="253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5,365,442.05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2,670,957.95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1,557,600.00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6,478,800.00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5,365,442.05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2,670,957.95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9" w:right="46"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8"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8" w:right="24" w:hanging="38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智能航运船联网 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3,329,042.05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2,670,957.95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路网管理与应急 综合数据平台研 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both"/>
              <w:rPr>
                <w:rFonts w:ascii="宋体" w:hAnsi="宋体" w:cs="宋体" w:eastAsia="宋体" w:hint="default"/>
                <w:sz w:val="18"/>
                <w:szCs w:val="18"/>
              </w:rPr>
            </w:pPr>
            <w:r>
              <w:rPr>
                <w:rFonts w:ascii="宋体" w:hAnsi="宋体" w:cs="宋体" w:eastAsia="宋体" w:hint="default"/>
                <w:sz w:val="18"/>
                <w:szCs w:val="18"/>
              </w:rPr>
              <w:t>高速公路运营综 合管理平台研发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5,365,442.05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2,670,957.95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9" w:right="0"/>
              <w:jc w:val="left"/>
              <w:rPr>
                <w:rFonts w:ascii="Times New Roman" w:hAnsi="Times New Roman" w:cs="Times New Roman" w:eastAsia="Times New Roman" w:hint="default"/>
                <w:sz w:val="18"/>
                <w:szCs w:val="18"/>
              </w:rPr>
            </w:pPr>
            <w:r>
              <w:rPr>
                <w:rFonts w:ascii="Times New Roman"/>
                <w:sz w:val="18"/>
              </w:rPr>
              <w:t>214,256,620.00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7" w:right="0"/>
              <w:jc w:val="center"/>
              <w:rPr>
                <w:rFonts w:ascii="Times New Roman" w:hAnsi="Times New Roman" w:cs="Times New Roman" w:eastAsia="Times New Roman" w:hint="default"/>
                <w:sz w:val="18"/>
                <w:szCs w:val="18"/>
              </w:rPr>
            </w:pPr>
            <w:r>
              <w:rPr>
                <w:rFonts w:ascii="Times New Roman"/>
                <w:sz w:val="18"/>
              </w:rPr>
              <w:t>29,026,058.00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29,026,058.00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8"/>
                <w:szCs w:val="18"/>
              </w:rPr>
            </w:pPr>
            <w:r>
              <w:rPr>
                <w:rFonts w:ascii="Times New Roman"/>
                <w:sz w:val="18"/>
              </w:rPr>
              <w:t>243,282,678.00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07" w:firstLine="420"/>
        <w:jc w:val="left"/>
      </w:pPr>
      <w:r>
        <w:rPr>
          <w:w w:val="95"/>
        </w:rPr>
        <w:t>根据公司</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11</w:t>
      </w:r>
      <w:r>
        <w:rPr>
          <w:w w:val="95"/>
        </w:rPr>
        <w:t>月</w:t>
      </w:r>
      <w:r>
        <w:rPr>
          <w:rFonts w:ascii="Times New Roman" w:hAnsi="Times New Roman" w:cs="Times New Roman" w:eastAsia="Times New Roman" w:hint="default"/>
          <w:w w:val="95"/>
        </w:rPr>
        <w:t>25</w:t>
      </w:r>
      <w:r>
        <w:rPr>
          <w:w w:val="95"/>
        </w:rPr>
        <w:t>日召开的第三届董事会第五次会议、</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13</w:t>
      </w:r>
      <w:r>
        <w:rPr>
          <w:w w:val="95"/>
        </w:rPr>
        <w:t>日召开的</w:t>
      </w:r>
      <w:r>
        <w:rPr>
          <w:rFonts w:ascii="Times New Roman" w:hAnsi="Times New Roman" w:cs="Times New Roman" w:eastAsia="Times New Roman" w:hint="default"/>
          <w:w w:val="95"/>
        </w:rPr>
        <w:t>2013</w:t>
      </w:r>
      <w:r>
        <w:rPr>
          <w:w w:val="95"/>
        </w:rPr>
        <w:t>年第三次临时</w:t>
      </w:r>
      <w:r>
        <w:rPr>
          <w:w w:val="99"/>
        </w:rPr>
        <w:t> </w:t>
      </w:r>
      <w:r>
        <w:rPr/>
        <w:t>股东大会的决议，并经中国证券监督管理委员会证监许可〔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875</w:t>
      </w:r>
      <w:r>
        <w:rPr/>
        <w:t>号文《关于核准安徽皖通科技股份</w:t>
      </w:r>
      <w:r>
        <w:rPr>
          <w:w w:val="99"/>
        </w:rPr>
        <w:t> </w:t>
      </w:r>
      <w:r>
        <w:rPr>
          <w:w w:val="95"/>
        </w:rPr>
        <w:t>有限公司非公开发行股票的批复》的核准非公开发行</w:t>
      </w:r>
      <w:r>
        <w:rPr>
          <w:rFonts w:ascii="Times New Roman" w:hAnsi="Times New Roman" w:cs="Times New Roman" w:eastAsia="Times New Roman" w:hint="default"/>
          <w:w w:val="95"/>
        </w:rPr>
        <w:t>2,902.6058</w:t>
      </w:r>
      <w:r>
        <w:rPr>
          <w:w w:val="95"/>
        </w:rPr>
        <w:t>万新股。截至</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18</w:t>
      </w:r>
      <w:r>
        <w:rPr>
          <w:w w:val="95"/>
        </w:rPr>
        <w:t>日，公司向特定</w:t>
      </w:r>
      <w:r>
        <w:rPr>
          <w:spacing w:val="39"/>
          <w:w w:val="95"/>
        </w:rPr>
        <w:t> </w:t>
      </w:r>
      <w:r>
        <w:rPr>
          <w:spacing w:val="39"/>
          <w:w w:val="95"/>
        </w:rPr>
      </w:r>
      <w:r>
        <w:rPr>
          <w:spacing w:val="-5"/>
        </w:rPr>
        <w:t>对象定价发行人民币普通股（</w:t>
      </w:r>
      <w:r>
        <w:rPr>
          <w:rFonts w:ascii="Times New Roman" w:hAnsi="Times New Roman" w:cs="Times New Roman" w:eastAsia="Times New Roman" w:hint="default"/>
          <w:spacing w:val="-5"/>
        </w:rPr>
        <w:t>A</w:t>
      </w:r>
      <w:r>
        <w:rPr>
          <w:spacing w:val="-5"/>
        </w:rPr>
        <w:t>股）</w:t>
      </w:r>
      <w:r>
        <w:rPr>
          <w:rFonts w:ascii="Times New Roman" w:hAnsi="Times New Roman" w:cs="Times New Roman" w:eastAsia="Times New Roman" w:hint="default"/>
          <w:spacing w:val="-5"/>
        </w:rPr>
        <w:t>29,026,058</w:t>
      </w:r>
      <w:r>
        <w:rPr>
          <w:spacing w:val="-5"/>
        </w:rPr>
        <w:t>股，每股面值人民币</w:t>
      </w:r>
      <w:r>
        <w:rPr>
          <w:rFonts w:ascii="Times New Roman" w:hAnsi="Times New Roman" w:cs="Times New Roman" w:eastAsia="Times New Roman" w:hint="default"/>
          <w:spacing w:val="-5"/>
        </w:rPr>
        <w:t>1.00</w:t>
      </w:r>
      <w:r>
        <w:rPr>
          <w:spacing w:val="-5"/>
        </w:rPr>
        <w:t>元，每股发行认购价格为人民币</w:t>
      </w:r>
      <w:r>
        <w:rPr>
          <w:rFonts w:ascii="Times New Roman" w:hAnsi="Times New Roman" w:cs="Times New Roman" w:eastAsia="Times New Roman" w:hint="default"/>
          <w:spacing w:val="-5"/>
        </w:rPr>
        <w:t>13.01</w:t>
      </w:r>
      <w:r>
        <w:rPr>
          <w:rFonts w:ascii="Times New Roman" w:hAnsi="Times New Roman" w:cs="Times New Roman" w:eastAsia="Times New Roman" w:hint="default"/>
          <w:w w:val="99"/>
        </w:rPr>
        <w:t> </w:t>
      </w:r>
      <w:r>
        <w:rPr>
          <w:w w:val="95"/>
        </w:rPr>
        <w:t>元，共计募集人民币</w:t>
      </w:r>
      <w:r>
        <w:rPr>
          <w:rFonts w:ascii="Times New Roman" w:hAnsi="Times New Roman" w:cs="Times New Roman" w:eastAsia="Times New Roman" w:hint="default"/>
          <w:w w:val="95"/>
        </w:rPr>
        <w:t>377,629,014.58</w:t>
      </w:r>
      <w:r>
        <w:rPr>
          <w:w w:val="95"/>
        </w:rPr>
        <w:t>元，扣除与发行有关的费用人民币</w:t>
      </w:r>
      <w:r>
        <w:rPr>
          <w:rFonts w:ascii="Times New Roman" w:hAnsi="Times New Roman" w:cs="Times New Roman" w:eastAsia="Times New Roman" w:hint="default"/>
          <w:w w:val="95"/>
        </w:rPr>
        <w:t>15,679,026.06</w:t>
      </w:r>
      <w:r>
        <w:rPr>
          <w:w w:val="95"/>
        </w:rPr>
        <w:t>元，实际募集资金净额</w:t>
      </w:r>
      <w:r>
        <w:rPr>
          <w:spacing w:val="35"/>
          <w:w w:val="95"/>
        </w:rPr>
        <w:t> </w:t>
      </w:r>
      <w:r>
        <w:rPr>
          <w:spacing w:val="35"/>
          <w:w w:val="95"/>
        </w:rPr>
      </w:r>
      <w:r>
        <w:rPr/>
        <w:t>为人民币</w:t>
      </w:r>
      <w:r>
        <w:rPr>
          <w:rFonts w:ascii="Times New Roman" w:hAnsi="Times New Roman" w:cs="Times New Roman" w:eastAsia="Times New Roman" w:hint="default"/>
        </w:rPr>
        <w:t>361,949,988.52</w:t>
      </w:r>
      <w:r>
        <w:rPr/>
        <w:t>元，其中计入</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29,026,058.00</w:t>
      </w:r>
      <w:r>
        <w:rPr/>
        <w:t>元，计入</w:t>
      </w:r>
      <w:r>
        <w:rPr>
          <w:rFonts w:ascii="Times New Roman" w:hAnsi="Times New Roman" w:cs="Times New Roman" w:eastAsia="Times New Roman" w:hint="default"/>
        </w:rPr>
        <w:t>“</w:t>
      </w:r>
      <w:r>
        <w:rPr/>
        <w:t>资本公积－股本溢价</w:t>
      </w:r>
      <w:r>
        <w:rPr>
          <w:rFonts w:ascii="Times New Roman" w:hAnsi="Times New Roman" w:cs="Times New Roman" w:eastAsia="Times New Roman" w:hint="default"/>
        </w:rPr>
        <w:t>”</w:t>
      </w:r>
      <w:r>
        <w:rPr/>
        <w:t>人民币</w:t>
      </w:r>
      <w:r>
        <w:rPr>
          <w:w w:val="99"/>
        </w:rPr>
        <w:t> </w:t>
      </w:r>
      <w:r>
        <w:rPr>
          <w:rFonts w:ascii="Times New Roman" w:hAnsi="Times New Roman" w:cs="Times New Roman" w:eastAsia="Times New Roman" w:hint="default"/>
        </w:rPr>
        <w:t>332,923,930.52</w:t>
      </w:r>
      <w:r>
        <w:rPr/>
        <w:t>元。本期股本变动经大华会计师事务所出具大华验字</w:t>
      </w:r>
      <w:r>
        <w:rPr>
          <w:spacing w:val="-17"/>
        </w:rPr>
        <w:t> </w:t>
      </w:r>
      <w:r>
        <w:rPr/>
        <w:t>（</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000364</w:t>
      </w:r>
      <w:r>
        <w:rPr/>
        <w:t>号、</w:t>
      </w:r>
      <w:r>
        <w:rPr>
          <w:rFonts w:ascii="Times New Roman" w:hAnsi="Times New Roman" w:cs="Times New Roman" w:eastAsia="Times New Roman" w:hint="default"/>
        </w:rPr>
        <w:t>000365</w:t>
      </w:r>
      <w:r>
        <w:rPr/>
        <w:t>号验资报</w:t>
      </w:r>
      <w:r>
        <w:rPr>
          <w:w w:val="99"/>
        </w:rPr>
        <w:t> </w:t>
      </w:r>
      <w:r>
        <w:rPr/>
        <w:t>告验证。</w:t>
      </w:r>
    </w:p>
    <w:p>
      <w:pPr>
        <w:spacing w:after="0" w:line="256" w:lineRule="auto"/>
        <w:jc w:val="left"/>
        <w:sectPr>
          <w:footerReference w:type="default" r:id="rId33"/>
          <w:pgSz w:w="11910" w:h="16840"/>
          <w:pgMar w:footer="978" w:header="746" w:top="1040" w:bottom="1160" w:left="1020" w:right="1020"/>
          <w:pgNumType w:start="13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12" w:right="361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317,887,916.23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332,923,930.52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650,811,846.75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317,887,916.23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332,923,930.52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650,811,846.75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2"/>
        <w:ind w:left="514" w:right="5899"/>
        <w:jc w:val="center"/>
      </w:pPr>
      <w:r>
        <w:rPr/>
        <w:t>本期增加详见附注六、注释</w:t>
      </w:r>
      <w:r>
        <w:rPr>
          <w:rFonts w:ascii="Times New Roman" w:hAnsi="Times New Roman" w:cs="Times New Roman" w:eastAsia="Times New Roman" w:hint="default"/>
        </w:rPr>
        <w:t>24.</w:t>
      </w:r>
      <w:r>
        <w:rPr/>
        <w:t>股本。</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1"/>
        <w:gridCol w:w="935"/>
        <w:gridCol w:w="936"/>
        <w:gridCol w:w="935"/>
        <w:gridCol w:w="797"/>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0"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1" w:right="20" w:hanging="257"/>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single" w:sz="4" w:space="0" w:color="000000"/>
              <w:right w:val="single" w:sz="4" w:space="0" w:color="000000"/>
            </w:tcBorders>
            <w:shd w:val="clear" w:color="auto" w:fill="D3D3D3"/>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24,510,285.24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4,452,164.22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28,962,449.46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24,510,285.24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4,452,164.22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28,962,449.46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200,892,692.68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148,240,831.48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9"/>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200,892,692.68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148,240,831.48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57,132,485.38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70,763,819.33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4,452,164.22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4,720,919.33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4,285,132.40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13,391,038.80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249,287,881.43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200,892,692.68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781,070,522.93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617,110,861.08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794,070,544.30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622,083,114.81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230,340.70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430,309.76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777,566.35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649,304.60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781,300,863.63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617,541,170.84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794,848,110.65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622,732,419.41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9,141,574.97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11,576,865.54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1,499,200.64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1,215,172.10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711,140.37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576,107.85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491,685.94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409,788.72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1,086.23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11,844,688.15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13,777,934.21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5,672,534.00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4,443,318.60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314,400.17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367,062.75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1,723,081.39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3,664,338.94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1,951,547.30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2,207,828.00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11,193,971.63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7,701,330.44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315,177.00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615,485.00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564,260.64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426,107.54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1,620,411.93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2,027,547.16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1,688,080.39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26,554.53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2,421,554.40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3,459,974.39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26,300,628.22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26,193,937.98</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21,519,451.30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15,468,083.03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16,388,139.14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19,878,846.45</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11,465,248.94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9,058,309.56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3,628,749.75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5,336,646.84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1,723,358.17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1,083,016.57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3,385,447.35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3,527,682.75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9,884,941.29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9,315,567.96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68,001,005.94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63,680,453.16</w:t>
            </w:r>
          </w:p>
        </w:tc>
      </w:tr>
    </w:tbl>
    <w:p>
      <w:pPr>
        <w:spacing w:before="50"/>
        <w:ind w:left="112" w:right="2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202"/>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395,432.14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2,539,065.32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3,502,367.43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350,370.53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45,114.43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630,877.59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277,456.26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-921,900.54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-2,784,364.60</w:t>
            </w:r>
          </w:p>
        </w:tc>
      </w:tr>
    </w:tbl>
    <w:p>
      <w:pPr>
        <w:spacing w:before="50"/>
        <w:ind w:left="112" w:right="2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spacing w:val="-1"/>
          <w:w w:val="99"/>
        </w:rPr>
        <w:t>财</w:t>
      </w:r>
      <w:r>
        <w:rPr>
          <w:spacing w:val="2"/>
          <w:w w:val="99"/>
        </w:rPr>
        <w:t>务</w:t>
      </w:r>
      <w:r>
        <w:rPr>
          <w:spacing w:val="-1"/>
          <w:w w:val="99"/>
        </w:rPr>
        <w:t>费</w:t>
      </w:r>
      <w:r>
        <w:rPr>
          <w:spacing w:val="2"/>
          <w:w w:val="99"/>
        </w:rPr>
        <w:t>用</w:t>
      </w:r>
      <w:r>
        <w:rPr>
          <w:spacing w:val="-1"/>
          <w:w w:val="99"/>
        </w:rPr>
        <w:t>本</w:t>
      </w:r>
      <w:r>
        <w:rPr>
          <w:spacing w:val="2"/>
          <w:w w:val="99"/>
        </w:rPr>
        <w:t>期</w:t>
      </w:r>
      <w:r>
        <w:rPr>
          <w:spacing w:val="-1"/>
          <w:w w:val="99"/>
        </w:rPr>
        <w:t>发</w:t>
      </w:r>
      <w:r>
        <w:rPr>
          <w:spacing w:val="2"/>
          <w:w w:val="99"/>
        </w:rPr>
        <w:t>生</w:t>
      </w:r>
      <w:r>
        <w:rPr>
          <w:spacing w:val="-1"/>
          <w:w w:val="99"/>
        </w:rPr>
        <w:t>额</w:t>
      </w:r>
      <w:r>
        <w:rPr>
          <w:spacing w:val="2"/>
          <w:w w:val="99"/>
        </w:rPr>
        <w:t>较</w:t>
      </w:r>
      <w:r>
        <w:rPr>
          <w:spacing w:val="-1"/>
          <w:w w:val="99"/>
        </w:rPr>
        <w:t>上</w:t>
      </w:r>
      <w:r>
        <w:rPr>
          <w:spacing w:val="2"/>
          <w:w w:val="99"/>
        </w:rPr>
        <w:t>期</w:t>
      </w:r>
      <w:r>
        <w:rPr>
          <w:spacing w:val="-1"/>
          <w:w w:val="99"/>
        </w:rPr>
        <w:t>下</w:t>
      </w:r>
      <w:r>
        <w:rPr>
          <w:spacing w:val="2"/>
          <w:w w:val="99"/>
        </w:rPr>
        <w:t>降</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86</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46</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2"/>
          <w:w w:val="99"/>
        </w:rPr>
        <w:t>元</w:t>
      </w:r>
      <w:r>
        <w:rPr>
          <w:spacing w:val="-97"/>
          <w:w w:val="99"/>
        </w:rPr>
        <w:t>，</w:t>
      </w:r>
      <w:r>
        <w:rPr>
          <w:spacing w:val="-1"/>
          <w:w w:val="99"/>
        </w:rPr>
        <w:t>下</w:t>
      </w:r>
      <w:r>
        <w:rPr>
          <w:spacing w:val="2"/>
          <w:w w:val="99"/>
        </w:rPr>
        <w:t>降</w:t>
      </w:r>
      <w:r>
        <w:rPr>
          <w:spacing w:val="-1"/>
          <w:w w:val="99"/>
        </w:rPr>
        <w:t>比</w:t>
      </w:r>
      <w:r>
        <w:rPr>
          <w:spacing w:val="2"/>
          <w:w w:val="99"/>
        </w:rPr>
        <w:t>率</w:t>
      </w:r>
      <w:r>
        <w:rPr>
          <w:w w:val="99"/>
        </w:rPr>
        <w:t>为</w:t>
      </w:r>
      <w:r>
        <w:rPr/>
        <w:t> </w:t>
      </w:r>
      <w:r>
        <w:rPr>
          <w:rFonts w:ascii="Times New Roman" w:hAnsi="Times New Roman" w:cs="Times New Roman" w:eastAsia="Times New Roman" w:hint="default"/>
          <w:spacing w:val="1"/>
          <w:w w:val="99"/>
        </w:rPr>
        <w:t>66</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2"/>
          <w:w w:val="99"/>
        </w:rPr>
        <w:t>%</w:t>
      </w:r>
      <w:r>
        <w:rPr>
          <w:spacing w:val="-97"/>
          <w:w w:val="99"/>
        </w:rPr>
        <w:t>，</w:t>
      </w:r>
      <w:r>
        <w:rPr>
          <w:spacing w:val="-1"/>
          <w:w w:val="99"/>
        </w:rPr>
        <w:t>主</w:t>
      </w:r>
      <w:r>
        <w:rPr>
          <w:spacing w:val="2"/>
          <w:w w:val="99"/>
        </w:rPr>
        <w:t>要</w:t>
      </w:r>
      <w:r>
        <w:rPr>
          <w:spacing w:val="-1"/>
          <w:w w:val="99"/>
        </w:rPr>
        <w:t>系</w:t>
      </w:r>
      <w:r>
        <w:rPr>
          <w:spacing w:val="2"/>
          <w:w w:val="99"/>
        </w:rPr>
        <w:t>存</w:t>
      </w:r>
      <w:r>
        <w:rPr>
          <w:spacing w:val="-1"/>
          <w:w w:val="99"/>
        </w:rPr>
        <w:t>款</w:t>
      </w:r>
      <w:r>
        <w:rPr>
          <w:spacing w:val="2"/>
          <w:w w:val="99"/>
        </w:rPr>
        <w:t>利</w:t>
      </w:r>
      <w:r>
        <w:rPr>
          <w:spacing w:val="-1"/>
          <w:w w:val="99"/>
        </w:rPr>
        <w:t>息</w:t>
      </w:r>
      <w:r>
        <w:rPr>
          <w:spacing w:val="2"/>
          <w:w w:val="99"/>
        </w:rPr>
        <w:t>收</w:t>
      </w:r>
      <w:r>
        <w:rPr>
          <w:spacing w:val="-1"/>
          <w:w w:val="99"/>
        </w:rPr>
        <w:t>入</w:t>
      </w:r>
      <w:r>
        <w:rPr>
          <w:spacing w:val="2"/>
          <w:w w:val="99"/>
        </w:rPr>
        <w:t>减</w:t>
      </w:r>
      <w:r>
        <w:rPr>
          <w:spacing w:val="-1"/>
          <w:w w:val="99"/>
        </w:rPr>
        <w:t>少</w:t>
      </w:r>
      <w:r>
        <w:rPr>
          <w:spacing w:val="2"/>
          <w:w w:val="99"/>
        </w:rPr>
        <w:t>所致</w:t>
      </w:r>
      <w:r>
        <w:rPr>
          <w:w w:val="99"/>
        </w:rPr>
        <w:t>。</w:t>
      </w:r>
      <w:r>
        <w:rPr/>
      </w:r>
    </w:p>
    <w:p>
      <w:pPr>
        <w:spacing w:line="240" w:lineRule="auto" w:before="10"/>
        <w:rPr>
          <w:rFonts w:ascii="宋体" w:hAnsi="宋体" w:cs="宋体" w:eastAsia="宋体" w:hint="default"/>
          <w:sz w:val="24"/>
          <w:szCs w:val="24"/>
        </w:rPr>
      </w:pPr>
    </w:p>
    <w:p>
      <w:pPr>
        <w:pStyle w:val="Heading4"/>
        <w:spacing w:line="240" w:lineRule="auto"/>
        <w:ind w:right="202"/>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-5,062,269.16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1,267,574.41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607,509.44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9,463,199.69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8,536,800.31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4,400,930.53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10,411,884.16</w:t>
            </w:r>
          </w:p>
        </w:tc>
      </w:tr>
    </w:tbl>
    <w:p>
      <w:pPr>
        <w:spacing w:before="49"/>
        <w:ind w:left="112" w:right="2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202" w:firstLine="420"/>
        <w:jc w:val="left"/>
      </w:pPr>
      <w:r>
        <w:rPr>
          <w:spacing w:val="-2"/>
        </w:rPr>
        <w:t>资产减值损失本期比上期下降</w:t>
      </w:r>
      <w:r>
        <w:rPr>
          <w:rFonts w:ascii="Times New Roman" w:hAnsi="Times New Roman" w:cs="Times New Roman" w:eastAsia="Times New Roman" w:hint="default"/>
          <w:spacing w:val="-2"/>
        </w:rPr>
        <w:t>6,010,953.63</w:t>
      </w:r>
      <w:r>
        <w:rPr>
          <w:spacing w:val="-2"/>
        </w:rPr>
        <w:t>元，下降比例为</w:t>
      </w:r>
      <w:r>
        <w:rPr>
          <w:rFonts w:ascii="Times New Roman" w:hAnsi="Times New Roman" w:cs="Times New Roman" w:eastAsia="Times New Roman" w:hint="default"/>
          <w:spacing w:val="-2"/>
        </w:rPr>
        <w:t>57.73%</w:t>
      </w:r>
      <w:r>
        <w:rPr>
          <w:spacing w:val="-2"/>
        </w:rPr>
        <w:t>，主要是本期坏账准备会计估计变更</w:t>
      </w:r>
      <w:r>
        <w:rPr>
          <w:w w:val="99"/>
        </w:rPr>
        <w:t> </w:t>
      </w:r>
      <w:r>
        <w:rPr/>
        <w:t>调整，对</w:t>
      </w:r>
      <w:r>
        <w:rPr>
          <w:rFonts w:ascii="Times New Roman" w:hAnsi="Times New Roman" w:cs="Times New Roman" w:eastAsia="Times New Roman" w:hint="default"/>
        </w:rPr>
        <w:t>6</w:t>
      </w:r>
      <w:r>
        <w:rPr/>
        <w:t>个月以内计提比例为</w:t>
      </w:r>
      <w:r>
        <w:rPr>
          <w:rFonts w:ascii="Times New Roman" w:hAnsi="Times New Roman" w:cs="Times New Roman" w:eastAsia="Times New Roman" w:hint="default"/>
        </w:rPr>
        <w:t>0</w:t>
      </w:r>
      <w:r>
        <w:rPr/>
        <w:t>产生的影响所致。</w:t>
      </w:r>
    </w:p>
    <w:p>
      <w:pPr>
        <w:spacing w:line="240" w:lineRule="auto" w:before="6"/>
        <w:rPr>
          <w:rFonts w:ascii="宋体" w:hAnsi="宋体" w:cs="宋体" w:eastAsia="宋体" w:hint="default"/>
          <w:sz w:val="23"/>
          <w:szCs w:val="23"/>
        </w:rPr>
      </w:pPr>
    </w:p>
    <w:p>
      <w:pPr>
        <w:pStyle w:val="Heading4"/>
        <w:spacing w:line="240" w:lineRule="auto"/>
        <w:ind w:right="202"/>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2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-859,507.75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-636,943.28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16,190,914.52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4,329,434.70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35,837.37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3,469,926.95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15,589,808.61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09" w:firstLine="420"/>
        <w:jc w:val="left"/>
      </w:pPr>
      <w:r>
        <w:rPr/>
        <w:t>投资收益本期比上期下降</w:t>
      </w:r>
      <w:r>
        <w:rPr>
          <w:rFonts w:ascii="Times New Roman" w:hAnsi="Times New Roman" w:cs="Times New Roman" w:eastAsia="Times New Roman" w:hint="default"/>
        </w:rPr>
        <w:t>12,119,881.66</w:t>
      </w:r>
      <w:r>
        <w:rPr/>
        <w:t>元，下降比例为</w:t>
      </w:r>
      <w:r>
        <w:rPr>
          <w:rFonts w:ascii="Times New Roman" w:hAnsi="Times New Roman" w:cs="Times New Roman" w:eastAsia="Times New Roman" w:hint="default"/>
        </w:rPr>
        <w:t>77.74%</w:t>
      </w:r>
      <w:r>
        <w:rPr/>
        <w:t>，主要是上期处置安徽梦维视频科技有</w:t>
      </w:r>
      <w:r>
        <w:rPr>
          <w:w w:val="99"/>
        </w:rPr>
        <w:t> </w:t>
      </w:r>
      <w:r>
        <w:rPr/>
        <w:t>限公司</w:t>
      </w:r>
      <w:r>
        <w:rPr>
          <w:rFonts w:ascii="Times New Roman" w:hAnsi="Times New Roman" w:cs="Times New Roman" w:eastAsia="Times New Roman" w:hint="default"/>
        </w:rPr>
        <w:t>100%</w:t>
      </w:r>
      <w:r>
        <w:rPr/>
        <w:t>股权产生的收益影响所致。</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7,383.67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14,691.59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7,383.67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15,008,652.09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8,415,713.92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10,327,966.05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723,440.89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538.21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15,016,573.97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9,153,846.40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10,335,887.93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4,680,686.04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3,526,496.36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路网管理与应急综合数据平 台研发项目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高新技术产品补贴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4"/>
              <w:jc w:val="left"/>
              <w:rPr>
                <w:rFonts w:ascii="宋体" w:hAnsi="宋体" w:cs="宋体" w:eastAsia="宋体" w:hint="default"/>
                <w:sz w:val="18"/>
                <w:szCs w:val="18"/>
              </w:rPr>
            </w:pPr>
            <w:r>
              <w:rPr>
                <w:rFonts w:ascii="宋体" w:hAnsi="宋体" w:cs="宋体" w:eastAsia="宋体" w:hint="default"/>
                <w:sz w:val="18"/>
                <w:szCs w:val="18"/>
              </w:rPr>
              <w:t>合肥市自主创新企业财政补 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高新区管委会奖励</w:t>
            </w:r>
            <w:r>
              <w:rPr>
                <w:rFonts w:ascii="宋体" w:hAnsi="宋体" w:cs="宋体" w:eastAsia="宋体" w:hint="default"/>
                <w:spacing w:val="1"/>
                <w:sz w:val="18"/>
                <w:szCs w:val="18"/>
              </w:rPr>
              <w:t> </w:t>
            </w:r>
            <w:r>
              <w:rPr>
                <w:rFonts w:ascii="宋体" w:hAnsi="宋体" w:cs="宋体" w:eastAsia="宋体" w:hint="default"/>
                <w:sz w:val="18"/>
                <w:szCs w:val="18"/>
              </w:rPr>
              <w:t>品牌质量</w:t>
            </w:r>
            <w:r>
              <w:rPr>
                <w:rFonts w:ascii="宋体" w:hAnsi="宋体" w:cs="宋体" w:eastAsia="宋体" w:hint="default"/>
                <w:sz w:val="18"/>
                <w:szCs w:val="18"/>
              </w:rPr>
              <w:t> 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企业发明专利政府补助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仪器设备研发补助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固定资产投资补助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人事局技能培训资金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企业岗位补贴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就业见习补贴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新员工培训补助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自主创新税收留成资金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643,900.00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智能船联网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3,329,042.05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服务外包发展资金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口岸物流服务平台研发和应 用课题经费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4"/>
              <w:jc w:val="left"/>
              <w:rPr>
                <w:rFonts w:ascii="宋体" w:hAnsi="宋体" w:cs="宋体" w:eastAsia="宋体" w:hint="default"/>
                <w:sz w:val="18"/>
                <w:szCs w:val="18"/>
              </w:rPr>
            </w:pPr>
            <w:r>
              <w:rPr>
                <w:rFonts w:ascii="宋体" w:hAnsi="宋体" w:cs="宋体" w:eastAsia="宋体" w:hint="default"/>
                <w:sz w:val="18"/>
                <w:szCs w:val="18"/>
              </w:rPr>
              <w:t>科技型中小企业技术创新基 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合肥市促进工业和商业企业 增产增销奖励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年度市</w:t>
            </w:r>
            <w:r>
              <w:rPr>
                <w:rFonts w:ascii="Times New Roman" w:hAnsi="Times New Roman" w:cs="Times New Roman" w:eastAsia="Times New Roman" w:hint="default"/>
                <w:sz w:val="18"/>
                <w:szCs w:val="18"/>
              </w:rPr>
              <w:t>"228"</w:t>
            </w:r>
            <w:r>
              <w:rPr>
                <w:rFonts w:ascii="宋体" w:hAnsi="宋体" w:cs="宋体" w:eastAsia="宋体" w:hint="default"/>
                <w:sz w:val="18"/>
                <w:szCs w:val="18"/>
              </w:rPr>
              <w:t>产业创新团 队人才发展资金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软件企业税收奖励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113,372.00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227,986.00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青年就业见习基地补贴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459,006.00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计算机软件著作权申请资助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年度安徽名牌称号企业 政策奖补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年度早餐、会展、物流、 服务外包国际认证项目补贴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119.5pt;height:35.450pt;mso-position-horizontal-relative:char;mso-position-vertical-relative:line" coordorigin="0,0" coordsize="2390,709">
                  <v:group style="position:absolute;left:0;top:0;width:2390;height:709" coordorigin="0,0" coordsize="2390,709">
                    <v:shape style="position:absolute;left:0;top:0;width:2390;height:709" coordorigin="0,0" coordsize="2390,709" path="m0,0l2390,0,2390,709,0,709,0,0xe" filled="true" fillcolor="#ffffff" stroked="false">
                      <v:path arrowok="t"/>
                      <v:fill type="solid"/>
                    </v:shape>
                  </v:group>
                </v:group>
              </w:pict>
            </w:r>
            <w:r>
              <w:rPr>
                <w:rFonts w:ascii="宋体" w:hAnsi="宋体" w:cs="宋体" w:eastAsia="宋体" w:hint="default"/>
                <w:position w:val="-13"/>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科技攻关计划资金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15,008,652.09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9,114,288.36</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106,319.48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156,383.67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106,319.48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156,383.67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15,526.80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15,526.80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5,488.65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3,965.02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2,352.23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174,267.08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116,328.74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174,267.08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13,140,511.96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13,965,970.08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-1,396,392.61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-2,397,808.32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11,744,119.35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11,568,161.76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72,446,574.33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10,866,986.15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-87,357.94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48,154.98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-266,778.60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-1,396,392.61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405,996.62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资产减值损失内部抵销的影响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2,173,510.75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11,744,119.35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1,449,030.97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2,507,928.71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12,352,424.66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7,145,392.00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投标履约保证金及往来款项收入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137,437,122.20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124,757,265.98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16,166.45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151,238,629.63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134,426,753.14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17,883.41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630,877.59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保证金等往来款项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118,291,581.82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43,522,766.88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支付的营业及管理费用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33,576,106.00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54,913,534.27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152,516,448.82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98,436,301.15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因持有天津玺朗文化传媒有限公司股份 比例下降不纳入合并日净流出</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566,634.74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566,634.74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r>
        <w:rPr/>
        <w:pict>
          <v:group style="position:absolute;margin-left:223.199997pt;margin-top:707.050049pt;width:152.6pt;height:39.950pt;mso-position-horizontal-relative:page;mso-position-vertical-relative:page;z-index:-845848" coordorigin="4464,14141" coordsize="3052,799">
            <v:group style="position:absolute;left:4464;top:14141;width:3052;height:397" coordorigin="4464,14141" coordsize="3052,397">
              <v:shape style="position:absolute;left:4464;top:14141;width:3052;height:397" coordorigin="4464,14141" coordsize="3052,397" path="m4464,14141l7516,14141,7516,14538,4464,14538,4464,14141xe" filled="true" fillcolor="#ffffff" stroked="false">
                <v:path arrowok="t"/>
                <v:fill type="solid"/>
              </v:shape>
            </v:group>
            <v:group style="position:absolute;left:4464;top:14543;width:3052;height:397" coordorigin="4464,14543" coordsize="3052,397">
              <v:shape style="position:absolute;left:4464;top:14543;width:3052;height:397" coordorigin="4464,14543" coordsize="3052,397" path="m4464,14543l7516,14543,7516,14940,4464,14940,4464,14543xe" filled="true" fillcolor="#ffffff" stroked="false">
                <v:path arrowok="t"/>
                <v:fill type="solid"/>
              </v:shape>
            </v:group>
            <w10:wrap type="none"/>
          </v:group>
        </w:pict>
      </w: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1,090,034.35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994,431.72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3,959,161.47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1,090,034.35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4,953,593.19</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4,720,240.56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4,629,514.46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非公开发行费用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1,679,026.06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11,028,781.08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60,702,454.98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73,895,010.84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4,400,930.53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10,411,884.16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8,722,826.33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7,520,175.33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3,897,482.27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2,286,823.20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91,627.89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-454,117.69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-994,431.72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-3,469,926.95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-15,553,821.94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tabs>
                <w:tab w:pos="2026" w:val="left" w:leader="none"/>
              </w:tabs>
              <w:spacing w:line="240" w:lineRule="auto" w:before="50"/>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-1,297,311.42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-2,292,544.69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tabs>
                <w:tab w:pos="2244" w:val="left" w:leader="none"/>
              </w:tabs>
              <w:spacing w:line="240" w:lineRule="auto" w:before="51"/>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-99,081.19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-105,263.63</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13,442,859.34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-75,835,227.44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-12,732,188.44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14,980,699.05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-82,355,514.18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40,464,680.61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-9,092,586.42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54,869,611.66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551,426,288.97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356,086,974.44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356,086,974.44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344,669,690.49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200,339,314.53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11,417,283.95</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551,426,288.97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356,086,974.44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376,468.65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314,316.25</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549,868,469.23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351,117,092.27</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78" w:header="746" w:top="1040" w:bottom="1160" w:left="1020" w:right="1020"/>
          <w:pgNumType w:start="14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7,918,594.09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4,655,565.92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556,426,288.97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356,086,974.44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18"/>
        <w:ind w:left="112" w:right="4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17,579,571.51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票据、保函保证金等</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11,937,570.00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房屋用于履约保函抵押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29,517,141.51</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房屋用于履约保函抵押，参见附注注释</w:t>
      </w:r>
      <w:r>
        <w:rPr>
          <w:rFonts w:ascii="Times New Roman" w:hAnsi="Times New Roman" w:cs="Times New Roman" w:eastAsia="Times New Roman" w:hint="default"/>
        </w:rPr>
        <w:t>10.</w:t>
      </w:r>
      <w:r>
        <w:rPr/>
        <w:t>固定资产原价及累计折旧。</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9" w:right="0"/>
              <w:jc w:val="left"/>
              <w:rPr>
                <w:rFonts w:ascii="Times New Roman" w:hAnsi="Times New Roman" w:cs="Times New Roman" w:eastAsia="Times New Roman" w:hint="default"/>
                <w:sz w:val="18"/>
                <w:szCs w:val="18"/>
              </w:rPr>
            </w:pPr>
            <w:r>
              <w:rPr>
                <w:rFonts w:ascii="Times New Roman"/>
                <w:sz w:val="18"/>
              </w:rPr>
              <w:t>361,514.59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r>
              <w:rPr>
                <w:rFonts w:ascii="Times New Roman"/>
                <w:spacing w:val="-1"/>
                <w:sz w:val="18"/>
              </w:rPr>
              <w:t> </w:t>
            </w:r>
            <w:r>
              <w:rPr>
                <w:rFonts w:ascii="Times New Roman"/>
                <w:sz w:val="18"/>
              </w:rPr>
              <w:t>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2" w:right="0"/>
              <w:jc w:val="left"/>
              <w:rPr>
                <w:rFonts w:ascii="Times New Roman" w:hAnsi="Times New Roman" w:cs="Times New Roman" w:eastAsia="Times New Roman" w:hint="default"/>
                <w:sz w:val="18"/>
                <w:szCs w:val="18"/>
              </w:rPr>
            </w:pPr>
            <w:r>
              <w:rPr>
                <w:rFonts w:ascii="Times New Roman"/>
                <w:sz w:val="18"/>
              </w:rPr>
              <w:t>2,695,308.18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spacing w:line="487" w:lineRule="auto" w:before="34"/>
        <w:ind w:left="112" w:right="73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本期未发生非同一控制下企业合并。</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5054" w:firstLine="0"/>
        <w:jc w:val="left"/>
        <w:rPr>
          <w:rFonts w:ascii="宋体" w:hAnsi="宋体" w:cs="宋体" w:eastAsia="宋体" w:hint="default"/>
          <w:sz w:val="18"/>
          <w:szCs w:val="18"/>
        </w:rPr>
      </w:pPr>
      <w:r>
        <w:rPr>
          <w:rFonts w:ascii="宋体" w:hAnsi="宋体" w:cs="宋体" w:eastAsia="宋体" w:hint="default"/>
          <w:sz w:val="18"/>
          <w:szCs w:val="18"/>
        </w:rPr>
        <w:t>无 合并成本公允价值的确定方法、或有对价及其变动的说明： 大额商誉形成的主要原因：</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51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40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被合并方名</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企业合并中</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构成同一控</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合并日的确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比较期间被</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比较期间被</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318" w:hRule="exact"/>
        </w:trPr>
        <w:tc>
          <w:tcPr>
            <w:tcW w:w="106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取得的权益</w:t>
            </w: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制下企业合</w:t>
            </w:r>
          </w:p>
        </w:tc>
        <w:tc>
          <w:tcPr>
            <w:tcW w:w="1064" w:type="dxa"/>
            <w:vMerge w:val="restart"/>
            <w:tcBorders>
              <w:top w:val="single" w:sz="4" w:space="0" w:color="000000"/>
              <w:left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257"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初至合并日</w:t>
            </w: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初至合并日</w:t>
            </w: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合并方的收</w:t>
            </w: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合并方的净</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shd w:val="clear" w:color="auto" w:fill="D3D3D3"/>
          </w:tcPr>
          <w:p>
            <w:pP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并的依据</w:t>
            </w:r>
          </w:p>
        </w:tc>
        <w:tc>
          <w:tcPr>
            <w:tcW w:w="1064" w:type="dxa"/>
            <w:vMerge/>
            <w:tcBorders>
              <w:left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被合并方的</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被合并方的</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入</w:t>
            </w: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w:t>
            </w:r>
          </w:p>
        </w:tc>
      </w:tr>
      <w:tr>
        <w:trPr>
          <w:trHeight w:val="356" w:hRule="exact"/>
        </w:trPr>
        <w:tc>
          <w:tcPr>
            <w:tcW w:w="1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本期未发生同一控制下企业合并。</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7574" w:firstLine="0"/>
        <w:jc w:val="left"/>
        <w:rPr>
          <w:rFonts w:ascii="宋体" w:hAnsi="宋体" w:cs="宋体" w:eastAsia="宋体" w:hint="default"/>
          <w:sz w:val="18"/>
          <w:szCs w:val="18"/>
        </w:rPr>
      </w:pPr>
      <w:r>
        <w:rPr>
          <w:rFonts w:ascii="宋体" w:hAnsi="宋体" w:cs="宋体" w:eastAsia="宋体" w:hint="default"/>
          <w:sz w:val="18"/>
          <w:szCs w:val="18"/>
        </w:rPr>
        <w:t>无 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649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pStyle w:val="BodyText"/>
        <w:spacing w:line="240" w:lineRule="auto" w:before="34"/>
        <w:ind w:right="0"/>
        <w:jc w:val="left"/>
      </w:pPr>
      <w:r>
        <w:rPr/>
        <w:t>本期未发生反向购买。</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12" w:right="3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73" w:lineRule="auto" w:before="92"/>
        <w:ind w:right="112" w:firstLine="420"/>
        <w:jc w:val="left"/>
      </w:pPr>
      <w:r>
        <w:rPr>
          <w:spacing w:val="4"/>
        </w:rPr>
        <w:t>本期全资子公司烟台华东电子软件技术有限公司新设一全资子公司烟台华东电子科技有限公司纳入</w:t>
      </w:r>
      <w:r>
        <w:rPr>
          <w:w w:val="99"/>
        </w:rPr>
        <w:t> </w:t>
      </w:r>
      <w:r>
        <w:rPr/>
        <w:t>合并，除此之外未发生其他原因导致的合并范围变动。</w:t>
      </w:r>
    </w:p>
    <w:p>
      <w:pPr>
        <w:spacing w:after="0" w:line="273"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spacing w:line="487" w:lineRule="auto" w:before="34"/>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60"/>
        <w:gridCol w:w="1178"/>
        <w:gridCol w:w="1367"/>
        <w:gridCol w:w="1367"/>
        <w:gridCol w:w="1367"/>
        <w:gridCol w:w="1366"/>
        <w:gridCol w:w="1366"/>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117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天津市金飞博光通 讯技术有限公司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天津市天安怡和信 息技术有限公司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天津信息港甲子科 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安徽皖通城市智能 交通科技有限公司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重庆皖通科技有限 责任公司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烟台华东电子软件 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08"/>
              <w:jc w:val="righ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18"/>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非同一控制下的 企业合并（购买 股权）</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安徽汉高信息科技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8"/>
              <w:jc w:val="righ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18"/>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非同一控制下的 企业合并（购买 股权）</w:t>
            </w:r>
          </w:p>
        </w:tc>
      </w:tr>
    </w:tbl>
    <w:p>
      <w:pPr>
        <w:spacing w:line="331" w:lineRule="auto" w:before="51"/>
        <w:ind w:left="112" w:right="181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w:t>
      </w:r>
      <w:r>
        <w:rPr>
          <w:rFonts w:ascii="宋体" w:hAnsi="宋体" w:cs="宋体" w:eastAsia="宋体" w:hint="default"/>
          <w:sz w:val="21"/>
          <w:szCs w:val="21"/>
        </w:rPr>
        <w:t>无子公司的持股比例不同于表决权比例的情况。</w:t>
      </w:r>
      <w:r>
        <w:rPr>
          <w:rFonts w:ascii="宋体" w:hAnsi="宋体" w:cs="宋体" w:eastAsia="宋体" w:hint="default"/>
          <w:w w:val="99"/>
          <w:sz w:val="21"/>
          <w:szCs w:val="21"/>
        </w:rPr>
        <w:t> </w:t>
      </w:r>
      <w:r>
        <w:rPr>
          <w:rFonts w:ascii="宋体" w:hAnsi="宋体" w:cs="宋体" w:eastAsia="宋体" w:hint="default"/>
          <w:sz w:val="18"/>
          <w:szCs w:val="18"/>
        </w:rPr>
        <w:t>持有半数或以下表决权但仍控制被投资单位、以及持有半数以上表决权但不控制被投资单位的依据：</w:t>
      </w:r>
    </w:p>
    <w:p>
      <w:pPr>
        <w:pStyle w:val="BodyText"/>
        <w:spacing w:line="273" w:lineRule="auto" w:before="23"/>
        <w:ind w:left="532" w:right="0"/>
        <w:jc w:val="left"/>
        <w:rPr>
          <w:rFonts w:ascii="Times New Roman" w:hAnsi="Times New Roman" w:cs="Times New Roman" w:eastAsia="Times New Roman" w:hint="default"/>
        </w:rPr>
      </w:pPr>
      <w:r>
        <w:rPr>
          <w:w w:val="95"/>
        </w:rPr>
        <w:t>无持有半数或以下表决权但仍控制被投资单位的情况。</w:t>
      </w:r>
      <w:r>
        <w:rPr>
          <w:spacing w:val="38"/>
          <w:w w:val="95"/>
        </w:rPr>
        <w:t> </w:t>
      </w:r>
      <w:r>
        <w:rPr>
          <w:spacing w:val="38"/>
          <w:w w:val="95"/>
        </w:rPr>
      </w:r>
      <w:r>
        <w:rPr/>
        <w:t>无持有半数以上表决权但不控制被投资单位的情况。</w:t>
      </w:r>
      <w:r>
        <w:rPr>
          <w:rFonts w:ascii="Times New Roman" w:hAnsi="Times New Roman" w:cs="Times New Roman" w:eastAsia="Times New Roman" w:hint="default"/>
        </w:rPr>
        <w:t>'</w:t>
      </w:r>
    </w:p>
    <w:p>
      <w:pPr>
        <w:spacing w:line="331" w:lineRule="auto" w:before="55"/>
        <w:ind w:left="112" w:right="5414"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w:t>
      </w:r>
      <w:r>
        <w:rPr>
          <w:rFonts w:ascii="宋体" w:hAnsi="宋体" w:cs="宋体" w:eastAsia="宋体" w:hint="default"/>
          <w:sz w:val="21"/>
          <w:szCs w:val="21"/>
        </w:rPr>
        <w:t>无纳入合并范围的结构化主体。</w:t>
      </w:r>
      <w:r>
        <w:rPr>
          <w:rFonts w:ascii="宋体" w:hAnsi="宋体" w:cs="宋体" w:eastAsia="宋体" w:hint="default"/>
          <w:w w:val="99"/>
          <w:sz w:val="21"/>
          <w:szCs w:val="21"/>
        </w:rPr>
        <w:t> </w:t>
      </w:r>
      <w:r>
        <w:rPr>
          <w:rFonts w:ascii="宋体" w:hAnsi="宋体" w:cs="宋体" w:eastAsia="宋体" w:hint="default"/>
          <w:sz w:val="18"/>
          <w:szCs w:val="18"/>
        </w:rPr>
        <w:t>确定公司是代理人还是委托人的依据：</w:t>
      </w:r>
    </w:p>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安徽汉高信息科技有限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3,761,419.94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684,700.00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25,483,047.32</w:t>
            </w:r>
          </w:p>
        </w:tc>
      </w:tr>
    </w:tbl>
    <w:p>
      <w:pPr>
        <w:spacing w:line="360" w:lineRule="auto" w:before="50"/>
        <w:ind w:left="112" w:right="541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安徽汉</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高信息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116,499,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7,780,66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124,279,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72,273,6</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72,273,6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107,610,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7,491,22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115,101,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70,086,7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70,086,7</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217.75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0.13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877.88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03.75</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03.75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123.51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2.34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345.85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66.94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66.94</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5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108,062,728.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7,676,367.22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7,676,367.22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-15,934,676.7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111,431,157.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6,552,107.33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6,552,107.33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13,802,557.9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506" w:lineRule="auto"/>
        <w:ind w:left="532" w:right="4569"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）使用企业集团资产和清偿企业集团债务的重大限制</w:t>
      </w:r>
      <w:r>
        <w:rPr>
          <w:w w:val="99"/>
        </w:rPr>
        <w:t> </w:t>
      </w:r>
      <w:r>
        <w:rPr>
          <w:rFonts w:ascii="宋体" w:hAnsi="宋体" w:cs="宋体" w:eastAsia="宋体" w:hint="default"/>
          <w:b w:val="0"/>
          <w:bCs w:val="0"/>
        </w:rPr>
        <w:t>无。</w:t>
      </w:r>
    </w:p>
    <w:p>
      <w:pPr>
        <w:pStyle w:val="Heading4"/>
        <w:spacing w:line="240" w:lineRule="auto" w:before="106"/>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0"/>
        <w:jc w:val="left"/>
      </w:pPr>
      <w:r>
        <w:rPr/>
        <w:t>无。</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4"/>
        <w:spacing w:line="506" w:lineRule="auto"/>
        <w:ind w:left="532" w:right="4990"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）在子公司所有者权益份额发生变化的情况说明</w:t>
      </w:r>
      <w:r>
        <w:rPr>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0"/>
        <w:jc w:val="left"/>
      </w:pPr>
      <w:r>
        <w:rPr/>
        <w:t>无。</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pStyle w:val="BodyText"/>
        <w:spacing w:line="240" w:lineRule="auto" w:before="92"/>
        <w:ind w:left="532" w:right="0"/>
        <w:jc w:val="left"/>
      </w:pPr>
      <w:r>
        <w:rPr/>
        <w:t>无。</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73" w:lineRule="auto" w:before="78"/>
        <w:ind w:left="532" w:right="8894"/>
        <w:jc w:val="left"/>
      </w:pPr>
      <w:r>
        <w:rPr/>
        <w:t>无。</w:t>
      </w:r>
      <w:r>
        <w:rPr>
          <w:w w:val="99"/>
        </w:rPr>
        <w:t> </w:t>
      </w:r>
      <w:r>
        <w:rPr/>
        <w:t>无。</w:t>
      </w:r>
    </w:p>
    <w:p>
      <w:pPr>
        <w:pStyle w:val="Heading4"/>
        <w:spacing w:line="600" w:lineRule="atLeast"/>
        <w:ind w:left="532" w:right="6466"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）重要合营企业的主要财务信息</w:t>
      </w:r>
      <w:r>
        <w:rPr>
          <w:w w:val="99"/>
        </w:rPr>
        <w:t> </w:t>
      </w:r>
      <w:r>
        <w:rPr>
          <w:rFonts w:ascii="宋体" w:hAnsi="宋体" w:cs="宋体" w:eastAsia="宋体" w:hint="default"/>
          <w:b w:val="0"/>
          <w:bCs w:val="0"/>
        </w:rPr>
        <w:t>无。</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6,503,548.97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7,363,056.72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06" w:lineRule="auto" w:before="0"/>
        <w:ind w:left="532" w:right="0"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）合营企业或联营企业向本公司转移资金的能力存在重大限制的说明</w:t>
      </w:r>
      <w:r>
        <w:rPr>
          <w:rFonts w:ascii="宋体" w:hAnsi="宋体" w:cs="宋体" w:eastAsia="宋体" w:hint="default"/>
          <w:b/>
          <w:bCs/>
          <w:spacing w:val="19"/>
          <w:w w:val="95"/>
          <w:sz w:val="21"/>
          <w:szCs w:val="21"/>
        </w:rPr>
        <w:t> </w:t>
      </w:r>
      <w:r>
        <w:rPr>
          <w:rFonts w:ascii="宋体" w:hAnsi="宋体" w:cs="宋体" w:eastAsia="宋体" w:hint="default"/>
          <w:b/>
          <w:bCs/>
          <w:spacing w:val="19"/>
          <w:w w:val="95"/>
          <w:sz w:val="21"/>
          <w:szCs w:val="21"/>
        </w:rPr>
      </w:r>
      <w:r>
        <w:rPr>
          <w:rFonts w:ascii="宋体" w:hAnsi="宋体" w:cs="宋体" w:eastAsia="宋体" w:hint="default"/>
          <w:sz w:val="21"/>
          <w:szCs w:val="21"/>
        </w:rPr>
        <w:t>不存在向本公司转移资金的能力存在重大限制。</w:t>
      </w:r>
    </w:p>
    <w:p>
      <w:pPr>
        <w:spacing w:after="0" w:line="506" w:lineRule="auto"/>
        <w:jc w:val="left"/>
        <w:rPr>
          <w:rFonts w:ascii="宋体" w:hAnsi="宋体" w:cs="宋体" w:eastAsia="宋体" w:hint="default"/>
          <w:sz w:val="21"/>
          <w:szCs w:val="21"/>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t>无。</w:t>
      </w:r>
    </w:p>
    <w:p>
      <w:pPr>
        <w:spacing w:line="240" w:lineRule="auto" w:before="10"/>
        <w:rPr>
          <w:rFonts w:ascii="宋体" w:hAnsi="宋体" w:cs="宋体" w:eastAsia="宋体" w:hint="default"/>
          <w:sz w:val="25"/>
          <w:szCs w:val="25"/>
        </w:rPr>
      </w:pPr>
    </w:p>
    <w:p>
      <w:pPr>
        <w:spacing w:line="506" w:lineRule="auto" w:before="0"/>
        <w:ind w:left="532" w:right="604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本公司无需要披露的承诺事项。</w:t>
      </w:r>
    </w:p>
    <w:p>
      <w:pPr>
        <w:spacing w:line="506" w:lineRule="auto" w:before="106"/>
        <w:ind w:left="532" w:right="520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sz w:val="21"/>
          <w:szCs w:val="21"/>
        </w:rPr>
        <w:t>本公司不存在需要披露的或有负债。</w:t>
      </w:r>
    </w:p>
    <w:p>
      <w:pPr>
        <w:pStyle w:val="Heading4"/>
        <w:spacing w:line="240" w:lineRule="auto" w:before="104"/>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0"/>
        <w:ind w:left="112" w:right="451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pStyle w:val="BodyText"/>
        <w:spacing w:line="240" w:lineRule="auto" w:before="92"/>
        <w:ind w:right="0"/>
        <w:jc w:val="left"/>
      </w:pPr>
      <w:r>
        <w:rPr/>
        <w:t>本公司不存在未纳入合并财务报表范围的结构化主体中的权益。</w:t>
      </w:r>
    </w:p>
    <w:p>
      <w:pPr>
        <w:spacing w:line="240" w:lineRule="auto" w:before="10"/>
        <w:rPr>
          <w:rFonts w:ascii="宋体" w:hAnsi="宋体" w:cs="宋体" w:eastAsia="宋体" w:hint="default"/>
          <w:sz w:val="25"/>
          <w:szCs w:val="25"/>
        </w:rPr>
      </w:pPr>
    </w:p>
    <w:p>
      <w:pPr>
        <w:pStyle w:val="Heading3"/>
        <w:spacing w:line="477" w:lineRule="auto"/>
        <w:ind w:right="6842"/>
        <w:jc w:val="left"/>
        <w:rPr>
          <w:b w:val="0"/>
          <w:bCs w:val="0"/>
        </w:rPr>
      </w:pPr>
      <w:r>
        <w:rPr>
          <w:rFonts w:ascii="Times New Roman" w:hAnsi="Times New Roman" w:cs="Times New Roman" w:eastAsia="Times New Roman" w:hint="default"/>
          <w:sz w:val="21"/>
          <w:szCs w:val="21"/>
        </w:rPr>
        <w:t>6</w:t>
      </w:r>
      <w:r>
        <w:rPr>
          <w:sz w:val="21"/>
          <w:szCs w:val="21"/>
        </w:rPr>
        <w:t>、其他</w:t>
      </w:r>
      <w:r>
        <w:rPr>
          <w:w w:val="99"/>
          <w:sz w:val="21"/>
          <w:szCs w:val="21"/>
        </w:rPr>
        <w:t> </w:t>
      </w:r>
      <w:r>
        <w:rPr/>
        <w:t>十、与金融工具相关的风险</w:t>
      </w:r>
      <w:r>
        <w:rPr>
          <w:w w:val="99"/>
        </w:rPr>
        <w:t> </w:t>
      </w:r>
      <w:r>
        <w:rPr/>
        <w:t>十一、公允价值的披露</w:t>
      </w:r>
      <w:r>
        <w:rPr>
          <w:b w:val="0"/>
          <w:bCs w:val="0"/>
        </w:rPr>
      </w:r>
    </w:p>
    <w:p>
      <w:pPr>
        <w:pStyle w:val="Heading4"/>
        <w:spacing w:line="240" w:lineRule="auto" w:before="85"/>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0"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3"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王中胜</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11.01%</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杨世宁</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杨新子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6.35%</w:t>
            </w:r>
          </w:p>
        </w:tc>
      </w:tr>
    </w:tbl>
    <w:p>
      <w:pPr>
        <w:spacing w:line="357" w:lineRule="auto" w:before="52"/>
        <w:ind w:left="112" w:right="73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本企业子公司的情况详见附注七（一）在子公司中的权益。</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127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本企业重要的合营或联营企业详见附注七（二）在合营安排或联营企业中的权益。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3d3d3"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6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王志洁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董事、副董事长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董事、副总经理、董秘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6" w:footer="978" w:top="1040" w:bottom="1160" w:left="1020" w:right="1020"/>
        </w:sectPr>
      </w:pPr>
    </w:p>
    <w:p>
      <w:pPr>
        <w:spacing w:line="340" w:lineRule="auto" w:before="51"/>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2504" w:space="6326"/>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after="0" w:line="240" w:lineRule="auto"/>
        <w:jc w:val="left"/>
        <w:rPr>
          <w:rFonts w:ascii="宋体" w:hAnsi="宋体" w:cs="宋体" w:eastAsia="宋体" w:hint="default"/>
          <w:sz w:val="18"/>
          <w:szCs w:val="18"/>
        </w:rPr>
        <w:sectPr>
          <w:type w:val="continuous"/>
          <w:pgSz w:w="11910" w:h="16840"/>
          <w:pgMar w:top="1040" w:bottom="116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pStyle w:val="Heading4"/>
        <w:spacing w:line="273" w:lineRule="auto" w:before="92"/>
        <w:ind w:right="8257"/>
        <w:jc w:val="left"/>
        <w:rPr>
          <w:rFonts w:ascii="宋体" w:hAnsi="宋体" w:cs="宋体" w:eastAsia="宋体" w:hint="default"/>
          <w:b w:val="0"/>
          <w:bCs w:val="0"/>
        </w:rPr>
      </w:pPr>
      <w:r>
        <w:rPr/>
        <w:t>1.关联租赁情况</w:t>
      </w:r>
      <w:r>
        <w:rPr>
          <w:w w:val="99"/>
        </w:rPr>
        <w:t> </w:t>
      </w:r>
      <w:r>
        <w:rPr>
          <w:rFonts w:ascii="宋体" w:hAnsi="宋体" w:cs="宋体" w:eastAsia="宋体" w:hint="default"/>
          <w:b w:val="0"/>
          <w:bCs w:val="0"/>
        </w:rPr>
        <w:t>无。</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center"/>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2,743,600.00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2,833,800.00</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978" w:header="746" w:top="1040" w:bottom="1160" w:left="1020" w:right="1020"/>
          <w:pgNumType w:start="150"/>
        </w:sectPr>
      </w:pPr>
    </w:p>
    <w:p>
      <w:pPr>
        <w:spacing w:line="240" w:lineRule="auto" w:before="6"/>
        <w:rPr>
          <w:rFonts w:ascii="宋体" w:hAnsi="宋体" w:cs="宋体" w:eastAsia="宋体" w:hint="default"/>
          <w:sz w:val="25"/>
          <w:szCs w:val="25"/>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06" w:lineRule="auto" w:before="0"/>
        <w:ind w:left="532" w:right="688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公司无股份支付。</w:t>
      </w:r>
    </w:p>
    <w:p>
      <w:pPr>
        <w:spacing w:line="487" w:lineRule="auto" w:before="104"/>
        <w:ind w:left="112" w:right="73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7"/>
        <w:ind w:left="11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56" w:lineRule="auto" w:before="34"/>
        <w:ind w:left="532" w:right="3666" w:hanging="420"/>
        <w:jc w:val="left"/>
        <w:rPr>
          <w:rFonts w:ascii="宋体" w:hAnsi="宋体" w:cs="宋体" w:eastAsia="宋体" w:hint="default"/>
          <w:b w:val="0"/>
          <w:bCs w:val="0"/>
        </w:rPr>
      </w:pPr>
      <w:r>
        <w:rPr>
          <w:rFonts w:ascii="Times New Roman" w:hAnsi="Times New Roman" w:cs="Times New Roman" w:eastAsia="Times New Roman" w:hint="default"/>
        </w:rPr>
        <w:t>(1)</w:t>
      </w:r>
      <w:r>
        <w:rPr/>
        <w:t>签订的尚未履行或尚未完全履行的对外投资合同及有关财务支出</w:t>
      </w:r>
      <w:r>
        <w:rPr>
          <w:w w:val="99"/>
        </w:rPr>
        <w:t> </w:t>
      </w:r>
      <w:r>
        <w:rPr>
          <w:rFonts w:ascii="宋体" w:hAnsi="宋体" w:cs="宋体" w:eastAsia="宋体" w:hint="default"/>
          <w:b w:val="0"/>
          <w:bCs w:val="0"/>
        </w:rPr>
        <w:t>无。</w:t>
      </w:r>
    </w:p>
    <w:p>
      <w:pPr>
        <w:pStyle w:val="Heading4"/>
        <w:spacing w:line="256" w:lineRule="auto" w:before="22"/>
        <w:ind w:left="532" w:right="4720" w:hanging="420"/>
        <w:jc w:val="left"/>
        <w:rPr>
          <w:rFonts w:ascii="宋体" w:hAnsi="宋体" w:cs="宋体" w:eastAsia="宋体" w:hint="default"/>
          <w:b w:val="0"/>
          <w:bCs w:val="0"/>
        </w:rPr>
      </w:pPr>
      <w:r>
        <w:rPr>
          <w:rFonts w:ascii="Times New Roman" w:hAnsi="Times New Roman" w:cs="Times New Roman" w:eastAsia="Times New Roman" w:hint="default"/>
        </w:rPr>
        <w:t>(2)</w:t>
      </w:r>
      <w:r>
        <w:rPr/>
        <w:t>已签订的正在或准备履行的大额发包合同及财务影响</w:t>
      </w:r>
      <w:r>
        <w:rPr>
          <w:w w:val="99"/>
        </w:rPr>
        <w:t> </w:t>
      </w:r>
      <w:r>
        <w:rPr>
          <w:rFonts w:ascii="宋体" w:hAnsi="宋体" w:cs="宋体" w:eastAsia="宋体" w:hint="default"/>
          <w:b w:val="0"/>
          <w:bCs w:val="0"/>
        </w:rPr>
        <w:t>无。</w:t>
      </w:r>
    </w:p>
    <w:p>
      <w:pPr>
        <w:pStyle w:val="Heading4"/>
        <w:spacing w:line="256" w:lineRule="auto" w:before="22"/>
        <w:ind w:left="532" w:right="5141" w:hanging="420"/>
        <w:jc w:val="left"/>
        <w:rPr>
          <w:rFonts w:ascii="宋体" w:hAnsi="宋体" w:cs="宋体" w:eastAsia="宋体" w:hint="default"/>
          <w:b w:val="0"/>
          <w:bCs w:val="0"/>
        </w:rPr>
      </w:pPr>
      <w:r>
        <w:rPr>
          <w:rFonts w:ascii="Times New Roman" w:hAnsi="Times New Roman" w:cs="Times New Roman" w:eastAsia="Times New Roman" w:hint="default"/>
        </w:rPr>
        <w:t>(3)</w:t>
      </w:r>
      <w:r>
        <w:rPr/>
        <w:t>已签订的正在或准备履行的租赁合同及财务影响</w:t>
      </w:r>
      <w:r>
        <w:rPr>
          <w:w w:val="99"/>
        </w:rPr>
        <w:t> </w:t>
      </w:r>
      <w:r>
        <w:rPr>
          <w:rFonts w:ascii="宋体" w:hAnsi="宋体" w:cs="宋体" w:eastAsia="宋体" w:hint="default"/>
          <w:b w:val="0"/>
          <w:bCs w:val="0"/>
        </w:rPr>
        <w:t>无。</w:t>
      </w:r>
    </w:p>
    <w:p>
      <w:pPr>
        <w:pStyle w:val="Heading4"/>
        <w:spacing w:line="290" w:lineRule="auto" w:before="22"/>
        <w:ind w:left="532" w:right="6196" w:hanging="420"/>
        <w:jc w:val="left"/>
        <w:rPr>
          <w:rFonts w:ascii="宋体" w:hAnsi="宋体" w:cs="宋体" w:eastAsia="宋体" w:hint="default"/>
          <w:b w:val="0"/>
          <w:bCs w:val="0"/>
        </w:rPr>
      </w:pPr>
      <w:r>
        <w:rPr>
          <w:rFonts w:ascii="Times New Roman" w:hAnsi="Times New Roman" w:cs="Times New Roman" w:eastAsia="Times New Roman" w:hint="default"/>
        </w:rPr>
        <w:t>(4)</w:t>
      </w:r>
      <w:r>
        <w:rPr/>
        <w:t>已签订的正在或准备履行的并购协议</w:t>
      </w:r>
      <w:r>
        <w:rPr>
          <w:w w:val="99"/>
        </w:rPr>
        <w:t> </w:t>
      </w:r>
      <w:r>
        <w:rPr>
          <w:rFonts w:ascii="宋体" w:hAnsi="宋体" w:cs="宋体" w:eastAsia="宋体" w:hint="default"/>
          <w:b w:val="0"/>
          <w:bCs w:val="0"/>
        </w:rPr>
        <w:t>无。</w:t>
      </w:r>
    </w:p>
    <w:p>
      <w:pPr>
        <w:pStyle w:val="Heading4"/>
        <w:spacing w:line="240" w:lineRule="auto" w:before="34"/>
        <w:ind w:right="184"/>
        <w:jc w:val="left"/>
        <w:rPr>
          <w:b w:val="0"/>
          <w:bCs w:val="0"/>
        </w:rPr>
      </w:pPr>
      <w:r>
        <w:rPr>
          <w:rFonts w:ascii="Times New Roman" w:hAnsi="Times New Roman" w:cs="Times New Roman" w:eastAsia="Times New Roman" w:hint="default"/>
        </w:rPr>
        <w:t>(5)</w:t>
      </w:r>
      <w:r>
        <w:rPr/>
        <w:t>已签订的正在或准备履行的重组计划</w:t>
      </w:r>
      <w:r>
        <w:rPr>
          <w:b w:val="0"/>
          <w:bCs w:val="0"/>
        </w:rPr>
      </w:r>
    </w:p>
    <w:p>
      <w:pPr>
        <w:spacing w:line="309" w:lineRule="auto" w:before="46"/>
        <w:ind w:left="112" w:right="94" w:firstLine="42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日，召开了第三届董事会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年第一次临时会议，审议通过《关于公司筹划重大资产重组事项的 议案》。目前公司以及有关各方正配合财务顾问、律师事务所、会计师事务所、资产评估机构开展尽职调查工作尚未完成， 公司董事会将在相关工作完成后召开会议，审议本次重大资产重组的相关议案。</w:t>
      </w:r>
    </w:p>
    <w:p>
      <w:pPr>
        <w:spacing w:line="256" w:lineRule="auto" w:before="0"/>
        <w:ind w:left="638" w:right="3666" w:hanging="5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其他重大财务承诺事项</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抵押资产情况（应说明内容、金额及其影响）</w:t>
      </w:r>
      <w:r>
        <w:rPr>
          <w:rFonts w:ascii="宋体" w:hAnsi="宋体" w:cs="宋体" w:eastAsia="宋体" w:hint="default"/>
          <w:w w:val="99"/>
          <w:sz w:val="21"/>
          <w:szCs w:val="21"/>
        </w:rPr>
        <w:t> </w:t>
      </w:r>
      <w:r>
        <w:rPr>
          <w:rFonts w:ascii="宋体" w:hAnsi="宋体" w:cs="宋体" w:eastAsia="宋体" w:hint="default"/>
          <w:sz w:val="21"/>
          <w:szCs w:val="21"/>
        </w:rPr>
        <w:t>抵押资产情况详见附注六注释</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p>
      <w:pPr>
        <w:pStyle w:val="BodyText"/>
        <w:spacing w:line="240" w:lineRule="auto" w:before="5"/>
        <w:ind w:left="638" w:right="184"/>
        <w:jc w:val="left"/>
      </w:pPr>
      <w:r>
        <w:rPr/>
        <w:t>除存在上述或有事项外，截止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日，本公司无其他应披露未披露的重大或有事项。</w:t>
      </w:r>
    </w:p>
    <w:p>
      <w:pPr>
        <w:spacing w:line="240" w:lineRule="auto" w:before="10"/>
        <w:rPr>
          <w:rFonts w:ascii="宋体" w:hAnsi="宋体" w:cs="宋体" w:eastAsia="宋体" w:hint="default"/>
          <w:sz w:val="24"/>
          <w:szCs w:val="24"/>
        </w:rPr>
      </w:pPr>
    </w:p>
    <w:p>
      <w:pPr>
        <w:pStyle w:val="Heading4"/>
        <w:spacing w:line="240" w:lineRule="auto"/>
        <w:ind w:right="18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8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2" w:right="5281" w:hanging="420"/>
        <w:jc w:val="left"/>
        <w:rPr>
          <w:rFonts w:ascii="宋体" w:hAnsi="宋体" w:cs="宋体" w:eastAsia="宋体" w:hint="default"/>
          <w:b w:val="0"/>
          <w:bCs w:val="0"/>
        </w:rPr>
      </w:pPr>
      <w:r>
        <w:rPr>
          <w:rFonts w:ascii="Times New Roman" w:hAnsi="Times New Roman" w:cs="Times New Roman" w:eastAsia="Times New Roman" w:hint="default"/>
        </w:rPr>
        <w:t>1</w:t>
      </w:r>
      <w:r>
        <w:rPr/>
        <w:t>）未决诉讼或仲裁形成的或有事项及其财务影响</w:t>
      </w:r>
      <w:r>
        <w:rPr>
          <w:w w:val="99"/>
        </w:rPr>
        <w:t> </w:t>
      </w:r>
      <w:r>
        <w:rPr>
          <w:rFonts w:ascii="宋体" w:hAnsi="宋体" w:cs="宋体" w:eastAsia="宋体" w:hint="default"/>
          <w:b w:val="0"/>
          <w:bCs w:val="0"/>
        </w:rPr>
        <w:t>无。</w:t>
      </w:r>
    </w:p>
    <w:p>
      <w:pPr>
        <w:spacing w:line="256" w:lineRule="auto" w:before="22"/>
        <w:ind w:left="532" w:right="198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）对外提供债务担保形成的或有事项及其财务影响</w:t>
      </w:r>
      <w:r>
        <w:rPr>
          <w:rFonts w:ascii="宋体" w:hAnsi="宋体" w:cs="宋体" w:eastAsia="宋体" w:hint="default"/>
          <w:b/>
          <w:bCs/>
          <w:w w:val="99"/>
          <w:sz w:val="21"/>
          <w:szCs w:val="21"/>
        </w:rPr>
        <w:t> </w:t>
      </w:r>
      <w:r>
        <w:rPr>
          <w:rFonts w:ascii="Times New Roman" w:hAnsi="Times New Roman" w:cs="Times New Roman" w:eastAsia="Times New Roman" w:hint="default"/>
          <w:w w:val="95"/>
          <w:sz w:val="21"/>
          <w:szCs w:val="21"/>
        </w:rPr>
        <w:t>a</w:t>
      </w:r>
      <w:r>
        <w:rPr>
          <w:rFonts w:ascii="宋体" w:hAnsi="宋体" w:cs="宋体" w:eastAsia="宋体" w:hint="default"/>
          <w:w w:val="95"/>
          <w:sz w:val="21"/>
          <w:szCs w:val="21"/>
        </w:rPr>
        <w:t>、为关联方提供提保详见</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附件十一、关联方交易之（五）</w:t>
      </w:r>
      <w:r>
        <w:rPr>
          <w:rFonts w:ascii="Times New Roman" w:hAnsi="Times New Roman" w:cs="Times New Roman" w:eastAsia="Times New Roman" w:hint="default"/>
          <w:w w:val="95"/>
          <w:sz w:val="21"/>
          <w:szCs w:val="21"/>
        </w:rPr>
        <w:t>7”</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、本公司子公司对外提供担保</w:t>
      </w:r>
    </w:p>
    <w:tbl>
      <w:tblPr>
        <w:tblW w:w="0" w:type="auto"/>
        <w:jc w:val="left"/>
        <w:tblInd w:w="318" w:type="dxa"/>
        <w:tblLayout w:type="fixed"/>
        <w:tblCellMar>
          <w:top w:w="0" w:type="dxa"/>
          <w:left w:w="0" w:type="dxa"/>
          <w:bottom w:w="0" w:type="dxa"/>
          <w:right w:w="0" w:type="dxa"/>
        </w:tblCellMar>
        <w:tblLook w:val="01E0"/>
      </w:tblPr>
      <w:tblGrid>
        <w:gridCol w:w="2875"/>
        <w:gridCol w:w="1802"/>
        <w:gridCol w:w="1318"/>
        <w:gridCol w:w="1319"/>
        <w:gridCol w:w="1900"/>
      </w:tblGrid>
      <w:tr>
        <w:trPr>
          <w:trHeight w:val="347" w:hRule="exact"/>
        </w:trPr>
        <w:tc>
          <w:tcPr>
            <w:tcW w:w="287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802"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5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1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31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0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47" w:hRule="exact"/>
        </w:trPr>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安徽省交通物资有限责任公司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21"/>
          <w:szCs w:val="21"/>
        </w:rPr>
      </w:pPr>
    </w:p>
    <w:p>
      <w:pPr>
        <w:pStyle w:val="Heading4"/>
        <w:spacing w:line="240" w:lineRule="auto" w:before="34"/>
        <w:ind w:right="184"/>
        <w:jc w:val="left"/>
        <w:rPr>
          <w:b w:val="0"/>
          <w:bCs w:val="0"/>
        </w:rPr>
      </w:pPr>
      <w:r>
        <w:rPr>
          <w:rFonts w:ascii="Times New Roman" w:hAnsi="Times New Roman" w:cs="Times New Roman" w:eastAsia="Times New Roman" w:hint="default"/>
        </w:rPr>
        <w:t>3</w:t>
      </w:r>
      <w:r>
        <w:rPr/>
        <w:t>）开出保函、信用证</w:t>
      </w:r>
      <w:r>
        <w:rPr>
          <w:b w:val="0"/>
          <w:bCs w:val="0"/>
        </w:rPr>
      </w:r>
    </w:p>
    <w:p>
      <w:pPr>
        <w:pStyle w:val="BodyText"/>
        <w:spacing w:line="256" w:lineRule="auto" w:before="21"/>
        <w:ind w:right="184" w:firstLine="420"/>
        <w:jc w:val="left"/>
      </w:pPr>
      <w:r>
        <w:rPr>
          <w:rFonts w:ascii="Times New Roman" w:hAnsi="Times New Roman" w:cs="Times New Roman" w:eastAsia="Times New Roman" w:hint="default"/>
          <w:w w:val="95"/>
        </w:rPr>
        <w:t>a</w:t>
      </w:r>
      <w:r>
        <w:rPr>
          <w:w w:val="95"/>
        </w:rPr>
        <w:t>、本公司获得银行保函金额</w:t>
      </w:r>
      <w:r>
        <w:rPr>
          <w:rFonts w:ascii="Times New Roman" w:hAnsi="Times New Roman" w:cs="Times New Roman" w:eastAsia="Times New Roman" w:hint="default"/>
          <w:w w:val="95"/>
        </w:rPr>
        <w:t>45,390,265.40</w:t>
      </w:r>
      <w:r>
        <w:rPr>
          <w:w w:val="95"/>
        </w:rPr>
        <w:t>元，其中：履约保函金额</w:t>
      </w:r>
      <w:r>
        <w:rPr>
          <w:rFonts w:ascii="Times New Roman" w:hAnsi="Times New Roman" w:cs="Times New Roman" w:eastAsia="Times New Roman" w:hint="default"/>
          <w:w w:val="95"/>
        </w:rPr>
        <w:t>24,597,073.10</w:t>
      </w:r>
      <w:r>
        <w:rPr>
          <w:w w:val="95"/>
        </w:rPr>
        <w:t>元，预付款保函金额</w:t>
      </w:r>
      <w:r>
        <w:rPr>
          <w:spacing w:val="-93"/>
          <w:w w:val="95"/>
        </w:rPr>
        <w:t> </w:t>
      </w:r>
      <w:r>
        <w:rPr>
          <w:spacing w:val="-93"/>
          <w:w w:val="95"/>
        </w:rPr>
      </w:r>
      <w:r>
        <w:rPr>
          <w:rFonts w:ascii="Times New Roman" w:hAnsi="Times New Roman" w:cs="Times New Roman" w:eastAsia="Times New Roman" w:hint="default"/>
        </w:rPr>
        <w:t>20,493,192.30</w:t>
      </w:r>
      <w:r>
        <w:rPr/>
        <w:t>元。</w:t>
      </w:r>
    </w:p>
    <w:p>
      <w:pPr>
        <w:pStyle w:val="BodyText"/>
        <w:spacing w:line="256" w:lineRule="auto" w:before="5"/>
        <w:ind w:right="184" w:firstLine="420"/>
        <w:jc w:val="left"/>
      </w:pPr>
      <w:r>
        <w:rPr>
          <w:rFonts w:ascii="Times New Roman" w:hAnsi="Times New Roman" w:cs="Times New Roman" w:eastAsia="Times New Roman" w:hint="default"/>
          <w:w w:val="95"/>
        </w:rPr>
        <w:t>b</w:t>
      </w:r>
      <w:r>
        <w:rPr>
          <w:w w:val="95"/>
        </w:rPr>
        <w:t>、子公司烟台华东电子软件技术有限公司用房屋产权证抵押给中国光大银行烟台分行，本年度申请</w:t>
      </w:r>
      <w:r>
        <w:rPr>
          <w:spacing w:val="-85"/>
          <w:w w:val="95"/>
        </w:rPr>
        <w:t> </w:t>
      </w:r>
      <w:r>
        <w:rPr>
          <w:spacing w:val="-85"/>
          <w:w w:val="95"/>
        </w:rPr>
      </w:r>
      <w:r>
        <w:rPr/>
        <w:t>了履约保函金额</w:t>
      </w:r>
      <w:r>
        <w:rPr>
          <w:rFonts w:ascii="Times New Roman" w:hAnsi="Times New Roman" w:cs="Times New Roman" w:eastAsia="Times New Roman" w:hint="default"/>
        </w:rPr>
        <w:t>536,200.00</w:t>
      </w:r>
      <w:r>
        <w:rPr/>
        <w:t>元。</w:t>
      </w:r>
    </w:p>
    <w:p>
      <w:pPr>
        <w:pStyle w:val="BodyText"/>
        <w:spacing w:line="256" w:lineRule="auto" w:before="5"/>
        <w:ind w:right="186" w:firstLine="420"/>
        <w:jc w:val="left"/>
      </w:pPr>
      <w:r>
        <w:rPr>
          <w:rFonts w:ascii="Times New Roman" w:hAnsi="Times New Roman" w:cs="Times New Roman" w:eastAsia="Times New Roman" w:hint="default"/>
          <w:spacing w:val="10"/>
        </w:rPr>
        <w:t>c</w:t>
      </w:r>
      <w:r>
        <w:rPr>
          <w:spacing w:val="10"/>
        </w:rPr>
        <w:t>、</w:t>
      </w:r>
      <w:r>
        <w:rPr>
          <w:spacing w:val="-89"/>
        </w:rPr>
        <w:t> </w:t>
      </w:r>
      <w:r>
        <w:rPr>
          <w:spacing w:val="18"/>
        </w:rPr>
        <w:t>子公司安徽汉高信息科技有限公司获得银行保函金额</w:t>
      </w:r>
      <w:r>
        <w:rPr>
          <w:spacing w:val="-89"/>
        </w:rPr>
        <w:t> </w:t>
      </w:r>
      <w:r>
        <w:rPr>
          <w:rFonts w:ascii="Times New Roman" w:hAnsi="Times New Roman" w:cs="Times New Roman" w:eastAsia="Times New Roman" w:hint="default"/>
          <w:spacing w:val="2"/>
        </w:rPr>
        <w:t>3,966,200.00</w:t>
      </w:r>
      <w:r>
        <w:rPr>
          <w:spacing w:val="2"/>
        </w:rPr>
        <w:t>元，</w:t>
      </w:r>
      <w:r>
        <w:rPr>
          <w:spacing w:val="-87"/>
        </w:rPr>
        <w:t> </w:t>
      </w:r>
      <w:r>
        <w:rPr>
          <w:spacing w:val="12"/>
        </w:rPr>
        <w:t>其中：</w:t>
      </w:r>
      <w:r>
        <w:rPr>
          <w:spacing w:val="-87"/>
        </w:rPr>
        <w:t> </w:t>
      </w:r>
      <w:r>
        <w:rPr>
          <w:spacing w:val="16"/>
        </w:rPr>
        <w:t>履约保函金额</w:t>
      </w:r>
      <w:r>
        <w:rPr>
          <w:w w:val="99"/>
        </w:rPr>
        <w:t> </w:t>
      </w:r>
      <w:r>
        <w:rPr>
          <w:rFonts w:ascii="Times New Roman" w:hAnsi="Times New Roman" w:cs="Times New Roman" w:eastAsia="Times New Roman" w:hint="default"/>
        </w:rPr>
        <w:t>3,966,200.00</w:t>
      </w:r>
      <w:r>
        <w:rPr/>
        <w:t>元。</w:t>
      </w:r>
    </w:p>
    <w:p>
      <w:pPr>
        <w:spacing w:line="256" w:lineRule="auto" w:before="5"/>
        <w:ind w:left="532" w:right="865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）贷款承诺</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4"/>
        <w:spacing w:line="256" w:lineRule="auto" w:before="22"/>
        <w:ind w:left="532" w:right="7811" w:hanging="420"/>
        <w:jc w:val="left"/>
        <w:rPr>
          <w:rFonts w:ascii="宋体" w:hAnsi="宋体" w:cs="宋体" w:eastAsia="宋体" w:hint="default"/>
          <w:b w:val="0"/>
          <w:bCs w:val="0"/>
        </w:rPr>
      </w:pPr>
      <w:r>
        <w:rPr>
          <w:rFonts w:ascii="Times New Roman" w:hAnsi="Times New Roman" w:cs="Times New Roman" w:eastAsia="Times New Roman" w:hint="default"/>
        </w:rPr>
        <w:t>5</w:t>
      </w:r>
      <w:r>
        <w:rPr/>
        <w:t>）产品质量保证条款</w:t>
      </w:r>
      <w:r>
        <w:rPr>
          <w:w w:val="99"/>
        </w:rPr>
        <w:t> </w:t>
      </w:r>
      <w:r>
        <w:rPr>
          <w:rFonts w:ascii="宋体" w:hAnsi="宋体" w:cs="宋体" w:eastAsia="宋体" w:hint="default"/>
          <w:b w:val="0"/>
          <w:bCs w:val="0"/>
        </w:rPr>
        <w:t>无。</w:t>
      </w:r>
    </w:p>
    <w:p>
      <w:pPr>
        <w:pStyle w:val="Heading4"/>
        <w:spacing w:line="256" w:lineRule="auto" w:before="22"/>
        <w:ind w:left="532" w:right="3125" w:hanging="420"/>
        <w:jc w:val="left"/>
        <w:rPr>
          <w:rFonts w:ascii="宋体" w:hAnsi="宋体" w:cs="宋体" w:eastAsia="宋体" w:hint="default"/>
          <w:b w:val="0"/>
          <w:bCs w:val="0"/>
        </w:rPr>
      </w:pPr>
      <w:r>
        <w:rPr>
          <w:rFonts w:ascii="Times New Roman" w:hAnsi="Times New Roman" w:cs="Times New Roman" w:eastAsia="Times New Roman" w:hint="default"/>
          <w:w w:val="95"/>
        </w:rPr>
        <w:t>6</w:t>
      </w:r>
      <w:r>
        <w:rPr>
          <w:w w:val="95"/>
        </w:rPr>
        <w:t>）其他或有负债（不包括极不可能导致经济利益流出企业的或有负债）  </w:t>
      </w:r>
      <w:r>
        <w:rPr>
          <w:spacing w:val="19"/>
          <w:w w:val="95"/>
        </w:rPr>
        <w:t> </w:t>
      </w:r>
      <w:r>
        <w:rPr>
          <w:spacing w:val="19"/>
          <w:w w:val="95"/>
        </w:rPr>
      </w:r>
      <w:r>
        <w:rPr>
          <w:rFonts w:ascii="宋体" w:hAnsi="宋体" w:cs="宋体" w:eastAsia="宋体" w:hint="default"/>
          <w:b w:val="0"/>
          <w:bCs w:val="0"/>
        </w:rPr>
        <w:t>无。</w:t>
      </w:r>
    </w:p>
    <w:p>
      <w:pPr>
        <w:spacing w:after="0" w:line="256" w:lineRule="auto"/>
        <w:jc w:val="left"/>
        <w:rPr>
          <w:rFonts w:ascii="宋体" w:hAnsi="宋体" w:cs="宋体" w:eastAsia="宋体" w:hint="default"/>
        </w:rPr>
        <w:sectPr>
          <w:pgSz w:w="11910" w:h="16840"/>
          <w:pgMar w:header="746" w:footer="978" w:top="1040" w:bottom="1160" w:left="1020" w:right="940"/>
        </w:sectPr>
      </w:pPr>
    </w:p>
    <w:p>
      <w:pPr>
        <w:spacing w:line="240" w:lineRule="auto" w:before="6"/>
        <w:rPr>
          <w:rFonts w:ascii="宋体" w:hAnsi="宋体" w:cs="宋体" w:eastAsia="宋体" w:hint="default"/>
          <w:sz w:val="25"/>
          <w:szCs w:val="25"/>
        </w:rPr>
      </w:pPr>
    </w:p>
    <w:p>
      <w:pPr>
        <w:spacing w:line="256" w:lineRule="auto" w:before="34"/>
        <w:ind w:left="532" w:right="857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）或有资产</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BodyText"/>
        <w:spacing w:line="240" w:lineRule="auto" w:before="22"/>
        <w:ind w:left="532" w:right="0"/>
        <w:jc w:val="left"/>
      </w:pPr>
      <w:r>
        <w:rPr/>
        <w:t>除存在上述或有事项外，截止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日，本公司无其他应披露未披露的重大或有事项。</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7"/>
        <w:ind w:left="112" w:right="667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9"/>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5"/>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5;height:402" type="#_x0000_t202" filled="false" stroked="false">
                <v:textbox inset="0,0,0,0">
                  <w:txbxContent>
                    <w:p>
                      <w:pPr>
                        <w:spacing w:before="97"/>
                        <w:ind w:left="0" w:right="26" w:firstLine="0"/>
                        <w:jc w:val="right"/>
                        <w:rPr>
                          <w:rFonts w:ascii="Times New Roman" w:hAnsi="Times New Roman" w:cs="Times New Roman" w:eastAsia="Times New Roman" w:hint="default"/>
                          <w:sz w:val="18"/>
                          <w:szCs w:val="18"/>
                        </w:rPr>
                      </w:pPr>
                      <w:r>
                        <w:rPr>
                          <w:rFonts w:ascii="Times New Roman"/>
                          <w:spacing w:val="-1"/>
                          <w:sz w:val="18"/>
                        </w:rPr>
                        <w:t>12,164,133.90</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66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6"/>
        <w:rPr>
          <w:rFonts w:ascii="宋体" w:hAnsi="宋体" w:cs="宋体" w:eastAsia="宋体" w:hint="default"/>
          <w:b/>
          <w:bCs/>
          <w:sz w:val="25"/>
          <w:szCs w:val="25"/>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5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185,962,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675.57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4,846,24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181,116,4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155,412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,272.10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83.46%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9,666,083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145,746,18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8.38</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185,962,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675.57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 w:right="0"/>
              <w:jc w:val="left"/>
              <w:rPr>
                <w:rFonts w:ascii="Times New Roman" w:hAnsi="Times New Roman" w:cs="Times New Roman" w:eastAsia="Times New Roman" w:hint="default"/>
                <w:sz w:val="18"/>
                <w:szCs w:val="18"/>
              </w:rPr>
            </w:pPr>
            <w:r>
              <w:rPr>
                <w:rFonts w:ascii="Times New Roman"/>
                <w:sz w:val="18"/>
              </w:rPr>
              <w:t>4,846,24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181,116,4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155,412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,272.10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83.46%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9,666,083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145,746,18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8.38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9"/>
        <w:rPr>
          <w:rFonts w:ascii="宋体" w:hAnsi="宋体" w:cs="宋体" w:eastAsia="宋体" w:hint="default"/>
          <w:sz w:val="26"/>
          <w:szCs w:val="2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134,594,068.92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25,896,366.34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1,294,818.32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160,490,435.26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1,294,818.32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17,878,349.38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1,787,834.94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6,607,508.04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1,321,501.61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986,382.89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442,085.97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611,709.89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183,512.97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181,173.00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181,173.00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185,962,675.57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4,846,240.84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2"/>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9"/>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40" w:bottom="1160" w:left="1020" w:right="1020"/>
        </w:sectPr>
      </w:pPr>
    </w:p>
    <w:p>
      <w:pPr>
        <w:spacing w:line="340" w:lineRule="auto" w:before="44"/>
        <w:ind w:left="11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4,231,196.25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6413" w:space="241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588,646.63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40" w:bottom="1160" w:left="1020" w:right="1020"/>
        </w:sectPr>
      </w:pPr>
    </w:p>
    <w:p>
      <w:pPr>
        <w:spacing w:line="240" w:lineRule="auto" w:before="6"/>
        <w:rPr>
          <w:rFonts w:ascii="宋体" w:hAnsi="宋体" w:cs="宋体" w:eastAsia="宋体" w:hint="default"/>
          <w:sz w:val="25"/>
          <w:szCs w:val="25"/>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44"/>
        <w:ind w:left="0" w:right="66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2286"/>
        <w:gridCol w:w="2552"/>
        <w:gridCol w:w="1559"/>
      </w:tblGrid>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86"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5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占应收账款期末余额的比例</w:t>
            </w:r>
            <w:r>
              <w:rPr>
                <w:rFonts w:ascii="Times New Roman" w:hAnsi="Times New Roman" w:cs="Times New Roman" w:eastAsia="Times New Roman" w:hint="default"/>
                <w:spacing w:val="-1"/>
                <w:sz w:val="18"/>
                <w:szCs w:val="18"/>
              </w:rPr>
              <w:t>(%)</w:t>
            </w:r>
          </w:p>
        </w:tc>
        <w:tc>
          <w:tcPr>
            <w:tcW w:w="155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29,718,621.72</w:t>
            </w:r>
            <w:r>
              <w:rPr>
                <w:rFonts w:ascii="Times New Roman"/>
                <w:sz w:val="20"/>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15.98</w:t>
            </w:r>
            <w:r>
              <w:rPr>
                <w:rFonts w:ascii="Times New Roman"/>
                <w:sz w:val="20"/>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24,767,393.44</w:t>
            </w:r>
            <w:r>
              <w:rPr>
                <w:rFonts w:ascii="Times New Roman"/>
                <w:sz w:val="20"/>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5"/>
                <w:sz w:val="20"/>
              </w:rPr>
              <w:t>13.32</w:t>
            </w:r>
            <w:r>
              <w:rPr>
                <w:rFonts w:ascii="Times New Roman"/>
                <w:sz w:val="20"/>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10,662,800.45</w:t>
            </w:r>
            <w:r>
              <w:rPr>
                <w:rFonts w:ascii="Times New Roman"/>
                <w:sz w:val="20"/>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647,504.84</w:t>
            </w:r>
            <w:r>
              <w:rPr>
                <w:rFonts w:ascii="Times New Roman"/>
                <w:sz w:val="20"/>
              </w:rPr>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10,329,530.65</w:t>
            </w:r>
            <w:r>
              <w:rPr>
                <w:rFonts w:ascii="Times New Roman"/>
                <w:sz w:val="20"/>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sz w:val="20"/>
              </w:rPr>
              <w:t>5.55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429,804.05</w:t>
            </w:r>
            <w:r>
              <w:rPr>
                <w:rFonts w:ascii="Times New Roman"/>
                <w:sz w:val="20"/>
              </w:rPr>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7,736,994.62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83,468,941.88</w:t>
            </w:r>
            <w:r>
              <w:rPr>
                <w:rFonts w:ascii="Times New Roman"/>
                <w:sz w:val="20"/>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44.74</w:t>
            </w:r>
            <w:r>
              <w:rPr>
                <w:rFonts w:ascii="Times New Roman"/>
                <w:sz w:val="20"/>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spacing w:val="-1"/>
                <w:sz w:val="20"/>
              </w:rPr>
              <w:t>1,077,308.89</w:t>
            </w:r>
          </w:p>
        </w:tc>
      </w:tr>
    </w:tbl>
    <w:p>
      <w:pPr>
        <w:spacing w:line="240" w:lineRule="auto" w:before="4"/>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left="132"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67,794,8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5,957,22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61,837,58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76,647,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126.12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6,218,859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70,428,266.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67,794,8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5,957,22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61,837,58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76,647,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126.12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6,218,859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70,428,266.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00" w:right="1020"/>
        </w:sectPr>
      </w:pPr>
    </w:p>
    <w:p>
      <w:pPr>
        <w:spacing w:before="49"/>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39"/>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4453" w:space="4376"/>
            <w:col w:w="1061"/>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0"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28,494,993.39</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10,605,199.60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530,259.98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39,100,192.99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530,259.98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16,354,943.15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1,635,494.32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5,877,511.55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1,175,502.31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6,462,165.86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2,615,968.97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4,534,853.35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1,360,456.01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1,119,665.91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447,866.36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807,646.60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807,646.60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67,794,813.55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5,957,225.58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7"/>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40" w:bottom="1160" w:left="1020" w:right="1020"/>
        </w:sectPr>
      </w:pPr>
    </w:p>
    <w:p>
      <w:pPr>
        <w:spacing w:line="338" w:lineRule="auto" w:before="44"/>
        <w:ind w:left="11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261,634.35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20" w:right="1020"/>
          <w:cols w:num="2" w:equalWidth="0">
            <w:col w:w="6279" w:space="2551"/>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0"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33" w:right="0"/>
              <w:jc w:val="left"/>
              <w:rPr>
                <w:rFonts w:ascii="Times New Roman" w:hAnsi="Times New Roman" w:cs="Times New Roman" w:eastAsia="Times New Roman" w:hint="default"/>
                <w:sz w:val="18"/>
                <w:szCs w:val="18"/>
              </w:rPr>
            </w:pPr>
            <w:r>
              <w:rPr>
                <w:rFonts w:ascii="Times New Roman"/>
                <w:sz w:val="18"/>
              </w:rPr>
              <w:t>56,445,607.03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31" w:right="0"/>
              <w:jc w:val="left"/>
              <w:rPr>
                <w:rFonts w:ascii="Times New Roman" w:hAnsi="Times New Roman" w:cs="Times New Roman" w:eastAsia="Times New Roman" w:hint="default"/>
                <w:sz w:val="18"/>
                <w:szCs w:val="18"/>
              </w:rPr>
            </w:pPr>
            <w:r>
              <w:rPr>
                <w:rFonts w:ascii="Times New Roman"/>
                <w:sz w:val="18"/>
              </w:rPr>
              <w:t>75,163,455.37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678,615.00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585,900.00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343,875.23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218,701.43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2,626,716.29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679,069.32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67,794,813.55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76,647,126.12</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6,985,756.00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698,575.60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4,599,168.40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36,137.00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2,862,503.55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572,500.71</w:t>
            </w:r>
          </w:p>
        </w:tc>
      </w:tr>
      <w:tr>
        <w:trPr>
          <w:trHeight w:val="362" w:hRule="exact"/>
        </w:trPr>
        <w:tc>
          <w:tcPr>
            <w:tcW w:w="1684"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358,488.00</w:t>
            </w:r>
          </w:p>
        </w:tc>
        <w:tc>
          <w:tcPr>
            <w:tcW w:w="1615"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2,321,280.00</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3.46%</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660,535.20</w:t>
            </w:r>
          </w:p>
        </w:tc>
      </w:tr>
      <w:tr>
        <w:trPr>
          <w:trHeight w:val="352" w:hRule="exact"/>
        </w:trPr>
        <w:tc>
          <w:tcPr>
            <w:tcW w:w="1684"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1,962,792.00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1615"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684"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2,231,377.50</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1,660,000.00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3.32%</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68,582.75</w:t>
            </w:r>
          </w:p>
        </w:tc>
      </w:tr>
      <w:tr>
        <w:trPr>
          <w:trHeight w:val="352" w:hRule="exact"/>
        </w:trPr>
        <w:tc>
          <w:tcPr>
            <w:tcW w:w="1684"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571,377.50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5"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19,000,085.45</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2,036,331.26</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6"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276,301,767.27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276,301,767.27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276,301,767.27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276,301,767.27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163,684.24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163,684.24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1,106,694.87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1,106,694.87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276,465,451.51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276,465,451.51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277,408,462.14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277,408,462.14</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天津市金飞博光 通讯技术有限公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4,027,343.90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4,027,343.90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天津市天安怡和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45,964,273.77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45,964,273.77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重庆皖通科技有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21,030,000.00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197,630,149.60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197,630,149.60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安徽皖通城市智 能交通科技有限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276,301,767.27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276,301,767.27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武汉宏途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1,106,694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-943,010.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1,106,694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-943,010.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1,106,694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-943,010.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163,684.2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8" w:right="0"/>
              <w:jc w:val="left"/>
              <w:rPr>
                <w:rFonts w:ascii="Times New Roman" w:hAnsi="Times New Roman" w:cs="Times New Roman" w:eastAsia="Times New Roman" w:hint="default"/>
                <w:sz w:val="18"/>
                <w:szCs w:val="18"/>
              </w:rPr>
            </w:pPr>
            <w:r>
              <w:rPr>
                <w:rFonts w:ascii="Times New Roman"/>
                <w:sz w:val="18"/>
              </w:rPr>
              <w:t>496,146,744.30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4" w:right="0"/>
              <w:jc w:val="left"/>
              <w:rPr>
                <w:rFonts w:ascii="Times New Roman" w:hAnsi="Times New Roman" w:cs="Times New Roman" w:eastAsia="Times New Roman" w:hint="default"/>
                <w:sz w:val="18"/>
                <w:szCs w:val="18"/>
              </w:rPr>
            </w:pPr>
            <w:r>
              <w:rPr>
                <w:rFonts w:ascii="Times New Roman"/>
                <w:sz w:val="18"/>
              </w:rPr>
              <w:t>410,314,816.69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546,482,514.33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454,510,642.14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4,500.00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8" w:right="0"/>
              <w:jc w:val="left"/>
              <w:rPr>
                <w:rFonts w:ascii="Times New Roman" w:hAnsi="Times New Roman" w:cs="Times New Roman" w:eastAsia="Times New Roman" w:hint="default"/>
                <w:sz w:val="18"/>
                <w:szCs w:val="18"/>
              </w:rPr>
            </w:pPr>
            <w:r>
              <w:rPr>
                <w:rFonts w:ascii="Times New Roman"/>
                <w:sz w:val="18"/>
              </w:rPr>
              <w:t>496,146,744.30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4" w:right="0"/>
              <w:jc w:val="left"/>
              <w:rPr>
                <w:rFonts w:ascii="Times New Roman" w:hAnsi="Times New Roman" w:cs="Times New Roman" w:eastAsia="Times New Roman" w:hint="default"/>
                <w:sz w:val="18"/>
                <w:szCs w:val="18"/>
              </w:rPr>
            </w:pPr>
            <w:r>
              <w:rPr>
                <w:rFonts w:ascii="Times New Roman"/>
                <w:sz w:val="18"/>
              </w:rPr>
              <w:t>410,314,816.69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546,487,014.33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454,510,642.14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-943,010.63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-893,305.13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16,190,914.52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1,343,209.12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10,400,198.49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15,297,609.39</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10,327,966.05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本期获得政府补助增多所致</w:t>
            </w:r>
          </w:p>
        </w:tc>
      </w:tr>
    </w:tbl>
    <w:p>
      <w:pPr>
        <w:spacing w:after="0" w:line="240" w:lineRule="auto"/>
        <w:jc w:val="left"/>
        <w:rPr>
          <w:rFonts w:ascii="宋体" w:hAnsi="宋体" w:cs="宋体" w:eastAsia="宋体" w:hint="default"/>
          <w:sz w:val="18"/>
          <w:szCs w:val="18"/>
        </w:rPr>
        <w:sectPr>
          <w:footerReference w:type="default" r:id="rId36"/>
          <w:pgSz w:w="11910" w:h="16840"/>
          <w:pgMar w:footer="978" w:header="746" w:top="1040" w:bottom="1160" w:left="1020" w:right="1020"/>
          <w:pgNumType w:start="16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4,329,434.70</w:t>
            </w:r>
          </w:p>
        </w:tc>
        <w:tc>
          <w:tcPr>
            <w:tcW w:w="3186" w:type="dxa"/>
            <w:vMerge/>
            <w:tcBorders>
              <w:left w:val="single" w:sz="4" w:space="0" w:color="000000"/>
              <w:right w:val="single" w:sz="4" w:space="0" w:color="000000"/>
            </w:tcBorders>
          </w:tcPr>
          <w:p>
            <w:pPr/>
          </w:p>
        </w:tc>
      </w:tr>
      <w:tr>
        <w:trPr>
          <w:trHeight w:val="307"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57"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-17,345.20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2,172,661.70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353,760.54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11,964,633.31</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51"/>
        <w:ind w:left="112" w:right="13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0.2579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0.2039</w:t>
            </w:r>
          </w:p>
        </w:tc>
      </w:tr>
    </w:tbl>
    <w:p>
      <w:pPr>
        <w:spacing w:line="240" w:lineRule="auto" w:before="5"/>
        <w:rPr>
          <w:rFonts w:ascii="宋体" w:hAnsi="宋体" w:cs="宋体" w:eastAsia="宋体" w:hint="default"/>
          <w:b/>
          <w:bCs/>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126"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 务报表进行了追溯重述，重述后的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after="0" w:line="300" w:lineRule="auto"/>
        <w:jc w:val="left"/>
        <w:rPr>
          <w:rFonts w:ascii="宋体" w:hAnsi="宋体" w:cs="宋体" w:eastAsia="宋体" w:hint="default"/>
          <w:sz w:val="18"/>
          <w:szCs w:val="18"/>
        </w:rPr>
        <w:sectPr>
          <w:pgSz w:w="11910" w:h="16840"/>
          <w:pgMar w:header="746" w:footer="978" w:top="1040" w:bottom="1160" w:left="1020" w:right="1000"/>
        </w:sectPr>
      </w:pPr>
    </w:p>
    <w:p>
      <w:pPr>
        <w:spacing w:line="240" w:lineRule="auto" w:before="9"/>
        <w:rPr>
          <w:rFonts w:ascii="宋体" w:hAnsi="宋体" w:cs="宋体" w:eastAsia="宋体" w:hint="default"/>
          <w:sz w:val="26"/>
          <w:szCs w:val="2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356,852,959.01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364,311,101.49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569,000,171.04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21,002,705.38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17,696,400.00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6,269,199.25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165,096,073.28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193,195,934.37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268,259,344.63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92,637,833.25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88,372,214.33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54,079,708.92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431,814.25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107,484,391.17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85,513,505.07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69,530,928.79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100,807,437.96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176,035,155.96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162,592,296.62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21,014.64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843,902,414.69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925,556,125.47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1,255,731,649.25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9,463,199.69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7,363,056.72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6,503,548.97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2,008,852.28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1,829,818.69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1,553,996.80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131,096,046.43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133,632,488.86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130,616,875.99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11,306,975.07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346,078.29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1,026,727.45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23,728,050.05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28,440,080.83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47,398,089.00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14,689,296.58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25,376,682.71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30,205,510.48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88,317,730.47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88,317,730.47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88,317,730.47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3,428,678.54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5,721,223.23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7,018,534.65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300,630,629.42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300,490,359.49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312,641,013.81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1,144,533,044.11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1,226,046,484.96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1,568,372,663.06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24,708,736.17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12,791,417.50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15,440,560.01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233,842,785.28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280,498,593.84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237,944,496.21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120,700,129.33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114,194,628.09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59,707,027.31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8,773,010.72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9,898,901.57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13,751,452.71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11,712,950.82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10,784,539.55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15,606,575.80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12,168,764.89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3,697,703.26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7,566,134.01</w:t>
            </w:r>
          </w:p>
        </w:tc>
      </w:tr>
      <w:tr>
        <w:trPr>
          <w:trHeight w:val="71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478,800.00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416,906,377.21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436,865,783.81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360,495,046.05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1,557,600.00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2,670,957.95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1,431,549.62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1,326,285.99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1,227,204.80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2,731,549.62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2,883,885.99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3,898,162.75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419,637,926.83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439,749,669.80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364,393,208.80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133,910,388.00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214,256,620.00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243,282,678.00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398,234,148.23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317,887,916.23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650,811,846.75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19,789,365.91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24,510,285.24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28,962,449.46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148,240,831.48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200,892,692.68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249,287,881.43</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700,174,733.62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757,547,514.15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1,172,344,855.64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24,720,383.66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28,749,301.01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31,634,598.62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724,895,117.28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786,296,815.16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1,203,979,454.26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1,144,533,044.11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1,226,046,484.96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1,568,372,663.06</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6" w:footer="978" w:top="1040" w:bottom="1160" w:left="1020" w:right="102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66" w:lineRule="auto" w:before="0"/>
        <w:ind w:right="0"/>
        <w:jc w:val="left"/>
      </w:pPr>
      <w:r>
        <w:rPr/>
        <w:t>一、载有董事长签名的公司</w:t>
      </w:r>
      <w:r>
        <w:rPr>
          <w:rFonts w:ascii="Times New Roman" w:hAnsi="Times New Roman" w:cs="Times New Roman" w:eastAsia="Times New Roman" w:hint="default"/>
        </w:rPr>
        <w:t>2014</w:t>
      </w:r>
      <w:r>
        <w:rPr/>
        <w:t>年年度报告全文；</w:t>
      </w:r>
      <w:r>
        <w:rPr>
          <w:w w:val="99"/>
        </w:rPr>
        <w:t> </w:t>
      </w:r>
      <w:r>
        <w:rPr/>
        <w:t>二、载有公司法定代表人、主管会计工作负责人、会计机构负责人签名并盖章的财务报告文本；</w:t>
      </w:r>
      <w:r>
        <w:rPr>
          <w:w w:val="99"/>
        </w:rPr>
        <w:t> </w:t>
      </w:r>
      <w:r>
        <w:rPr>
          <w:w w:val="95"/>
        </w:rPr>
        <w:t>三、报告期内在《证券时报》、《中国证券报》上公开披露过的所有公司文件的正本及公告的原稿；</w:t>
      </w:r>
      <w:r>
        <w:rPr>
          <w:spacing w:val="38"/>
          <w:w w:val="95"/>
        </w:rPr>
        <w:t> </w:t>
      </w:r>
      <w:r>
        <w:rPr>
          <w:spacing w:val="38"/>
          <w:w w:val="95"/>
        </w:rPr>
      </w:r>
      <w:r>
        <w:rPr/>
        <w:t>四、以上备查文件的备置地点：公司董事会办公室。</w:t>
      </w:r>
    </w:p>
    <w:sectPr>
      <w:pgSz w:w="11910" w:h="16840"/>
      <w:pgMar w:header="746" w:footer="978" w:top="104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5.687561pt;width:6.5pt;height:11pt;mso-position-horizontal-relative:page;mso-position-vertical-relative:page;z-index:-846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46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46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2.007935pt;width:17.3pt;height:11pt;mso-position-horizontal-relative:page;mso-position-vertical-relative:page;z-index:-846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4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4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4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007935pt;width:8.5pt;height:11pt;mso-position-horizontal-relative:page;mso-position-vertical-relative:page;z-index:-846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46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4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4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507pt;margin-top:36.315651pt;width:195.45pt;height:11pt;mso-position-horizontal-relative:page;mso-position-vertical-relative:page;z-index:-846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7"/>
      <w:ind w:left="112"/>
    </w:pPr>
    <w:rPr>
      <w:rFonts w:ascii="宋体" w:hAnsi="宋体" w:eastAsia="宋体"/>
      <w:sz w:val="28"/>
      <w:szCs w:val="28"/>
    </w:rPr>
  </w:style>
  <w:style w:styleId="BodyText" w:type="paragraph">
    <w:name w:val="Body Text"/>
    <w:basedOn w:val="Normal"/>
    <w:uiPriority w:val="1"/>
    <w:qFormat/>
    <w:pPr>
      <w:spacing w:before="7"/>
      <w:ind w:left="112"/>
    </w:pPr>
    <w:rPr>
      <w:rFonts w:ascii="宋体" w:hAnsi="宋体" w:eastAsia="宋体"/>
      <w:sz w:val="21"/>
      <w:szCs w:val="21"/>
    </w:rPr>
  </w:style>
  <w:style w:styleId="Heading1" w:type="paragraph">
    <w:name w:val="Heading 1"/>
    <w:basedOn w:val="Normal"/>
    <w:uiPriority w:val="1"/>
    <w:qFormat/>
    <w:pPr>
      <w:ind w:left="514"/>
      <w:outlineLvl w:val="1"/>
    </w:pPr>
    <w:rPr>
      <w:rFonts w:ascii="宋体" w:hAnsi="宋体" w:eastAsia="宋体"/>
      <w:b/>
      <w:bCs/>
      <w:sz w:val="32"/>
      <w:szCs w:val="32"/>
    </w:rPr>
  </w:style>
  <w:style w:styleId="Heading2" w:type="paragraph">
    <w:name w:val="Heading 2"/>
    <w:basedOn w:val="Normal"/>
    <w:uiPriority w:val="1"/>
    <w:qFormat/>
    <w:pPr>
      <w:spacing w:before="61"/>
      <w:ind w:left="112"/>
      <w:outlineLvl w:val="2"/>
    </w:pPr>
    <w:rPr>
      <w:rFonts w:ascii="宋体" w:hAnsi="宋体" w:eastAsia="宋体"/>
      <w:sz w:val="28"/>
      <w:szCs w:val="28"/>
    </w:rPr>
  </w:style>
  <w:style w:styleId="Heading3" w:type="paragraph">
    <w:name w:val="Heading 3"/>
    <w:basedOn w:val="Normal"/>
    <w:uiPriority w:val="1"/>
    <w:qFormat/>
    <w:pPr>
      <w:ind w:left="112"/>
      <w:outlineLvl w:val="3"/>
    </w:pPr>
    <w:rPr>
      <w:rFonts w:ascii="宋体" w:hAnsi="宋体" w:eastAsia="宋体"/>
      <w:b/>
      <w:bCs/>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antong-tech.net/" TargetMode="External"/><Relationship Id="rId10" Type="http://schemas.openxmlformats.org/officeDocument/2006/relationships/hyperlink" Target="mailto:wtkj@wantong-tech.net" TargetMode="External"/><Relationship Id="rId11" Type="http://schemas.openxmlformats.org/officeDocument/2006/relationships/hyperlink" Target="mailto:dspan@wantong-tech.net"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yperlink" Target="http://www.chinaports.com/" TargetMode="Externa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2.jpeg"/><Relationship Id="rId20" Type="http://schemas.openxmlformats.org/officeDocument/2006/relationships/image" Target="media/image3.png"/><Relationship Id="rId21" Type="http://schemas.openxmlformats.org/officeDocument/2006/relationships/footer" Target="footer8.xml"/><Relationship Id="rId22" Type="http://schemas.openxmlformats.org/officeDocument/2006/relationships/image" Target="media/image4.pn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yperlink" Target="http://www.chinaacc.com/web/news_cs/" TargetMode="Externa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安徽皖通科技股份有限公司</dc:creator>
  <dc:title>安徽皖通科技股份有限公司2014年年度报告全文</dc:title>
  <dcterms:created xsi:type="dcterms:W3CDTF">2020-05-06T16:57:07Z</dcterms:created>
  <dcterms:modified xsi:type="dcterms:W3CDTF">2020-05-06T16:57:07Z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WPS Office 个人版</vt:lpwstr>
  </property>
  <property fmtid="{D5CDD505-2E9C-101B-9397-08002B2CF9AE}" pid="4" name="LastSaved">
    <vt:filetime>2020-05-06T00:00:00Z</vt:filetime>
  </property>
</Properties>
</file>